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E7" w:rsidRPr="002D19C6" w:rsidRDefault="00C957E7">
      <w:pPr>
        <w:rPr>
          <w:rFonts w:ascii="Spranq eco sans" w:hAnsi="Spranq eco sans"/>
          <w:sz w:val="20"/>
          <w:szCs w:val="20"/>
          <w:lang w:val="es-ES"/>
        </w:rPr>
      </w:pPr>
      <w:bookmarkStart w:id="0" w:name="_GoBack"/>
      <w:bookmarkEnd w:id="0"/>
    </w:p>
    <w:p w:rsidR="00FF09CC" w:rsidRDefault="00FF09CC" w:rsidP="00FF09CC">
      <w:pPr>
        <w:spacing w:after="0" w:line="240" w:lineRule="auto"/>
        <w:jc w:val="right"/>
        <w:rPr>
          <w:rFonts w:ascii="Spranq eco sans" w:hAnsi="Spranq eco sans" w:cs="Helvetica"/>
          <w:sz w:val="20"/>
          <w:szCs w:val="20"/>
        </w:rPr>
      </w:pPr>
    </w:p>
    <w:p w:rsidR="00FF09CC" w:rsidRDefault="00FF09CC" w:rsidP="00FF09CC">
      <w:pPr>
        <w:spacing w:after="0" w:line="240" w:lineRule="auto"/>
        <w:jc w:val="right"/>
        <w:rPr>
          <w:rFonts w:ascii="Spranq eco sans" w:hAnsi="Spranq eco sans" w:cs="Helvetica"/>
          <w:sz w:val="20"/>
          <w:szCs w:val="20"/>
        </w:rPr>
      </w:pPr>
    </w:p>
    <w:p w:rsidR="00D54CA7" w:rsidRDefault="00D54CA7" w:rsidP="00FF09CC">
      <w:pPr>
        <w:spacing w:after="0" w:line="240" w:lineRule="auto"/>
        <w:jc w:val="right"/>
        <w:rPr>
          <w:rFonts w:ascii="Spranq eco sans" w:hAnsi="Spranq eco sans" w:cs="Helvetica"/>
          <w:sz w:val="20"/>
          <w:szCs w:val="20"/>
        </w:rPr>
      </w:pPr>
    </w:p>
    <w:p w:rsidR="000054B7" w:rsidRPr="002D19C6" w:rsidRDefault="000054B7" w:rsidP="00FF09CC">
      <w:pPr>
        <w:spacing w:after="0"/>
        <w:jc w:val="right"/>
        <w:rPr>
          <w:rFonts w:ascii="Spranq eco sans" w:hAnsi="Spranq eco sans" w:cs="Helvetica"/>
          <w:sz w:val="20"/>
          <w:szCs w:val="20"/>
        </w:rPr>
      </w:pPr>
      <w:r w:rsidRPr="002D19C6">
        <w:rPr>
          <w:rFonts w:ascii="Spranq eco sans" w:hAnsi="Spranq eco sans" w:cs="Helvetica"/>
          <w:sz w:val="20"/>
          <w:szCs w:val="20"/>
        </w:rPr>
        <w:t xml:space="preserve">Oficio  No. </w:t>
      </w:r>
      <w:r w:rsidRPr="002D19C6">
        <w:rPr>
          <w:rFonts w:ascii="Spranq eco sans" w:hAnsi="Spranq eco sans" w:cs="Calibri"/>
          <w:bCs/>
          <w:sz w:val="20"/>
          <w:szCs w:val="20"/>
        </w:rPr>
        <w:t>SA-JUR-201</w:t>
      </w:r>
      <w:r w:rsidR="002D19C6" w:rsidRPr="002D19C6">
        <w:rPr>
          <w:rFonts w:ascii="Spranq eco sans" w:hAnsi="Spranq eco sans" w:cs="Calibri"/>
          <w:bCs/>
          <w:sz w:val="20"/>
          <w:szCs w:val="20"/>
        </w:rPr>
        <w:t>9</w:t>
      </w:r>
      <w:r w:rsidRPr="002D19C6">
        <w:rPr>
          <w:rFonts w:ascii="Spranq eco sans" w:hAnsi="Spranq eco sans" w:cs="Calibri"/>
          <w:bCs/>
          <w:sz w:val="20"/>
          <w:szCs w:val="20"/>
        </w:rPr>
        <w:t>-</w:t>
      </w:r>
      <w:r w:rsidR="002D19C6" w:rsidRPr="002D19C6">
        <w:rPr>
          <w:rFonts w:ascii="Spranq eco sans" w:hAnsi="Spranq eco sans" w:cs="Calibri"/>
          <w:bCs/>
          <w:sz w:val="20"/>
          <w:szCs w:val="20"/>
        </w:rPr>
        <w:t>0109</w:t>
      </w:r>
    </w:p>
    <w:p w:rsidR="000054B7" w:rsidRPr="002D19C6" w:rsidRDefault="000054B7" w:rsidP="00FF09CC">
      <w:pPr>
        <w:spacing w:after="0"/>
        <w:jc w:val="right"/>
        <w:rPr>
          <w:rFonts w:ascii="Spranq eco sans" w:hAnsi="Spranq eco sans" w:cs="Helvetica"/>
          <w:sz w:val="20"/>
          <w:szCs w:val="20"/>
        </w:rPr>
      </w:pPr>
      <w:r w:rsidRPr="002D19C6">
        <w:rPr>
          <w:rFonts w:ascii="Spranq eco sans" w:hAnsi="Spranq eco sans" w:cs="Helvetica"/>
          <w:sz w:val="20"/>
          <w:szCs w:val="20"/>
        </w:rPr>
        <w:t xml:space="preserve">DM Quito, </w:t>
      </w:r>
      <w:r w:rsidR="0039448C" w:rsidRPr="002D19C6">
        <w:rPr>
          <w:rFonts w:ascii="Spranq eco sans" w:hAnsi="Spranq eco sans" w:cs="Helvetica"/>
          <w:sz w:val="20"/>
          <w:szCs w:val="20"/>
        </w:rPr>
        <w:t>10</w:t>
      </w:r>
      <w:r w:rsidRPr="002D19C6">
        <w:rPr>
          <w:rFonts w:ascii="Spranq eco sans" w:hAnsi="Spranq eco sans" w:cs="Helvetica"/>
          <w:sz w:val="20"/>
          <w:szCs w:val="20"/>
        </w:rPr>
        <w:t xml:space="preserve"> de </w:t>
      </w:r>
      <w:r w:rsidR="0039448C" w:rsidRPr="002D19C6">
        <w:rPr>
          <w:rFonts w:ascii="Spranq eco sans" w:hAnsi="Spranq eco sans" w:cs="Helvetica"/>
          <w:sz w:val="20"/>
          <w:szCs w:val="20"/>
        </w:rPr>
        <w:t>enero</w:t>
      </w:r>
      <w:r w:rsidRPr="002D19C6">
        <w:rPr>
          <w:rFonts w:ascii="Spranq eco sans" w:hAnsi="Spranq eco sans" w:cs="Helvetica"/>
          <w:sz w:val="20"/>
          <w:szCs w:val="20"/>
        </w:rPr>
        <w:t xml:space="preserve"> de 201</w:t>
      </w:r>
      <w:r w:rsidR="0039448C" w:rsidRPr="002D19C6">
        <w:rPr>
          <w:rFonts w:ascii="Spranq eco sans" w:hAnsi="Spranq eco sans" w:cs="Helvetica"/>
          <w:sz w:val="20"/>
          <w:szCs w:val="20"/>
        </w:rPr>
        <w:t>9</w:t>
      </w:r>
    </w:p>
    <w:p w:rsidR="000054B7" w:rsidRPr="002D19C6" w:rsidRDefault="000054B7" w:rsidP="00FF09CC">
      <w:pPr>
        <w:spacing w:after="0"/>
        <w:jc w:val="right"/>
        <w:rPr>
          <w:rFonts w:ascii="Spranq eco sans" w:hAnsi="Spranq eco sans" w:cs="Helvetica"/>
          <w:sz w:val="20"/>
          <w:szCs w:val="20"/>
        </w:rPr>
      </w:pPr>
      <w:r w:rsidRPr="002D19C6">
        <w:rPr>
          <w:rFonts w:ascii="Spranq eco sans" w:hAnsi="Spranq eco sans" w:cs="Helvetica"/>
          <w:sz w:val="20"/>
          <w:szCs w:val="20"/>
        </w:rPr>
        <w:t>Ticket GDOC No. 201</w:t>
      </w:r>
      <w:r w:rsidR="002D19C6" w:rsidRPr="002D19C6">
        <w:rPr>
          <w:rFonts w:ascii="Spranq eco sans" w:hAnsi="Spranq eco sans" w:cs="Helvetica"/>
          <w:sz w:val="20"/>
          <w:szCs w:val="20"/>
        </w:rPr>
        <w:t>8</w:t>
      </w:r>
      <w:r w:rsidRPr="002D19C6">
        <w:rPr>
          <w:rFonts w:ascii="Spranq eco sans" w:hAnsi="Spranq eco sans" w:cs="Helvetica"/>
          <w:sz w:val="20"/>
          <w:szCs w:val="20"/>
        </w:rPr>
        <w:t>-1</w:t>
      </w:r>
      <w:r w:rsidR="002D19C6" w:rsidRPr="002D19C6">
        <w:rPr>
          <w:rFonts w:ascii="Spranq eco sans" w:hAnsi="Spranq eco sans" w:cs="Helvetica"/>
          <w:sz w:val="20"/>
          <w:szCs w:val="20"/>
        </w:rPr>
        <w:t>69456</w:t>
      </w:r>
    </w:p>
    <w:p w:rsidR="000054B7" w:rsidRDefault="000054B7" w:rsidP="00FF09CC">
      <w:pPr>
        <w:rPr>
          <w:rFonts w:ascii="Spranq eco sans" w:hAnsi="Spranq eco sans" w:cs="Helvetica"/>
          <w:sz w:val="20"/>
          <w:szCs w:val="20"/>
          <w:highlight w:val="yellow"/>
        </w:rPr>
      </w:pPr>
    </w:p>
    <w:p w:rsidR="00D54CA7" w:rsidRPr="002D19C6" w:rsidRDefault="00D54CA7" w:rsidP="00FF09CC">
      <w:pPr>
        <w:rPr>
          <w:rFonts w:ascii="Spranq eco sans" w:hAnsi="Spranq eco sans" w:cs="Helvetica"/>
          <w:sz w:val="20"/>
          <w:szCs w:val="20"/>
          <w:highlight w:val="yellow"/>
        </w:rPr>
      </w:pPr>
    </w:p>
    <w:p w:rsidR="000054B7" w:rsidRPr="002D19C6" w:rsidRDefault="0039448C" w:rsidP="00FF09CC">
      <w:pPr>
        <w:spacing w:after="0"/>
        <w:rPr>
          <w:rFonts w:ascii="Spranq eco sans" w:hAnsi="Spranq eco sans" w:cs="Helvetica"/>
          <w:sz w:val="20"/>
          <w:szCs w:val="20"/>
        </w:rPr>
      </w:pPr>
      <w:r w:rsidRPr="002D19C6">
        <w:rPr>
          <w:rFonts w:ascii="Spranq eco sans" w:hAnsi="Spranq eco sans" w:cs="Helvetica"/>
          <w:sz w:val="20"/>
          <w:szCs w:val="20"/>
        </w:rPr>
        <w:t>Doctor</w:t>
      </w:r>
    </w:p>
    <w:p w:rsidR="000054B7" w:rsidRPr="002D19C6" w:rsidRDefault="0039448C" w:rsidP="00FF09CC">
      <w:pPr>
        <w:spacing w:after="0"/>
        <w:rPr>
          <w:rFonts w:ascii="Spranq eco sans" w:hAnsi="Spranq eco sans" w:cs="Helvetica"/>
          <w:sz w:val="20"/>
          <w:szCs w:val="20"/>
        </w:rPr>
      </w:pPr>
      <w:r w:rsidRPr="002D19C6">
        <w:rPr>
          <w:rFonts w:ascii="Spranq eco sans" w:hAnsi="Spranq eco sans" w:cs="Helvetica"/>
          <w:sz w:val="20"/>
          <w:szCs w:val="20"/>
        </w:rPr>
        <w:t xml:space="preserve">Diego Cevallos </w:t>
      </w:r>
      <w:r w:rsidR="000054B7" w:rsidRPr="002D19C6">
        <w:rPr>
          <w:rFonts w:ascii="Spranq eco sans" w:hAnsi="Spranq eco sans" w:cs="Helvetica"/>
          <w:sz w:val="20"/>
          <w:szCs w:val="20"/>
        </w:rPr>
        <w:t xml:space="preserve"> </w:t>
      </w:r>
    </w:p>
    <w:p w:rsidR="000054B7" w:rsidRPr="002D19C6" w:rsidRDefault="0039448C" w:rsidP="00FF09CC">
      <w:pPr>
        <w:spacing w:after="0"/>
        <w:rPr>
          <w:rFonts w:ascii="Spranq eco sans" w:hAnsi="Spranq eco sans" w:cs="Helvetica"/>
          <w:b/>
          <w:sz w:val="20"/>
          <w:szCs w:val="20"/>
        </w:rPr>
      </w:pPr>
      <w:r w:rsidRPr="002D19C6">
        <w:rPr>
          <w:rFonts w:ascii="Spranq eco sans" w:hAnsi="Spranq eco sans" w:cs="Helvetica"/>
          <w:b/>
          <w:sz w:val="20"/>
          <w:szCs w:val="20"/>
        </w:rPr>
        <w:t>SECRETARIO DEL CONCEJO METROPOLITANO DE QUITO</w:t>
      </w:r>
    </w:p>
    <w:p w:rsidR="000054B7" w:rsidRPr="002D19C6" w:rsidRDefault="000054B7" w:rsidP="00FF09CC">
      <w:pPr>
        <w:spacing w:after="0"/>
        <w:rPr>
          <w:rFonts w:ascii="Spranq eco sans" w:hAnsi="Spranq eco sans" w:cs="Helvetica"/>
          <w:sz w:val="20"/>
          <w:szCs w:val="20"/>
        </w:rPr>
      </w:pPr>
      <w:r w:rsidRPr="002D19C6">
        <w:rPr>
          <w:rFonts w:ascii="Spranq eco sans" w:hAnsi="Spranq eco sans" w:cs="Helvetica"/>
          <w:sz w:val="20"/>
          <w:szCs w:val="20"/>
        </w:rPr>
        <w:t>Presente.-</w:t>
      </w:r>
    </w:p>
    <w:p w:rsidR="000054B7" w:rsidRDefault="000054B7" w:rsidP="00FF09CC">
      <w:pPr>
        <w:spacing w:after="0"/>
        <w:rPr>
          <w:rFonts w:ascii="Spranq eco sans" w:hAnsi="Spranq eco sans" w:cs="Helvetica"/>
          <w:b/>
          <w:sz w:val="20"/>
          <w:szCs w:val="20"/>
        </w:rPr>
      </w:pPr>
    </w:p>
    <w:p w:rsidR="00D54CA7" w:rsidRPr="002D19C6" w:rsidRDefault="00D54CA7" w:rsidP="00FF09CC">
      <w:pPr>
        <w:spacing w:after="0"/>
        <w:rPr>
          <w:rFonts w:ascii="Spranq eco sans" w:hAnsi="Spranq eco sans" w:cs="Helvetica"/>
          <w:b/>
          <w:sz w:val="20"/>
          <w:szCs w:val="20"/>
        </w:rPr>
      </w:pPr>
    </w:p>
    <w:p w:rsidR="000054B7" w:rsidRPr="002D19C6" w:rsidRDefault="000054B7" w:rsidP="00FF09CC">
      <w:pPr>
        <w:pStyle w:val="Sinespaciado"/>
        <w:spacing w:line="276" w:lineRule="auto"/>
        <w:jc w:val="right"/>
        <w:rPr>
          <w:rFonts w:ascii="Spranq eco sans" w:hAnsi="Spranq eco sans" w:cs="Arial"/>
          <w:sz w:val="18"/>
          <w:szCs w:val="18"/>
        </w:rPr>
      </w:pPr>
      <w:r w:rsidRPr="002D19C6">
        <w:rPr>
          <w:rFonts w:ascii="Spranq eco sans" w:hAnsi="Spranq eco sans" w:cs="Helvetica"/>
          <w:b/>
          <w:sz w:val="18"/>
          <w:szCs w:val="18"/>
        </w:rPr>
        <w:t>Asunto:</w:t>
      </w:r>
      <w:r w:rsidRPr="002D19C6">
        <w:rPr>
          <w:rFonts w:ascii="Spranq eco sans" w:hAnsi="Spranq eco sans" w:cs="Helvetica"/>
          <w:sz w:val="18"/>
          <w:szCs w:val="18"/>
        </w:rPr>
        <w:t xml:space="preserve"> </w:t>
      </w:r>
      <w:r w:rsidR="0039448C" w:rsidRPr="002D19C6">
        <w:rPr>
          <w:rFonts w:ascii="Spranq eco sans" w:hAnsi="Spranq eco sans" w:cs="Helvetica"/>
          <w:sz w:val="18"/>
          <w:szCs w:val="18"/>
        </w:rPr>
        <w:t xml:space="preserve">Ordenanzas Metropolitanas requeridas para el proyecto de codificación Municipal  </w:t>
      </w:r>
      <w:r w:rsidRPr="002D19C6">
        <w:rPr>
          <w:rFonts w:ascii="Spranq eco sans" w:hAnsi="Spranq eco sans" w:cs="Helvetica"/>
          <w:sz w:val="18"/>
          <w:szCs w:val="18"/>
        </w:rPr>
        <w:t xml:space="preserve"> </w:t>
      </w:r>
    </w:p>
    <w:p w:rsidR="000054B7" w:rsidRPr="002D19C6" w:rsidRDefault="000054B7" w:rsidP="00FF09CC">
      <w:pPr>
        <w:pStyle w:val="Sinespaciado"/>
        <w:spacing w:line="276" w:lineRule="auto"/>
        <w:ind w:left="2124" w:firstLine="708"/>
        <w:rPr>
          <w:rFonts w:ascii="Spranq eco sans" w:hAnsi="Spranq eco sans" w:cs="Arial"/>
          <w:sz w:val="20"/>
          <w:szCs w:val="20"/>
        </w:rPr>
      </w:pPr>
    </w:p>
    <w:p w:rsidR="00D54CA7" w:rsidRDefault="00D54CA7" w:rsidP="00FF09CC">
      <w:pPr>
        <w:pStyle w:val="Sinespaciado"/>
        <w:spacing w:line="276" w:lineRule="auto"/>
        <w:jc w:val="both"/>
        <w:rPr>
          <w:rFonts w:ascii="Spranq eco sans" w:eastAsia="Times New Roman" w:hAnsi="Spranq eco sans" w:cs="Arial"/>
          <w:color w:val="000000"/>
          <w:sz w:val="20"/>
          <w:szCs w:val="20"/>
          <w:lang w:eastAsia="es-ES"/>
        </w:rPr>
      </w:pPr>
    </w:p>
    <w:p w:rsidR="000054B7" w:rsidRPr="002D19C6" w:rsidRDefault="000054B7" w:rsidP="00FF09CC">
      <w:pPr>
        <w:pStyle w:val="Sinespaciado"/>
        <w:spacing w:line="276" w:lineRule="auto"/>
        <w:jc w:val="both"/>
        <w:rPr>
          <w:rFonts w:ascii="Spranq eco sans" w:eastAsia="Times New Roman" w:hAnsi="Spranq eco sans" w:cs="Arial"/>
          <w:color w:val="000000"/>
          <w:sz w:val="20"/>
          <w:szCs w:val="20"/>
          <w:lang w:eastAsia="es-ES"/>
        </w:rPr>
      </w:pPr>
      <w:r w:rsidRPr="002D19C6">
        <w:rPr>
          <w:rFonts w:ascii="Spranq eco sans" w:eastAsia="Times New Roman" w:hAnsi="Spranq eco sans" w:cs="Arial"/>
          <w:color w:val="000000"/>
          <w:sz w:val="20"/>
          <w:szCs w:val="20"/>
          <w:lang w:eastAsia="es-ES"/>
        </w:rPr>
        <w:t>De mi consideración:</w:t>
      </w:r>
    </w:p>
    <w:p w:rsidR="002D19C6" w:rsidRDefault="002D19C6" w:rsidP="00FF09CC">
      <w:pPr>
        <w:jc w:val="both"/>
        <w:rPr>
          <w:rFonts w:ascii="Spranq eco sans" w:hAnsi="Spranq eco sans"/>
          <w:sz w:val="20"/>
          <w:szCs w:val="20"/>
          <w:lang w:val="es-ES"/>
        </w:rPr>
      </w:pPr>
    </w:p>
    <w:p w:rsidR="00B937DE" w:rsidRPr="002D19C6" w:rsidRDefault="00C609EC" w:rsidP="00FF09CC">
      <w:pPr>
        <w:jc w:val="both"/>
        <w:rPr>
          <w:rFonts w:ascii="Spranq eco sans" w:hAnsi="Spranq eco sans"/>
          <w:sz w:val="20"/>
          <w:szCs w:val="20"/>
          <w:lang w:val="es-ES"/>
        </w:rPr>
      </w:pPr>
      <w:r w:rsidRPr="002D19C6">
        <w:rPr>
          <w:rFonts w:ascii="Spranq eco sans" w:hAnsi="Spranq eco sans"/>
          <w:sz w:val="20"/>
          <w:szCs w:val="20"/>
          <w:lang w:val="es-ES"/>
        </w:rPr>
        <w:t xml:space="preserve">Me refiero al oficio circular No. SGC-2018-135 recibido el 08 de noviembre de 2018, en la cual el Abg. Renato Delgado Merchán Secretario General del Concejo Metropolitano de Quito (S), comunica que la Comisión de Codificación Legislativa </w:t>
      </w:r>
      <w:r w:rsidR="005C200F" w:rsidRPr="002D19C6">
        <w:rPr>
          <w:rFonts w:ascii="Spranq eco sans" w:hAnsi="Spranq eco sans"/>
          <w:sz w:val="20"/>
          <w:szCs w:val="20"/>
          <w:lang w:val="es-ES"/>
        </w:rPr>
        <w:t xml:space="preserve">en sesión ordinaria realizada el 03 de octubre de 2018, resolvió socializar el proyecto de Código Municipal y que se envíen las observaciones correspondientes </w:t>
      </w:r>
      <w:r w:rsidR="00B937DE" w:rsidRPr="002D19C6">
        <w:rPr>
          <w:rFonts w:ascii="Spranq eco sans" w:hAnsi="Spranq eco sans"/>
          <w:sz w:val="20"/>
          <w:szCs w:val="20"/>
          <w:lang w:val="es-ES"/>
        </w:rPr>
        <w:t>a dicho proyecto.</w:t>
      </w:r>
    </w:p>
    <w:p w:rsidR="00B937DE" w:rsidRPr="002D19C6" w:rsidRDefault="00B937DE" w:rsidP="00FF09CC">
      <w:pPr>
        <w:jc w:val="both"/>
        <w:rPr>
          <w:rFonts w:ascii="Spranq eco sans" w:hAnsi="Spranq eco sans"/>
          <w:sz w:val="20"/>
          <w:szCs w:val="20"/>
          <w:lang w:val="es-ES"/>
        </w:rPr>
      </w:pPr>
      <w:r w:rsidRPr="002D19C6">
        <w:rPr>
          <w:rFonts w:ascii="Spranq eco sans" w:hAnsi="Spranq eco sans"/>
          <w:sz w:val="20"/>
          <w:szCs w:val="20"/>
          <w:lang w:val="es-ES"/>
        </w:rPr>
        <w:t>Ante lo expuesto esta Secretaría ha trabajado en</w:t>
      </w:r>
      <w:r w:rsidR="002C0F7F" w:rsidRPr="002D19C6">
        <w:rPr>
          <w:rFonts w:ascii="Spranq eco sans" w:hAnsi="Spranq eco sans"/>
          <w:sz w:val="20"/>
          <w:szCs w:val="20"/>
          <w:lang w:val="es-ES"/>
        </w:rPr>
        <w:t xml:space="preserve"> la propuesta</w:t>
      </w:r>
      <w:r w:rsidRPr="002D19C6">
        <w:rPr>
          <w:rFonts w:ascii="Spranq eco sans" w:hAnsi="Spranq eco sans"/>
          <w:sz w:val="20"/>
          <w:szCs w:val="20"/>
          <w:lang w:val="es-ES"/>
        </w:rPr>
        <w:t xml:space="preserve"> </w:t>
      </w:r>
      <w:r w:rsidR="002C0F7F" w:rsidRPr="002D19C6">
        <w:rPr>
          <w:rFonts w:ascii="Spranq eco sans" w:hAnsi="Spranq eco sans"/>
          <w:sz w:val="20"/>
          <w:szCs w:val="20"/>
          <w:lang w:val="es-ES"/>
        </w:rPr>
        <w:t xml:space="preserve">de </w:t>
      </w:r>
      <w:r w:rsidRPr="002D19C6">
        <w:rPr>
          <w:rFonts w:ascii="Spranq eco sans" w:hAnsi="Spranq eco sans"/>
          <w:sz w:val="20"/>
          <w:szCs w:val="20"/>
          <w:lang w:val="es-ES"/>
        </w:rPr>
        <w:t>las siguientes Ordenanzas Metropolitanas:</w:t>
      </w:r>
    </w:p>
    <w:p w:rsidR="00C7399F" w:rsidRPr="002D19C6" w:rsidRDefault="00C7399F" w:rsidP="00FF09CC">
      <w:pPr>
        <w:jc w:val="both"/>
        <w:rPr>
          <w:rFonts w:ascii="Spranq eco sans" w:hAnsi="Spranq eco sans"/>
          <w:sz w:val="20"/>
          <w:szCs w:val="20"/>
          <w:lang w:val="es-ES"/>
        </w:rPr>
      </w:pPr>
      <w:r w:rsidRPr="002D19C6">
        <w:rPr>
          <w:rFonts w:ascii="Spranq eco sans" w:hAnsi="Spranq eco sans"/>
          <w:sz w:val="20"/>
          <w:szCs w:val="20"/>
          <w:lang w:val="es-ES"/>
        </w:rPr>
        <w:t xml:space="preserve">1.- </w:t>
      </w:r>
      <w:r w:rsidR="00B937DE" w:rsidRPr="002D19C6">
        <w:rPr>
          <w:rFonts w:ascii="Spranq eco sans" w:hAnsi="Spranq eco sans"/>
          <w:sz w:val="20"/>
          <w:szCs w:val="20"/>
          <w:lang w:val="es-ES"/>
        </w:rPr>
        <w:t xml:space="preserve">Ordenanza Metropolitana No. 213 expedida el 18 de abril de 2007 denominada “La ordenanza sustitutiva </w:t>
      </w:r>
      <w:r w:rsidRPr="002D19C6">
        <w:rPr>
          <w:rFonts w:ascii="Spranq eco sans" w:hAnsi="Spranq eco sans"/>
          <w:sz w:val="20"/>
          <w:szCs w:val="20"/>
          <w:lang w:val="es-ES"/>
        </w:rPr>
        <w:t>del Título V, “Del Medio Ambiente”, libro segundo, del Código Municipal para el Distrito Metropolitano de Quito.</w:t>
      </w:r>
    </w:p>
    <w:p w:rsidR="00C609EC" w:rsidRPr="002D19C6" w:rsidRDefault="00C7399F" w:rsidP="00FF09CC">
      <w:pPr>
        <w:pStyle w:val="Prrafodelista"/>
        <w:numPr>
          <w:ilvl w:val="0"/>
          <w:numId w:val="1"/>
        </w:numPr>
        <w:jc w:val="both"/>
        <w:rPr>
          <w:rFonts w:ascii="Spranq eco sans" w:hAnsi="Spranq eco sans"/>
          <w:sz w:val="20"/>
          <w:szCs w:val="20"/>
          <w:lang w:val="es-ES"/>
        </w:rPr>
      </w:pPr>
      <w:r w:rsidRPr="002D19C6">
        <w:rPr>
          <w:rFonts w:ascii="Spranq eco sans" w:hAnsi="Spranq eco sans"/>
          <w:sz w:val="20"/>
          <w:szCs w:val="20"/>
          <w:lang w:val="es-ES"/>
        </w:rPr>
        <w:t xml:space="preserve">CAPÍTULO II DE LA CONTAMINACIÓN ACÚSTICA </w:t>
      </w:r>
    </w:p>
    <w:p w:rsidR="00C7399F" w:rsidRPr="002D19C6" w:rsidRDefault="00C7399F" w:rsidP="00FF09CC">
      <w:pPr>
        <w:pStyle w:val="Prrafodelista"/>
        <w:numPr>
          <w:ilvl w:val="0"/>
          <w:numId w:val="1"/>
        </w:numPr>
        <w:jc w:val="both"/>
        <w:rPr>
          <w:rFonts w:ascii="Spranq eco sans" w:hAnsi="Spranq eco sans"/>
          <w:sz w:val="20"/>
          <w:szCs w:val="20"/>
          <w:lang w:val="es-ES"/>
        </w:rPr>
      </w:pPr>
      <w:r w:rsidRPr="002D19C6">
        <w:rPr>
          <w:rFonts w:ascii="Spranq eco sans" w:hAnsi="Spranq eco sans"/>
          <w:sz w:val="20"/>
          <w:szCs w:val="20"/>
          <w:lang w:val="es-ES"/>
        </w:rPr>
        <w:t>CAPÍTULO</w:t>
      </w:r>
      <w:r w:rsidR="002D19C6">
        <w:rPr>
          <w:rFonts w:ascii="Spranq eco sans" w:hAnsi="Spranq eco sans"/>
          <w:sz w:val="20"/>
          <w:szCs w:val="20"/>
          <w:lang w:val="es-ES"/>
        </w:rPr>
        <w:t xml:space="preserve"> </w:t>
      </w:r>
      <w:r w:rsidRPr="002D19C6">
        <w:rPr>
          <w:rFonts w:ascii="Spranq eco sans" w:hAnsi="Spranq eco sans"/>
          <w:sz w:val="20"/>
          <w:szCs w:val="20"/>
          <w:lang w:val="es-ES"/>
        </w:rPr>
        <w:t>VIII</w:t>
      </w:r>
      <w:r w:rsidR="002D19C6">
        <w:rPr>
          <w:rFonts w:ascii="Spranq eco sans" w:hAnsi="Spranq eco sans"/>
          <w:sz w:val="20"/>
          <w:szCs w:val="20"/>
          <w:lang w:val="es-ES"/>
        </w:rPr>
        <w:t xml:space="preserve"> </w:t>
      </w:r>
      <w:r w:rsidRPr="002D19C6">
        <w:rPr>
          <w:rFonts w:ascii="Spranq eco sans" w:hAnsi="Spranq eco sans"/>
          <w:sz w:val="20"/>
          <w:szCs w:val="20"/>
          <w:lang w:val="es-ES"/>
        </w:rPr>
        <w:t>PROTECCIÓN</w:t>
      </w:r>
      <w:r w:rsidR="002D19C6">
        <w:rPr>
          <w:rFonts w:ascii="Spranq eco sans" w:hAnsi="Spranq eco sans"/>
          <w:sz w:val="20"/>
          <w:szCs w:val="20"/>
          <w:lang w:val="es-ES"/>
        </w:rPr>
        <w:t xml:space="preserve"> </w:t>
      </w:r>
      <w:r w:rsidRPr="002D19C6">
        <w:rPr>
          <w:rFonts w:ascii="Spranq eco sans" w:hAnsi="Spranq eco sans"/>
          <w:sz w:val="20"/>
          <w:szCs w:val="20"/>
          <w:lang w:val="es-ES"/>
        </w:rPr>
        <w:t>DEL</w:t>
      </w:r>
      <w:r w:rsidR="002D19C6">
        <w:rPr>
          <w:rFonts w:ascii="Spranq eco sans" w:hAnsi="Spranq eco sans"/>
          <w:sz w:val="20"/>
          <w:szCs w:val="20"/>
          <w:lang w:val="es-ES"/>
        </w:rPr>
        <w:t xml:space="preserve"> </w:t>
      </w:r>
      <w:r w:rsidRPr="002D19C6">
        <w:rPr>
          <w:rFonts w:ascii="Spranq eco sans" w:hAnsi="Spranq eco sans"/>
          <w:sz w:val="20"/>
          <w:szCs w:val="20"/>
          <w:lang w:val="es-ES"/>
        </w:rPr>
        <w:t>PATRIMONIO</w:t>
      </w:r>
      <w:r w:rsidR="002D19C6">
        <w:rPr>
          <w:rFonts w:ascii="Spranq eco sans" w:hAnsi="Spranq eco sans"/>
          <w:sz w:val="20"/>
          <w:szCs w:val="20"/>
          <w:lang w:val="es-ES"/>
        </w:rPr>
        <w:t xml:space="preserve"> </w:t>
      </w:r>
      <w:r w:rsidRPr="002D19C6">
        <w:rPr>
          <w:rFonts w:ascii="Spranq eco sans" w:hAnsi="Spranq eco sans"/>
          <w:sz w:val="20"/>
          <w:szCs w:val="20"/>
          <w:lang w:val="es-ES"/>
        </w:rPr>
        <w:t>NATURAL</w:t>
      </w:r>
      <w:r w:rsidR="002D19C6">
        <w:rPr>
          <w:rFonts w:ascii="Spranq eco sans" w:hAnsi="Spranq eco sans"/>
          <w:sz w:val="20"/>
          <w:szCs w:val="20"/>
          <w:lang w:val="es-ES"/>
        </w:rPr>
        <w:t xml:space="preserve"> </w:t>
      </w:r>
      <w:r w:rsidRPr="002D19C6">
        <w:rPr>
          <w:rFonts w:ascii="Spranq eco sans" w:hAnsi="Spranq eco sans"/>
          <w:sz w:val="20"/>
          <w:szCs w:val="20"/>
          <w:lang w:val="es-ES"/>
        </w:rPr>
        <w:t>Y</w:t>
      </w:r>
      <w:r w:rsidR="002D19C6">
        <w:rPr>
          <w:rFonts w:ascii="Spranq eco sans" w:hAnsi="Spranq eco sans"/>
          <w:sz w:val="20"/>
          <w:szCs w:val="20"/>
          <w:lang w:val="es-ES"/>
        </w:rPr>
        <w:t xml:space="preserve"> </w:t>
      </w:r>
      <w:r w:rsidRPr="002D19C6">
        <w:rPr>
          <w:rFonts w:ascii="Spranq eco sans" w:hAnsi="Spranq eco sans"/>
          <w:sz w:val="20"/>
          <w:szCs w:val="20"/>
          <w:lang w:val="es-ES"/>
        </w:rPr>
        <w:t xml:space="preserve">EL ESTABLECIMIENTO DEL SUBSISTEMA DE ÁREAS </w:t>
      </w:r>
      <w:r w:rsidR="008F61C5" w:rsidRPr="002D19C6">
        <w:rPr>
          <w:rFonts w:ascii="Spranq eco sans" w:hAnsi="Spranq eco sans"/>
          <w:sz w:val="20"/>
          <w:szCs w:val="20"/>
          <w:lang w:val="es-ES"/>
        </w:rPr>
        <w:t>NATURALES PROTEGIDAS DEL DISTRITO METROPOLITANO DE QUITO.</w:t>
      </w:r>
    </w:p>
    <w:p w:rsidR="002D7B7E" w:rsidRPr="002D19C6" w:rsidRDefault="00217251" w:rsidP="00FF09CC">
      <w:pPr>
        <w:jc w:val="both"/>
        <w:rPr>
          <w:rFonts w:ascii="Spranq eco sans" w:hAnsi="Spranq eco sans"/>
          <w:sz w:val="20"/>
          <w:szCs w:val="20"/>
          <w:lang w:val="es-ES"/>
        </w:rPr>
      </w:pPr>
      <w:r w:rsidRPr="002D19C6">
        <w:rPr>
          <w:rFonts w:ascii="Spranq eco sans" w:hAnsi="Spranq eco sans"/>
          <w:sz w:val="20"/>
          <w:szCs w:val="20"/>
          <w:lang w:val="es-ES"/>
        </w:rPr>
        <w:t>Adjunto los</w:t>
      </w:r>
      <w:r w:rsidR="00577854" w:rsidRPr="002D19C6">
        <w:rPr>
          <w:rFonts w:ascii="Spranq eco sans" w:hAnsi="Spranq eco sans"/>
          <w:sz w:val="20"/>
          <w:szCs w:val="20"/>
          <w:lang w:val="es-ES"/>
        </w:rPr>
        <w:t xml:space="preserve"> proyecto</w:t>
      </w:r>
      <w:r w:rsidRPr="002D19C6">
        <w:rPr>
          <w:rFonts w:ascii="Spranq eco sans" w:hAnsi="Spranq eco sans"/>
          <w:sz w:val="20"/>
          <w:szCs w:val="20"/>
          <w:lang w:val="es-ES"/>
        </w:rPr>
        <w:t>s</w:t>
      </w:r>
      <w:r w:rsidR="00577854" w:rsidRPr="002D19C6">
        <w:rPr>
          <w:rFonts w:ascii="Spranq eco sans" w:hAnsi="Spranq eco sans"/>
          <w:sz w:val="20"/>
          <w:szCs w:val="20"/>
          <w:lang w:val="es-ES"/>
        </w:rPr>
        <w:t xml:space="preserve"> de reforma en </w:t>
      </w:r>
      <w:r w:rsidR="002D7B7E" w:rsidRPr="002D19C6">
        <w:rPr>
          <w:rFonts w:ascii="Spranq eco sans" w:hAnsi="Spranq eco sans"/>
          <w:sz w:val="20"/>
          <w:szCs w:val="20"/>
          <w:lang w:val="es-ES"/>
        </w:rPr>
        <w:t>los</w:t>
      </w:r>
      <w:r w:rsidR="00577854" w:rsidRPr="002D19C6">
        <w:rPr>
          <w:rFonts w:ascii="Spranq eco sans" w:hAnsi="Spranq eco sans"/>
          <w:sz w:val="20"/>
          <w:szCs w:val="20"/>
          <w:lang w:val="es-ES"/>
        </w:rPr>
        <w:t xml:space="preserve"> </w:t>
      </w:r>
      <w:r w:rsidR="002D7B7E" w:rsidRPr="002D19C6">
        <w:rPr>
          <w:rFonts w:ascii="Spranq eco sans" w:hAnsi="Spranq eco sans"/>
          <w:sz w:val="20"/>
          <w:szCs w:val="20"/>
          <w:lang w:val="es-ES"/>
        </w:rPr>
        <w:t>a</w:t>
      </w:r>
      <w:r w:rsidR="00577854" w:rsidRPr="002D19C6">
        <w:rPr>
          <w:rFonts w:ascii="Spranq eco sans" w:hAnsi="Spranq eco sans"/>
          <w:sz w:val="20"/>
          <w:szCs w:val="20"/>
          <w:lang w:val="es-ES"/>
        </w:rPr>
        <w:t>nexo</w:t>
      </w:r>
      <w:r w:rsidR="002D7B7E" w:rsidRPr="002D19C6">
        <w:rPr>
          <w:rFonts w:ascii="Spranq eco sans" w:hAnsi="Spranq eco sans"/>
          <w:sz w:val="20"/>
          <w:szCs w:val="20"/>
          <w:lang w:val="es-ES"/>
        </w:rPr>
        <w:t>s</w:t>
      </w:r>
      <w:r w:rsidR="00577854" w:rsidRPr="002D19C6">
        <w:rPr>
          <w:rFonts w:ascii="Spranq eco sans" w:hAnsi="Spranq eco sans"/>
          <w:sz w:val="20"/>
          <w:szCs w:val="20"/>
          <w:lang w:val="es-ES"/>
        </w:rPr>
        <w:t xml:space="preserve"> </w:t>
      </w:r>
      <w:r w:rsidR="002D7B7E" w:rsidRPr="002D19C6">
        <w:rPr>
          <w:rFonts w:ascii="Spranq eco sans" w:hAnsi="Spranq eco sans"/>
          <w:sz w:val="20"/>
          <w:szCs w:val="20"/>
          <w:lang w:val="es-ES"/>
        </w:rPr>
        <w:t>01 y 02</w:t>
      </w:r>
    </w:p>
    <w:p w:rsidR="008F61C5" w:rsidRDefault="00F0581A" w:rsidP="00FF09CC">
      <w:pPr>
        <w:jc w:val="both"/>
        <w:rPr>
          <w:rFonts w:ascii="Spranq eco sans" w:hAnsi="Spranq eco sans"/>
          <w:sz w:val="20"/>
          <w:szCs w:val="20"/>
          <w:lang w:val="es-ES"/>
        </w:rPr>
      </w:pPr>
      <w:r w:rsidRPr="002D19C6">
        <w:rPr>
          <w:rFonts w:ascii="Spranq eco sans" w:hAnsi="Spranq eco sans"/>
          <w:sz w:val="20"/>
          <w:szCs w:val="20"/>
          <w:lang w:val="es-ES"/>
        </w:rPr>
        <w:t>2</w:t>
      </w:r>
      <w:r w:rsidR="008F61C5" w:rsidRPr="002D19C6">
        <w:rPr>
          <w:rFonts w:ascii="Spranq eco sans" w:hAnsi="Spranq eco sans"/>
          <w:sz w:val="20"/>
          <w:szCs w:val="20"/>
          <w:lang w:val="es-ES"/>
        </w:rPr>
        <w:t>.- Ordenanza Metropolitana No. 189</w:t>
      </w:r>
      <w:r w:rsidR="00B96D44" w:rsidRPr="002D19C6">
        <w:rPr>
          <w:rFonts w:ascii="Spranq eco sans" w:hAnsi="Spranq eco sans"/>
          <w:sz w:val="20"/>
          <w:szCs w:val="20"/>
          <w:lang w:val="es-ES"/>
        </w:rPr>
        <w:t xml:space="preserve"> expedida el 16 de noviembre de 2017 denominada “La Ordenanza Metropolitana Reformatoria a la Ordenanza Metropolitana 213 del Título V, “Del Medio Ambiente”, libro segundo, del Código Municipal para el Distrito Metropo</w:t>
      </w:r>
      <w:r w:rsidR="002C0F7F" w:rsidRPr="002D19C6">
        <w:rPr>
          <w:rFonts w:ascii="Spranq eco sans" w:hAnsi="Spranq eco sans"/>
          <w:sz w:val="20"/>
          <w:szCs w:val="20"/>
          <w:lang w:val="es-ES"/>
        </w:rPr>
        <w:t>litano de Quito No. 159 de</w:t>
      </w:r>
      <w:r w:rsidR="00B96D44" w:rsidRPr="002D19C6">
        <w:rPr>
          <w:rFonts w:ascii="Spranq eco sans" w:hAnsi="Spranq eco sans"/>
          <w:sz w:val="20"/>
          <w:szCs w:val="20"/>
          <w:lang w:val="es-ES"/>
        </w:rPr>
        <w:t xml:space="preserve"> 23 de diciembre de 2011”. </w:t>
      </w:r>
    </w:p>
    <w:p w:rsidR="00D54CA7" w:rsidRDefault="00D54CA7" w:rsidP="00FF09CC">
      <w:pPr>
        <w:jc w:val="both"/>
        <w:rPr>
          <w:rFonts w:ascii="Spranq eco sans" w:hAnsi="Spranq eco sans"/>
          <w:sz w:val="20"/>
          <w:szCs w:val="20"/>
          <w:lang w:val="es-ES"/>
        </w:rPr>
      </w:pPr>
    </w:p>
    <w:p w:rsidR="00D54CA7" w:rsidRDefault="00D54CA7" w:rsidP="00FF09CC">
      <w:pPr>
        <w:jc w:val="both"/>
        <w:rPr>
          <w:rFonts w:ascii="Spranq eco sans" w:hAnsi="Spranq eco sans"/>
          <w:sz w:val="20"/>
          <w:szCs w:val="20"/>
          <w:lang w:val="es-ES"/>
        </w:rPr>
      </w:pPr>
    </w:p>
    <w:p w:rsidR="00D54CA7" w:rsidRDefault="00D54CA7" w:rsidP="00FF09CC">
      <w:pPr>
        <w:jc w:val="both"/>
        <w:rPr>
          <w:rFonts w:ascii="Spranq eco sans" w:hAnsi="Spranq eco sans"/>
          <w:sz w:val="20"/>
          <w:szCs w:val="20"/>
          <w:lang w:val="es-ES"/>
        </w:rPr>
      </w:pPr>
    </w:p>
    <w:p w:rsidR="00D54CA7" w:rsidRDefault="00D54CA7" w:rsidP="00FF09CC">
      <w:pPr>
        <w:jc w:val="both"/>
        <w:rPr>
          <w:rFonts w:ascii="Spranq eco sans" w:hAnsi="Spranq eco sans"/>
          <w:sz w:val="20"/>
          <w:szCs w:val="20"/>
          <w:lang w:val="es-ES"/>
        </w:rPr>
      </w:pPr>
    </w:p>
    <w:p w:rsidR="007C6730" w:rsidRPr="002D19C6" w:rsidRDefault="007C6730" w:rsidP="00FF09CC">
      <w:pPr>
        <w:jc w:val="both"/>
        <w:rPr>
          <w:rFonts w:ascii="Spranq eco sans" w:hAnsi="Spranq eco sans"/>
          <w:sz w:val="20"/>
          <w:szCs w:val="20"/>
          <w:lang w:val="es-ES"/>
        </w:rPr>
      </w:pPr>
      <w:r w:rsidRPr="002D19C6">
        <w:rPr>
          <w:rFonts w:ascii="Spranq eco sans" w:hAnsi="Spranq eco sans"/>
          <w:sz w:val="20"/>
          <w:szCs w:val="20"/>
          <w:lang w:val="es-ES"/>
        </w:rPr>
        <w:t>Adjunto el proyecto de refor</w:t>
      </w:r>
      <w:r w:rsidR="002D7B7E" w:rsidRPr="002D19C6">
        <w:rPr>
          <w:rFonts w:ascii="Spranq eco sans" w:hAnsi="Spranq eco sans"/>
          <w:sz w:val="20"/>
          <w:szCs w:val="20"/>
          <w:lang w:val="es-ES"/>
        </w:rPr>
        <w:t xml:space="preserve">ma en el </w:t>
      </w:r>
      <w:r w:rsidR="007676BF" w:rsidRPr="002D19C6">
        <w:rPr>
          <w:rFonts w:ascii="Spranq eco sans" w:hAnsi="Spranq eco sans"/>
          <w:sz w:val="20"/>
          <w:szCs w:val="20"/>
          <w:lang w:val="es-ES"/>
        </w:rPr>
        <w:t>a</w:t>
      </w:r>
      <w:r w:rsidR="002D7B7E" w:rsidRPr="002D19C6">
        <w:rPr>
          <w:rFonts w:ascii="Spranq eco sans" w:hAnsi="Spranq eco sans"/>
          <w:sz w:val="20"/>
          <w:szCs w:val="20"/>
          <w:lang w:val="es-ES"/>
        </w:rPr>
        <w:t>nexo 03</w:t>
      </w:r>
    </w:p>
    <w:p w:rsidR="00487E31" w:rsidRPr="002D19C6" w:rsidRDefault="00F0581A" w:rsidP="00FF09CC">
      <w:pPr>
        <w:jc w:val="both"/>
        <w:rPr>
          <w:rFonts w:ascii="Spranq eco sans" w:hAnsi="Spranq eco sans" w:cs="Times New Roman"/>
          <w:sz w:val="20"/>
          <w:szCs w:val="20"/>
          <w:lang w:val="es-ES"/>
        </w:rPr>
      </w:pPr>
      <w:r w:rsidRPr="002D19C6">
        <w:rPr>
          <w:rFonts w:ascii="Spranq eco sans" w:hAnsi="Spranq eco sans"/>
          <w:sz w:val="20"/>
          <w:szCs w:val="20"/>
          <w:lang w:val="es-ES"/>
        </w:rPr>
        <w:t>3</w:t>
      </w:r>
      <w:r w:rsidR="00487E31" w:rsidRPr="002D19C6">
        <w:rPr>
          <w:rFonts w:ascii="Spranq eco sans" w:hAnsi="Spranq eco sans"/>
          <w:sz w:val="20"/>
          <w:szCs w:val="20"/>
          <w:lang w:val="es-ES"/>
        </w:rPr>
        <w:t>.- Ordenanza Metropolitana No.138</w:t>
      </w:r>
      <w:r w:rsidR="00487E31" w:rsidRPr="002D19C6">
        <w:rPr>
          <w:rFonts w:ascii="Spranq eco sans" w:hAnsi="Spranq eco sans" w:cs="Times New Roman"/>
          <w:sz w:val="20"/>
          <w:szCs w:val="20"/>
          <w:lang w:val="es-ES"/>
        </w:rPr>
        <w:t>, que establece el manejo ambiental del Distrito Metropolitano de Quito, Publicado en el Registro Oficial: Suplemento año IV, No. 853, el 3 de octubre de 2016.</w:t>
      </w:r>
    </w:p>
    <w:p w:rsidR="007C6730" w:rsidRPr="002D19C6" w:rsidRDefault="007C6730" w:rsidP="00FF09CC">
      <w:pPr>
        <w:jc w:val="both"/>
        <w:rPr>
          <w:rFonts w:ascii="Spranq eco sans" w:hAnsi="Spranq eco sans"/>
          <w:sz w:val="20"/>
          <w:szCs w:val="20"/>
          <w:lang w:val="es-ES"/>
        </w:rPr>
      </w:pPr>
      <w:r w:rsidRPr="002D19C6">
        <w:rPr>
          <w:rFonts w:ascii="Spranq eco sans" w:hAnsi="Spranq eco sans"/>
          <w:sz w:val="20"/>
          <w:szCs w:val="20"/>
          <w:lang w:val="es-ES"/>
        </w:rPr>
        <w:t>Adjunto el proyecto de refor</w:t>
      </w:r>
      <w:r w:rsidR="002D7B7E" w:rsidRPr="002D19C6">
        <w:rPr>
          <w:rFonts w:ascii="Spranq eco sans" w:hAnsi="Spranq eco sans"/>
          <w:sz w:val="20"/>
          <w:szCs w:val="20"/>
          <w:lang w:val="es-ES"/>
        </w:rPr>
        <w:t xml:space="preserve">ma en el </w:t>
      </w:r>
      <w:r w:rsidR="007676BF" w:rsidRPr="002D19C6">
        <w:rPr>
          <w:rFonts w:ascii="Spranq eco sans" w:hAnsi="Spranq eco sans"/>
          <w:sz w:val="20"/>
          <w:szCs w:val="20"/>
          <w:lang w:val="es-ES"/>
        </w:rPr>
        <w:t>a</w:t>
      </w:r>
      <w:r w:rsidR="002D7B7E" w:rsidRPr="002D19C6">
        <w:rPr>
          <w:rFonts w:ascii="Spranq eco sans" w:hAnsi="Spranq eco sans"/>
          <w:sz w:val="20"/>
          <w:szCs w:val="20"/>
          <w:lang w:val="es-ES"/>
        </w:rPr>
        <w:t>nexo 04.</w:t>
      </w:r>
    </w:p>
    <w:p w:rsidR="002D7B7E" w:rsidRPr="002D19C6" w:rsidRDefault="002D7B7E" w:rsidP="00FF09CC">
      <w:pPr>
        <w:jc w:val="both"/>
        <w:rPr>
          <w:rFonts w:ascii="Spranq eco sans" w:hAnsi="Spranq eco sans"/>
          <w:sz w:val="20"/>
          <w:szCs w:val="20"/>
          <w:lang w:val="es-ES"/>
        </w:rPr>
      </w:pPr>
    </w:p>
    <w:p w:rsidR="002D7B7E" w:rsidRPr="002D19C6" w:rsidRDefault="002D7B7E" w:rsidP="00FF09CC">
      <w:pPr>
        <w:jc w:val="both"/>
        <w:rPr>
          <w:rFonts w:ascii="Spranq eco sans" w:hAnsi="Spranq eco sans"/>
          <w:sz w:val="20"/>
          <w:szCs w:val="20"/>
          <w:lang w:val="es-ES"/>
        </w:rPr>
      </w:pPr>
      <w:r w:rsidRPr="002D19C6">
        <w:rPr>
          <w:rFonts w:ascii="Spranq eco sans" w:hAnsi="Spranq eco sans"/>
          <w:sz w:val="20"/>
          <w:szCs w:val="20"/>
          <w:lang w:val="es-ES"/>
        </w:rPr>
        <w:t>Atentamente,</w:t>
      </w:r>
    </w:p>
    <w:p w:rsidR="002D7B7E" w:rsidRPr="002D19C6" w:rsidRDefault="002D7B7E" w:rsidP="00FF09CC">
      <w:pPr>
        <w:jc w:val="both"/>
        <w:rPr>
          <w:rFonts w:ascii="Spranq eco sans" w:hAnsi="Spranq eco sans"/>
          <w:sz w:val="20"/>
          <w:szCs w:val="20"/>
          <w:lang w:val="es-ES"/>
        </w:rPr>
      </w:pPr>
    </w:p>
    <w:p w:rsidR="002D7B7E" w:rsidRPr="002D19C6" w:rsidRDefault="002D7B7E" w:rsidP="00FF09CC">
      <w:pPr>
        <w:jc w:val="both"/>
        <w:rPr>
          <w:rFonts w:ascii="Spranq eco sans" w:hAnsi="Spranq eco sans"/>
          <w:sz w:val="20"/>
          <w:szCs w:val="20"/>
          <w:lang w:val="es-ES"/>
        </w:rPr>
      </w:pPr>
    </w:p>
    <w:p w:rsidR="002D7B7E" w:rsidRPr="002D19C6" w:rsidRDefault="002D7B7E" w:rsidP="00FF09CC">
      <w:pPr>
        <w:spacing w:after="0"/>
        <w:jc w:val="both"/>
        <w:rPr>
          <w:rFonts w:ascii="Spranq eco sans" w:hAnsi="Spranq eco sans"/>
          <w:sz w:val="20"/>
          <w:szCs w:val="20"/>
          <w:lang w:val="es-ES"/>
        </w:rPr>
      </w:pPr>
      <w:r w:rsidRPr="002D19C6">
        <w:rPr>
          <w:rFonts w:ascii="Spranq eco sans" w:hAnsi="Spranq eco sans"/>
          <w:sz w:val="20"/>
          <w:szCs w:val="20"/>
          <w:lang w:val="es-ES"/>
        </w:rPr>
        <w:t>Dra. Verónica Arias C.</w:t>
      </w:r>
    </w:p>
    <w:p w:rsidR="002D7B7E" w:rsidRPr="002D19C6" w:rsidRDefault="002D7B7E" w:rsidP="00FF09CC">
      <w:pPr>
        <w:spacing w:after="0"/>
        <w:jc w:val="both"/>
        <w:rPr>
          <w:rFonts w:ascii="Spranq eco sans" w:hAnsi="Spranq eco sans"/>
          <w:b/>
          <w:sz w:val="20"/>
          <w:szCs w:val="20"/>
          <w:lang w:val="es-ES"/>
        </w:rPr>
      </w:pPr>
      <w:r w:rsidRPr="002D19C6">
        <w:rPr>
          <w:rFonts w:ascii="Spranq eco sans" w:hAnsi="Spranq eco sans"/>
          <w:b/>
          <w:sz w:val="20"/>
          <w:szCs w:val="20"/>
          <w:lang w:val="es-ES"/>
        </w:rPr>
        <w:t>SECRETARIA DE AMBIENTE</w:t>
      </w:r>
    </w:p>
    <w:p w:rsidR="002D7B7E" w:rsidRPr="002D19C6" w:rsidRDefault="002D7B7E" w:rsidP="00FF09CC">
      <w:pPr>
        <w:spacing w:after="0"/>
        <w:jc w:val="both"/>
        <w:rPr>
          <w:rFonts w:ascii="Spranq eco sans" w:hAnsi="Spranq eco sans"/>
          <w:b/>
          <w:sz w:val="20"/>
          <w:szCs w:val="20"/>
          <w:lang w:val="es-ES"/>
        </w:rPr>
      </w:pPr>
      <w:r w:rsidRPr="002D19C6">
        <w:rPr>
          <w:rFonts w:ascii="Spranq eco sans" w:hAnsi="Spranq eco sans"/>
          <w:b/>
          <w:sz w:val="20"/>
          <w:szCs w:val="20"/>
          <w:lang w:val="es-ES"/>
        </w:rPr>
        <w:t>DISTRITO METROPOLITANO DE QUITO</w:t>
      </w:r>
    </w:p>
    <w:p w:rsidR="007C6730" w:rsidRPr="002D19C6" w:rsidRDefault="007C6730" w:rsidP="002D19C6">
      <w:pPr>
        <w:spacing w:line="360" w:lineRule="auto"/>
        <w:jc w:val="both"/>
        <w:rPr>
          <w:rFonts w:ascii="Spranq eco sans" w:hAnsi="Spranq eco sans" w:cs="Times New Roman"/>
          <w:b/>
          <w:sz w:val="20"/>
          <w:szCs w:val="20"/>
          <w:lang w:val="es-ES"/>
        </w:rPr>
      </w:pPr>
    </w:p>
    <w:tbl>
      <w:tblPr>
        <w:tblW w:w="7211" w:type="dxa"/>
        <w:tblInd w:w="55" w:type="dxa"/>
        <w:tblCellMar>
          <w:left w:w="70" w:type="dxa"/>
          <w:right w:w="70" w:type="dxa"/>
        </w:tblCellMar>
        <w:tblLook w:val="04A0" w:firstRow="1" w:lastRow="0" w:firstColumn="1" w:lastColumn="0" w:noHBand="0" w:noVBand="1"/>
      </w:tblPr>
      <w:tblGrid>
        <w:gridCol w:w="1443"/>
        <w:gridCol w:w="2041"/>
        <w:gridCol w:w="1145"/>
        <w:gridCol w:w="1291"/>
        <w:gridCol w:w="1291"/>
      </w:tblGrid>
      <w:tr w:rsidR="002D19C6" w:rsidRPr="002D19C6" w:rsidTr="002D19C6">
        <w:trPr>
          <w:trHeight w:val="304"/>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Elaboración:</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Richard Baquezea</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Legal</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 10-01-2019</w:t>
            </w:r>
          </w:p>
        </w:tc>
        <w:tc>
          <w:tcPr>
            <w:tcW w:w="1291" w:type="dxa"/>
            <w:tcBorders>
              <w:top w:val="single" w:sz="4" w:space="0" w:color="auto"/>
              <w:left w:val="nil"/>
              <w:bottom w:val="single" w:sz="4" w:space="0" w:color="auto"/>
              <w:right w:val="single" w:sz="4" w:space="0" w:color="auto"/>
            </w:tcBorders>
          </w:tcPr>
          <w:p w:rsidR="002D19C6" w:rsidRPr="002D19C6" w:rsidRDefault="002D19C6" w:rsidP="00A906AD">
            <w:pPr>
              <w:pStyle w:val="Sinespaciado"/>
              <w:rPr>
                <w:rFonts w:ascii="Spranq eco sans" w:hAnsi="Spranq eco sans"/>
                <w:sz w:val="16"/>
                <w:szCs w:val="16"/>
                <w:lang w:val="es-ES" w:eastAsia="es-ES"/>
              </w:rPr>
            </w:pPr>
          </w:p>
        </w:tc>
      </w:tr>
      <w:tr w:rsidR="002D19C6" w:rsidRPr="002D19C6" w:rsidTr="002D19C6">
        <w:trPr>
          <w:trHeight w:val="304"/>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Revisado</w:t>
            </w:r>
          </w:p>
        </w:tc>
        <w:tc>
          <w:tcPr>
            <w:tcW w:w="2041" w:type="dxa"/>
            <w:tcBorders>
              <w:top w:val="single" w:sz="4" w:space="0" w:color="auto"/>
              <w:left w:val="nil"/>
              <w:bottom w:val="single" w:sz="4" w:space="0" w:color="auto"/>
              <w:right w:val="single" w:sz="4" w:space="0" w:color="auto"/>
            </w:tcBorders>
            <w:shd w:val="clear" w:color="auto" w:fill="auto"/>
            <w:vAlign w:val="center"/>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Sebastián Sandoval</w:t>
            </w:r>
          </w:p>
        </w:tc>
        <w:tc>
          <w:tcPr>
            <w:tcW w:w="1145" w:type="dxa"/>
            <w:tcBorders>
              <w:top w:val="single" w:sz="4" w:space="0" w:color="auto"/>
              <w:left w:val="nil"/>
              <w:bottom w:val="single" w:sz="4" w:space="0" w:color="auto"/>
              <w:right w:val="single" w:sz="4" w:space="0" w:color="auto"/>
            </w:tcBorders>
            <w:shd w:val="clear" w:color="auto" w:fill="auto"/>
            <w:vAlign w:val="center"/>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S. A.</w:t>
            </w:r>
          </w:p>
        </w:tc>
        <w:tc>
          <w:tcPr>
            <w:tcW w:w="1291" w:type="dxa"/>
            <w:tcBorders>
              <w:top w:val="single" w:sz="4" w:space="0" w:color="auto"/>
              <w:left w:val="nil"/>
              <w:bottom w:val="single" w:sz="4" w:space="0" w:color="auto"/>
              <w:right w:val="single" w:sz="4" w:space="0" w:color="auto"/>
            </w:tcBorders>
            <w:shd w:val="clear" w:color="auto" w:fill="auto"/>
            <w:vAlign w:val="center"/>
          </w:tcPr>
          <w:p w:rsidR="002D19C6" w:rsidRPr="002D19C6" w:rsidRDefault="002D19C6" w:rsidP="00A906AD">
            <w:pPr>
              <w:pStyle w:val="Sinespaciado"/>
              <w:rPr>
                <w:rFonts w:ascii="Spranq eco sans" w:hAnsi="Spranq eco sans"/>
                <w:sz w:val="16"/>
                <w:szCs w:val="16"/>
                <w:lang w:val="es-ES" w:eastAsia="es-ES"/>
              </w:rPr>
            </w:pPr>
            <w:r w:rsidRPr="002D19C6">
              <w:rPr>
                <w:rFonts w:ascii="Spranq eco sans" w:hAnsi="Spranq eco sans"/>
                <w:sz w:val="16"/>
                <w:szCs w:val="16"/>
                <w:lang w:val="es-ES" w:eastAsia="es-ES"/>
              </w:rPr>
              <w:t>10-01-2019</w:t>
            </w:r>
          </w:p>
        </w:tc>
        <w:tc>
          <w:tcPr>
            <w:tcW w:w="1291" w:type="dxa"/>
            <w:tcBorders>
              <w:top w:val="single" w:sz="4" w:space="0" w:color="auto"/>
              <w:left w:val="nil"/>
              <w:bottom w:val="single" w:sz="4" w:space="0" w:color="auto"/>
              <w:right w:val="single" w:sz="4" w:space="0" w:color="auto"/>
            </w:tcBorders>
          </w:tcPr>
          <w:p w:rsidR="002D19C6" w:rsidRPr="002D19C6" w:rsidRDefault="002D19C6" w:rsidP="00A906AD">
            <w:pPr>
              <w:pStyle w:val="Sinespaciado"/>
              <w:rPr>
                <w:rFonts w:ascii="Spranq eco sans" w:hAnsi="Spranq eco sans"/>
                <w:sz w:val="16"/>
                <w:szCs w:val="16"/>
                <w:lang w:val="es-ES" w:eastAsia="es-ES"/>
              </w:rPr>
            </w:pPr>
          </w:p>
        </w:tc>
      </w:tr>
    </w:tbl>
    <w:p w:rsidR="002D7B7E" w:rsidRPr="002D19C6" w:rsidRDefault="002D7B7E" w:rsidP="00487E31">
      <w:pPr>
        <w:jc w:val="both"/>
        <w:rPr>
          <w:rFonts w:ascii="Spranq eco sans" w:hAnsi="Spranq eco sans" w:cs="Times New Roman"/>
          <w:b/>
          <w:sz w:val="20"/>
          <w:szCs w:val="20"/>
          <w:lang w:val="es-ES"/>
        </w:rPr>
      </w:pPr>
    </w:p>
    <w:p w:rsidR="00217251" w:rsidRPr="002D19C6" w:rsidRDefault="00217251" w:rsidP="00487E31">
      <w:pPr>
        <w:jc w:val="both"/>
        <w:rPr>
          <w:rFonts w:ascii="Spranq eco sans" w:hAnsi="Spranq eco sans" w:cs="Times New Roman"/>
          <w:b/>
          <w:sz w:val="20"/>
          <w:szCs w:val="20"/>
          <w:lang w:val="es-ES"/>
        </w:rPr>
      </w:pPr>
    </w:p>
    <w:p w:rsidR="00487E31" w:rsidRPr="002D19C6" w:rsidRDefault="00487E31" w:rsidP="008F61C5">
      <w:pPr>
        <w:jc w:val="both"/>
        <w:rPr>
          <w:rFonts w:ascii="Spranq eco sans" w:hAnsi="Spranq eco sans"/>
          <w:sz w:val="20"/>
          <w:szCs w:val="20"/>
          <w:lang w:val="es-ES"/>
        </w:rPr>
      </w:pPr>
    </w:p>
    <w:p w:rsidR="007C6730" w:rsidRPr="002D19C6" w:rsidRDefault="007C6730" w:rsidP="008F61C5">
      <w:pPr>
        <w:jc w:val="both"/>
        <w:rPr>
          <w:rFonts w:ascii="Spranq eco sans" w:hAnsi="Spranq eco sans"/>
          <w:sz w:val="20"/>
          <w:szCs w:val="20"/>
          <w:lang w:val="es-ES"/>
        </w:rPr>
      </w:pPr>
    </w:p>
    <w:p w:rsidR="007C6730" w:rsidRPr="002D19C6" w:rsidRDefault="007C6730" w:rsidP="008F61C5">
      <w:pPr>
        <w:jc w:val="both"/>
        <w:rPr>
          <w:rFonts w:ascii="Spranq eco sans" w:hAnsi="Spranq eco sans"/>
          <w:sz w:val="20"/>
          <w:szCs w:val="20"/>
          <w:lang w:val="es-ES"/>
        </w:rPr>
      </w:pPr>
    </w:p>
    <w:p w:rsidR="007C6730" w:rsidRPr="002D19C6" w:rsidRDefault="007C6730" w:rsidP="008F61C5">
      <w:pPr>
        <w:jc w:val="both"/>
        <w:rPr>
          <w:rFonts w:ascii="Spranq eco sans" w:hAnsi="Spranq eco sans"/>
          <w:sz w:val="20"/>
          <w:szCs w:val="20"/>
          <w:lang w:val="es-ES"/>
        </w:rPr>
      </w:pPr>
    </w:p>
    <w:p w:rsidR="002D7B7E" w:rsidRPr="002D19C6" w:rsidRDefault="002D7B7E" w:rsidP="008F61C5">
      <w:pPr>
        <w:jc w:val="both"/>
        <w:rPr>
          <w:rFonts w:ascii="Spranq eco sans" w:hAnsi="Spranq eco sans"/>
          <w:sz w:val="20"/>
          <w:szCs w:val="20"/>
          <w:lang w:val="es-ES"/>
        </w:rPr>
      </w:pPr>
    </w:p>
    <w:p w:rsidR="002D7B7E" w:rsidRPr="002D19C6" w:rsidRDefault="002D7B7E" w:rsidP="008F61C5">
      <w:pPr>
        <w:jc w:val="both"/>
        <w:rPr>
          <w:rFonts w:ascii="Spranq eco sans" w:hAnsi="Spranq eco sans"/>
          <w:sz w:val="20"/>
          <w:szCs w:val="20"/>
          <w:lang w:val="es-ES"/>
        </w:rPr>
      </w:pPr>
    </w:p>
    <w:p w:rsidR="002D7B7E" w:rsidRDefault="002D7B7E" w:rsidP="008F61C5">
      <w:pPr>
        <w:jc w:val="both"/>
        <w:rPr>
          <w:rFonts w:ascii="Spranq eco sans" w:hAnsi="Spranq eco sans"/>
          <w:sz w:val="20"/>
          <w:szCs w:val="20"/>
          <w:lang w:val="es-ES"/>
        </w:rPr>
      </w:pPr>
    </w:p>
    <w:p w:rsidR="00FF09CC" w:rsidRDefault="00FF09CC" w:rsidP="008F61C5">
      <w:pPr>
        <w:jc w:val="both"/>
        <w:rPr>
          <w:rFonts w:ascii="Spranq eco sans" w:hAnsi="Spranq eco sans"/>
          <w:sz w:val="20"/>
          <w:szCs w:val="20"/>
          <w:lang w:val="es-ES"/>
        </w:rPr>
      </w:pPr>
    </w:p>
    <w:p w:rsidR="00FF09CC" w:rsidRPr="002D19C6" w:rsidRDefault="00FF09CC" w:rsidP="008F61C5">
      <w:pPr>
        <w:jc w:val="both"/>
        <w:rPr>
          <w:rFonts w:ascii="Spranq eco sans" w:hAnsi="Spranq eco sans"/>
          <w:sz w:val="20"/>
          <w:szCs w:val="20"/>
          <w:lang w:val="es-ES"/>
        </w:rPr>
      </w:pPr>
    </w:p>
    <w:p w:rsidR="002D7B7E" w:rsidRPr="002D19C6" w:rsidRDefault="002D7B7E" w:rsidP="008F61C5">
      <w:pPr>
        <w:jc w:val="both"/>
        <w:rPr>
          <w:rFonts w:ascii="Spranq eco sans" w:hAnsi="Spranq eco sans"/>
          <w:sz w:val="20"/>
          <w:szCs w:val="20"/>
          <w:lang w:val="es-ES"/>
        </w:rPr>
      </w:pPr>
    </w:p>
    <w:p w:rsidR="002D7B7E" w:rsidRPr="002D19C6" w:rsidRDefault="002D7B7E" w:rsidP="008F61C5">
      <w:pPr>
        <w:jc w:val="both"/>
        <w:rPr>
          <w:rFonts w:ascii="Spranq eco sans" w:hAnsi="Spranq eco sans"/>
          <w:sz w:val="20"/>
          <w:szCs w:val="20"/>
          <w:lang w:val="es-ES"/>
        </w:rPr>
      </w:pPr>
    </w:p>
    <w:p w:rsidR="002D7B7E" w:rsidRDefault="002D7B7E" w:rsidP="008F61C5">
      <w:pPr>
        <w:jc w:val="both"/>
        <w:rPr>
          <w:rFonts w:ascii="Spranq eco sans" w:hAnsi="Spranq eco sans"/>
          <w:sz w:val="20"/>
          <w:szCs w:val="20"/>
          <w:lang w:val="es-ES"/>
        </w:rPr>
      </w:pPr>
    </w:p>
    <w:p w:rsidR="00D54CA7" w:rsidRDefault="00D54CA7" w:rsidP="008F61C5">
      <w:pPr>
        <w:jc w:val="both"/>
        <w:rPr>
          <w:rFonts w:ascii="Spranq eco sans" w:hAnsi="Spranq eco sans"/>
          <w:sz w:val="20"/>
          <w:szCs w:val="20"/>
          <w:lang w:val="es-ES"/>
        </w:rPr>
      </w:pPr>
    </w:p>
    <w:p w:rsidR="00D54CA7" w:rsidRPr="002D19C6" w:rsidRDefault="00D54CA7" w:rsidP="008F61C5">
      <w:pPr>
        <w:jc w:val="both"/>
        <w:rPr>
          <w:rFonts w:ascii="Spranq eco sans" w:hAnsi="Spranq eco sans"/>
          <w:sz w:val="20"/>
          <w:szCs w:val="20"/>
          <w:lang w:val="es-ES"/>
        </w:rPr>
      </w:pPr>
    </w:p>
    <w:p w:rsidR="002D7B7E" w:rsidRPr="002D19C6" w:rsidRDefault="002D7B7E" w:rsidP="008F61C5">
      <w:pPr>
        <w:jc w:val="both"/>
        <w:rPr>
          <w:rFonts w:ascii="Spranq eco sans" w:hAnsi="Spranq eco sans"/>
          <w:sz w:val="20"/>
          <w:szCs w:val="20"/>
          <w:lang w:val="es-ES"/>
        </w:rPr>
      </w:pPr>
    </w:p>
    <w:p w:rsidR="00D54CA7" w:rsidRDefault="00D54CA7" w:rsidP="008F61C5">
      <w:pPr>
        <w:jc w:val="both"/>
        <w:rPr>
          <w:rFonts w:ascii="Spranq eco sans" w:hAnsi="Spranq eco sans"/>
          <w:sz w:val="20"/>
          <w:szCs w:val="20"/>
          <w:lang w:val="es-ES"/>
        </w:rPr>
      </w:pPr>
    </w:p>
    <w:p w:rsidR="00D54CA7" w:rsidRDefault="00D54CA7" w:rsidP="008F61C5">
      <w:pPr>
        <w:jc w:val="both"/>
        <w:rPr>
          <w:rFonts w:ascii="Spranq eco sans" w:hAnsi="Spranq eco sans"/>
          <w:sz w:val="20"/>
          <w:szCs w:val="20"/>
          <w:lang w:val="es-ES"/>
        </w:rPr>
      </w:pPr>
    </w:p>
    <w:p w:rsidR="007C6730" w:rsidRPr="002D19C6" w:rsidRDefault="0088195B" w:rsidP="008F61C5">
      <w:pPr>
        <w:jc w:val="both"/>
        <w:rPr>
          <w:rFonts w:ascii="Spranq eco sans" w:hAnsi="Spranq eco sans"/>
          <w:sz w:val="20"/>
          <w:szCs w:val="20"/>
          <w:lang w:val="es-ES"/>
        </w:rPr>
      </w:pPr>
      <w:r w:rsidRPr="002D19C6">
        <w:rPr>
          <w:rFonts w:ascii="Spranq eco sans" w:hAnsi="Spranq eco sans"/>
          <w:sz w:val="20"/>
          <w:szCs w:val="20"/>
          <w:lang w:val="es-ES"/>
        </w:rPr>
        <w:t>Anexo 3</w:t>
      </w:r>
    </w:p>
    <w:p w:rsidR="00D54CA7" w:rsidRDefault="00D54CA7" w:rsidP="00E84E97">
      <w:pPr>
        <w:jc w:val="both"/>
        <w:rPr>
          <w:rFonts w:ascii="Spranq eco sans" w:hAnsi="Spranq eco sans"/>
          <w:b/>
          <w:sz w:val="20"/>
          <w:szCs w:val="20"/>
          <w:lang w:val="es-ES"/>
        </w:rPr>
      </w:pPr>
    </w:p>
    <w:p w:rsidR="00E84E97" w:rsidRPr="002D19C6" w:rsidRDefault="00E84E97" w:rsidP="00E84E97">
      <w:pPr>
        <w:jc w:val="both"/>
        <w:rPr>
          <w:rFonts w:ascii="Spranq eco sans" w:hAnsi="Spranq eco sans"/>
          <w:b/>
          <w:sz w:val="20"/>
          <w:szCs w:val="20"/>
          <w:lang w:val="es-ES"/>
        </w:rPr>
      </w:pPr>
      <w:r w:rsidRPr="002D19C6">
        <w:rPr>
          <w:rFonts w:ascii="Spranq eco sans" w:hAnsi="Spranq eco sans"/>
          <w:b/>
          <w:sz w:val="20"/>
          <w:szCs w:val="20"/>
          <w:lang w:val="es-ES"/>
        </w:rPr>
        <w:t>Ordenanza Metropolitana No. 189</w:t>
      </w:r>
    </w:p>
    <w:p w:rsidR="00E743F7" w:rsidRPr="002D19C6" w:rsidRDefault="00E743F7" w:rsidP="008F61C5">
      <w:pPr>
        <w:jc w:val="both"/>
        <w:rPr>
          <w:rFonts w:ascii="Spranq eco sans" w:hAnsi="Spranq eco sans"/>
          <w:b/>
          <w:sz w:val="20"/>
          <w:szCs w:val="20"/>
          <w:lang w:val="es-ES"/>
        </w:rPr>
      </w:pPr>
      <w:r w:rsidRPr="002D19C6">
        <w:rPr>
          <w:rFonts w:ascii="Spranq eco sans" w:hAnsi="Spranq eco sans"/>
          <w:b/>
          <w:sz w:val="20"/>
          <w:szCs w:val="20"/>
          <w:lang w:val="es-ES"/>
        </w:rPr>
        <w:t>JUSTIFICACIÓN:</w:t>
      </w:r>
    </w:p>
    <w:p w:rsidR="005B615A" w:rsidRPr="002D19C6" w:rsidRDefault="004E5F9C" w:rsidP="008F61C5">
      <w:pPr>
        <w:jc w:val="both"/>
        <w:rPr>
          <w:rFonts w:ascii="Spranq eco sans" w:hAnsi="Spranq eco sans"/>
          <w:sz w:val="20"/>
          <w:szCs w:val="20"/>
        </w:rPr>
      </w:pPr>
      <w:r w:rsidRPr="002D19C6">
        <w:rPr>
          <w:rFonts w:ascii="Spranq eco sans" w:hAnsi="Spranq eco sans"/>
          <w:sz w:val="20"/>
          <w:szCs w:val="20"/>
        </w:rPr>
        <w:t xml:space="preserve">En el artículo 2 de la </w:t>
      </w:r>
      <w:r w:rsidR="00E743F7" w:rsidRPr="002D19C6">
        <w:rPr>
          <w:rFonts w:ascii="Spranq eco sans" w:hAnsi="Spranq eco sans"/>
          <w:sz w:val="20"/>
          <w:szCs w:val="20"/>
        </w:rPr>
        <w:t xml:space="preserve">Resolución No. A 0006 de abril 22 de 2013, </w:t>
      </w:r>
      <w:r w:rsidRPr="002D19C6">
        <w:rPr>
          <w:rFonts w:ascii="Spranq eco sans" w:hAnsi="Spranq eco sans"/>
          <w:sz w:val="20"/>
          <w:szCs w:val="20"/>
        </w:rPr>
        <w:t xml:space="preserve">mediante la cual </w:t>
      </w:r>
      <w:r w:rsidR="00B868B7" w:rsidRPr="002D19C6">
        <w:rPr>
          <w:rFonts w:ascii="Spranq eco sans" w:hAnsi="Spranq eco sans"/>
          <w:sz w:val="20"/>
          <w:szCs w:val="20"/>
        </w:rPr>
        <w:t xml:space="preserve">se crea la Agencia Metropolitana de Transito, </w:t>
      </w:r>
      <w:r w:rsidRPr="002D19C6">
        <w:rPr>
          <w:rFonts w:ascii="Spranq eco sans" w:hAnsi="Spranq eco sans"/>
          <w:sz w:val="20"/>
          <w:szCs w:val="20"/>
        </w:rPr>
        <w:t>establece “(…)…Tendrá a su cargo la potestad de controlar el transporte terrestre particular, comercial y por cuenta propia, el tránsito y la seguridad vial, asignadas al Municipio del Distrito Metropolitano de Quito…(…)”</w:t>
      </w:r>
      <w:r w:rsidR="00B868B7" w:rsidRPr="002D19C6">
        <w:rPr>
          <w:rFonts w:ascii="Spranq eco sans" w:hAnsi="Spranq eco sans"/>
          <w:sz w:val="20"/>
          <w:szCs w:val="20"/>
        </w:rPr>
        <w:t>.</w:t>
      </w:r>
    </w:p>
    <w:p w:rsidR="00E743F7" w:rsidRPr="002D19C6" w:rsidRDefault="00CF590E" w:rsidP="008F61C5">
      <w:pPr>
        <w:jc w:val="both"/>
        <w:rPr>
          <w:rFonts w:ascii="Spranq eco sans" w:hAnsi="Spranq eco sans"/>
          <w:sz w:val="20"/>
          <w:szCs w:val="20"/>
          <w:lang w:val="es-ES"/>
        </w:rPr>
      </w:pPr>
      <w:r w:rsidRPr="002D19C6">
        <w:rPr>
          <w:rFonts w:ascii="Spranq eco sans" w:hAnsi="Spranq eco sans"/>
          <w:sz w:val="20"/>
          <w:szCs w:val="20"/>
        </w:rPr>
        <w:t>Toda vez que la Agencia Metropolitana de Quito tiene la competencia de controlar y sancionar lo concerniente</w:t>
      </w:r>
      <w:r w:rsidR="00D9296E" w:rsidRPr="002D19C6">
        <w:rPr>
          <w:rFonts w:ascii="Spranq eco sans" w:hAnsi="Spranq eco sans"/>
          <w:sz w:val="20"/>
          <w:szCs w:val="20"/>
        </w:rPr>
        <w:t xml:space="preserve"> al transporte terrestre, </w:t>
      </w:r>
      <w:r w:rsidR="00622BD5" w:rsidRPr="002D19C6">
        <w:rPr>
          <w:rFonts w:ascii="Spranq eco sans" w:hAnsi="Spranq eco sans"/>
          <w:sz w:val="20"/>
          <w:szCs w:val="20"/>
          <w:lang w:val="es-ES"/>
        </w:rPr>
        <w:t xml:space="preserve">solicito se </w:t>
      </w:r>
      <w:r w:rsidR="00622BD5" w:rsidRPr="002D19C6">
        <w:rPr>
          <w:rFonts w:ascii="Spranq eco sans" w:hAnsi="Spranq eco sans"/>
          <w:b/>
          <w:i/>
          <w:sz w:val="20"/>
          <w:szCs w:val="20"/>
          <w:u w:val="single"/>
          <w:lang w:val="es-ES"/>
        </w:rPr>
        <w:t>reforme</w:t>
      </w:r>
      <w:r w:rsidR="00622BD5" w:rsidRPr="002D19C6">
        <w:rPr>
          <w:rFonts w:ascii="Spranq eco sans" w:hAnsi="Spranq eco sans"/>
          <w:sz w:val="20"/>
          <w:szCs w:val="20"/>
          <w:lang w:val="es-ES"/>
        </w:rPr>
        <w:t xml:space="preserve"> el artículo 1 de la </w:t>
      </w:r>
      <w:r w:rsidR="007C251A" w:rsidRPr="002D19C6">
        <w:rPr>
          <w:rFonts w:ascii="Spranq eco sans" w:hAnsi="Spranq eco sans"/>
          <w:sz w:val="20"/>
          <w:szCs w:val="20"/>
          <w:lang w:val="es-ES"/>
        </w:rPr>
        <w:t>Ordenanza Metropolitana No. 189, por el siguiente:</w:t>
      </w:r>
    </w:p>
    <w:p w:rsidR="00217251" w:rsidRPr="002D19C6" w:rsidRDefault="00E84E97" w:rsidP="008F61C5">
      <w:pPr>
        <w:jc w:val="both"/>
        <w:rPr>
          <w:rFonts w:ascii="Spranq eco sans" w:hAnsi="Spranq eco sans"/>
          <w:b/>
          <w:sz w:val="20"/>
          <w:szCs w:val="20"/>
          <w:lang w:val="es-ES"/>
        </w:rPr>
      </w:pPr>
      <w:r w:rsidRPr="002D19C6">
        <w:rPr>
          <w:rFonts w:ascii="Spranq eco sans" w:hAnsi="Spranq eco sans"/>
          <w:b/>
          <w:sz w:val="20"/>
          <w:szCs w:val="20"/>
          <w:lang w:val="es-ES"/>
        </w:rPr>
        <w:t>Proyecto de Reforma</w:t>
      </w:r>
    </w:p>
    <w:p w:rsidR="007C251A" w:rsidRPr="002D19C6" w:rsidRDefault="007C251A" w:rsidP="007C251A">
      <w:pPr>
        <w:jc w:val="both"/>
        <w:rPr>
          <w:rFonts w:ascii="Spranq eco sans" w:hAnsi="Spranq eco sans"/>
          <w:sz w:val="20"/>
          <w:szCs w:val="20"/>
          <w:lang w:val="es-ES"/>
        </w:rPr>
      </w:pPr>
      <w:r w:rsidRPr="002D19C6">
        <w:rPr>
          <w:rFonts w:ascii="Spranq eco sans" w:hAnsi="Spranq eco sans"/>
          <w:sz w:val="20"/>
          <w:szCs w:val="20"/>
          <w:lang w:val="es-ES"/>
        </w:rPr>
        <w:t>En su artículo 1.- estable: Reemplácese el Artículo 1 de la Ordenanza Metropolitana No. 159 Reformatoria del Título del Libro Segundo del Código Municipal de Quito por el siguiente:</w:t>
      </w:r>
    </w:p>
    <w:p w:rsidR="007C251A" w:rsidRPr="002D19C6" w:rsidRDefault="007C251A" w:rsidP="007C251A">
      <w:pPr>
        <w:jc w:val="both"/>
        <w:rPr>
          <w:rFonts w:ascii="Spranq eco sans" w:hAnsi="Spranq eco sans"/>
          <w:sz w:val="20"/>
          <w:szCs w:val="20"/>
          <w:lang w:val="es-ES"/>
        </w:rPr>
      </w:pPr>
      <w:r w:rsidRPr="002D19C6">
        <w:rPr>
          <w:rFonts w:ascii="Spranq eco sans" w:hAnsi="Spranq eco sans"/>
          <w:sz w:val="20"/>
          <w:szCs w:val="20"/>
          <w:lang w:val="es-ES"/>
        </w:rPr>
        <w:tab/>
        <w:t>“Art.II.373.4.- Las actividades y procedimientos establecidos  en el presente  Capitulo serán ejercidos por el Municipio del Distrito Metropolitano de Quito, a través del órgano competente. No obstante, todas las atribuciones y responsabilidades establecidas en la Sección VIII del Capítulo III de la Ordenanza Metropolitana No. 213, relativas a “controles aleatorios”, serán, ejercidas por la autoridad competentes”.</w:t>
      </w:r>
    </w:p>
    <w:p w:rsidR="007C251A" w:rsidRPr="002D19C6" w:rsidRDefault="007C251A" w:rsidP="008F61C5">
      <w:pPr>
        <w:jc w:val="both"/>
        <w:rPr>
          <w:rFonts w:ascii="Spranq eco sans" w:hAnsi="Spranq eco sans"/>
          <w:sz w:val="20"/>
          <w:szCs w:val="20"/>
          <w:lang w:val="es-ES"/>
        </w:rPr>
      </w:pPr>
    </w:p>
    <w:p w:rsidR="00F0581A" w:rsidRPr="002D19C6" w:rsidRDefault="00F0581A" w:rsidP="008F61C5">
      <w:pPr>
        <w:jc w:val="both"/>
        <w:rPr>
          <w:rFonts w:ascii="Spranq eco sans" w:hAnsi="Spranq eco sans"/>
          <w:sz w:val="20"/>
          <w:szCs w:val="20"/>
          <w:lang w:val="es-ES"/>
        </w:rPr>
      </w:pPr>
    </w:p>
    <w:p w:rsidR="00F0581A" w:rsidRPr="002D19C6" w:rsidRDefault="00F0581A" w:rsidP="008F61C5">
      <w:pPr>
        <w:jc w:val="both"/>
        <w:rPr>
          <w:rFonts w:ascii="Spranq eco sans" w:hAnsi="Spranq eco sans"/>
          <w:sz w:val="20"/>
          <w:szCs w:val="20"/>
          <w:lang w:val="es-ES"/>
        </w:rPr>
      </w:pPr>
    </w:p>
    <w:p w:rsidR="00FF09CC" w:rsidRDefault="00FF09CC" w:rsidP="008F61C5">
      <w:pPr>
        <w:jc w:val="both"/>
        <w:rPr>
          <w:rFonts w:ascii="Spranq eco sans" w:hAnsi="Spranq eco sans"/>
          <w:sz w:val="20"/>
          <w:szCs w:val="20"/>
          <w:lang w:val="es-ES"/>
        </w:rPr>
        <w:sectPr w:rsidR="00FF09CC">
          <w:pgSz w:w="11906" w:h="16838"/>
          <w:pgMar w:top="1417" w:right="1701" w:bottom="1417" w:left="1701" w:header="708" w:footer="708" w:gutter="0"/>
          <w:cols w:space="708"/>
          <w:docGrid w:linePitch="360"/>
        </w:sectPr>
      </w:pPr>
    </w:p>
    <w:p w:rsidR="00F0581A" w:rsidRPr="002D19C6" w:rsidRDefault="00F0581A" w:rsidP="008F61C5">
      <w:pPr>
        <w:jc w:val="both"/>
        <w:rPr>
          <w:rFonts w:ascii="Spranq eco sans" w:hAnsi="Spranq eco sans"/>
          <w:sz w:val="20"/>
          <w:szCs w:val="20"/>
          <w:lang w:val="es-ES"/>
        </w:rPr>
      </w:pPr>
    </w:p>
    <w:p w:rsidR="00F0581A" w:rsidRPr="002D19C6" w:rsidRDefault="008A31FB" w:rsidP="008F61C5">
      <w:pPr>
        <w:jc w:val="both"/>
        <w:rPr>
          <w:rFonts w:ascii="Spranq eco sans" w:hAnsi="Spranq eco sans"/>
          <w:sz w:val="20"/>
          <w:szCs w:val="20"/>
          <w:lang w:val="es-ES"/>
        </w:rPr>
      </w:pPr>
      <w:r w:rsidRPr="002D19C6">
        <w:rPr>
          <w:rFonts w:ascii="Spranq eco sans" w:hAnsi="Spranq eco sans"/>
          <w:sz w:val="20"/>
          <w:szCs w:val="20"/>
          <w:lang w:val="es-ES"/>
        </w:rPr>
        <w:t>Anexo 4</w:t>
      </w:r>
    </w:p>
    <w:p w:rsidR="00D54CA7" w:rsidRDefault="00D54CA7" w:rsidP="008F61C5">
      <w:pPr>
        <w:jc w:val="both"/>
        <w:rPr>
          <w:rFonts w:ascii="Spranq eco sans" w:hAnsi="Spranq eco sans"/>
          <w:sz w:val="20"/>
          <w:szCs w:val="20"/>
          <w:lang w:val="es-ES"/>
        </w:rPr>
      </w:pPr>
    </w:p>
    <w:p w:rsidR="00FC544B" w:rsidRPr="002D19C6" w:rsidRDefault="00FC544B" w:rsidP="008F61C5">
      <w:pPr>
        <w:jc w:val="both"/>
        <w:rPr>
          <w:rFonts w:ascii="Spranq eco sans" w:hAnsi="Spranq eco sans"/>
          <w:sz w:val="20"/>
          <w:szCs w:val="20"/>
          <w:lang w:val="es-ES"/>
        </w:rPr>
      </w:pPr>
      <w:r w:rsidRPr="002D19C6">
        <w:rPr>
          <w:rFonts w:ascii="Spranq eco sans" w:hAnsi="Spranq eco sans"/>
          <w:sz w:val="20"/>
          <w:szCs w:val="20"/>
          <w:lang w:val="es-ES"/>
        </w:rPr>
        <w:t xml:space="preserve">3.- </w:t>
      </w:r>
      <w:r w:rsidR="00D31BC8" w:rsidRPr="002D19C6">
        <w:rPr>
          <w:rFonts w:ascii="Spranq eco sans" w:hAnsi="Spranq eco sans"/>
          <w:sz w:val="20"/>
          <w:szCs w:val="20"/>
          <w:lang w:val="es-ES"/>
        </w:rPr>
        <w:t xml:space="preserve">Ordenanza Metropolitana No.  </w:t>
      </w:r>
      <w:r w:rsidR="006559F0" w:rsidRPr="002D19C6">
        <w:rPr>
          <w:rFonts w:ascii="Spranq eco sans" w:hAnsi="Spranq eco sans"/>
          <w:sz w:val="20"/>
          <w:szCs w:val="20"/>
          <w:lang w:val="es-ES"/>
        </w:rPr>
        <w:t>138</w:t>
      </w:r>
    </w:p>
    <w:p w:rsidR="00D8203D" w:rsidRPr="002D19C6" w:rsidRDefault="00D8203D" w:rsidP="00D8203D">
      <w:pPr>
        <w:autoSpaceDE w:val="0"/>
        <w:autoSpaceDN w:val="0"/>
        <w:adjustRightInd w:val="0"/>
        <w:spacing w:after="0" w:line="240" w:lineRule="auto"/>
        <w:jc w:val="center"/>
        <w:rPr>
          <w:rFonts w:ascii="Spranq eco sans" w:hAnsi="Spranq eco sans" w:cs="Times New Roman"/>
          <w:b/>
          <w:bCs/>
          <w:sz w:val="20"/>
          <w:szCs w:val="20"/>
        </w:rPr>
      </w:pPr>
    </w:p>
    <w:p w:rsidR="00D8203D" w:rsidRPr="002D19C6" w:rsidRDefault="00D8203D" w:rsidP="00D8203D">
      <w:pPr>
        <w:autoSpaceDE w:val="0"/>
        <w:autoSpaceDN w:val="0"/>
        <w:adjustRightInd w:val="0"/>
        <w:spacing w:after="0" w:line="240" w:lineRule="auto"/>
        <w:ind w:left="2832" w:firstLine="708"/>
        <w:rPr>
          <w:rFonts w:ascii="Spranq eco sans" w:hAnsi="Spranq eco sans" w:cs="Times New Roman"/>
          <w:b/>
          <w:bCs/>
          <w:sz w:val="20"/>
          <w:szCs w:val="20"/>
        </w:rPr>
      </w:pPr>
      <w:r w:rsidRPr="002D19C6">
        <w:rPr>
          <w:rFonts w:ascii="Spranq eco sans" w:hAnsi="Spranq eco sans" w:cs="Times New Roman"/>
          <w:b/>
          <w:bCs/>
          <w:sz w:val="20"/>
          <w:szCs w:val="20"/>
        </w:rPr>
        <w:t>CAPÍTULO X</w:t>
      </w:r>
    </w:p>
    <w:p w:rsidR="00D8203D" w:rsidRPr="002D19C6" w:rsidRDefault="00D8203D" w:rsidP="00D8203D">
      <w:pPr>
        <w:autoSpaceDE w:val="0"/>
        <w:autoSpaceDN w:val="0"/>
        <w:adjustRightInd w:val="0"/>
        <w:spacing w:after="0" w:line="240" w:lineRule="auto"/>
        <w:jc w:val="center"/>
        <w:rPr>
          <w:rFonts w:ascii="Spranq eco sans" w:hAnsi="Spranq eco sans" w:cs="Times New Roman"/>
          <w:b/>
          <w:bCs/>
          <w:sz w:val="20"/>
          <w:szCs w:val="20"/>
        </w:rPr>
      </w:pPr>
      <w:r w:rsidRPr="002D19C6">
        <w:rPr>
          <w:rFonts w:ascii="Spranq eco sans" w:hAnsi="Spranq eco sans" w:cs="Times New Roman"/>
          <w:b/>
          <w:bCs/>
          <w:sz w:val="20"/>
          <w:szCs w:val="20"/>
        </w:rPr>
        <w:t>DE LAS TASAS RETRIBUTIVAS POR SERVICIOS TÉCNICOS Y</w:t>
      </w:r>
    </w:p>
    <w:p w:rsidR="00D8203D" w:rsidRPr="002D19C6" w:rsidRDefault="00D8203D" w:rsidP="00D8203D">
      <w:pPr>
        <w:autoSpaceDE w:val="0"/>
        <w:autoSpaceDN w:val="0"/>
        <w:adjustRightInd w:val="0"/>
        <w:spacing w:after="0" w:line="240" w:lineRule="auto"/>
        <w:jc w:val="center"/>
        <w:rPr>
          <w:rFonts w:ascii="Spranq eco sans" w:hAnsi="Spranq eco sans" w:cs="Times New Roman"/>
          <w:b/>
          <w:bCs/>
          <w:sz w:val="20"/>
          <w:szCs w:val="20"/>
        </w:rPr>
      </w:pPr>
      <w:r w:rsidRPr="002D19C6">
        <w:rPr>
          <w:rFonts w:ascii="Spranq eco sans" w:hAnsi="Spranq eco sans" w:cs="Times New Roman"/>
          <w:b/>
          <w:bCs/>
          <w:sz w:val="20"/>
          <w:szCs w:val="20"/>
        </w:rPr>
        <w:t>ADMINISTRATIVOS</w:t>
      </w:r>
    </w:p>
    <w:p w:rsidR="00D8203D" w:rsidRPr="002D19C6" w:rsidRDefault="00D8203D" w:rsidP="00D8203D">
      <w:pPr>
        <w:autoSpaceDE w:val="0"/>
        <w:autoSpaceDN w:val="0"/>
        <w:adjustRightInd w:val="0"/>
        <w:spacing w:after="0" w:line="240" w:lineRule="auto"/>
        <w:jc w:val="center"/>
        <w:rPr>
          <w:rFonts w:ascii="Spranq eco sans" w:hAnsi="Spranq eco sans" w:cs="Times New Roman"/>
          <w:b/>
          <w:bCs/>
          <w:sz w:val="20"/>
          <w:szCs w:val="20"/>
        </w:rPr>
      </w:pPr>
    </w:p>
    <w:p w:rsidR="00D8203D" w:rsidRPr="002D19C6" w:rsidRDefault="00D8203D" w:rsidP="00D8203D">
      <w:pPr>
        <w:autoSpaceDE w:val="0"/>
        <w:autoSpaceDN w:val="0"/>
        <w:adjustRightInd w:val="0"/>
        <w:spacing w:after="0" w:line="240" w:lineRule="auto"/>
        <w:jc w:val="both"/>
        <w:rPr>
          <w:rFonts w:ascii="Spranq eco sans" w:hAnsi="Spranq eco sans" w:cs="Times New Roman"/>
          <w:sz w:val="20"/>
          <w:szCs w:val="20"/>
        </w:rPr>
      </w:pPr>
      <w:r w:rsidRPr="002D19C6">
        <w:rPr>
          <w:rFonts w:ascii="Spranq eco sans" w:hAnsi="Spranq eco sans" w:cs="Times New Roman"/>
          <w:b/>
          <w:bCs/>
          <w:sz w:val="20"/>
          <w:szCs w:val="20"/>
        </w:rPr>
        <w:t xml:space="preserve">Artículo 34.- </w:t>
      </w:r>
      <w:r w:rsidRPr="002D19C6">
        <w:rPr>
          <w:rFonts w:ascii="Spranq eco sans" w:hAnsi="Spranq eco sans" w:cs="Times New Roman"/>
          <w:sz w:val="20"/>
          <w:szCs w:val="20"/>
        </w:rPr>
        <w:t>Las tasas retributivas por servicios técnicos y administrativos relacionados con la regularización, seguimiento y control ambiental prestados por la administración municipal, en virtud de lo previsto en la presente Ordenanza y de acuerdo a la normativa ambiental, serán recaudadas de acuerdo a la siguiente tabla:</w:t>
      </w:r>
    </w:p>
    <w:p w:rsidR="00D8203D" w:rsidRPr="002D19C6" w:rsidRDefault="00D8203D" w:rsidP="00D8203D">
      <w:pPr>
        <w:rPr>
          <w:rFonts w:ascii="Spranq eco sans" w:hAnsi="Spranq eco sans" w:cs="Times New Roman"/>
          <w:sz w:val="20"/>
          <w:szCs w:val="20"/>
        </w:rPr>
      </w:pPr>
      <w:r w:rsidRPr="002D19C6">
        <w:rPr>
          <w:rFonts w:ascii="Spranq eco sans" w:hAnsi="Spranq eco sans" w:cs="Times New Roman"/>
          <w:sz w:val="20"/>
          <w:szCs w:val="20"/>
        </w:rPr>
        <w:t>“Se debería incluir el siguiente cuadro”</w:t>
      </w:r>
    </w:p>
    <w:tbl>
      <w:tblPr>
        <w:tblStyle w:val="Tablaconcuadrcula"/>
        <w:tblW w:w="0" w:type="auto"/>
        <w:tblLook w:val="04A0" w:firstRow="1" w:lastRow="0" w:firstColumn="1" w:lastColumn="0" w:noHBand="0" w:noVBand="1"/>
      </w:tblPr>
      <w:tblGrid>
        <w:gridCol w:w="4322"/>
        <w:gridCol w:w="4322"/>
      </w:tblGrid>
      <w:tr w:rsidR="00D8203D" w:rsidRPr="002D19C6" w:rsidTr="00A906AD">
        <w:tc>
          <w:tcPr>
            <w:tcW w:w="4322" w:type="dxa"/>
          </w:tcPr>
          <w:p w:rsidR="00D8203D" w:rsidRPr="002D19C6" w:rsidRDefault="00D8203D" w:rsidP="00A906AD">
            <w:pPr>
              <w:jc w:val="center"/>
              <w:rPr>
                <w:rFonts w:ascii="Spranq eco sans" w:hAnsi="Spranq eco sans" w:cs="Times New Roman"/>
                <w:b/>
                <w:sz w:val="20"/>
                <w:szCs w:val="20"/>
              </w:rPr>
            </w:pPr>
            <w:r w:rsidRPr="002D19C6">
              <w:rPr>
                <w:rFonts w:ascii="Spranq eco sans" w:hAnsi="Spranq eco sans" w:cs="Times New Roman"/>
                <w:b/>
                <w:sz w:val="20"/>
                <w:szCs w:val="20"/>
              </w:rPr>
              <w:t>Servicio</w:t>
            </w:r>
          </w:p>
        </w:tc>
        <w:tc>
          <w:tcPr>
            <w:tcW w:w="4322" w:type="dxa"/>
          </w:tcPr>
          <w:p w:rsidR="00D8203D" w:rsidRPr="002D19C6" w:rsidRDefault="00D8203D" w:rsidP="00A906AD">
            <w:pPr>
              <w:jc w:val="center"/>
              <w:rPr>
                <w:rFonts w:ascii="Spranq eco sans" w:hAnsi="Spranq eco sans" w:cs="Times New Roman"/>
                <w:b/>
                <w:sz w:val="20"/>
                <w:szCs w:val="20"/>
              </w:rPr>
            </w:pPr>
            <w:r w:rsidRPr="002D19C6">
              <w:rPr>
                <w:rFonts w:ascii="Spranq eco sans" w:hAnsi="Spranq eco sans" w:cs="Times New Roman"/>
                <w:b/>
                <w:sz w:val="20"/>
                <w:szCs w:val="20"/>
              </w:rPr>
              <w:t>Tasa</w:t>
            </w:r>
          </w:p>
        </w:tc>
      </w:tr>
      <w:tr w:rsidR="00D8203D" w:rsidRPr="002D19C6" w:rsidTr="00A906AD">
        <w:tc>
          <w:tcPr>
            <w:tcW w:w="4322" w:type="dxa"/>
          </w:tcPr>
          <w:p w:rsidR="00D8203D" w:rsidRPr="002D19C6" w:rsidRDefault="00D8203D" w:rsidP="00A906AD">
            <w:pPr>
              <w:autoSpaceDE w:val="0"/>
              <w:autoSpaceDN w:val="0"/>
              <w:adjustRightInd w:val="0"/>
              <w:rPr>
                <w:rFonts w:ascii="Spranq eco sans" w:hAnsi="Spranq eco sans"/>
                <w:sz w:val="20"/>
                <w:szCs w:val="20"/>
              </w:rPr>
            </w:pPr>
            <w:r w:rsidRPr="002D19C6">
              <w:rPr>
                <w:rFonts w:ascii="Spranq eco sans" w:hAnsi="Spranq eco sans" w:cs="Times New Roman"/>
                <w:sz w:val="20"/>
                <w:szCs w:val="20"/>
              </w:rPr>
              <w:t>Análisis por punto de monitoreo de ruido, realizado por la Autoridad Ambiental Distrital.</w:t>
            </w:r>
          </w:p>
        </w:tc>
        <w:tc>
          <w:tcPr>
            <w:tcW w:w="4322" w:type="dxa"/>
          </w:tcPr>
          <w:p w:rsidR="00D8203D" w:rsidRPr="002D19C6" w:rsidRDefault="00D8203D" w:rsidP="00A906AD">
            <w:pPr>
              <w:autoSpaceDE w:val="0"/>
              <w:autoSpaceDN w:val="0"/>
              <w:adjustRightInd w:val="0"/>
              <w:rPr>
                <w:rFonts w:ascii="Spranq eco sans" w:hAnsi="Spranq eco sans" w:cs="Times New Roman"/>
                <w:sz w:val="20"/>
                <w:szCs w:val="20"/>
              </w:rPr>
            </w:pPr>
            <w:r w:rsidRPr="002D19C6">
              <w:rPr>
                <w:rFonts w:ascii="Spranq eco sans" w:hAnsi="Spranq eco sans" w:cs="Times New Roman"/>
                <w:sz w:val="20"/>
                <w:szCs w:val="20"/>
              </w:rPr>
              <w:t>0,12 Salario básico unificado del trabajador en</w:t>
            </w:r>
          </w:p>
          <w:p w:rsidR="00D8203D" w:rsidRPr="002D19C6" w:rsidRDefault="00D8203D" w:rsidP="00A906AD">
            <w:pPr>
              <w:rPr>
                <w:rFonts w:ascii="Spranq eco sans" w:hAnsi="Spranq eco sans"/>
                <w:sz w:val="20"/>
                <w:szCs w:val="20"/>
              </w:rPr>
            </w:pPr>
            <w:r w:rsidRPr="002D19C6">
              <w:rPr>
                <w:rFonts w:ascii="Spranq eco sans" w:hAnsi="Spranq eco sans" w:cs="Times New Roman"/>
                <w:sz w:val="20"/>
                <w:szCs w:val="20"/>
              </w:rPr>
              <w:t>general por punto</w:t>
            </w:r>
          </w:p>
        </w:tc>
      </w:tr>
    </w:tbl>
    <w:p w:rsidR="00D8203D" w:rsidRPr="002D19C6" w:rsidRDefault="00D8203D" w:rsidP="00D8203D">
      <w:pPr>
        <w:rPr>
          <w:rFonts w:ascii="Spranq eco sans" w:hAnsi="Spranq eco sans"/>
          <w:sz w:val="20"/>
          <w:szCs w:val="20"/>
        </w:rPr>
      </w:pPr>
    </w:p>
    <w:p w:rsidR="00D8203D" w:rsidRPr="002D19C6" w:rsidRDefault="00D8203D" w:rsidP="00D8203D">
      <w:pPr>
        <w:rPr>
          <w:rFonts w:ascii="Spranq eco sans" w:hAnsi="Spranq eco sans" w:cs="Times New Roman"/>
          <w:b/>
          <w:sz w:val="20"/>
          <w:szCs w:val="20"/>
        </w:rPr>
      </w:pPr>
      <w:r w:rsidRPr="002D19C6">
        <w:rPr>
          <w:rFonts w:ascii="Spranq eco sans" w:hAnsi="Spranq eco sans" w:cs="Times New Roman"/>
          <w:b/>
          <w:sz w:val="20"/>
          <w:szCs w:val="20"/>
        </w:rPr>
        <w:t>Justificación:</w:t>
      </w:r>
    </w:p>
    <w:p w:rsidR="00D8203D" w:rsidRPr="002D19C6" w:rsidRDefault="00D8203D" w:rsidP="00D8203D">
      <w:pPr>
        <w:jc w:val="both"/>
        <w:rPr>
          <w:rFonts w:ascii="Spranq eco sans" w:hAnsi="Spranq eco sans" w:cs="Times New Roman"/>
          <w:sz w:val="20"/>
          <w:szCs w:val="20"/>
        </w:rPr>
      </w:pPr>
      <w:r w:rsidRPr="002D19C6">
        <w:rPr>
          <w:rFonts w:ascii="Spranq eco sans" w:hAnsi="Spranq eco sans" w:cs="Times New Roman"/>
          <w:sz w:val="20"/>
          <w:szCs w:val="20"/>
        </w:rPr>
        <w:t xml:space="preserve">En el </w:t>
      </w:r>
      <w:r w:rsidRPr="002D19C6">
        <w:rPr>
          <w:rFonts w:ascii="Spranq eco sans" w:hAnsi="Spranq eco sans" w:cs="Times New Roman"/>
          <w:b/>
          <w:sz w:val="20"/>
          <w:szCs w:val="20"/>
        </w:rPr>
        <w:t xml:space="preserve">Instructivo General de Aplicación de la Ordenanza Metropolitana N° 138, Capítulo 6 Del Seguimiento y Control Ambiental, Literal 6.4 De los </w:t>
      </w:r>
      <w:proofErr w:type="spellStart"/>
      <w:r w:rsidRPr="002D19C6">
        <w:rPr>
          <w:rFonts w:ascii="Spranq eco sans" w:hAnsi="Spranq eco sans" w:cs="Times New Roman"/>
          <w:b/>
          <w:sz w:val="20"/>
          <w:szCs w:val="20"/>
        </w:rPr>
        <w:t>Monitoreos</w:t>
      </w:r>
      <w:proofErr w:type="spellEnd"/>
      <w:r w:rsidRPr="002D19C6">
        <w:rPr>
          <w:rFonts w:ascii="Spranq eco sans" w:hAnsi="Spranq eco sans" w:cs="Times New Roman"/>
          <w:b/>
          <w:sz w:val="20"/>
          <w:szCs w:val="20"/>
        </w:rPr>
        <w:t xml:space="preserve"> realizados por la AAD se menciona que: </w:t>
      </w:r>
      <w:r w:rsidRPr="002D19C6">
        <w:rPr>
          <w:rFonts w:ascii="Spranq eco sans" w:hAnsi="Spranq eco sans" w:cs="Times New Roman"/>
          <w:b/>
          <w:i/>
          <w:sz w:val="20"/>
          <w:szCs w:val="20"/>
        </w:rPr>
        <w:t xml:space="preserve">“(…) la AAD a través de su laboratorio ambiental o laboratorio contratado realizará: i) muestreos y análisis de descargas líquidas no domésticas, calidad de agua, emisiones a la atmósfera, calidad del aire, lodos, suelo, </w:t>
      </w:r>
      <w:proofErr w:type="spellStart"/>
      <w:r w:rsidRPr="002D19C6">
        <w:rPr>
          <w:rFonts w:ascii="Spranq eco sans" w:hAnsi="Spranq eco sans" w:cs="Times New Roman"/>
          <w:b/>
          <w:i/>
          <w:sz w:val="20"/>
          <w:szCs w:val="20"/>
        </w:rPr>
        <w:t>erc</w:t>
      </w:r>
      <w:proofErr w:type="spellEnd"/>
      <w:r w:rsidRPr="002D19C6">
        <w:rPr>
          <w:rFonts w:ascii="Spranq eco sans" w:hAnsi="Spranq eco sans" w:cs="Times New Roman"/>
          <w:b/>
          <w:i/>
          <w:sz w:val="20"/>
          <w:szCs w:val="20"/>
        </w:rPr>
        <w:t xml:space="preserve">.; ii) </w:t>
      </w:r>
      <w:proofErr w:type="spellStart"/>
      <w:r w:rsidRPr="002D19C6">
        <w:rPr>
          <w:rFonts w:ascii="Spranq eco sans" w:hAnsi="Spranq eco sans" w:cs="Times New Roman"/>
          <w:b/>
          <w:i/>
          <w:sz w:val="20"/>
          <w:szCs w:val="20"/>
        </w:rPr>
        <w:t>monitoreos</w:t>
      </w:r>
      <w:proofErr w:type="spellEnd"/>
      <w:r w:rsidRPr="002D19C6">
        <w:rPr>
          <w:rFonts w:ascii="Spranq eco sans" w:hAnsi="Spranq eco sans" w:cs="Times New Roman"/>
          <w:b/>
          <w:i/>
          <w:sz w:val="20"/>
          <w:szCs w:val="20"/>
        </w:rPr>
        <w:t xml:space="preserve"> de ruido”</w:t>
      </w:r>
      <w:r w:rsidRPr="002D19C6">
        <w:rPr>
          <w:rFonts w:ascii="Spranq eco sans" w:hAnsi="Spranq eco sans" w:cs="Times New Roman"/>
          <w:sz w:val="20"/>
          <w:szCs w:val="20"/>
        </w:rPr>
        <w:t xml:space="preserve"> constituyéndose la medición de ruido como parte de las actividades regularización, seguimiento y control ambiental prestado por la administración municipal. Todas las actividades se encuentran tasadas excepto la medición de ruido.</w:t>
      </w:r>
    </w:p>
    <w:p w:rsidR="00D8203D" w:rsidRPr="002D19C6" w:rsidRDefault="00D8203D" w:rsidP="00D8203D">
      <w:pPr>
        <w:jc w:val="both"/>
        <w:rPr>
          <w:rFonts w:ascii="Spranq eco sans" w:hAnsi="Spranq eco sans" w:cs="Times New Roman"/>
          <w:sz w:val="20"/>
          <w:szCs w:val="20"/>
        </w:rPr>
      </w:pPr>
      <w:r w:rsidRPr="002D19C6">
        <w:rPr>
          <w:rFonts w:ascii="Spranq eco sans" w:hAnsi="Spranq eco sans" w:cs="Times New Roman"/>
          <w:sz w:val="20"/>
          <w:szCs w:val="20"/>
        </w:rPr>
        <w:t xml:space="preserve">La administración municipal cuenta con un laboratorio acreditado que maneja ingentes recursos económicos para su manejo y operación ya que tiene las siguientes características: dispone del personal competente, equipos e instalaciones necesarios, equipos calibrados y adecuadamente mantenidos,  los ensayos o calibraciones se ejecutan utilizando métodos y procedimientos técnicamente válidos, los métodos y procedimientos se ejecutan con la pericia necesaria de acuerdo a las mejores prácticas técnicas y la actividad está sometida a controles de calidad. </w:t>
      </w:r>
    </w:p>
    <w:p w:rsidR="00E84E97" w:rsidRPr="002D19C6" w:rsidRDefault="00D8203D" w:rsidP="00F20020">
      <w:pPr>
        <w:jc w:val="both"/>
        <w:rPr>
          <w:rFonts w:ascii="Spranq eco sans" w:hAnsi="Spranq eco sans" w:cs="Times New Roman"/>
          <w:sz w:val="20"/>
          <w:szCs w:val="20"/>
        </w:rPr>
      </w:pPr>
      <w:r w:rsidRPr="002D19C6">
        <w:rPr>
          <w:rFonts w:ascii="Spranq eco sans" w:hAnsi="Spranq eco sans" w:cs="Times New Roman"/>
          <w:sz w:val="20"/>
          <w:szCs w:val="20"/>
        </w:rPr>
        <w:t xml:space="preserve">Finalmente, </w:t>
      </w:r>
      <w:r w:rsidRPr="002D19C6">
        <w:rPr>
          <w:rFonts w:ascii="Spranq eco sans" w:hAnsi="Spranq eco sans" w:cs="Times New Roman"/>
          <w:b/>
          <w:sz w:val="20"/>
          <w:szCs w:val="20"/>
        </w:rPr>
        <w:t xml:space="preserve">el Acuerdo Ministerial 097 sección 7 </w:t>
      </w:r>
      <w:r w:rsidRPr="002D19C6">
        <w:rPr>
          <w:rFonts w:ascii="Spranq eco sans" w:hAnsi="Spranq eco sans" w:cs="Times New Roman"/>
          <w:b/>
          <w:i/>
          <w:sz w:val="20"/>
          <w:szCs w:val="20"/>
        </w:rPr>
        <w:t>De los mapas de ruido</w:t>
      </w:r>
      <w:r w:rsidRPr="002D19C6">
        <w:rPr>
          <w:rFonts w:ascii="Spranq eco sans" w:hAnsi="Spranq eco sans" w:cs="Times New Roman"/>
          <w:b/>
          <w:sz w:val="20"/>
          <w:szCs w:val="20"/>
        </w:rPr>
        <w:t xml:space="preserve">, numeral 7.1.1 establece: </w:t>
      </w:r>
      <w:r w:rsidRPr="002D19C6">
        <w:rPr>
          <w:rFonts w:ascii="Spranq eco sans" w:hAnsi="Spranq eco sans" w:cs="Times New Roman"/>
          <w:b/>
          <w:i/>
          <w:sz w:val="20"/>
          <w:szCs w:val="20"/>
        </w:rPr>
        <w:t>“Corresponde a los GAD Municipales con una población mayor o igual a 250.000 habitantes elaborar mapas de ruido ambiental como una herramienta estratégica para la gestión del control de la contaminación acústica y planificación territorial.”,</w:t>
      </w:r>
      <w:r w:rsidRPr="002D19C6">
        <w:rPr>
          <w:rFonts w:ascii="Spranq eco sans" w:hAnsi="Spranq eco sans" w:cs="Times New Roman"/>
          <w:i/>
          <w:sz w:val="20"/>
          <w:szCs w:val="20"/>
        </w:rPr>
        <w:t xml:space="preserve"> </w:t>
      </w:r>
      <w:r w:rsidRPr="002D19C6">
        <w:rPr>
          <w:rFonts w:ascii="Spranq eco sans" w:hAnsi="Spranq eco sans" w:cs="Times New Roman"/>
          <w:sz w:val="20"/>
          <w:szCs w:val="20"/>
        </w:rPr>
        <w:t xml:space="preserve">por lo que es de vital importancia la ejecución de </w:t>
      </w:r>
      <w:proofErr w:type="spellStart"/>
      <w:r w:rsidRPr="002D19C6">
        <w:rPr>
          <w:rFonts w:ascii="Spranq eco sans" w:hAnsi="Spranq eco sans" w:cs="Times New Roman"/>
          <w:sz w:val="20"/>
          <w:szCs w:val="20"/>
        </w:rPr>
        <w:t>monitoreos</w:t>
      </w:r>
      <w:proofErr w:type="spellEnd"/>
      <w:r w:rsidRPr="002D19C6">
        <w:rPr>
          <w:rFonts w:ascii="Spranq eco sans" w:hAnsi="Spranq eco sans" w:cs="Times New Roman"/>
          <w:sz w:val="20"/>
          <w:szCs w:val="20"/>
        </w:rPr>
        <w:t xml:space="preserve"> de ruido en todo el Distrito Metropolitano de Ruido.</w:t>
      </w:r>
    </w:p>
    <w:p w:rsidR="00D54CA7" w:rsidRDefault="00D54CA7" w:rsidP="00F20020">
      <w:pPr>
        <w:jc w:val="both"/>
        <w:rPr>
          <w:rFonts w:ascii="Spranq eco sans" w:hAnsi="Spranq eco sans"/>
          <w:sz w:val="20"/>
          <w:szCs w:val="20"/>
          <w:lang w:val="es-ES"/>
        </w:rPr>
      </w:pPr>
    </w:p>
    <w:p w:rsidR="00F0581A" w:rsidRPr="002D19C6" w:rsidRDefault="008A31FB" w:rsidP="00F20020">
      <w:pPr>
        <w:jc w:val="both"/>
        <w:rPr>
          <w:rFonts w:ascii="Spranq eco sans" w:hAnsi="Spranq eco sans"/>
          <w:sz w:val="20"/>
          <w:szCs w:val="20"/>
          <w:lang w:val="es-ES"/>
        </w:rPr>
      </w:pPr>
      <w:r w:rsidRPr="002D19C6">
        <w:rPr>
          <w:rFonts w:ascii="Spranq eco sans" w:hAnsi="Spranq eco sans"/>
          <w:sz w:val="20"/>
          <w:szCs w:val="20"/>
          <w:lang w:val="es-ES"/>
        </w:rPr>
        <w:lastRenderedPageBreak/>
        <w:t>Anexo 1</w:t>
      </w:r>
    </w:p>
    <w:p w:rsidR="00754496" w:rsidRPr="002D19C6" w:rsidRDefault="00754496" w:rsidP="00754496">
      <w:pPr>
        <w:autoSpaceDE w:val="0"/>
        <w:autoSpaceDN w:val="0"/>
        <w:adjustRightInd w:val="0"/>
        <w:spacing w:after="0" w:line="240" w:lineRule="auto"/>
        <w:jc w:val="center"/>
        <w:rPr>
          <w:rFonts w:ascii="Spranq eco sans" w:hAnsi="Spranq eco sans" w:cs="Times New Roman"/>
          <w:b/>
          <w:bCs/>
          <w:sz w:val="20"/>
          <w:szCs w:val="20"/>
        </w:rPr>
      </w:pPr>
    </w:p>
    <w:p w:rsidR="00E1028F" w:rsidRPr="002D19C6" w:rsidRDefault="00E1028F" w:rsidP="00E1028F">
      <w:pPr>
        <w:spacing w:line="240" w:lineRule="auto"/>
        <w:ind w:right="-229"/>
        <w:jc w:val="center"/>
        <w:rPr>
          <w:rFonts w:ascii="Spranq eco sans" w:hAnsi="Spranq eco sans"/>
          <w:b/>
          <w:sz w:val="20"/>
          <w:szCs w:val="20"/>
        </w:rPr>
      </w:pPr>
      <w:r w:rsidRPr="002D19C6">
        <w:rPr>
          <w:rFonts w:ascii="Spranq eco sans" w:hAnsi="Spranq eco sans"/>
          <w:b/>
          <w:sz w:val="20"/>
          <w:szCs w:val="20"/>
        </w:rPr>
        <w:t>Derogación del Capítulo II, De la Contaminación acústica de la Ordenanza Metropolitana No. 213</w:t>
      </w:r>
    </w:p>
    <w:p w:rsidR="00E1028F" w:rsidRPr="002D19C6" w:rsidRDefault="00E1028F" w:rsidP="00E1028F">
      <w:pPr>
        <w:spacing w:line="240" w:lineRule="auto"/>
        <w:ind w:right="-229"/>
        <w:jc w:val="both"/>
        <w:rPr>
          <w:rFonts w:ascii="Spranq eco sans" w:hAnsi="Spranq eco sans"/>
          <w:sz w:val="20"/>
          <w:szCs w:val="20"/>
        </w:rPr>
      </w:pPr>
    </w:p>
    <w:p w:rsidR="00E1028F" w:rsidRPr="002D19C6" w:rsidRDefault="00E1028F" w:rsidP="00E1028F">
      <w:pPr>
        <w:spacing w:line="240" w:lineRule="auto"/>
        <w:ind w:right="-229"/>
        <w:jc w:val="both"/>
        <w:rPr>
          <w:rFonts w:ascii="Spranq eco sans" w:hAnsi="Spranq eco sans"/>
          <w:sz w:val="20"/>
          <w:szCs w:val="20"/>
        </w:rPr>
      </w:pPr>
      <w:r w:rsidRPr="002D19C6">
        <w:rPr>
          <w:rFonts w:ascii="Spranq eco sans" w:hAnsi="Spranq eco sans"/>
          <w:sz w:val="20"/>
          <w:szCs w:val="20"/>
        </w:rPr>
        <w:t>El 3 de Octubre del año 2016, se sanciona la Ordenanza Metropolitana No. 138 que establece el sistema de manejo ambiental del DMQ, la cual está alineada a la normativa ambiental nacional y se mantiene vigente el Capítulo II – De la Contaminación Acústica, de la Ordenanza Metropolitana 213.</w:t>
      </w:r>
    </w:p>
    <w:p w:rsidR="00E1028F" w:rsidRPr="002D19C6" w:rsidRDefault="00E1028F" w:rsidP="00E1028F">
      <w:pPr>
        <w:spacing w:line="240" w:lineRule="auto"/>
        <w:ind w:right="-229"/>
        <w:jc w:val="both"/>
        <w:rPr>
          <w:rFonts w:ascii="Spranq eco sans" w:hAnsi="Spranq eco sans"/>
          <w:sz w:val="20"/>
          <w:szCs w:val="20"/>
        </w:rPr>
      </w:pPr>
      <w:r w:rsidRPr="002D19C6">
        <w:rPr>
          <w:rFonts w:ascii="Spranq eco sans" w:hAnsi="Spranq eco sans"/>
          <w:sz w:val="20"/>
          <w:szCs w:val="20"/>
        </w:rPr>
        <w:t xml:space="preserve">Durante los dos años de vigencia de la Ordenanza Metropolitana No. 138, no ha sido necesaria la aplicación Capítulo II – De la Contaminación Acústica, de la Ordenanza Metropolitana No. 213; en virtud de que la Norma técnica para control de la contaminación por ruido (NT003) y el Instructivo de Aplicación de la Ordenanza Metropolitana No. 138 cuentan con los mecanismos necesarios para aplicación de los procesos de seguimiento, regularización y control ambiental.  </w:t>
      </w:r>
    </w:p>
    <w:p w:rsidR="00E1028F" w:rsidRPr="002D19C6" w:rsidRDefault="00E1028F" w:rsidP="00E1028F">
      <w:pPr>
        <w:spacing w:line="240" w:lineRule="auto"/>
        <w:ind w:right="-229"/>
        <w:jc w:val="both"/>
        <w:rPr>
          <w:rFonts w:ascii="Spranq eco sans" w:hAnsi="Spranq eco sans"/>
          <w:sz w:val="20"/>
          <w:szCs w:val="20"/>
        </w:rPr>
      </w:pPr>
      <w:r w:rsidRPr="002D19C6">
        <w:rPr>
          <w:rFonts w:ascii="Spranq eco sans" w:hAnsi="Spranq eco sans"/>
          <w:sz w:val="20"/>
          <w:szCs w:val="20"/>
        </w:rPr>
        <w:t xml:space="preserve">Por otro lado, uno de los problemas de contaminación acústica más relevantes en la ciudad de Quito, es la utilización de parlantes en espacio público o dentro de establecimientos comerciales con el fin de promocionar la venta de productos.  La Ordenanza Metropolitana No.213, en su artículo II.371, Sección VII-De las sanciones, establece una multa de 0.20 a 1.00 RBU para “aquellos establecimientos que mantengan equipos o aparatos que superen los límites permitidos”, para determinar el incumplimiento de los límites permitidos establecidos en la NT003 de la Ordenanza Metropolitana No. 138, es necesario realizar un control público de ruido.  </w:t>
      </w:r>
    </w:p>
    <w:p w:rsidR="00E1028F" w:rsidRPr="002D19C6" w:rsidRDefault="00E1028F" w:rsidP="00E1028F">
      <w:pPr>
        <w:spacing w:line="240" w:lineRule="auto"/>
        <w:ind w:right="-229"/>
        <w:jc w:val="both"/>
        <w:rPr>
          <w:rFonts w:ascii="Spranq eco sans" w:hAnsi="Spranq eco sans"/>
          <w:sz w:val="20"/>
          <w:szCs w:val="20"/>
        </w:rPr>
      </w:pPr>
      <w:r w:rsidRPr="002D19C6">
        <w:rPr>
          <w:rFonts w:ascii="Spranq eco sans" w:hAnsi="Spranq eco sans"/>
          <w:sz w:val="20"/>
          <w:szCs w:val="20"/>
        </w:rPr>
        <w:t xml:space="preserve">Al encontrarse varios establecimientos ruidosos uno junto al otro, como es la condición de los establecimientos que se encuentran en sectores que promocionan a través del uso de parlantes sus productos, la medida de control público de ruido pierde su objetividad y se anula ya que el ruido residual definido en la NT003 como “El ruido que existe en el ambiente donde se lleva a cabo la medición en ausencia del ruido específico en el momento de la medición” es mayor al ruido específico, el cual está definido en la NT003 como “El ruido generado y emitido por una Fuente fija de ruido o una FFR o una FMR.  Es el que se cuantifica y evalúa para efectos del cumplimiento de los niveles máximos de emisión de ruido establecidos en esta norma (….)”.  Esto no permite determinar el cumplimiento o no con los niveles máximos de emisión de ruido para fuentes fijas de ruido establecido en la NT003.  </w:t>
      </w:r>
    </w:p>
    <w:p w:rsidR="00E1028F" w:rsidRPr="002D19C6" w:rsidRDefault="00E1028F" w:rsidP="00E1028F">
      <w:pPr>
        <w:tabs>
          <w:tab w:val="left" w:pos="0"/>
        </w:tabs>
        <w:spacing w:after="0" w:line="240" w:lineRule="auto"/>
        <w:ind w:right="-229"/>
        <w:jc w:val="both"/>
        <w:rPr>
          <w:rFonts w:ascii="Spranq eco sans" w:hAnsi="Spranq eco sans"/>
          <w:sz w:val="20"/>
          <w:szCs w:val="20"/>
        </w:rPr>
      </w:pPr>
      <w:r w:rsidRPr="002D19C6">
        <w:rPr>
          <w:rFonts w:ascii="Spranq eco sans" w:hAnsi="Spranq eco sans"/>
          <w:sz w:val="20"/>
          <w:szCs w:val="20"/>
        </w:rPr>
        <w:t>Otro sector donde se presenta este inconveniente, son zonas en las cuales se ubican un gran número de bares y discotecas, una junto a la otra.  Para resolver esto, en marzo de 2018 se publicó el “Instructivo General de Aplicación de la Ordenanza Metropolitana No. 138 para evaluación de aislamiento acústico de establecimientos de actividad”, el cual es aplicable a zonas en las cuales se encuentran varios establecimientos contiguos.  Este instructivo permite evaluar el nivel de aislamiento que requiere un establecimiento para cumplir con la normativa.  Para elaborar este instructivo, la Secretaría de Ambiente realizó un estudio en la zona de la mariscal durante aproximadamente un año, para obtener una herramienta aplicable a la realidad del territorio.</w:t>
      </w:r>
    </w:p>
    <w:p w:rsidR="00E1028F" w:rsidRPr="002D19C6" w:rsidRDefault="00E1028F" w:rsidP="00E1028F">
      <w:pPr>
        <w:tabs>
          <w:tab w:val="left" w:pos="-142"/>
        </w:tabs>
        <w:spacing w:after="0" w:line="240" w:lineRule="auto"/>
        <w:ind w:right="-229"/>
        <w:jc w:val="both"/>
        <w:rPr>
          <w:rFonts w:ascii="Spranq eco sans" w:hAnsi="Spranq eco sans"/>
          <w:sz w:val="20"/>
          <w:szCs w:val="20"/>
        </w:rPr>
      </w:pPr>
    </w:p>
    <w:p w:rsidR="00E1028F" w:rsidRPr="002D19C6" w:rsidRDefault="00E1028F" w:rsidP="00E1028F">
      <w:pPr>
        <w:tabs>
          <w:tab w:val="left" w:pos="-142"/>
        </w:tabs>
        <w:spacing w:after="0" w:line="240" w:lineRule="auto"/>
        <w:ind w:right="-229"/>
        <w:jc w:val="both"/>
        <w:rPr>
          <w:rFonts w:ascii="Spranq eco sans" w:hAnsi="Spranq eco sans"/>
          <w:sz w:val="20"/>
          <w:szCs w:val="20"/>
        </w:rPr>
      </w:pPr>
      <w:r w:rsidRPr="002D19C6">
        <w:rPr>
          <w:rFonts w:ascii="Spranq eco sans" w:hAnsi="Spranq eco sans"/>
          <w:sz w:val="20"/>
          <w:szCs w:val="20"/>
        </w:rPr>
        <w:t>El “Instructivo General de Aplicación de la Ordenanza Metropolitana No. 138 para evaluación de aislamiento acústico de establecimientos de actividad” tiene como objetivos específicos:</w:t>
      </w:r>
    </w:p>
    <w:p w:rsidR="00E1028F" w:rsidRPr="002D19C6" w:rsidRDefault="00E1028F" w:rsidP="00E1028F">
      <w:pPr>
        <w:pStyle w:val="Prrafodelista"/>
        <w:numPr>
          <w:ilvl w:val="0"/>
          <w:numId w:val="4"/>
        </w:numPr>
        <w:spacing w:line="240" w:lineRule="auto"/>
        <w:ind w:right="-229"/>
        <w:jc w:val="both"/>
        <w:rPr>
          <w:rFonts w:ascii="Spranq eco sans" w:hAnsi="Spranq eco sans"/>
          <w:sz w:val="20"/>
          <w:szCs w:val="20"/>
        </w:rPr>
      </w:pPr>
      <w:r w:rsidRPr="002D19C6">
        <w:rPr>
          <w:rFonts w:ascii="Spranq eco sans" w:hAnsi="Spranq eco sans"/>
          <w:sz w:val="20"/>
          <w:szCs w:val="20"/>
        </w:rPr>
        <w:t>Establecer la metodología de evaluación objetiva del aislamiento acústico de las fachadas de un establecimiento, sean estas abiertas o cerradas.</w:t>
      </w:r>
    </w:p>
    <w:p w:rsidR="00E1028F" w:rsidRPr="002D19C6" w:rsidRDefault="00E1028F" w:rsidP="00E1028F">
      <w:pPr>
        <w:pStyle w:val="Prrafodelista"/>
        <w:numPr>
          <w:ilvl w:val="0"/>
          <w:numId w:val="4"/>
        </w:numPr>
        <w:spacing w:line="240" w:lineRule="auto"/>
        <w:ind w:right="-229"/>
        <w:jc w:val="both"/>
        <w:rPr>
          <w:rFonts w:ascii="Spranq eco sans" w:hAnsi="Spranq eco sans"/>
          <w:sz w:val="20"/>
          <w:szCs w:val="20"/>
        </w:rPr>
      </w:pPr>
      <w:r w:rsidRPr="002D19C6">
        <w:rPr>
          <w:rFonts w:ascii="Spranq eco sans" w:hAnsi="Spranq eco sans"/>
          <w:sz w:val="20"/>
          <w:szCs w:val="20"/>
        </w:rPr>
        <w:t>Definir la información acústica necesaria que debe identificarse y entregarse a la Autoridad Ambiental Competente.</w:t>
      </w:r>
    </w:p>
    <w:p w:rsidR="00E1028F" w:rsidRPr="002D19C6" w:rsidRDefault="00E1028F" w:rsidP="00E1028F">
      <w:pPr>
        <w:pStyle w:val="Prrafodelista"/>
        <w:numPr>
          <w:ilvl w:val="0"/>
          <w:numId w:val="4"/>
        </w:numPr>
        <w:spacing w:line="240" w:lineRule="auto"/>
        <w:ind w:right="-229"/>
        <w:jc w:val="both"/>
        <w:rPr>
          <w:rFonts w:ascii="Spranq eco sans" w:hAnsi="Spranq eco sans"/>
          <w:sz w:val="20"/>
          <w:szCs w:val="20"/>
        </w:rPr>
      </w:pPr>
      <w:r w:rsidRPr="002D19C6">
        <w:rPr>
          <w:rFonts w:ascii="Spranq eco sans" w:hAnsi="Spranq eco sans"/>
          <w:sz w:val="20"/>
          <w:szCs w:val="20"/>
        </w:rPr>
        <w:t>Definir las condiciones de funcionamiento acústico de un establecimiento.</w:t>
      </w:r>
    </w:p>
    <w:p w:rsidR="00E1028F" w:rsidRPr="002D19C6" w:rsidRDefault="00E1028F" w:rsidP="00E1028F">
      <w:pPr>
        <w:spacing w:line="240" w:lineRule="auto"/>
        <w:ind w:right="-229"/>
        <w:jc w:val="both"/>
        <w:rPr>
          <w:rFonts w:ascii="Spranq eco sans" w:hAnsi="Spranq eco sans"/>
          <w:sz w:val="20"/>
          <w:szCs w:val="20"/>
        </w:rPr>
      </w:pPr>
      <w:r w:rsidRPr="002D19C6">
        <w:rPr>
          <w:rFonts w:ascii="Spranq eco sans" w:hAnsi="Spranq eco sans"/>
          <w:sz w:val="20"/>
          <w:szCs w:val="20"/>
        </w:rPr>
        <w:lastRenderedPageBreak/>
        <w:t>Y como Alcance establece:</w:t>
      </w:r>
    </w:p>
    <w:p w:rsidR="00E1028F" w:rsidRPr="002D19C6" w:rsidRDefault="00E1028F" w:rsidP="00E1028F">
      <w:pPr>
        <w:spacing w:line="240" w:lineRule="auto"/>
        <w:ind w:right="-229"/>
        <w:jc w:val="both"/>
        <w:rPr>
          <w:rFonts w:ascii="Spranq eco sans" w:hAnsi="Spranq eco sans"/>
          <w:sz w:val="20"/>
          <w:szCs w:val="20"/>
        </w:rPr>
      </w:pPr>
      <w:r w:rsidRPr="002D19C6">
        <w:rPr>
          <w:rFonts w:ascii="Spranq eco sans" w:hAnsi="Spranq eco sans"/>
          <w:sz w:val="20"/>
          <w:szCs w:val="20"/>
        </w:rPr>
        <w:t xml:space="preserve">Están sujetos a las disposiciones de este instructivo todas las actividades y emisores acústicos públicos o privados, fijos que se encuentren en el Distrito Metropolitano de Quito y que correspondan a establecimientos de actividad o establecimiento ruidoso (ver definición), salvo las siguientes exclusiones: </w:t>
      </w:r>
    </w:p>
    <w:p w:rsidR="00E1028F" w:rsidRPr="002D19C6" w:rsidRDefault="00E1028F" w:rsidP="00E1028F">
      <w:pPr>
        <w:pStyle w:val="Prrafodelista"/>
        <w:numPr>
          <w:ilvl w:val="0"/>
          <w:numId w:val="5"/>
        </w:numPr>
        <w:spacing w:line="240" w:lineRule="auto"/>
        <w:ind w:right="-229"/>
        <w:jc w:val="both"/>
        <w:rPr>
          <w:rFonts w:ascii="Spranq eco sans" w:hAnsi="Spranq eco sans"/>
          <w:sz w:val="20"/>
          <w:szCs w:val="20"/>
        </w:rPr>
      </w:pPr>
      <w:r w:rsidRPr="002D19C6">
        <w:rPr>
          <w:rFonts w:ascii="Spranq eco sans" w:hAnsi="Spranq eco sans"/>
          <w:sz w:val="20"/>
          <w:szCs w:val="20"/>
        </w:rPr>
        <w:t xml:space="preserve">Establecimientos cuyo nivel superior se encuentre por sobre los 5 metros y no sea posible realizar la evaluación a una altura menor o el nivel inferior se encuentre bajo los 5 metros desde un nivel accesible para la evaluación. </w:t>
      </w:r>
    </w:p>
    <w:p w:rsidR="00E1028F" w:rsidRPr="002D19C6" w:rsidRDefault="00E1028F" w:rsidP="00E1028F">
      <w:pPr>
        <w:pStyle w:val="Prrafodelista"/>
        <w:numPr>
          <w:ilvl w:val="0"/>
          <w:numId w:val="5"/>
        </w:numPr>
        <w:spacing w:line="240" w:lineRule="auto"/>
        <w:ind w:right="-229"/>
        <w:jc w:val="both"/>
        <w:rPr>
          <w:rFonts w:ascii="Spranq eco sans" w:hAnsi="Spranq eco sans"/>
          <w:sz w:val="20"/>
          <w:szCs w:val="20"/>
        </w:rPr>
      </w:pPr>
      <w:r w:rsidRPr="002D19C6">
        <w:rPr>
          <w:rFonts w:ascii="Spranq eco sans" w:hAnsi="Spranq eco sans"/>
          <w:sz w:val="20"/>
          <w:szCs w:val="20"/>
        </w:rPr>
        <w:t xml:space="preserve">Lugares abiertos que se constituyan como espacio público, siendo estos: parques, plazas, calles, carreteras, edificios públicos, escuelas, hospitales, estaciones, jardines y espacios naturales cuyo suelo es de propiedad pública. </w:t>
      </w:r>
    </w:p>
    <w:p w:rsidR="00E1028F" w:rsidRPr="002D19C6" w:rsidRDefault="00E1028F" w:rsidP="00E1028F">
      <w:pPr>
        <w:pStyle w:val="Prrafodelista"/>
        <w:numPr>
          <w:ilvl w:val="0"/>
          <w:numId w:val="5"/>
        </w:numPr>
        <w:spacing w:line="240" w:lineRule="auto"/>
        <w:ind w:right="-229"/>
        <w:jc w:val="both"/>
        <w:rPr>
          <w:rFonts w:ascii="Spranq eco sans" w:hAnsi="Spranq eco sans"/>
          <w:sz w:val="20"/>
          <w:szCs w:val="20"/>
        </w:rPr>
      </w:pPr>
      <w:r w:rsidRPr="002D19C6">
        <w:rPr>
          <w:rFonts w:ascii="Spranq eco sans" w:hAnsi="Spranq eco sans"/>
          <w:sz w:val="20"/>
          <w:szCs w:val="20"/>
        </w:rPr>
        <w:t>Establecimientos o recintos que por motivos de la organización de actos con especial proyección oficial, cultural, religiosa, o de naturaleza análoga realicen eventos temporales en un espacio público o privado.</w:t>
      </w:r>
    </w:p>
    <w:p w:rsidR="00E1028F" w:rsidRPr="002D19C6" w:rsidRDefault="00E1028F" w:rsidP="00E1028F">
      <w:pPr>
        <w:pStyle w:val="Prrafodelista"/>
        <w:numPr>
          <w:ilvl w:val="0"/>
          <w:numId w:val="5"/>
        </w:numPr>
        <w:spacing w:line="240" w:lineRule="auto"/>
        <w:ind w:right="-229"/>
        <w:jc w:val="both"/>
        <w:rPr>
          <w:rFonts w:ascii="Spranq eco sans" w:hAnsi="Spranq eco sans"/>
          <w:sz w:val="20"/>
          <w:szCs w:val="20"/>
        </w:rPr>
      </w:pPr>
      <w:r w:rsidRPr="002D19C6">
        <w:rPr>
          <w:rFonts w:ascii="Spranq eco sans" w:hAnsi="Spranq eco sans"/>
          <w:sz w:val="20"/>
          <w:szCs w:val="20"/>
        </w:rPr>
        <w:t>Establecimientos o recintos habitables (ver definición).</w:t>
      </w:r>
    </w:p>
    <w:p w:rsidR="00E1028F" w:rsidRPr="002D19C6" w:rsidRDefault="00E1028F" w:rsidP="00E1028F">
      <w:pPr>
        <w:pStyle w:val="Prrafodelista"/>
        <w:numPr>
          <w:ilvl w:val="0"/>
          <w:numId w:val="5"/>
        </w:numPr>
        <w:spacing w:line="240" w:lineRule="auto"/>
        <w:ind w:right="-229"/>
        <w:jc w:val="both"/>
        <w:rPr>
          <w:rFonts w:ascii="Spranq eco sans" w:hAnsi="Spranq eco sans"/>
          <w:sz w:val="20"/>
          <w:szCs w:val="20"/>
        </w:rPr>
      </w:pPr>
      <w:r w:rsidRPr="002D19C6">
        <w:rPr>
          <w:rFonts w:ascii="Spranq eco sans" w:hAnsi="Spranq eco sans"/>
          <w:sz w:val="20"/>
          <w:szCs w:val="20"/>
        </w:rPr>
        <w:t>Fuentes de ruido que no puedan detenerse o apagarse para la determinación del ruido residual.</w:t>
      </w:r>
    </w:p>
    <w:p w:rsidR="00E1028F" w:rsidRPr="002D19C6" w:rsidRDefault="00E1028F" w:rsidP="00E1028F">
      <w:pPr>
        <w:spacing w:line="240" w:lineRule="auto"/>
        <w:ind w:right="-229"/>
        <w:jc w:val="both"/>
        <w:rPr>
          <w:rFonts w:ascii="Spranq eco sans" w:hAnsi="Spranq eco sans"/>
          <w:sz w:val="20"/>
          <w:szCs w:val="20"/>
        </w:rPr>
      </w:pPr>
      <w:r w:rsidRPr="002D19C6">
        <w:rPr>
          <w:rFonts w:ascii="Spranq eco sans" w:hAnsi="Spranq eco sans"/>
          <w:sz w:val="20"/>
          <w:szCs w:val="20"/>
        </w:rPr>
        <w:t>Por otro lado, La Ordenanza Metropolitana No. 119 establece el régimen administrativo de la Licencia Metropolitana Urbanística de Publicidad Exterior, la misma indica en  su Art. 8 Medios de expresión no autorizados, literal f): “Se prohíbe con carácter general: La publicidad fija y móvil a través de dispositivos sonoros tales como campanas, parlantes, altavoces, silbatos, sirenas y otros similares.” La sanción frente al incumplimiento de este artículo puede ser hasta el sesenta por ciento (60%) del SBU ($231,6), así como el desmontaje o retiro del equipo.  Con el control de la OM 119 podría solventarse la problemática de parlantes en establecimientos comerciales.</w:t>
      </w:r>
    </w:p>
    <w:p w:rsidR="00E1028F" w:rsidRPr="002D19C6" w:rsidRDefault="00E1028F" w:rsidP="00905E23">
      <w:pPr>
        <w:spacing w:line="240" w:lineRule="auto"/>
        <w:ind w:right="-229"/>
        <w:jc w:val="both"/>
        <w:rPr>
          <w:rFonts w:ascii="Spranq eco sans" w:hAnsi="Spranq eco sans"/>
          <w:sz w:val="20"/>
          <w:szCs w:val="20"/>
        </w:rPr>
      </w:pPr>
      <w:r w:rsidRPr="002D19C6">
        <w:rPr>
          <w:rFonts w:ascii="Spranq eco sans" w:hAnsi="Spranq eco sans"/>
          <w:sz w:val="20"/>
          <w:szCs w:val="20"/>
        </w:rPr>
        <w:t xml:space="preserve">En la tabla a continuación se detallan las 8 secciones del Capítulo II – De la Contaminación Acústica, de la Ordenanza Metropolitana 213, y junto a las mismas la justificación para derogación: </w:t>
      </w:r>
      <w:r w:rsidRPr="002D19C6">
        <w:rPr>
          <w:rFonts w:ascii="Spranq eco sans" w:hAnsi="Spranq eco sans"/>
          <w:sz w:val="20"/>
          <w:szCs w:val="20"/>
        </w:rPr>
        <w:br w:type="page"/>
      </w:r>
    </w:p>
    <w:tbl>
      <w:tblPr>
        <w:tblStyle w:val="Tablaconcuadrcula"/>
        <w:tblW w:w="7655" w:type="dxa"/>
        <w:tblInd w:w="108" w:type="dxa"/>
        <w:tblLayout w:type="fixed"/>
        <w:tblLook w:val="04A0" w:firstRow="1" w:lastRow="0" w:firstColumn="1" w:lastColumn="0" w:noHBand="0" w:noVBand="1"/>
      </w:tblPr>
      <w:tblGrid>
        <w:gridCol w:w="1843"/>
        <w:gridCol w:w="5812"/>
      </w:tblGrid>
      <w:tr w:rsidR="00E1028F" w:rsidRPr="002D19C6" w:rsidTr="00E1028F">
        <w:tc>
          <w:tcPr>
            <w:tcW w:w="1843" w:type="dxa"/>
          </w:tcPr>
          <w:p w:rsidR="00E1028F" w:rsidRPr="002D19C6" w:rsidRDefault="00E1028F" w:rsidP="00A906AD">
            <w:pPr>
              <w:jc w:val="center"/>
              <w:rPr>
                <w:rFonts w:ascii="Spranq eco sans" w:hAnsi="Spranq eco sans"/>
                <w:b/>
                <w:sz w:val="20"/>
                <w:szCs w:val="20"/>
              </w:rPr>
            </w:pPr>
            <w:r w:rsidRPr="002D19C6">
              <w:rPr>
                <w:rFonts w:ascii="Spranq eco sans" w:hAnsi="Spranq eco sans"/>
                <w:b/>
                <w:sz w:val="20"/>
                <w:szCs w:val="20"/>
              </w:rPr>
              <w:lastRenderedPageBreak/>
              <w:t>Sección</w:t>
            </w:r>
          </w:p>
        </w:tc>
        <w:tc>
          <w:tcPr>
            <w:tcW w:w="5812" w:type="dxa"/>
          </w:tcPr>
          <w:p w:rsidR="00E1028F" w:rsidRPr="002D19C6" w:rsidRDefault="00E1028F" w:rsidP="00A906AD">
            <w:pPr>
              <w:jc w:val="center"/>
              <w:rPr>
                <w:rFonts w:ascii="Spranq eco sans" w:hAnsi="Spranq eco sans"/>
                <w:b/>
                <w:sz w:val="20"/>
                <w:szCs w:val="20"/>
              </w:rPr>
            </w:pPr>
            <w:r w:rsidRPr="002D19C6">
              <w:rPr>
                <w:rFonts w:ascii="Spranq eco sans" w:hAnsi="Spranq eco sans"/>
                <w:b/>
                <w:sz w:val="20"/>
                <w:szCs w:val="20"/>
              </w:rPr>
              <w:t xml:space="preserve">Justificación para derogación </w:t>
            </w:r>
          </w:p>
        </w:tc>
      </w:tr>
      <w:tr w:rsidR="00E1028F" w:rsidRPr="002D19C6" w:rsidTr="00E1028F">
        <w:tc>
          <w:tcPr>
            <w:tcW w:w="1843" w:type="dxa"/>
          </w:tcPr>
          <w:p w:rsidR="00E1028F" w:rsidRPr="002D19C6" w:rsidRDefault="00E1028F" w:rsidP="00A906AD">
            <w:pPr>
              <w:jc w:val="both"/>
              <w:rPr>
                <w:rFonts w:ascii="Spranq eco sans" w:hAnsi="Spranq eco sans"/>
                <w:b/>
                <w:sz w:val="20"/>
                <w:szCs w:val="20"/>
              </w:rPr>
            </w:pPr>
            <w:r w:rsidRPr="002D19C6">
              <w:rPr>
                <w:rFonts w:ascii="Spranq eco sans" w:hAnsi="Spranq eco sans"/>
                <w:b/>
                <w:sz w:val="20"/>
                <w:szCs w:val="20"/>
              </w:rPr>
              <w:br w:type="page"/>
              <w:t>Sección II – De la emisión de ruido de fuentes fijas</w:t>
            </w:r>
          </w:p>
        </w:tc>
        <w:tc>
          <w:tcPr>
            <w:tcW w:w="5812" w:type="dxa"/>
          </w:tcPr>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El alcance de la Norma técnica de ruido de la OM 138 es: “Todas las actividades y emisores acústicos, públicos o privados, fijos y móviles que se encuentran en el DMQ, salvo las siguientes exclusiones:</w:t>
            </w:r>
          </w:p>
          <w:p w:rsidR="00E1028F" w:rsidRPr="002D19C6" w:rsidRDefault="00E1028F" w:rsidP="00E1028F">
            <w:pPr>
              <w:pStyle w:val="Prrafodelista"/>
              <w:numPr>
                <w:ilvl w:val="0"/>
                <w:numId w:val="3"/>
              </w:numPr>
              <w:jc w:val="both"/>
              <w:rPr>
                <w:rFonts w:ascii="Spranq eco sans" w:hAnsi="Spranq eco sans"/>
                <w:sz w:val="20"/>
                <w:szCs w:val="20"/>
              </w:rPr>
            </w:pPr>
            <w:r w:rsidRPr="002D19C6">
              <w:rPr>
                <w:rFonts w:ascii="Spranq eco sans" w:hAnsi="Spranq eco sans"/>
                <w:sz w:val="20"/>
                <w:szCs w:val="20"/>
              </w:rPr>
              <w:t>La exposición a la contaminación acústica producida en los ambientes laborales, se sujetará al código del trabajo y reglamentación correspondiente.</w:t>
            </w:r>
          </w:p>
          <w:p w:rsidR="00E1028F" w:rsidRPr="002D19C6" w:rsidRDefault="00E1028F" w:rsidP="00E1028F">
            <w:pPr>
              <w:pStyle w:val="Prrafodelista"/>
              <w:numPr>
                <w:ilvl w:val="0"/>
                <w:numId w:val="3"/>
              </w:numPr>
              <w:jc w:val="both"/>
              <w:rPr>
                <w:rFonts w:ascii="Spranq eco sans" w:hAnsi="Spranq eco sans"/>
                <w:sz w:val="20"/>
                <w:szCs w:val="20"/>
              </w:rPr>
            </w:pPr>
            <w:r w:rsidRPr="002D19C6">
              <w:rPr>
                <w:rFonts w:ascii="Spranq eco sans" w:hAnsi="Spranq eco sans"/>
                <w:sz w:val="20"/>
                <w:szCs w:val="20"/>
              </w:rPr>
              <w:t>Las aeronaves se regirán a las normas establecidas por la Dirección General de Aviación Civil y tratados internacionales ratificados.</w:t>
            </w:r>
          </w:p>
          <w:p w:rsidR="00E1028F" w:rsidRPr="002D19C6" w:rsidRDefault="00E1028F" w:rsidP="00E1028F">
            <w:pPr>
              <w:pStyle w:val="Prrafodelista"/>
              <w:numPr>
                <w:ilvl w:val="0"/>
                <w:numId w:val="3"/>
              </w:numPr>
              <w:jc w:val="both"/>
              <w:rPr>
                <w:rFonts w:ascii="Spranq eco sans" w:hAnsi="Spranq eco sans"/>
                <w:sz w:val="20"/>
                <w:szCs w:val="20"/>
              </w:rPr>
            </w:pPr>
            <w:r w:rsidRPr="002D19C6">
              <w:rPr>
                <w:rFonts w:ascii="Spranq eco sans" w:hAnsi="Spranq eco sans"/>
                <w:sz w:val="20"/>
                <w:szCs w:val="20"/>
              </w:rPr>
              <w:t>Otros determinados por la Autoridad Ambiental Nacional.</w:t>
            </w: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La OM 138 define:</w:t>
            </w:r>
          </w:p>
          <w:p w:rsidR="00E1028F" w:rsidRPr="002D19C6" w:rsidRDefault="00E1028F" w:rsidP="00A906AD">
            <w:pPr>
              <w:jc w:val="both"/>
              <w:rPr>
                <w:rFonts w:ascii="Spranq eco sans" w:hAnsi="Spranq eco sans"/>
                <w:b/>
                <w:sz w:val="20"/>
                <w:szCs w:val="20"/>
              </w:rPr>
            </w:pPr>
            <w:r w:rsidRPr="002D19C6">
              <w:rPr>
                <w:rFonts w:ascii="Spranq eco sans" w:hAnsi="Spranq eco sans"/>
                <w:b/>
                <w:sz w:val="20"/>
                <w:szCs w:val="20"/>
              </w:rPr>
              <w:t xml:space="preserve">4.6  Fuente Emisora de Ruido (FER)   </w:t>
            </w: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 xml:space="preserve">Toda actividad, operación o proceso que genere o pueda generar emisiones de ruido al ambiente, incluyendo ruido proveniente de seres vivos.  </w:t>
            </w:r>
          </w:p>
          <w:p w:rsidR="00E1028F" w:rsidRPr="002D19C6" w:rsidRDefault="00E1028F" w:rsidP="00A906AD">
            <w:pPr>
              <w:jc w:val="both"/>
              <w:rPr>
                <w:rFonts w:ascii="Spranq eco sans" w:hAnsi="Spranq eco sans"/>
                <w:b/>
                <w:sz w:val="20"/>
                <w:szCs w:val="20"/>
              </w:rPr>
            </w:pPr>
            <w:r w:rsidRPr="002D19C6">
              <w:rPr>
                <w:rFonts w:ascii="Spranq eco sans" w:hAnsi="Spranq eco sans"/>
                <w:b/>
                <w:sz w:val="20"/>
                <w:szCs w:val="20"/>
              </w:rPr>
              <w:t xml:space="preserve">4.7  Fuente Fija de Ruido (FFR)  </w:t>
            </w: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 xml:space="preserve">Para esta norma, la fuente fija de ruido se considera a una fuente emisora de ruido o a un conjunto de fuentes emisoras de ruido situadas dentro de los límites físicos y legales de un predio ubicado en un lugar fijo o determinado. Ejemplo de estas fuentes son: metal mecánicas, lavaderos de carros, fabricas, terminales de buses, discotecas, etc.  </w:t>
            </w:r>
          </w:p>
          <w:p w:rsidR="00E1028F" w:rsidRPr="002D19C6" w:rsidRDefault="00E1028F" w:rsidP="00A906AD">
            <w:pPr>
              <w:jc w:val="both"/>
              <w:rPr>
                <w:rFonts w:ascii="Spranq eco sans" w:hAnsi="Spranq eco sans"/>
                <w:b/>
                <w:sz w:val="20"/>
                <w:szCs w:val="20"/>
              </w:rPr>
            </w:pPr>
            <w:r w:rsidRPr="002D19C6">
              <w:rPr>
                <w:rFonts w:ascii="Spranq eco sans" w:hAnsi="Spranq eco sans"/>
                <w:b/>
                <w:sz w:val="20"/>
                <w:szCs w:val="20"/>
              </w:rPr>
              <w:t xml:space="preserve">4.8  Fuente Móvil de Ruido (FMR)   </w:t>
            </w: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 xml:space="preserve">Para efectos de la presente norma, se entiende como fuentes móviles de ruido a todo vehículo motorizado que pueda emitir ruido al medio ambiente. Si una FMR se encontrase dentro de los límites de una FFR será considerada como una FER perteneciente a esta última.   </w:t>
            </w:r>
          </w:p>
        </w:tc>
      </w:tr>
    </w:tbl>
    <w:p w:rsidR="00E1028F" w:rsidRPr="002D19C6" w:rsidRDefault="00E1028F" w:rsidP="00E1028F">
      <w:pPr>
        <w:rPr>
          <w:rFonts w:ascii="Spranq eco sans" w:hAnsi="Spranq eco sans"/>
          <w:sz w:val="20"/>
          <w:szCs w:val="20"/>
        </w:rPr>
      </w:pPr>
      <w:r w:rsidRPr="002D19C6">
        <w:rPr>
          <w:rFonts w:ascii="Spranq eco sans" w:hAnsi="Spranq eco sans"/>
          <w:sz w:val="20"/>
          <w:szCs w:val="20"/>
        </w:rPr>
        <w:br w:type="page"/>
      </w:r>
    </w:p>
    <w:tbl>
      <w:tblPr>
        <w:tblStyle w:val="Tablaconcuadrcula"/>
        <w:tblW w:w="7655" w:type="dxa"/>
        <w:tblInd w:w="108" w:type="dxa"/>
        <w:tblLayout w:type="fixed"/>
        <w:tblLook w:val="04A0" w:firstRow="1" w:lastRow="0" w:firstColumn="1" w:lastColumn="0" w:noHBand="0" w:noVBand="1"/>
      </w:tblPr>
      <w:tblGrid>
        <w:gridCol w:w="1843"/>
        <w:gridCol w:w="5812"/>
      </w:tblGrid>
      <w:tr w:rsidR="00E1028F" w:rsidRPr="002D19C6" w:rsidTr="00E1028F">
        <w:trPr>
          <w:trHeight w:val="140"/>
        </w:trPr>
        <w:tc>
          <w:tcPr>
            <w:tcW w:w="1843" w:type="dxa"/>
          </w:tcPr>
          <w:p w:rsidR="00E1028F" w:rsidRPr="002D19C6" w:rsidRDefault="00E1028F" w:rsidP="00A906AD">
            <w:pPr>
              <w:jc w:val="center"/>
              <w:rPr>
                <w:rFonts w:ascii="Spranq eco sans" w:hAnsi="Spranq eco sans"/>
                <w:b/>
                <w:sz w:val="20"/>
                <w:szCs w:val="20"/>
              </w:rPr>
            </w:pPr>
            <w:r w:rsidRPr="002D19C6">
              <w:rPr>
                <w:rFonts w:ascii="Spranq eco sans" w:hAnsi="Spranq eco sans"/>
                <w:b/>
                <w:sz w:val="20"/>
                <w:szCs w:val="20"/>
              </w:rPr>
              <w:lastRenderedPageBreak/>
              <w:t>Sección</w:t>
            </w:r>
          </w:p>
        </w:tc>
        <w:tc>
          <w:tcPr>
            <w:tcW w:w="5812" w:type="dxa"/>
          </w:tcPr>
          <w:p w:rsidR="00E1028F" w:rsidRPr="002D19C6" w:rsidRDefault="00E1028F" w:rsidP="00A906AD">
            <w:pPr>
              <w:jc w:val="center"/>
              <w:rPr>
                <w:rFonts w:ascii="Spranq eco sans" w:hAnsi="Spranq eco sans"/>
                <w:b/>
                <w:sz w:val="20"/>
                <w:szCs w:val="20"/>
              </w:rPr>
            </w:pPr>
            <w:r w:rsidRPr="002D19C6">
              <w:rPr>
                <w:rFonts w:ascii="Spranq eco sans" w:hAnsi="Spranq eco sans"/>
                <w:b/>
                <w:sz w:val="20"/>
                <w:szCs w:val="20"/>
              </w:rPr>
              <w:t>Justificación para derogación</w:t>
            </w:r>
          </w:p>
        </w:tc>
      </w:tr>
      <w:tr w:rsidR="00E1028F" w:rsidRPr="002D19C6" w:rsidTr="00E1028F">
        <w:trPr>
          <w:trHeight w:val="140"/>
        </w:trPr>
        <w:tc>
          <w:tcPr>
            <w:tcW w:w="1843" w:type="dxa"/>
          </w:tcPr>
          <w:p w:rsidR="00E1028F" w:rsidRPr="002D19C6" w:rsidRDefault="00E1028F" w:rsidP="00A906AD">
            <w:pPr>
              <w:rPr>
                <w:rFonts w:ascii="Spranq eco sans" w:hAnsi="Spranq eco sans"/>
                <w:b/>
                <w:sz w:val="20"/>
                <w:szCs w:val="20"/>
              </w:rPr>
            </w:pPr>
            <w:r w:rsidRPr="002D19C6">
              <w:rPr>
                <w:rFonts w:ascii="Spranq eco sans" w:hAnsi="Spranq eco sans"/>
                <w:b/>
                <w:sz w:val="20"/>
                <w:szCs w:val="20"/>
              </w:rPr>
              <w:t>Sección III – De la emisión de ruido de fuentes móviles</w:t>
            </w:r>
          </w:p>
        </w:tc>
        <w:tc>
          <w:tcPr>
            <w:tcW w:w="5812" w:type="dxa"/>
          </w:tcPr>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La OM 138 establece en el punto 3. Disposiciones generales:</w:t>
            </w: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3.7  En función de la OM 138 del capítulo 6, Art.20.- De los actores de apoyo al seguimiento y control ambiental, la Policía Metropolitana (Agentes de control metropolitano) debe controlar el uso de alarmas en vehículos y edificaciones, sistemas de amplificación de sonido.  Así mismo, la Agencia Metropolitana de Tránsito debe controlar el uso de bocinas, campanas, sirenas o artefactos similares.</w:t>
            </w:r>
          </w:p>
          <w:p w:rsidR="00E1028F" w:rsidRPr="002D19C6" w:rsidRDefault="00E1028F" w:rsidP="00A906AD">
            <w:pPr>
              <w:jc w:val="both"/>
              <w:rPr>
                <w:rFonts w:ascii="Spranq eco sans" w:hAnsi="Spranq eco sans"/>
                <w:sz w:val="20"/>
                <w:szCs w:val="20"/>
              </w:rPr>
            </w:pP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La OM 138 define:</w:t>
            </w:r>
          </w:p>
          <w:p w:rsidR="00E1028F" w:rsidRPr="002D19C6" w:rsidRDefault="00E1028F" w:rsidP="00A906AD">
            <w:pPr>
              <w:jc w:val="both"/>
              <w:rPr>
                <w:rFonts w:ascii="Spranq eco sans" w:hAnsi="Spranq eco sans"/>
                <w:b/>
                <w:sz w:val="20"/>
                <w:szCs w:val="20"/>
              </w:rPr>
            </w:pPr>
            <w:r w:rsidRPr="002D19C6">
              <w:rPr>
                <w:rFonts w:ascii="Spranq eco sans" w:hAnsi="Spranq eco sans"/>
                <w:b/>
                <w:sz w:val="20"/>
                <w:szCs w:val="20"/>
              </w:rPr>
              <w:t xml:space="preserve">4.8  Fuente Móvil de Ruido (FMR)   </w:t>
            </w: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 xml:space="preserve">Para efectos de la presente norma, se entiende como fuentes móviles de ruido a todo vehículo motorizado que pueda emitir ruido al medio ambiente. Si una FMR se encontrase dentro de los límites de una FFR será considerada como una FER perteneciente a esta última.   </w:t>
            </w:r>
          </w:p>
        </w:tc>
      </w:tr>
      <w:tr w:rsidR="00E1028F" w:rsidRPr="002D19C6" w:rsidTr="00E1028F">
        <w:trPr>
          <w:trHeight w:val="140"/>
        </w:trPr>
        <w:tc>
          <w:tcPr>
            <w:tcW w:w="1843" w:type="dxa"/>
          </w:tcPr>
          <w:p w:rsidR="00E1028F" w:rsidRPr="002D19C6" w:rsidRDefault="00E1028F" w:rsidP="00A906AD">
            <w:pPr>
              <w:rPr>
                <w:rFonts w:ascii="Spranq eco sans" w:hAnsi="Spranq eco sans"/>
                <w:b/>
                <w:sz w:val="20"/>
                <w:szCs w:val="20"/>
              </w:rPr>
            </w:pPr>
            <w:r w:rsidRPr="002D19C6">
              <w:rPr>
                <w:rFonts w:ascii="Spranq eco sans" w:hAnsi="Spranq eco sans"/>
                <w:b/>
                <w:sz w:val="20"/>
                <w:szCs w:val="20"/>
              </w:rPr>
              <w:t>Sección IV – De las medidas de orientación y educación</w:t>
            </w:r>
          </w:p>
        </w:tc>
        <w:tc>
          <w:tcPr>
            <w:tcW w:w="5812" w:type="dxa"/>
          </w:tcPr>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 xml:space="preserve">La Secretaría de Ambiente, a través de área de Investigación Análisis y Monitoreo, realiza los mapas de ruido de diferentes sectores de la ciudad, los cuales permiten conocer la realidad del territorio y la toma de decisiones. Adicionalmente, el DMQ cuenta con una red de monitoreo de ruido ambiente desde el año 2007.  Las estaciones están ubicadas de manera fija en el sector de Camal, Jipijapa, Centro Histórico y </w:t>
            </w:r>
            <w:proofErr w:type="spellStart"/>
            <w:r w:rsidRPr="002D19C6">
              <w:rPr>
                <w:rFonts w:ascii="Spranq eco sans" w:hAnsi="Spranq eco sans"/>
                <w:sz w:val="20"/>
                <w:szCs w:val="20"/>
              </w:rPr>
              <w:t>Carapungo</w:t>
            </w:r>
            <w:proofErr w:type="spellEnd"/>
            <w:r w:rsidRPr="002D19C6">
              <w:rPr>
                <w:rFonts w:ascii="Spranq eco sans" w:hAnsi="Spranq eco sans"/>
                <w:sz w:val="20"/>
                <w:szCs w:val="20"/>
              </w:rPr>
              <w:t xml:space="preserve">.  Generan información continua, la misma que es compilada y comparada con los Índices de la Organización Mundial de la Salud con el fin de precautelar la salud de los habitantes del DMQ.  Los equipos utilizados son estaciones de ruido ambiente continuo, que captan información cada 10 segundos, la misma que es compilada y promediada a datos horarios. Los resultados se entregan como promedios diurnos, nocturnos y diarios.  </w:t>
            </w:r>
          </w:p>
        </w:tc>
      </w:tr>
      <w:tr w:rsidR="00E1028F" w:rsidRPr="002D19C6" w:rsidTr="00E1028F">
        <w:trPr>
          <w:trHeight w:val="140"/>
        </w:trPr>
        <w:tc>
          <w:tcPr>
            <w:tcW w:w="1843" w:type="dxa"/>
          </w:tcPr>
          <w:p w:rsidR="00E1028F" w:rsidRPr="002D19C6" w:rsidRDefault="00E1028F" w:rsidP="00A906AD">
            <w:pPr>
              <w:rPr>
                <w:rFonts w:ascii="Spranq eco sans" w:hAnsi="Spranq eco sans"/>
                <w:b/>
                <w:sz w:val="20"/>
                <w:szCs w:val="20"/>
              </w:rPr>
            </w:pPr>
            <w:r w:rsidRPr="002D19C6">
              <w:rPr>
                <w:rFonts w:ascii="Spranq eco sans" w:hAnsi="Spranq eco sans"/>
                <w:sz w:val="20"/>
                <w:szCs w:val="20"/>
              </w:rPr>
              <w:br w:type="page"/>
            </w:r>
            <w:r w:rsidRPr="002D19C6">
              <w:rPr>
                <w:rFonts w:ascii="Spranq eco sans" w:hAnsi="Spranq eco sans"/>
                <w:b/>
                <w:sz w:val="20"/>
                <w:szCs w:val="20"/>
              </w:rPr>
              <w:t>Sección V – De la vigilancia e inspección</w:t>
            </w:r>
          </w:p>
        </w:tc>
        <w:tc>
          <w:tcPr>
            <w:tcW w:w="5812" w:type="dxa"/>
          </w:tcPr>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 xml:space="preserve">3.1. En función a lo estipulado en la Normativa Ambiental Nacional, la Autoridad ambiental competente podrá practicar las visitas, inspecciones, mediciones y comprobaciones que sean necesarias para verificar el adecuado cumplimiento de las disposiciones contenidas en esta norma. El costo que ocasione la realización de inspecciones, visitas o mediciones correrá a cargo de los responsables de las actividades que generan las emisiones.   </w:t>
            </w:r>
          </w:p>
        </w:tc>
      </w:tr>
    </w:tbl>
    <w:p w:rsidR="00E1028F" w:rsidRPr="002D19C6" w:rsidRDefault="00E1028F" w:rsidP="00E1028F">
      <w:pPr>
        <w:rPr>
          <w:rFonts w:ascii="Spranq eco sans" w:hAnsi="Spranq eco sans"/>
          <w:sz w:val="20"/>
          <w:szCs w:val="20"/>
        </w:rPr>
      </w:pPr>
      <w:r w:rsidRPr="002D19C6">
        <w:rPr>
          <w:rFonts w:ascii="Spranq eco sans" w:hAnsi="Spranq eco sans"/>
          <w:sz w:val="20"/>
          <w:szCs w:val="20"/>
        </w:rPr>
        <w:br w:type="page"/>
      </w:r>
    </w:p>
    <w:tbl>
      <w:tblPr>
        <w:tblStyle w:val="Tablaconcuadrcula"/>
        <w:tblW w:w="7513" w:type="dxa"/>
        <w:tblInd w:w="108" w:type="dxa"/>
        <w:tblLayout w:type="fixed"/>
        <w:tblLook w:val="04A0" w:firstRow="1" w:lastRow="0" w:firstColumn="1" w:lastColumn="0" w:noHBand="0" w:noVBand="1"/>
      </w:tblPr>
      <w:tblGrid>
        <w:gridCol w:w="1985"/>
        <w:gridCol w:w="5528"/>
      </w:tblGrid>
      <w:tr w:rsidR="00E1028F" w:rsidRPr="002D19C6" w:rsidTr="00E1028F">
        <w:trPr>
          <w:trHeight w:val="212"/>
        </w:trPr>
        <w:tc>
          <w:tcPr>
            <w:tcW w:w="1985" w:type="dxa"/>
          </w:tcPr>
          <w:p w:rsidR="00E1028F" w:rsidRPr="002D19C6" w:rsidRDefault="00E1028F" w:rsidP="00A906AD">
            <w:pPr>
              <w:jc w:val="center"/>
              <w:rPr>
                <w:rFonts w:ascii="Spranq eco sans" w:hAnsi="Spranq eco sans"/>
                <w:b/>
                <w:sz w:val="20"/>
                <w:szCs w:val="20"/>
              </w:rPr>
            </w:pPr>
            <w:r w:rsidRPr="002D19C6">
              <w:rPr>
                <w:rFonts w:ascii="Spranq eco sans" w:hAnsi="Spranq eco sans"/>
                <w:b/>
                <w:sz w:val="20"/>
                <w:szCs w:val="20"/>
              </w:rPr>
              <w:lastRenderedPageBreak/>
              <w:t>Sección</w:t>
            </w:r>
          </w:p>
        </w:tc>
        <w:tc>
          <w:tcPr>
            <w:tcW w:w="5528" w:type="dxa"/>
          </w:tcPr>
          <w:p w:rsidR="00E1028F" w:rsidRPr="002D19C6" w:rsidRDefault="00E1028F" w:rsidP="00A906AD">
            <w:pPr>
              <w:jc w:val="center"/>
              <w:rPr>
                <w:rFonts w:ascii="Spranq eco sans" w:hAnsi="Spranq eco sans"/>
                <w:b/>
                <w:sz w:val="20"/>
                <w:szCs w:val="20"/>
              </w:rPr>
            </w:pPr>
            <w:r w:rsidRPr="002D19C6">
              <w:rPr>
                <w:rFonts w:ascii="Spranq eco sans" w:hAnsi="Spranq eco sans"/>
                <w:b/>
                <w:sz w:val="20"/>
                <w:szCs w:val="20"/>
              </w:rPr>
              <w:t xml:space="preserve">Justificación para derogación </w:t>
            </w:r>
          </w:p>
        </w:tc>
      </w:tr>
      <w:tr w:rsidR="00E1028F" w:rsidRPr="002D19C6" w:rsidTr="00E1028F">
        <w:trPr>
          <w:trHeight w:val="3681"/>
        </w:trPr>
        <w:tc>
          <w:tcPr>
            <w:tcW w:w="1985" w:type="dxa"/>
          </w:tcPr>
          <w:p w:rsidR="00E1028F" w:rsidRPr="002D19C6" w:rsidRDefault="00E1028F" w:rsidP="00A906AD">
            <w:pPr>
              <w:rPr>
                <w:rFonts w:ascii="Spranq eco sans" w:hAnsi="Spranq eco sans"/>
                <w:b/>
                <w:sz w:val="20"/>
                <w:szCs w:val="20"/>
              </w:rPr>
            </w:pPr>
            <w:r w:rsidRPr="002D19C6">
              <w:rPr>
                <w:rFonts w:ascii="Spranq eco sans" w:hAnsi="Spranq eco sans"/>
                <w:b/>
                <w:sz w:val="20"/>
                <w:szCs w:val="20"/>
              </w:rPr>
              <w:t>Sección VI – Del procedimiento para aplicar las sanciones</w:t>
            </w:r>
          </w:p>
        </w:tc>
        <w:tc>
          <w:tcPr>
            <w:tcW w:w="5528" w:type="dxa"/>
            <w:vMerge w:val="restart"/>
          </w:tcPr>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La OM 138 establece en su Capítulo IX el Procedimiento para Infracciones y sanciones.  En el artículo 29 se establece en los siguientes literales:</w:t>
            </w:r>
          </w:p>
          <w:p w:rsidR="00E1028F" w:rsidRPr="002D19C6" w:rsidRDefault="00E1028F" w:rsidP="00A906AD">
            <w:pPr>
              <w:jc w:val="both"/>
              <w:rPr>
                <w:rFonts w:ascii="Spranq eco sans" w:hAnsi="Spranq eco sans"/>
                <w:sz w:val="20"/>
                <w:szCs w:val="20"/>
              </w:rPr>
            </w:pPr>
          </w:p>
          <w:p w:rsidR="00E1028F" w:rsidRPr="002D19C6" w:rsidRDefault="00E1028F" w:rsidP="00A906AD">
            <w:pPr>
              <w:jc w:val="both"/>
              <w:rPr>
                <w:rFonts w:ascii="Spranq eco sans" w:hAnsi="Spranq eco sans"/>
                <w:i/>
                <w:sz w:val="20"/>
                <w:szCs w:val="20"/>
              </w:rPr>
            </w:pPr>
            <w:r w:rsidRPr="002D19C6">
              <w:rPr>
                <w:rFonts w:ascii="Spranq eco sans" w:hAnsi="Spranq eco sans"/>
                <w:i/>
                <w:sz w:val="20"/>
                <w:szCs w:val="20"/>
              </w:rPr>
              <w:t>“ j) Por ruido que supere los límites máximos permisibles establecidos en las normas técnicas pertinentes, independientemente que el administrado cuente o no con el respectivo permiso o autorización administrativa ambiental, excepto en situaciones de emergencia declaradas por la Autoridad competente, serán sancionados en base al grado de afectación e impacto ambiental, el cual será determinado por los mecanismos establecidos en los instructivos pertinentes de la presente Ordenanza, de la siguiente forma:</w:t>
            </w:r>
          </w:p>
          <w:p w:rsidR="00E1028F" w:rsidRPr="002D19C6" w:rsidRDefault="00E1028F" w:rsidP="00A906AD">
            <w:pPr>
              <w:jc w:val="both"/>
              <w:rPr>
                <w:rFonts w:ascii="Spranq eco sans" w:hAnsi="Spranq eco sans"/>
                <w:i/>
                <w:sz w:val="20"/>
                <w:szCs w:val="20"/>
              </w:rPr>
            </w:pPr>
            <w:r w:rsidRPr="002D19C6">
              <w:rPr>
                <w:rFonts w:ascii="Spranq eco sans" w:hAnsi="Spranq eco sans"/>
                <w:i/>
                <w:sz w:val="20"/>
                <w:szCs w:val="20"/>
              </w:rPr>
              <w:t>i.  Si es leve con una multa de 2 salarios básicos unificados del trabajador en general, sin perjuicio de las acciones civiles o penales y la responsabilidad por la reparación ambiental a que haya lugar.</w:t>
            </w:r>
          </w:p>
          <w:p w:rsidR="00E1028F" w:rsidRPr="002D19C6" w:rsidRDefault="00E1028F" w:rsidP="00A906AD">
            <w:pPr>
              <w:jc w:val="both"/>
              <w:rPr>
                <w:rFonts w:ascii="Spranq eco sans" w:hAnsi="Spranq eco sans"/>
                <w:i/>
                <w:sz w:val="20"/>
                <w:szCs w:val="20"/>
              </w:rPr>
            </w:pPr>
            <w:r w:rsidRPr="002D19C6">
              <w:rPr>
                <w:rFonts w:ascii="Spranq eco sans" w:hAnsi="Spranq eco sans"/>
                <w:i/>
                <w:sz w:val="20"/>
                <w:szCs w:val="20"/>
              </w:rPr>
              <w:t>j.    Si es grave con una multa de 4 salarios básicos unificados del trabajador en general, sin perjuicio de las acciones civiles o penales y la responsabilidad por la reparación ambiental a que haya lugar.</w:t>
            </w:r>
          </w:p>
          <w:p w:rsidR="00E1028F" w:rsidRPr="002D19C6" w:rsidRDefault="00E1028F" w:rsidP="00A906AD">
            <w:pPr>
              <w:jc w:val="both"/>
              <w:rPr>
                <w:rFonts w:ascii="Spranq eco sans" w:hAnsi="Spranq eco sans"/>
                <w:i/>
                <w:sz w:val="20"/>
                <w:szCs w:val="20"/>
              </w:rPr>
            </w:pPr>
            <w:r w:rsidRPr="002D19C6">
              <w:rPr>
                <w:rFonts w:ascii="Spranq eco sans" w:hAnsi="Spranq eco sans"/>
                <w:i/>
                <w:sz w:val="20"/>
                <w:szCs w:val="20"/>
              </w:rPr>
              <w:t>k.       Si es muy grave con una multa de 8 salarios básicos unificados del trabajador en general, sin perjuicio de las acciones civiles o penales y la responsabilidad por la reparación ambiental a que haya lugar.”</w:t>
            </w:r>
          </w:p>
          <w:p w:rsidR="00E1028F" w:rsidRPr="002D19C6" w:rsidRDefault="00E1028F" w:rsidP="00A906AD">
            <w:pPr>
              <w:jc w:val="both"/>
              <w:rPr>
                <w:rFonts w:ascii="Spranq eco sans" w:hAnsi="Spranq eco sans"/>
                <w:sz w:val="20"/>
                <w:szCs w:val="20"/>
              </w:rPr>
            </w:pPr>
          </w:p>
          <w:p w:rsidR="00E1028F" w:rsidRPr="002D19C6" w:rsidRDefault="00E1028F" w:rsidP="00A906AD">
            <w:pPr>
              <w:jc w:val="both"/>
              <w:rPr>
                <w:rFonts w:ascii="Spranq eco sans" w:hAnsi="Spranq eco sans"/>
                <w:sz w:val="20"/>
                <w:szCs w:val="20"/>
              </w:rPr>
            </w:pPr>
            <w:r w:rsidRPr="002D19C6">
              <w:rPr>
                <w:rFonts w:ascii="Spranq eco sans" w:hAnsi="Spranq eco sans"/>
                <w:sz w:val="20"/>
                <w:szCs w:val="20"/>
              </w:rPr>
              <w:t xml:space="preserve">Adicionalmente, cuando aplica la implementación del “Instructivo General de Aplicación de la Ordenanza Metropolitana No. 138 para evaluación de aislamiento acústico de establecimientos de actividad” y el establecimiento no cumple con lo solicitado por la Secretaría de Ambiente se cataloga como una No conformidad menor, de acuerdo a las categorías establecidas en el Instructivo de Aplicación de la OM 138 literal g): </w:t>
            </w:r>
            <w:r w:rsidRPr="002D19C6">
              <w:rPr>
                <w:rFonts w:ascii="Spranq eco sans" w:hAnsi="Spranq eco sans"/>
                <w:i/>
                <w:sz w:val="20"/>
                <w:szCs w:val="20"/>
              </w:rPr>
              <w:t>“El incumplimiento de las obligaciones ambientales descritas en los permisos ambientales, PMA u otras requeridas por la AAD (exceptuando incumplimientos referidos a entrega de residuos a gestores ambientales autorizados e incumplimiento de límites máximos permisibles establecidos en las normas técnicas respectivas).”</w:t>
            </w:r>
          </w:p>
        </w:tc>
      </w:tr>
      <w:tr w:rsidR="00E1028F" w:rsidRPr="002D19C6" w:rsidTr="00E1028F">
        <w:trPr>
          <w:trHeight w:val="3424"/>
        </w:trPr>
        <w:tc>
          <w:tcPr>
            <w:tcW w:w="1985" w:type="dxa"/>
          </w:tcPr>
          <w:p w:rsidR="00E1028F" w:rsidRPr="002D19C6" w:rsidRDefault="00E1028F" w:rsidP="00A906AD">
            <w:pPr>
              <w:rPr>
                <w:rFonts w:ascii="Spranq eco sans" w:hAnsi="Spranq eco sans"/>
                <w:b/>
                <w:sz w:val="20"/>
                <w:szCs w:val="20"/>
              </w:rPr>
            </w:pPr>
            <w:r w:rsidRPr="002D19C6">
              <w:rPr>
                <w:rFonts w:ascii="Spranq eco sans" w:hAnsi="Spranq eco sans"/>
                <w:b/>
                <w:sz w:val="20"/>
                <w:szCs w:val="20"/>
              </w:rPr>
              <w:t>Sección VII – De las sanciones</w:t>
            </w:r>
          </w:p>
        </w:tc>
        <w:tc>
          <w:tcPr>
            <w:tcW w:w="5528" w:type="dxa"/>
            <w:vMerge/>
          </w:tcPr>
          <w:p w:rsidR="00E1028F" w:rsidRPr="002D19C6" w:rsidRDefault="00E1028F" w:rsidP="00A906AD">
            <w:pPr>
              <w:jc w:val="both"/>
              <w:rPr>
                <w:rFonts w:ascii="Spranq eco sans" w:hAnsi="Spranq eco sans"/>
                <w:sz w:val="20"/>
                <w:szCs w:val="20"/>
              </w:rPr>
            </w:pPr>
          </w:p>
        </w:tc>
      </w:tr>
    </w:tbl>
    <w:p w:rsidR="00905E23" w:rsidRPr="002D19C6" w:rsidRDefault="00905E23" w:rsidP="00F20020">
      <w:pPr>
        <w:jc w:val="both"/>
        <w:rPr>
          <w:rFonts w:ascii="Spranq eco sans" w:hAnsi="Spranq eco sans"/>
          <w:sz w:val="20"/>
          <w:szCs w:val="20"/>
          <w:lang w:val="es-ES"/>
        </w:rPr>
      </w:pPr>
    </w:p>
    <w:sectPr w:rsidR="00905E23" w:rsidRPr="002D19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pranq eco sans">
    <w:altName w:val="Malgun Gothic"/>
    <w:panose1 w:val="020B0603030804020204"/>
    <w:charset w:val="00"/>
    <w:family w:val="swiss"/>
    <w:pitch w:val="variable"/>
    <w:sig w:usb0="800000AF"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959"/>
    <w:multiLevelType w:val="hybridMultilevel"/>
    <w:tmpl w:val="CB1EC28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nsid w:val="145524F1"/>
    <w:multiLevelType w:val="hybridMultilevel"/>
    <w:tmpl w:val="D2221BB6"/>
    <w:lvl w:ilvl="0" w:tplc="300A0001">
      <w:start w:val="1"/>
      <w:numFmt w:val="bullet"/>
      <w:lvlText w:val=""/>
      <w:lvlJc w:val="left"/>
      <w:pPr>
        <w:ind w:left="795" w:hanging="360"/>
      </w:pPr>
      <w:rPr>
        <w:rFonts w:ascii="Symbol" w:hAnsi="Symbol" w:hint="default"/>
      </w:rPr>
    </w:lvl>
    <w:lvl w:ilvl="1" w:tplc="300A0003" w:tentative="1">
      <w:start w:val="1"/>
      <w:numFmt w:val="bullet"/>
      <w:lvlText w:val="o"/>
      <w:lvlJc w:val="left"/>
      <w:pPr>
        <w:ind w:left="1515" w:hanging="360"/>
      </w:pPr>
      <w:rPr>
        <w:rFonts w:ascii="Courier New" w:hAnsi="Courier New" w:cs="Courier New" w:hint="default"/>
      </w:rPr>
    </w:lvl>
    <w:lvl w:ilvl="2" w:tplc="300A0005" w:tentative="1">
      <w:start w:val="1"/>
      <w:numFmt w:val="bullet"/>
      <w:lvlText w:val=""/>
      <w:lvlJc w:val="left"/>
      <w:pPr>
        <w:ind w:left="2235" w:hanging="360"/>
      </w:pPr>
      <w:rPr>
        <w:rFonts w:ascii="Wingdings" w:hAnsi="Wingdings" w:hint="default"/>
      </w:rPr>
    </w:lvl>
    <w:lvl w:ilvl="3" w:tplc="300A0001" w:tentative="1">
      <w:start w:val="1"/>
      <w:numFmt w:val="bullet"/>
      <w:lvlText w:val=""/>
      <w:lvlJc w:val="left"/>
      <w:pPr>
        <w:ind w:left="2955" w:hanging="360"/>
      </w:pPr>
      <w:rPr>
        <w:rFonts w:ascii="Symbol" w:hAnsi="Symbol" w:hint="default"/>
      </w:rPr>
    </w:lvl>
    <w:lvl w:ilvl="4" w:tplc="300A0003" w:tentative="1">
      <w:start w:val="1"/>
      <w:numFmt w:val="bullet"/>
      <w:lvlText w:val="o"/>
      <w:lvlJc w:val="left"/>
      <w:pPr>
        <w:ind w:left="3675" w:hanging="360"/>
      </w:pPr>
      <w:rPr>
        <w:rFonts w:ascii="Courier New" w:hAnsi="Courier New" w:cs="Courier New" w:hint="default"/>
      </w:rPr>
    </w:lvl>
    <w:lvl w:ilvl="5" w:tplc="300A0005" w:tentative="1">
      <w:start w:val="1"/>
      <w:numFmt w:val="bullet"/>
      <w:lvlText w:val=""/>
      <w:lvlJc w:val="left"/>
      <w:pPr>
        <w:ind w:left="4395" w:hanging="360"/>
      </w:pPr>
      <w:rPr>
        <w:rFonts w:ascii="Wingdings" w:hAnsi="Wingdings" w:hint="default"/>
      </w:rPr>
    </w:lvl>
    <w:lvl w:ilvl="6" w:tplc="300A0001" w:tentative="1">
      <w:start w:val="1"/>
      <w:numFmt w:val="bullet"/>
      <w:lvlText w:val=""/>
      <w:lvlJc w:val="left"/>
      <w:pPr>
        <w:ind w:left="5115" w:hanging="360"/>
      </w:pPr>
      <w:rPr>
        <w:rFonts w:ascii="Symbol" w:hAnsi="Symbol" w:hint="default"/>
      </w:rPr>
    </w:lvl>
    <w:lvl w:ilvl="7" w:tplc="300A0003" w:tentative="1">
      <w:start w:val="1"/>
      <w:numFmt w:val="bullet"/>
      <w:lvlText w:val="o"/>
      <w:lvlJc w:val="left"/>
      <w:pPr>
        <w:ind w:left="5835" w:hanging="360"/>
      </w:pPr>
      <w:rPr>
        <w:rFonts w:ascii="Courier New" w:hAnsi="Courier New" w:cs="Courier New" w:hint="default"/>
      </w:rPr>
    </w:lvl>
    <w:lvl w:ilvl="8" w:tplc="300A0005" w:tentative="1">
      <w:start w:val="1"/>
      <w:numFmt w:val="bullet"/>
      <w:lvlText w:val=""/>
      <w:lvlJc w:val="left"/>
      <w:pPr>
        <w:ind w:left="6555" w:hanging="360"/>
      </w:pPr>
      <w:rPr>
        <w:rFonts w:ascii="Wingdings" w:hAnsi="Wingdings" w:hint="default"/>
      </w:rPr>
    </w:lvl>
  </w:abstractNum>
  <w:abstractNum w:abstractNumId="2">
    <w:nsid w:val="3EF9054C"/>
    <w:multiLevelType w:val="hybridMultilevel"/>
    <w:tmpl w:val="D792A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AB4DCB"/>
    <w:multiLevelType w:val="hybridMultilevel"/>
    <w:tmpl w:val="6FC079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94935AF"/>
    <w:multiLevelType w:val="hybridMultilevel"/>
    <w:tmpl w:val="85D49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EC"/>
    <w:rsid w:val="000054B7"/>
    <w:rsid w:val="00082E07"/>
    <w:rsid w:val="000F3D78"/>
    <w:rsid w:val="00217251"/>
    <w:rsid w:val="00256810"/>
    <w:rsid w:val="002C0F7F"/>
    <w:rsid w:val="002D19C6"/>
    <w:rsid w:val="002D7B7E"/>
    <w:rsid w:val="0039448C"/>
    <w:rsid w:val="00487E31"/>
    <w:rsid w:val="004E5F9C"/>
    <w:rsid w:val="00577854"/>
    <w:rsid w:val="005B615A"/>
    <w:rsid w:val="005C200F"/>
    <w:rsid w:val="00622BD5"/>
    <w:rsid w:val="006559F0"/>
    <w:rsid w:val="00754496"/>
    <w:rsid w:val="007676BF"/>
    <w:rsid w:val="007B4842"/>
    <w:rsid w:val="007C251A"/>
    <w:rsid w:val="007C6730"/>
    <w:rsid w:val="0088195B"/>
    <w:rsid w:val="008A31FB"/>
    <w:rsid w:val="008B67A2"/>
    <w:rsid w:val="008F61C5"/>
    <w:rsid w:val="00905E23"/>
    <w:rsid w:val="0092007F"/>
    <w:rsid w:val="00A0783A"/>
    <w:rsid w:val="00B868B7"/>
    <w:rsid w:val="00B937DE"/>
    <w:rsid w:val="00B96D44"/>
    <w:rsid w:val="00C609EC"/>
    <w:rsid w:val="00C7399F"/>
    <w:rsid w:val="00C957E7"/>
    <w:rsid w:val="00CF590E"/>
    <w:rsid w:val="00D31BC8"/>
    <w:rsid w:val="00D45026"/>
    <w:rsid w:val="00D54CA7"/>
    <w:rsid w:val="00D8203D"/>
    <w:rsid w:val="00D9296E"/>
    <w:rsid w:val="00DC5F9C"/>
    <w:rsid w:val="00E1028F"/>
    <w:rsid w:val="00E10D23"/>
    <w:rsid w:val="00E743F7"/>
    <w:rsid w:val="00E84E97"/>
    <w:rsid w:val="00EB2AC2"/>
    <w:rsid w:val="00ED7AF8"/>
    <w:rsid w:val="00F0581A"/>
    <w:rsid w:val="00F20020"/>
    <w:rsid w:val="00FC544B"/>
    <w:rsid w:val="00FF09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399F"/>
    <w:pPr>
      <w:ind w:left="720"/>
      <w:contextualSpacing/>
    </w:pPr>
  </w:style>
  <w:style w:type="paragraph" w:styleId="Sinespaciado">
    <w:name w:val="No Spacing"/>
    <w:link w:val="SinespaciadoCar"/>
    <w:uiPriority w:val="1"/>
    <w:qFormat/>
    <w:rsid w:val="000054B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0054B7"/>
    <w:rPr>
      <w:rFonts w:ascii="Calibri" w:eastAsia="Calibri" w:hAnsi="Calibri" w:cs="Times New Roman"/>
    </w:rPr>
  </w:style>
  <w:style w:type="table" w:styleId="Tablaconcuadrcula">
    <w:name w:val="Table Grid"/>
    <w:basedOn w:val="Tablanormal"/>
    <w:uiPriority w:val="59"/>
    <w:rsid w:val="00D8203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399F"/>
    <w:pPr>
      <w:ind w:left="720"/>
      <w:contextualSpacing/>
    </w:pPr>
  </w:style>
  <w:style w:type="paragraph" w:styleId="Sinespaciado">
    <w:name w:val="No Spacing"/>
    <w:link w:val="SinespaciadoCar"/>
    <w:uiPriority w:val="1"/>
    <w:qFormat/>
    <w:rsid w:val="000054B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0054B7"/>
    <w:rPr>
      <w:rFonts w:ascii="Calibri" w:eastAsia="Calibri" w:hAnsi="Calibri" w:cs="Times New Roman"/>
    </w:rPr>
  </w:style>
  <w:style w:type="table" w:styleId="Tablaconcuadrcula">
    <w:name w:val="Table Grid"/>
    <w:basedOn w:val="Tablanormal"/>
    <w:uiPriority w:val="59"/>
    <w:rsid w:val="00D8203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664F-518C-4F3F-A34B-62466E20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2673</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Orlando Baquezea Rodriguez</dc:creator>
  <cp:lastModifiedBy>Richard Orlando Baquezea Rodriguez</cp:lastModifiedBy>
  <cp:revision>2</cp:revision>
  <cp:lastPrinted>2019-01-10T16:43:00Z</cp:lastPrinted>
  <dcterms:created xsi:type="dcterms:W3CDTF">2019-01-14T19:17:00Z</dcterms:created>
  <dcterms:modified xsi:type="dcterms:W3CDTF">2019-01-14T19:17:00Z</dcterms:modified>
</cp:coreProperties>
</file>