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21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2268"/>
        <w:gridCol w:w="1469"/>
        <w:gridCol w:w="1710"/>
        <w:gridCol w:w="1530"/>
        <w:gridCol w:w="465"/>
        <w:gridCol w:w="53"/>
        <w:gridCol w:w="894"/>
        <w:gridCol w:w="1108"/>
        <w:gridCol w:w="455"/>
        <w:gridCol w:w="33"/>
      </w:tblGrid>
      <w:tr w:rsidR="00154F2B" w:rsidRPr="00893FD8" w14:paraId="21C59734" w14:textId="77777777" w:rsidTr="00701A3E">
        <w:trPr>
          <w:trHeight w:val="225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73568308" w14:textId="77777777" w:rsidR="00AB6571" w:rsidRPr="00893FD8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14:paraId="58EDB940" w14:textId="77777777" w:rsidR="00AB6571" w:rsidRPr="00893FD8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32E8A318" w14:textId="77777777" w:rsidR="00AB6571" w:rsidRPr="00893FD8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893FD8" w14:paraId="5253E15E" w14:textId="77777777" w:rsidTr="00701A3E">
        <w:trPr>
          <w:trHeight w:val="225"/>
        </w:trPr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3446644F" w14:textId="77777777" w:rsidR="009617FE" w:rsidRPr="00893FD8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14:paraId="0B82E9F1" w14:textId="77777777" w:rsidR="009617FE" w:rsidRPr="00893FD8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14:paraId="385581B7" w14:textId="77777777" w:rsidR="009617FE" w:rsidRPr="00893FD8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14:paraId="435E280A" w14:textId="77777777" w:rsidR="009617FE" w:rsidRPr="00893FD8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14:paraId="0E32EA51" w14:textId="77777777" w:rsidR="009617FE" w:rsidRPr="00893FD8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893FD8" w14:paraId="75036FAA" w14:textId="77777777" w:rsidTr="00701A3E">
        <w:trPr>
          <w:trHeight w:val="225"/>
        </w:trPr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76F9B8F9" w14:textId="77777777" w:rsidR="009617FE" w:rsidRPr="00893FD8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14:paraId="653A22E3" w14:textId="77777777" w:rsidR="009617FE" w:rsidRPr="00893FD8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14:paraId="0259572E" w14:textId="77777777" w:rsidR="009617FE" w:rsidRPr="00893FD8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14:paraId="387224BA" w14:textId="77777777" w:rsidR="009617FE" w:rsidRPr="00893FD8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B9AB684" wp14:editId="495898FB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14:paraId="0DF7C313" w14:textId="77777777" w:rsidR="009617FE" w:rsidRPr="00893FD8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893FD8" w14:paraId="554B442F" w14:textId="77777777" w:rsidTr="00701A3E">
        <w:trPr>
          <w:trHeight w:val="225"/>
        </w:trPr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1FDFBCB4" w14:textId="77777777" w:rsidR="00611782" w:rsidRPr="00893FD8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14:paraId="65570740" w14:textId="77777777" w:rsidR="00611782" w:rsidRPr="00893FD8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14:paraId="56BE157D" w14:textId="77777777" w:rsidR="00611782" w:rsidRPr="00893FD8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93FD8" w14:paraId="49A0CADA" w14:textId="77777777" w:rsidTr="00701A3E">
        <w:trPr>
          <w:trHeight w:val="269"/>
        </w:trPr>
        <w:tc>
          <w:tcPr>
            <w:tcW w:w="709" w:type="dxa"/>
            <w:vMerge/>
            <w:shd w:val="clear" w:color="auto" w:fill="365F91"/>
            <w:vAlign w:val="center"/>
            <w:hideMark/>
          </w:tcPr>
          <w:p w14:paraId="4383AEDE" w14:textId="77777777" w:rsidR="00F41668" w:rsidRPr="00893FD8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14:paraId="2DD854CA" w14:textId="77777777" w:rsidR="00F41668" w:rsidRPr="00893FD8" w:rsidRDefault="00AB2E39" w:rsidP="00B6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</w:t>
            </w:r>
            <w:r w:rsidR="00A0780B" w:rsidRPr="00893FD8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20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14:paraId="5F399090" w14:textId="77777777" w:rsidR="00F41668" w:rsidRPr="00893FD8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14:paraId="3E6BD395" w14:textId="77777777" w:rsidR="00F41668" w:rsidRPr="00893FD8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93FD8" w14:paraId="2E4CD61A" w14:textId="77777777" w:rsidTr="00701A3E">
        <w:trPr>
          <w:trHeight w:val="269"/>
        </w:trPr>
        <w:tc>
          <w:tcPr>
            <w:tcW w:w="709" w:type="dxa"/>
            <w:vMerge/>
            <w:vAlign w:val="center"/>
            <w:hideMark/>
          </w:tcPr>
          <w:p w14:paraId="3892F13A" w14:textId="77777777" w:rsidR="00F41668" w:rsidRPr="00893FD8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14:paraId="783D045A" w14:textId="77777777" w:rsidR="00F41668" w:rsidRPr="00893FD8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14:paraId="57DCD912" w14:textId="77777777" w:rsidR="00F41668" w:rsidRPr="00893FD8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14:paraId="4E80626D" w14:textId="77777777" w:rsidR="00F41668" w:rsidRPr="00893FD8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893FD8" w14:paraId="183F0080" w14:textId="77777777" w:rsidTr="00701A3E">
        <w:trPr>
          <w:trHeight w:val="234"/>
        </w:trPr>
        <w:tc>
          <w:tcPr>
            <w:tcW w:w="709" w:type="dxa"/>
            <w:vMerge/>
            <w:vAlign w:val="center"/>
            <w:hideMark/>
          </w:tcPr>
          <w:p w14:paraId="54BE6981" w14:textId="77777777" w:rsidR="004B2C6F" w:rsidRPr="00893FD8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E24D56" w14:textId="77777777" w:rsidR="004B2C6F" w:rsidRPr="00893FD8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14:paraId="2FBD9D0E" w14:textId="77777777" w:rsidR="004B2C6F" w:rsidRPr="00893FD8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893FD8" w14:paraId="39212CB5" w14:textId="77777777" w:rsidTr="00701A3E">
        <w:trPr>
          <w:trHeight w:val="34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402DCE1" w14:textId="77777777" w:rsidR="00C723FF" w:rsidRPr="00893FD8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14:paraId="3CE08E49" w14:textId="77777777" w:rsidR="00C723FF" w:rsidRPr="00893FD8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6B9A" w14:textId="77777777" w:rsidR="00C723FF" w:rsidRPr="00893FD8" w:rsidRDefault="00B32630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893FD8">
              <w:rPr>
                <w:rFonts w:asciiTheme="minorHAnsi" w:hAnsiTheme="minorHAnsi" w:cs="Arial"/>
                <w:lang w:val="es-ES"/>
              </w:rPr>
              <w:t>CONSTRUCCIÓN Y CONSOLIDACIÓN  – PARQUE BICENTENARIO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8FA7B3" w14:textId="77777777" w:rsidR="00C723FF" w:rsidRPr="00893FD8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893FD8" w14:paraId="7FC2C865" w14:textId="77777777" w:rsidTr="00701A3E">
        <w:trPr>
          <w:trHeight w:val="285"/>
        </w:trPr>
        <w:tc>
          <w:tcPr>
            <w:tcW w:w="709" w:type="dxa"/>
            <w:vMerge/>
            <w:vAlign w:val="center"/>
          </w:tcPr>
          <w:p w14:paraId="48BCFBD0" w14:textId="77777777" w:rsidR="0000251C" w:rsidRPr="00893FD8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15152F29" w14:textId="77777777" w:rsidR="0000251C" w:rsidRPr="00893FD8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14:paraId="68BEEE24" w14:textId="77777777" w:rsidR="0000251C" w:rsidRPr="00893FD8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93FD8" w14:paraId="482C20D6" w14:textId="77777777" w:rsidTr="00886781">
        <w:trPr>
          <w:trHeight w:val="59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E8ECB6A" w14:textId="77777777" w:rsidR="00AB2E39" w:rsidRPr="00893FD8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14:paraId="771EA41B" w14:textId="77777777" w:rsidR="00AB2E39" w:rsidRPr="00893FD8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90B9" w14:textId="77777777" w:rsidR="00AB2E39" w:rsidRPr="00893FD8" w:rsidRDefault="00CB6E44" w:rsidP="00CB6E44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CONSOLIDACION </w:t>
            </w:r>
            <w:r w:rsidR="00A0780B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DEL PARQUE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METROPOLITANO BICENTENARIO DENTRO DEL MARCO DE LA ORDENANZA 352 Y LAS FASES ESTABLECIDAS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77DEFF37" w14:textId="77777777" w:rsidR="00AB2E39" w:rsidRPr="00893FD8" w:rsidRDefault="00CB6E44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</w:t>
            </w:r>
            <w:r w:rsidR="00AB2E39" w:rsidRPr="00893FD8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47B" w14:textId="77777777" w:rsidR="00AB2E39" w:rsidRPr="00893FD8" w:rsidRDefault="00A0780B" w:rsidP="00694F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895</w:t>
            </w:r>
            <w:r w:rsidR="00694F59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.</w:t>
            </w:r>
            <w:r w:rsidRPr="00893FD8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501</w:t>
            </w:r>
            <w:r w:rsidR="00694F59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893FD8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0</w:t>
            </w:r>
            <w:r w:rsidR="00B67573" w:rsidRPr="00893FD8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0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AD71422" w14:textId="77777777" w:rsidR="00AB2E39" w:rsidRPr="00893FD8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893FD8" w14:paraId="4B591B36" w14:textId="77777777" w:rsidTr="00701A3E">
        <w:trPr>
          <w:trHeight w:val="19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FF48C54" w14:textId="77777777" w:rsidR="00AB2E39" w:rsidRPr="00893FD8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14:paraId="43B86382" w14:textId="77777777" w:rsidR="00AB2E39" w:rsidRPr="00893FD8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8C6" w14:textId="77777777" w:rsidR="00AB2E39" w:rsidRPr="00893FD8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6BCA7F89" w14:textId="77777777" w:rsidR="00AB2E39" w:rsidRPr="00893FD8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A008" w14:textId="467791A3" w:rsidR="00AB2E39" w:rsidRPr="00893FD8" w:rsidRDefault="00886781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EN PROCESO </w:t>
            </w:r>
            <w:r w:rsidR="006636F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– 80% por administración directa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1873716" w14:textId="77777777" w:rsidR="00AB2E39" w:rsidRPr="00893FD8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93FD8" w14:paraId="42CC2C37" w14:textId="77777777" w:rsidTr="00701A3E">
        <w:trPr>
          <w:trHeight w:val="225"/>
        </w:trPr>
        <w:tc>
          <w:tcPr>
            <w:tcW w:w="709" w:type="dxa"/>
            <w:vMerge/>
            <w:vAlign w:val="center"/>
            <w:hideMark/>
          </w:tcPr>
          <w:p w14:paraId="3475C6C0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68F50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14:paraId="04C4C88F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14:paraId="0C4EB6EC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893FD8" w14:paraId="58A3ED06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DC90177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14:paraId="1349F0A6" w14:textId="77777777" w:rsidR="00AB6571" w:rsidRPr="00893FD8" w:rsidRDefault="005E1416" w:rsidP="001C6DA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893FD8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1C6DA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893FD8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14:paraId="16A1CF8C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893FD8" w14:paraId="5D8C1D78" w14:textId="77777777" w:rsidTr="00701A3E">
        <w:trPr>
          <w:trHeight w:val="27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3C8DDBE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14:paraId="6BEF7E57" w14:textId="77777777" w:rsidR="00AB6571" w:rsidRPr="00F540D8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14:paraId="5DCEB1E9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93FD8" w14:paraId="731105D4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3537F06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01BE" w14:textId="77777777" w:rsidR="00AB6571" w:rsidRPr="00893FD8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89377" w14:textId="77777777" w:rsidR="00AB6571" w:rsidRPr="00F540D8" w:rsidRDefault="00A0780B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NORTE – EUGENIO ESPEJO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14:paraId="0CBE13FA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93FD8" w14:paraId="26F985C6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F199611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F459" w14:textId="77777777" w:rsidR="00AB6571" w:rsidRPr="00893FD8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0E302" w14:textId="77777777" w:rsidR="00AB6571" w:rsidRPr="00F540D8" w:rsidRDefault="00A0780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hAnsiTheme="minorHAnsi" w:cs="Arial"/>
                <w:lang w:val="es-ES"/>
              </w:rPr>
              <w:t>CONCEPCIÓN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14:paraId="56E1940C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93FD8" w14:paraId="50EAE7CA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D8DC89B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CDAE" w14:textId="77777777" w:rsidR="00AB6571" w:rsidRPr="00893FD8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07137" w14:textId="77777777" w:rsidR="00AB6571" w:rsidRPr="00F540D8" w:rsidRDefault="00A0780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hAnsiTheme="minorHAnsi" w:cs="Arial"/>
                <w:lang w:val="es-ES"/>
              </w:rPr>
              <w:t>AEROPUERTO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14:paraId="7AC41F1F" w14:textId="77777777" w:rsidR="00AB6571" w:rsidRPr="00893FD8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3A2F" w:rsidRPr="00893FD8" w14:paraId="0317E3C2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14:paraId="5ECB1037" w14:textId="77777777" w:rsidR="00F43A2F" w:rsidRPr="00893FD8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F409" w14:textId="77777777" w:rsidR="00F43A2F" w:rsidRPr="00893FD8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CALLE: 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53BFE1" w14:textId="77777777" w:rsidR="00F43A2F" w:rsidRPr="00F540D8" w:rsidRDefault="00A0780B" w:rsidP="005230AA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F540D8">
              <w:rPr>
                <w:rFonts w:asciiTheme="minorHAnsi" w:hAnsiTheme="minorHAnsi" w:cs="Arial"/>
                <w:lang w:val="es-ES"/>
              </w:rPr>
              <w:t xml:space="preserve">AV. RÍO AMAZONAS Y </w:t>
            </w:r>
            <w:r w:rsidR="005230AA" w:rsidRPr="00F540D8">
              <w:rPr>
                <w:rFonts w:asciiTheme="minorHAnsi" w:hAnsiTheme="minorHAnsi" w:cs="Arial"/>
                <w:lang w:val="es-ES"/>
              </w:rPr>
              <w:t>AV. ISAAC ALBENIZ</w:t>
            </w: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14:paraId="70F506EF" w14:textId="77777777" w:rsidR="00F43A2F" w:rsidRPr="00893FD8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893FD8" w14:paraId="4B48E458" w14:textId="77777777" w:rsidTr="00701A3E">
        <w:trPr>
          <w:trHeight w:val="358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689305D" w14:textId="77777777" w:rsidR="009A5652" w:rsidRPr="00893FD8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14:paraId="1811440B" w14:textId="77777777" w:rsidR="009A5652" w:rsidRPr="00F540D8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696C25D2" w14:textId="77777777" w:rsidR="009A5652" w:rsidRPr="00F540D8" w:rsidRDefault="004C160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F3E298" w14:textId="77777777" w:rsidR="009A5652" w:rsidRPr="00893FD8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2DB2C8D3" w14:textId="77777777" w:rsidTr="00701A3E">
        <w:trPr>
          <w:gridAfter w:val="1"/>
          <w:wAfter w:w="33" w:type="dxa"/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66CD903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E2826" w14:textId="77777777" w:rsidR="008D59B8" w:rsidRPr="00893FD8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0E65" w14:textId="77777777" w:rsidR="008D59B8" w:rsidRPr="00893FD8" w:rsidRDefault="00694F5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03BAA" w14:textId="77777777" w:rsidR="008D59B8" w:rsidRPr="00893FD8" w:rsidRDefault="008D59B8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14:paraId="4D9DD614" w14:textId="77777777" w:rsidR="008D59B8" w:rsidRPr="00893FD8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14:paraId="3B2A97B4" w14:textId="77777777" w:rsidR="008D59B8" w:rsidRPr="00893FD8" w:rsidRDefault="00CB6E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noProof/>
                <w:color w:val="000000"/>
                <w:lang w:val="es-MX" w:eastAsia="es-MX"/>
              </w:rPr>
              <w:drawing>
                <wp:inline distT="0" distB="0" distL="0" distR="0" wp14:anchorId="66F1A368" wp14:editId="5F16BEE5">
                  <wp:extent cx="3569335" cy="2419350"/>
                  <wp:effectExtent l="0" t="0" r="12065" b="0"/>
                  <wp:docPr id="2" name="Imagen 2" descr="Captura%20de%20pantalla%202017-09-26%20a%20las%208.57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a%20de%20pantalla%202017-09-26%20a%20las%208.57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539" cy="243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AB772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14:paraId="722C6F32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13648BBA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ECF23A4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70E04" w14:textId="77777777" w:rsidR="008D59B8" w:rsidRPr="00893FD8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7536" w14:textId="77777777" w:rsidR="008D59B8" w:rsidRPr="00893FD8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A7694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72A3DD0F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893FD8" w14:paraId="06ABD2C7" w14:textId="77777777" w:rsidTr="00701A3E">
        <w:trPr>
          <w:gridAfter w:val="2"/>
          <w:wAfter w:w="488" w:type="dxa"/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14:paraId="13511B0A" w14:textId="77777777" w:rsidR="00630E5F" w:rsidRPr="00893FD8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871884" w14:textId="77777777" w:rsidR="00630E5F" w:rsidRPr="00893FD8" w:rsidRDefault="00630E5F" w:rsidP="00F540D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</w:t>
            </w:r>
            <w:r w:rsidR="005230AA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Hab/</w:t>
            </w:r>
            <w:r w:rsid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h</w:t>
            </w: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a):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372D" w14:textId="77777777" w:rsidR="00630E5F" w:rsidRPr="00893FD8" w:rsidRDefault="00694F5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58E2C" w14:textId="77777777" w:rsidR="00630E5F" w:rsidRPr="00893FD8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09F71D97" w14:textId="77777777" w:rsidTr="00701A3E">
        <w:trPr>
          <w:gridAfter w:val="2"/>
          <w:wAfter w:w="488" w:type="dxa"/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8C1D6E4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D9DF5" w14:textId="77777777" w:rsidR="008D59B8" w:rsidRPr="00893FD8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630E5F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6B2A" w14:textId="77777777" w:rsidR="008D59B8" w:rsidRPr="00893FD8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F5B6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74E5A107" w14:textId="77777777" w:rsidTr="00701A3E">
        <w:trPr>
          <w:gridAfter w:val="2"/>
          <w:wAfter w:w="488" w:type="dxa"/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836CE7E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CB129" w14:textId="77777777" w:rsidR="008D59B8" w:rsidRPr="00893FD8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2F43" w14:textId="77777777" w:rsidR="008D59B8" w:rsidRPr="00893FD8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2EE1E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B05B8" w:rsidRPr="00893FD8" w14:paraId="57BF78CA" w14:textId="77777777" w:rsidTr="00701A3E">
        <w:trPr>
          <w:gridAfter w:val="2"/>
          <w:wAfter w:w="488" w:type="dxa"/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14:paraId="285F8939" w14:textId="77777777" w:rsidR="00DB05B8" w:rsidRPr="00893FD8" w:rsidRDefault="00DB05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2016F6" w14:textId="77777777" w:rsidR="00DB05B8" w:rsidRPr="00893FD8" w:rsidRDefault="00CB1FC6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2.6 No.</w:t>
            </w:r>
            <w:r w:rsidR="00DB05B8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DE VISITANTES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(MENSUAL)</w:t>
            </w:r>
            <w:r w:rsidR="00DB05B8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D19B" w14:textId="77777777" w:rsidR="00DB05B8" w:rsidRPr="00893FD8" w:rsidRDefault="00CB1FC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CB1FC6">
              <w:rPr>
                <w:rFonts w:asciiTheme="minorHAnsi" w:eastAsia="Times New Roman" w:hAnsiTheme="minorHAnsi" w:cs="Calibri"/>
                <w:lang w:eastAsia="es-EC"/>
              </w:rPr>
              <w:t>150.000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F310" w14:textId="77777777" w:rsidR="00DB05B8" w:rsidRPr="00893FD8" w:rsidRDefault="00DB05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5B29E7EB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789BE43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14:paraId="2A550B39" w14:textId="77777777" w:rsidR="008D59B8" w:rsidRPr="00F540D8" w:rsidRDefault="008D59B8" w:rsidP="001C6DA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1C6DAC"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C5F5A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5902CAC6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155801F6" w14:textId="77777777" w:rsidTr="00701A3E">
        <w:trPr>
          <w:gridAfter w:val="2"/>
          <w:wAfter w:w="488" w:type="dxa"/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1B301FA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FCB54" w14:textId="77777777" w:rsidR="008D59B8" w:rsidRPr="00F540D8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4AEE" w14:textId="77777777" w:rsidR="00EF6A86" w:rsidRPr="00F540D8" w:rsidRDefault="00A0780B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SI 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5837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0C5678BB" w14:textId="77777777" w:rsidTr="00701A3E">
        <w:trPr>
          <w:gridAfter w:val="2"/>
          <w:wAfter w:w="488" w:type="dxa"/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C4FF4E2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27CFC" w14:textId="77777777" w:rsidR="008D59B8" w:rsidRPr="00F540D8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A531" w14:textId="77777777" w:rsidR="008D59B8" w:rsidRPr="00F540D8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13E1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51A135DF" w14:textId="77777777" w:rsidTr="00701A3E">
        <w:trPr>
          <w:gridAfter w:val="2"/>
          <w:wAfter w:w="488" w:type="dxa"/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C62572D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750DC" w14:textId="77777777" w:rsidR="008D59B8" w:rsidRPr="00F540D8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D6F8" w14:textId="77777777" w:rsidR="008D59B8" w:rsidRPr="00F540D8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4DA22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0EB2205E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09C9EF4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14:paraId="038AC28C" w14:textId="77777777" w:rsidR="008D59B8" w:rsidRPr="00F540D8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62868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14:paraId="6D591CC8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3F009B72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290656D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FF80A" w14:textId="77777777" w:rsidR="008D59B8" w:rsidRPr="00F540D8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71A0" w14:textId="77777777" w:rsidR="008D59B8" w:rsidRPr="00F540D8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2C05E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14:paraId="438ACDA9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4B73EDDD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5583018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9CDBA" w14:textId="77777777" w:rsidR="008D59B8" w:rsidRPr="00F540D8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3D94" w14:textId="77777777" w:rsidR="008D59B8" w:rsidRPr="00F540D8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5048D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14:paraId="2A4C4807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1A212091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14:paraId="39790F67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0AD45" w14:textId="77777777" w:rsidR="008D59B8" w:rsidRPr="00F540D8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1B83" w14:textId="77777777" w:rsidR="008D59B8" w:rsidRPr="00F540D8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05CB6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DA19013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7614CB7B" w14:textId="77777777" w:rsidTr="00701A3E">
        <w:trPr>
          <w:trHeight w:val="22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3EB113A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14:paraId="6C009A89" w14:textId="77777777" w:rsidR="008D59B8" w:rsidRPr="00F540D8" w:rsidRDefault="008D59B8" w:rsidP="001C6DA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1C6DAC"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F540D8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14:paraId="6E356A02" w14:textId="77777777" w:rsidR="008D59B8" w:rsidRPr="00893FD8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14:paraId="1230D2D4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893FD8" w14:paraId="445227D3" w14:textId="77777777" w:rsidTr="00701A3E">
        <w:trPr>
          <w:trHeight w:val="160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14:paraId="16CF1DEE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BEAD6" w14:textId="77777777" w:rsidR="008D59B8" w:rsidRPr="00893FD8" w:rsidRDefault="0033550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5.1 </w:t>
            </w:r>
            <w:r w:rsidR="00F43A2F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ÁREA</w:t>
            </w:r>
            <w:r w:rsidR="008D59B8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CB6E4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ESPACIO PÚBLICO </w:t>
            </w:r>
            <w:r w:rsidR="008D59B8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(m</w:t>
            </w:r>
            <w:r w:rsidR="00F43A2F" w:rsidRPr="004F59B5">
              <w:rPr>
                <w:rFonts w:asciiTheme="minorHAnsi" w:eastAsia="Times New Roman" w:hAnsiTheme="minorHAnsi" w:cs="Calibri"/>
                <w:color w:val="000000"/>
                <w:vertAlign w:val="superscript"/>
                <w:lang w:eastAsia="es-EC"/>
              </w:rPr>
              <w:t>2</w:t>
            </w:r>
            <w:r w:rsidR="008D59B8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D023" w14:textId="77777777" w:rsidR="008D59B8" w:rsidRPr="00893FD8" w:rsidRDefault="00694F59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1’</w:t>
            </w:r>
            <w:r w:rsidR="00A0780B" w:rsidRPr="00893FD8">
              <w:rPr>
                <w:rFonts w:asciiTheme="minorHAnsi" w:eastAsia="Times New Roman" w:hAnsiTheme="minorHAnsi" w:cs="Calibri"/>
                <w:color w:val="000000"/>
                <w:lang w:eastAsia="es-EC"/>
              </w:rPr>
              <w:t>032.830,94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83991A0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39488D6" w14:textId="77777777" w:rsidR="008D59B8" w:rsidRPr="00893FD8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893FD8" w14:paraId="1D602EDA" w14:textId="77777777" w:rsidTr="00CB6E44">
        <w:trPr>
          <w:trHeight w:val="30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CE9854" w14:textId="77777777" w:rsidR="00371D90" w:rsidRPr="00893FD8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14:paraId="76B69DB6" w14:textId="77777777" w:rsidR="00371D90" w:rsidRPr="00893FD8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93FD8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893FD8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893FD8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14:paraId="56CD4F18" w14:textId="77777777" w:rsidR="00371D90" w:rsidRPr="00893FD8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0050E" w:rsidRPr="00893FD8" w14:paraId="7BF67979" w14:textId="77777777" w:rsidTr="006636F1">
        <w:trPr>
          <w:trHeight w:val="695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F22097" w14:textId="77777777" w:rsidR="00B0050E" w:rsidRPr="00893FD8" w:rsidRDefault="00B0050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8E799" w14:textId="77777777" w:rsidR="0095180E" w:rsidRPr="00886781" w:rsidRDefault="0095180E" w:rsidP="00A078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  <w:p w14:paraId="48398889" w14:textId="77777777" w:rsidR="00CB6E44" w:rsidRDefault="00CB6E44" w:rsidP="00A078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886781">
              <w:rPr>
                <w:rFonts w:ascii="Arial" w:eastAsia="Times New Roman" w:hAnsi="Arial" w:cs="Arial"/>
                <w:color w:val="000000"/>
                <w:lang w:eastAsia="es-EC"/>
              </w:rPr>
              <w:t>El Plan Especial de la Centralidad Bicentenario est</w:t>
            </w:r>
            <w:r w:rsidR="00886781">
              <w:rPr>
                <w:rFonts w:ascii="Arial" w:eastAsia="Times New Roman" w:hAnsi="Arial" w:cs="Arial"/>
                <w:color w:val="000000"/>
                <w:lang w:eastAsia="es-EC"/>
              </w:rPr>
              <w:t>a</w:t>
            </w:r>
            <w:r w:rsidRPr="00886781">
              <w:rPr>
                <w:rFonts w:ascii="Arial" w:eastAsia="Times New Roman" w:hAnsi="Arial" w:cs="Arial"/>
                <w:color w:val="000000"/>
                <w:lang w:eastAsia="es-EC"/>
              </w:rPr>
              <w:t xml:space="preserve">blece </w:t>
            </w:r>
            <w:r w:rsidR="00886781">
              <w:rPr>
                <w:rFonts w:ascii="Arial" w:eastAsia="Times New Roman" w:hAnsi="Arial" w:cs="Arial"/>
                <w:color w:val="000000"/>
                <w:lang w:eastAsia="es-EC"/>
              </w:rPr>
              <w:t xml:space="preserve">entre sus objetivos principales: </w:t>
            </w:r>
          </w:p>
          <w:p w14:paraId="6237D333" w14:textId="77777777" w:rsidR="00886781" w:rsidRPr="00886781" w:rsidRDefault="00886781" w:rsidP="00A078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  <w:p w14:paraId="12AE26CB" w14:textId="77777777" w:rsidR="00CB6E44" w:rsidRPr="00886781" w:rsidRDefault="00886781" w:rsidP="0088678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hAnsi="Arial" w:cs="Arial"/>
                <w:lang w:val="es-ES_tradnl" w:eastAsia="es-EC"/>
              </w:rPr>
            </w:pPr>
            <w:r>
              <w:rPr>
                <w:rFonts w:ascii="Arial" w:eastAsia="Times New Roman" w:hAnsi="Arial" w:cs="Arial"/>
                <w:color w:val="000000"/>
                <w:lang w:eastAsia="es-EC"/>
              </w:rPr>
              <w:t>a)</w:t>
            </w:r>
            <w:r w:rsidRPr="00886781">
              <w:rPr>
                <w:rFonts w:ascii="Arial" w:eastAsia="Times New Roman" w:hAnsi="Arial" w:cs="Arial"/>
                <w:color w:val="000000"/>
                <w:lang w:eastAsia="es-EC"/>
              </w:rPr>
              <w:t xml:space="preserve"> </w:t>
            </w:r>
            <w:r w:rsidR="00CB6E44" w:rsidRPr="00886781">
              <w:rPr>
                <w:rFonts w:ascii="Arial" w:hAnsi="Arial" w:cs="Arial"/>
                <w:lang w:val="es-ES_tradnl" w:eastAsia="es-EC"/>
              </w:rPr>
              <w:t>Normar y regular la transformación del terreno del actual aeropuerto internacional en un parque de escala metropolitana;</w:t>
            </w:r>
            <w:r>
              <w:rPr>
                <w:rFonts w:ascii="Arial" w:hAnsi="Arial" w:cs="Arial"/>
                <w:lang w:val="es-ES_tradnl" w:eastAsia="es-EC"/>
              </w:rPr>
              <w:t xml:space="preserve"> b) </w:t>
            </w:r>
            <w:r w:rsidR="00CB6E44" w:rsidRPr="00886781">
              <w:rPr>
                <w:rFonts w:ascii="Arial" w:hAnsi="Arial" w:cs="Arial"/>
                <w:lang w:val="es-ES_tradnl" w:eastAsia="es-EC"/>
              </w:rPr>
              <w:t xml:space="preserve">Consolidar y completar el sistema de espacio público y áreas verdes que faciliten la configuración de vecindarios diversos, incluyentes y pone en valor de patrimonio natural y cultural; </w:t>
            </w:r>
          </w:p>
          <w:p w14:paraId="3E12F65D" w14:textId="77777777" w:rsidR="00886781" w:rsidRDefault="00CB6E44" w:rsidP="0088678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hAnsi="Arial" w:cs="Arial"/>
                <w:lang w:val="es-ES_tradnl" w:eastAsia="es-EC"/>
              </w:rPr>
            </w:pPr>
            <w:r w:rsidRPr="00886781">
              <w:rPr>
                <w:rFonts w:ascii="Arial" w:hAnsi="Arial" w:cs="Arial"/>
                <w:lang w:val="es-ES_tradnl" w:eastAsia="es-EC"/>
              </w:rPr>
              <w:t>Dentro de estos lineamientos</w:t>
            </w:r>
            <w:r w:rsidR="00886781">
              <w:rPr>
                <w:rFonts w:ascii="Arial" w:hAnsi="Arial" w:cs="Arial"/>
                <w:lang w:val="es-ES_tradnl" w:eastAsia="es-EC"/>
              </w:rPr>
              <w:t>,</w:t>
            </w:r>
            <w:r w:rsidRPr="00886781">
              <w:rPr>
                <w:rFonts w:ascii="Arial" w:hAnsi="Arial" w:cs="Arial"/>
                <w:lang w:val="es-ES_tradnl" w:eastAsia="es-EC"/>
              </w:rPr>
              <w:t xml:space="preserve"> la EPMMOP al ser el operador del parque</w:t>
            </w:r>
            <w:r w:rsidR="00886781">
              <w:rPr>
                <w:rFonts w:ascii="Arial" w:hAnsi="Arial" w:cs="Arial"/>
                <w:lang w:val="es-ES_tradnl" w:eastAsia="es-EC"/>
              </w:rPr>
              <w:t>,</w:t>
            </w:r>
            <w:r w:rsidRPr="00886781">
              <w:rPr>
                <w:rFonts w:ascii="Arial" w:hAnsi="Arial" w:cs="Arial"/>
                <w:lang w:val="es-ES_tradnl" w:eastAsia="es-EC"/>
              </w:rPr>
              <w:t xml:space="preserve"> se encuentra desarrollando distintas actividades en el espacio público que incluyen la conformación de relieves aprovechando la tierra generada por la construcción del Metro de Quito; siembra de arbolado, retiro y reutilización de la antigua pista, y la consolidación de áreas del parque de acuerdo a sus usos actuales.  Es importante mencionar que el Plan Bicentenario tiene al Parque como corazón del desarrollo de la centralidad,</w:t>
            </w:r>
            <w:r w:rsidR="00886781">
              <w:rPr>
                <w:rFonts w:ascii="Arial" w:hAnsi="Arial" w:cs="Arial"/>
                <w:lang w:val="es-ES_tradnl" w:eastAsia="es-EC"/>
              </w:rPr>
              <w:t xml:space="preserve"> es decir, resulta indispensable que el parque se consolide, para que los objetivos de desarrollo constructivo de la zona planteado por la ordenanza se alcance.  </w:t>
            </w:r>
          </w:p>
          <w:p w14:paraId="78822599" w14:textId="77777777" w:rsidR="00886781" w:rsidRPr="00886781" w:rsidRDefault="00886781" w:rsidP="0088678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hAnsi="Arial" w:cs="Arial"/>
                <w:lang w:val="es-ES_tradnl" w:eastAsia="es-EC"/>
              </w:rPr>
            </w:pPr>
            <w:r>
              <w:rPr>
                <w:rFonts w:ascii="Arial" w:hAnsi="Arial" w:cs="Arial"/>
                <w:lang w:val="es-ES_tradnl" w:eastAsia="es-EC"/>
              </w:rPr>
              <w:t>De</w:t>
            </w:r>
            <w:r w:rsidR="00CB6E44" w:rsidRPr="00886781">
              <w:rPr>
                <w:rFonts w:ascii="Arial" w:hAnsi="Arial" w:cs="Arial"/>
                <w:lang w:val="es-ES_tradnl" w:eastAsia="es-EC"/>
              </w:rPr>
              <w:t xml:space="preserve"> manera paralela </w:t>
            </w:r>
            <w:r>
              <w:rPr>
                <w:rFonts w:ascii="Arial" w:hAnsi="Arial" w:cs="Arial"/>
                <w:lang w:val="es-ES_tradnl" w:eastAsia="es-EC"/>
              </w:rPr>
              <w:t xml:space="preserve">a las obras de EPMMOP, otras empresas </w:t>
            </w:r>
            <w:r w:rsidR="00CB6E44" w:rsidRPr="00886781">
              <w:rPr>
                <w:rFonts w:ascii="Arial" w:hAnsi="Arial" w:cs="Arial"/>
                <w:lang w:val="es-ES_tradnl" w:eastAsia="es-EC"/>
              </w:rPr>
              <w:t>ejecutan</w:t>
            </w:r>
            <w:r>
              <w:rPr>
                <w:rFonts w:ascii="Arial" w:hAnsi="Arial" w:cs="Arial"/>
                <w:lang w:val="es-ES_tradnl" w:eastAsia="es-EC"/>
              </w:rPr>
              <w:t xml:space="preserve"> trabajos</w:t>
            </w:r>
            <w:r w:rsidR="00CB6E44" w:rsidRPr="00886781">
              <w:rPr>
                <w:rFonts w:ascii="Arial" w:hAnsi="Arial" w:cs="Arial"/>
                <w:lang w:val="es-ES_tradnl" w:eastAsia="es-EC"/>
              </w:rPr>
              <w:t xml:space="preserve"> en coordinación </w:t>
            </w:r>
            <w:r>
              <w:rPr>
                <w:rFonts w:ascii="Arial" w:hAnsi="Arial" w:cs="Arial"/>
                <w:lang w:val="es-ES_tradnl" w:eastAsia="es-EC"/>
              </w:rPr>
              <w:t xml:space="preserve">que </w:t>
            </w:r>
            <w:r w:rsidR="00CB6E44" w:rsidRPr="00886781">
              <w:rPr>
                <w:rFonts w:ascii="Arial" w:hAnsi="Arial" w:cs="Arial"/>
                <w:lang w:val="es-ES_tradnl" w:eastAsia="es-EC"/>
              </w:rPr>
              <w:t>incluyen el Terminal de transferencia en la cabecera sur del Parque; el Bulevar de la Avenida Amazonas y e</w:t>
            </w:r>
            <w:r>
              <w:rPr>
                <w:rFonts w:ascii="Arial" w:hAnsi="Arial" w:cs="Arial"/>
                <w:lang w:val="es-ES_tradnl" w:eastAsia="es-EC"/>
              </w:rPr>
              <w:t xml:space="preserve">l Centro de Convenciones Quito, entre otros. Dentro de este esquema y la planificación establecida, los trabajos del 2018 incluyen: </w:t>
            </w:r>
          </w:p>
          <w:tbl>
            <w:tblPr>
              <w:tblW w:w="7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80"/>
            </w:tblGrid>
            <w:tr w:rsidR="00886781" w:rsidRPr="00886781" w14:paraId="1A399E87" w14:textId="77777777" w:rsidTr="00886781">
              <w:trPr>
                <w:trHeight w:val="359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95A4A" w14:textId="77777777" w:rsidR="00886781" w:rsidRPr="00886781" w:rsidRDefault="00886781" w:rsidP="00180A6F">
                  <w:pPr>
                    <w:pStyle w:val="Prrafodelista"/>
                    <w:framePr w:hSpace="141" w:wrap="around" w:hAnchor="margin" w:xAlign="center" w:y="-138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</w:pPr>
                  <w:r w:rsidRPr="00886781"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  <w:t xml:space="preserve">Continuar retiros planificados de pista de asfalto. </w:t>
                  </w:r>
                </w:p>
              </w:tc>
            </w:tr>
            <w:tr w:rsidR="00886781" w:rsidRPr="00886781" w14:paraId="5FD7BB40" w14:textId="77777777" w:rsidTr="00886781">
              <w:trPr>
                <w:trHeight w:val="359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36C1F" w14:textId="77777777" w:rsidR="00886781" w:rsidRPr="00886781" w:rsidRDefault="00886781" w:rsidP="00180A6F">
                  <w:pPr>
                    <w:pStyle w:val="Prrafodelista"/>
                    <w:framePr w:hSpace="141" w:wrap="around" w:hAnchor="margin" w:xAlign="center" w:y="-138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</w:pPr>
                  <w:r w:rsidRPr="00886781"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  <w:t>Estudio Eléctrico para la Iluminación del Parque</w:t>
                  </w:r>
                  <w:r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  <w:t xml:space="preserve">. </w:t>
                  </w:r>
                </w:p>
              </w:tc>
            </w:tr>
            <w:tr w:rsidR="00886781" w:rsidRPr="00886781" w14:paraId="524B7A12" w14:textId="77777777" w:rsidTr="00886781">
              <w:trPr>
                <w:trHeight w:val="541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765DB" w14:textId="60D185EC" w:rsidR="00886781" w:rsidRPr="00886781" w:rsidRDefault="00886781" w:rsidP="00180A6F">
                  <w:pPr>
                    <w:pStyle w:val="Prrafodelista"/>
                    <w:framePr w:hSpace="141" w:wrap="around" w:hAnchor="margin" w:xAlign="center" w:y="-138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  <w:t xml:space="preserve">Ejecución de Sistemas </w:t>
                  </w:r>
                  <w:r w:rsidRPr="00886781"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  <w:t>de drenajes en las zonas de conformación de relieves.</w:t>
                  </w:r>
                </w:p>
              </w:tc>
            </w:tr>
            <w:tr w:rsidR="00886781" w:rsidRPr="00886781" w14:paraId="19401389" w14:textId="77777777" w:rsidTr="00886781">
              <w:trPr>
                <w:trHeight w:val="317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6D397" w14:textId="2BC3F3ED" w:rsidR="00886781" w:rsidRPr="00886781" w:rsidRDefault="00886781" w:rsidP="00180A6F">
                  <w:pPr>
                    <w:pStyle w:val="Prrafodelista"/>
                    <w:framePr w:hSpace="141" w:wrap="around" w:hAnchor="margin" w:xAlign="center" w:y="-138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</w:pPr>
                  <w:r w:rsidRPr="00886781"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  <w:t xml:space="preserve">Construcción de Baterías sanitarias y servicios. </w:t>
                  </w:r>
                </w:p>
              </w:tc>
            </w:tr>
            <w:tr w:rsidR="00886781" w:rsidRPr="00886781" w14:paraId="35E13E4C" w14:textId="77777777" w:rsidTr="00886781">
              <w:trPr>
                <w:trHeight w:val="317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A33C7" w14:textId="77777777" w:rsidR="00886781" w:rsidRPr="00886781" w:rsidRDefault="00886781" w:rsidP="00180A6F">
                  <w:pPr>
                    <w:pStyle w:val="Prrafodelista"/>
                    <w:framePr w:hSpace="141" w:wrap="around" w:hAnchor="margin" w:xAlign="center" w:y="-138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</w:pPr>
                  <w:r w:rsidRPr="00886781">
                    <w:rPr>
                      <w:rFonts w:ascii="Arial" w:eastAsia="Times New Roman" w:hAnsi="Arial" w:cs="Arial"/>
                      <w:color w:val="000000"/>
                      <w:lang w:val="es-ES_tradnl" w:eastAsia="es-ES_tradnl"/>
                    </w:rPr>
                    <w:t xml:space="preserve">Diseño y Consolidación de los cuerpos de Agua. </w:t>
                  </w:r>
                </w:p>
              </w:tc>
            </w:tr>
          </w:tbl>
          <w:p w14:paraId="1D1FBDC2" w14:textId="77777777" w:rsidR="00B0050E" w:rsidRPr="00886781" w:rsidRDefault="00B0050E" w:rsidP="008867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14:paraId="65BF6E47" w14:textId="77777777" w:rsidR="00B0050E" w:rsidRPr="00893FD8" w:rsidRDefault="00B0050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893FD8" w14:paraId="66B45CAE" w14:textId="77777777" w:rsidTr="00701A3E">
        <w:trPr>
          <w:trHeight w:val="22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99F1570" w14:textId="77777777" w:rsidR="00DD6967" w:rsidRPr="00893FD8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6348B" w14:textId="77777777" w:rsidR="00DD6967" w:rsidRPr="00886781" w:rsidRDefault="00DD6967" w:rsidP="00DD6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  <w:p w14:paraId="341A7D95" w14:textId="77777777" w:rsidR="004C160A" w:rsidRPr="00886781" w:rsidRDefault="004C160A" w:rsidP="005B5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14:paraId="775082BC" w14:textId="77777777" w:rsidR="00DD6967" w:rsidRPr="00893FD8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893FD8" w14:paraId="3A8B47DC" w14:textId="77777777" w:rsidTr="00701A3E">
        <w:trPr>
          <w:trHeight w:val="22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0547F1D" w14:textId="77777777" w:rsidR="00DD6967" w:rsidRPr="00893FD8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D57B3" w14:textId="77777777" w:rsidR="00DD6967" w:rsidRPr="00893FD8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14:paraId="133A318A" w14:textId="77777777" w:rsidR="00DD6967" w:rsidRPr="00893FD8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14:paraId="0C509CC4" w14:textId="77777777" w:rsidR="005B4E26" w:rsidRPr="00893FD8" w:rsidRDefault="005B4E26">
      <w:pPr>
        <w:rPr>
          <w:rFonts w:asciiTheme="minorHAnsi" w:hAnsiTheme="minorHAnsi"/>
        </w:rPr>
      </w:pPr>
    </w:p>
    <w:sectPr w:rsidR="005B4E26" w:rsidRPr="00893FD8" w:rsidSect="00180A6F">
      <w:pgSz w:w="11906" w:h="16838" w:code="9"/>
      <w:pgMar w:top="-284" w:right="244" w:bottom="-567" w:left="23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FADA" w14:textId="77777777" w:rsidR="000B5496" w:rsidRDefault="000B5496" w:rsidP="00120A13">
      <w:pPr>
        <w:spacing w:after="0" w:line="240" w:lineRule="auto"/>
      </w:pPr>
      <w:r>
        <w:separator/>
      </w:r>
    </w:p>
  </w:endnote>
  <w:endnote w:type="continuationSeparator" w:id="0">
    <w:p w14:paraId="761A4658" w14:textId="77777777" w:rsidR="000B5496" w:rsidRDefault="000B5496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C354" w14:textId="77777777" w:rsidR="000B5496" w:rsidRDefault="000B5496" w:rsidP="00120A13">
      <w:pPr>
        <w:spacing w:after="0" w:line="240" w:lineRule="auto"/>
      </w:pPr>
      <w:r>
        <w:separator/>
      </w:r>
    </w:p>
  </w:footnote>
  <w:footnote w:type="continuationSeparator" w:id="0">
    <w:p w14:paraId="1F89E9BF" w14:textId="77777777" w:rsidR="000B5496" w:rsidRDefault="000B5496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62E"/>
    <w:multiLevelType w:val="hybridMultilevel"/>
    <w:tmpl w:val="12907E84"/>
    <w:lvl w:ilvl="0" w:tplc="01A21BC8">
      <w:start w:val="6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915EE"/>
    <w:multiLevelType w:val="hybridMultilevel"/>
    <w:tmpl w:val="F232EDDE"/>
    <w:lvl w:ilvl="0" w:tplc="01A21BC8">
      <w:start w:val="6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747B"/>
    <w:multiLevelType w:val="hybridMultilevel"/>
    <w:tmpl w:val="0CCE8704"/>
    <w:lvl w:ilvl="0" w:tplc="01A21BC8">
      <w:start w:val="6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7251C"/>
    <w:multiLevelType w:val="hybridMultilevel"/>
    <w:tmpl w:val="D8408958"/>
    <w:lvl w:ilvl="0" w:tplc="01A21BC8">
      <w:start w:val="6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B2748"/>
    <w:rsid w:val="000B5496"/>
    <w:rsid w:val="000B5DFC"/>
    <w:rsid w:val="000B7D9E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37E7"/>
    <w:rsid w:val="00177A3C"/>
    <w:rsid w:val="00180A6F"/>
    <w:rsid w:val="00182F1C"/>
    <w:rsid w:val="00186AC6"/>
    <w:rsid w:val="001A728E"/>
    <w:rsid w:val="001B1EBE"/>
    <w:rsid w:val="001B5B10"/>
    <w:rsid w:val="001C6DAC"/>
    <w:rsid w:val="002229C9"/>
    <w:rsid w:val="002675B5"/>
    <w:rsid w:val="002979A1"/>
    <w:rsid w:val="002A1FDF"/>
    <w:rsid w:val="002A4A0F"/>
    <w:rsid w:val="002A5077"/>
    <w:rsid w:val="002C5D5E"/>
    <w:rsid w:val="002E0C14"/>
    <w:rsid w:val="002E53E5"/>
    <w:rsid w:val="002F303B"/>
    <w:rsid w:val="002F6D14"/>
    <w:rsid w:val="003051F2"/>
    <w:rsid w:val="00311FC3"/>
    <w:rsid w:val="00334725"/>
    <w:rsid w:val="00335501"/>
    <w:rsid w:val="00354624"/>
    <w:rsid w:val="00363DF6"/>
    <w:rsid w:val="00371819"/>
    <w:rsid w:val="00371D90"/>
    <w:rsid w:val="00374643"/>
    <w:rsid w:val="00390C3B"/>
    <w:rsid w:val="003B28F0"/>
    <w:rsid w:val="00425267"/>
    <w:rsid w:val="00483912"/>
    <w:rsid w:val="00494D66"/>
    <w:rsid w:val="004B2C6F"/>
    <w:rsid w:val="004C160A"/>
    <w:rsid w:val="004F59B5"/>
    <w:rsid w:val="0050668C"/>
    <w:rsid w:val="005207A8"/>
    <w:rsid w:val="005230AA"/>
    <w:rsid w:val="005361B1"/>
    <w:rsid w:val="005563FB"/>
    <w:rsid w:val="005872D0"/>
    <w:rsid w:val="005B4E26"/>
    <w:rsid w:val="005B5966"/>
    <w:rsid w:val="005B6800"/>
    <w:rsid w:val="005E1416"/>
    <w:rsid w:val="005F27B8"/>
    <w:rsid w:val="00611782"/>
    <w:rsid w:val="00630E5F"/>
    <w:rsid w:val="00643C27"/>
    <w:rsid w:val="00647C0B"/>
    <w:rsid w:val="006636F1"/>
    <w:rsid w:val="006675F9"/>
    <w:rsid w:val="00694F59"/>
    <w:rsid w:val="006A7A7D"/>
    <w:rsid w:val="006B1883"/>
    <w:rsid w:val="006C076B"/>
    <w:rsid w:val="006C6A73"/>
    <w:rsid w:val="006E5C8B"/>
    <w:rsid w:val="00701A3E"/>
    <w:rsid w:val="00724E32"/>
    <w:rsid w:val="00760B4A"/>
    <w:rsid w:val="007710A5"/>
    <w:rsid w:val="00771921"/>
    <w:rsid w:val="0077607B"/>
    <w:rsid w:val="007966E9"/>
    <w:rsid w:val="00796EEC"/>
    <w:rsid w:val="007A18D0"/>
    <w:rsid w:val="007A55FE"/>
    <w:rsid w:val="007A6857"/>
    <w:rsid w:val="007C2B29"/>
    <w:rsid w:val="008153C9"/>
    <w:rsid w:val="00820D5E"/>
    <w:rsid w:val="00824840"/>
    <w:rsid w:val="008417AB"/>
    <w:rsid w:val="008542B9"/>
    <w:rsid w:val="00856FFE"/>
    <w:rsid w:val="00863FAD"/>
    <w:rsid w:val="008656AA"/>
    <w:rsid w:val="00886781"/>
    <w:rsid w:val="00893FD8"/>
    <w:rsid w:val="008D1372"/>
    <w:rsid w:val="008D59B8"/>
    <w:rsid w:val="008E12D3"/>
    <w:rsid w:val="008E36FD"/>
    <w:rsid w:val="008F7856"/>
    <w:rsid w:val="00910739"/>
    <w:rsid w:val="009156A1"/>
    <w:rsid w:val="00916754"/>
    <w:rsid w:val="00923B98"/>
    <w:rsid w:val="00937210"/>
    <w:rsid w:val="009379BB"/>
    <w:rsid w:val="00950007"/>
    <w:rsid w:val="0095180E"/>
    <w:rsid w:val="009617FE"/>
    <w:rsid w:val="009658A6"/>
    <w:rsid w:val="009A357C"/>
    <w:rsid w:val="009A5652"/>
    <w:rsid w:val="009D58CA"/>
    <w:rsid w:val="00A02FE3"/>
    <w:rsid w:val="00A06097"/>
    <w:rsid w:val="00A0780B"/>
    <w:rsid w:val="00A15F38"/>
    <w:rsid w:val="00A24E04"/>
    <w:rsid w:val="00A55149"/>
    <w:rsid w:val="00A65D0F"/>
    <w:rsid w:val="00A70909"/>
    <w:rsid w:val="00AA2B6E"/>
    <w:rsid w:val="00AB2B90"/>
    <w:rsid w:val="00AB2E39"/>
    <w:rsid w:val="00AB6571"/>
    <w:rsid w:val="00AD725B"/>
    <w:rsid w:val="00AE64D6"/>
    <w:rsid w:val="00AF6DEC"/>
    <w:rsid w:val="00B0050E"/>
    <w:rsid w:val="00B22006"/>
    <w:rsid w:val="00B31B9B"/>
    <w:rsid w:val="00B32630"/>
    <w:rsid w:val="00B409A7"/>
    <w:rsid w:val="00B67573"/>
    <w:rsid w:val="00B731F2"/>
    <w:rsid w:val="00B95D2E"/>
    <w:rsid w:val="00B97144"/>
    <w:rsid w:val="00BA6A52"/>
    <w:rsid w:val="00BC14FB"/>
    <w:rsid w:val="00C05070"/>
    <w:rsid w:val="00C062BB"/>
    <w:rsid w:val="00C35265"/>
    <w:rsid w:val="00C35717"/>
    <w:rsid w:val="00C439E8"/>
    <w:rsid w:val="00C6399B"/>
    <w:rsid w:val="00C723FF"/>
    <w:rsid w:val="00C80120"/>
    <w:rsid w:val="00CA435E"/>
    <w:rsid w:val="00CB1FC6"/>
    <w:rsid w:val="00CB6E44"/>
    <w:rsid w:val="00CD7890"/>
    <w:rsid w:val="00CE7006"/>
    <w:rsid w:val="00D97A7D"/>
    <w:rsid w:val="00DB05B8"/>
    <w:rsid w:val="00DB2B3E"/>
    <w:rsid w:val="00DB49FF"/>
    <w:rsid w:val="00DD64AF"/>
    <w:rsid w:val="00DD6967"/>
    <w:rsid w:val="00DD6A7F"/>
    <w:rsid w:val="00E0349F"/>
    <w:rsid w:val="00E06164"/>
    <w:rsid w:val="00E0744C"/>
    <w:rsid w:val="00E16F4B"/>
    <w:rsid w:val="00E508F6"/>
    <w:rsid w:val="00E60239"/>
    <w:rsid w:val="00E9392A"/>
    <w:rsid w:val="00EA1683"/>
    <w:rsid w:val="00EA344A"/>
    <w:rsid w:val="00EA795D"/>
    <w:rsid w:val="00ED3ED1"/>
    <w:rsid w:val="00ED6DC6"/>
    <w:rsid w:val="00EE3D70"/>
    <w:rsid w:val="00EF6A86"/>
    <w:rsid w:val="00F41668"/>
    <w:rsid w:val="00F43A2F"/>
    <w:rsid w:val="00F47533"/>
    <w:rsid w:val="00F540D8"/>
    <w:rsid w:val="00F62363"/>
    <w:rsid w:val="00F6441A"/>
    <w:rsid w:val="00F8552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19A487E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0350-0C2A-4E5A-A294-7AAF7885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5</cp:revision>
  <cp:lastPrinted>2017-09-26T17:10:00Z</cp:lastPrinted>
  <dcterms:created xsi:type="dcterms:W3CDTF">2017-09-26T15:43:00Z</dcterms:created>
  <dcterms:modified xsi:type="dcterms:W3CDTF">2017-09-26T17:10:00Z</dcterms:modified>
</cp:coreProperties>
</file>