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</w:t>
      </w:r>
      <w:r w:rsidR="00BE4F22" w:rsidRPr="00BE4F22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A86186" w:rsidRPr="00A86186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A86186" w:rsidRPr="00A86186">
        <w:rPr>
          <w:rFonts w:ascii="Palatino Linotype" w:hAnsi="Palatino Linotype" w:cs="Arial"/>
          <w:b w:val="0"/>
          <w:sz w:val="22"/>
          <w:szCs w:val="22"/>
        </w:rPr>
        <w:t>Pro</w:t>
      </w:r>
      <w:r w:rsidR="006D3AAD">
        <w:rPr>
          <w:rFonts w:ascii="Palatino Linotype" w:hAnsi="Palatino Linotype" w:cs="Arial"/>
          <w:b w:val="0"/>
          <w:sz w:val="22"/>
          <w:szCs w:val="22"/>
        </w:rPr>
        <w:t>m</w:t>
      </w:r>
      <w:r w:rsidR="00A86186" w:rsidRPr="00A86186">
        <w:rPr>
          <w:rFonts w:ascii="Palatino Linotype" w:hAnsi="Palatino Linotype" w:cs="Arial"/>
          <w:b w:val="0"/>
          <w:sz w:val="22"/>
          <w:szCs w:val="22"/>
        </w:rPr>
        <w:t>ejoras</w:t>
      </w:r>
      <w:proofErr w:type="spellEnd"/>
      <w:r w:rsidR="00A86186" w:rsidRPr="00A86186">
        <w:rPr>
          <w:rFonts w:ascii="Palatino Linotype" w:hAnsi="Palatino Linotype" w:cs="Arial"/>
          <w:b w:val="0"/>
          <w:sz w:val="22"/>
          <w:szCs w:val="22"/>
        </w:rPr>
        <w:t xml:space="preserve"> “San</w:t>
      </w:r>
      <w:r w:rsidR="006D3AAD">
        <w:rPr>
          <w:rFonts w:ascii="Palatino Linotype" w:hAnsi="Palatino Linotype" w:cs="Arial"/>
          <w:b w:val="0"/>
          <w:sz w:val="22"/>
          <w:szCs w:val="22"/>
        </w:rPr>
        <w:t>ta Isabel”</w:t>
      </w:r>
      <w:r w:rsidR="00A86186" w:rsidRPr="00A86186">
        <w:rPr>
          <w:rFonts w:ascii="Palatino Linotype" w:hAnsi="Palatino Linotype" w:cs="Arial"/>
          <w:b w:val="0"/>
          <w:sz w:val="22"/>
          <w:szCs w:val="22"/>
        </w:rPr>
        <w:t xml:space="preserve"> (</w:t>
      </w:r>
      <w:r w:rsidR="006D3AAD">
        <w:rPr>
          <w:rFonts w:ascii="Palatino Linotype" w:hAnsi="Palatino Linotype" w:cs="Arial"/>
          <w:b w:val="0"/>
          <w:sz w:val="22"/>
          <w:szCs w:val="22"/>
        </w:rPr>
        <w:t>Franja 5</w:t>
      </w:r>
      <w:r w:rsidR="00A86186" w:rsidRPr="00A86186">
        <w:rPr>
          <w:rFonts w:ascii="Palatino Linotype" w:hAnsi="Palatino Linotype" w:cs="Arial"/>
          <w:b w:val="0"/>
          <w:sz w:val="22"/>
          <w:szCs w:val="22"/>
        </w:rPr>
        <w:t>),</w:t>
      </w:r>
      <w:r w:rsidR="00A86186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6D3AAD">
        <w:rPr>
          <w:rFonts w:ascii="Palatino Linotype" w:hAnsi="Palatino Linotype" w:cs="Arial"/>
          <w:b w:val="0"/>
          <w:sz w:val="22"/>
          <w:szCs w:val="22"/>
        </w:rPr>
        <w:t>21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6D3AAD">
        <w:rPr>
          <w:rFonts w:ascii="Palatino Linotype" w:hAnsi="Palatino Linotype" w:cs="Arial"/>
          <w:b w:val="0"/>
          <w:sz w:val="22"/>
          <w:szCs w:val="22"/>
        </w:rPr>
        <w:t>20</w:t>
      </w:r>
      <w:r w:rsidR="00BE4F22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6D3AAD">
        <w:rPr>
          <w:rFonts w:ascii="Palatino Linotype" w:hAnsi="Palatino Linotype" w:cs="Arial"/>
          <w:b w:val="0"/>
          <w:sz w:val="22"/>
          <w:szCs w:val="22"/>
        </w:rPr>
        <w:t xml:space="preserve">lotes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6D3AAD">
        <w:rPr>
          <w:rFonts w:ascii="Palatino Linotype" w:hAnsi="Palatino Linotype" w:cs="Arial"/>
          <w:b w:val="0"/>
          <w:sz w:val="22"/>
          <w:szCs w:val="22"/>
        </w:rPr>
        <w:t>80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6D3AAD" w:rsidRPr="00A86186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6D3AAD" w:rsidRPr="00A86186">
        <w:rPr>
          <w:rFonts w:ascii="Palatino Linotype" w:hAnsi="Palatino Linotype" w:cs="Arial"/>
          <w:b w:val="0"/>
          <w:sz w:val="22"/>
          <w:szCs w:val="22"/>
        </w:rPr>
        <w:t>Pro</w:t>
      </w:r>
      <w:r w:rsidR="006D3AAD">
        <w:rPr>
          <w:rFonts w:ascii="Palatino Linotype" w:hAnsi="Palatino Linotype" w:cs="Arial"/>
          <w:b w:val="0"/>
          <w:sz w:val="22"/>
          <w:szCs w:val="22"/>
        </w:rPr>
        <w:t>m</w:t>
      </w:r>
      <w:r w:rsidR="006D3AAD" w:rsidRPr="00A86186">
        <w:rPr>
          <w:rFonts w:ascii="Palatino Linotype" w:hAnsi="Palatino Linotype" w:cs="Arial"/>
          <w:b w:val="0"/>
          <w:sz w:val="22"/>
          <w:szCs w:val="22"/>
        </w:rPr>
        <w:t>ejoras</w:t>
      </w:r>
      <w:proofErr w:type="spellEnd"/>
      <w:r w:rsidR="006D3AAD" w:rsidRPr="00A86186">
        <w:rPr>
          <w:rFonts w:ascii="Palatino Linotype" w:hAnsi="Palatino Linotype" w:cs="Arial"/>
          <w:b w:val="0"/>
          <w:sz w:val="22"/>
          <w:szCs w:val="22"/>
        </w:rPr>
        <w:t xml:space="preserve"> “San</w:t>
      </w:r>
      <w:r w:rsidR="006D3AAD">
        <w:rPr>
          <w:rFonts w:ascii="Palatino Linotype" w:hAnsi="Palatino Linotype" w:cs="Arial"/>
          <w:b w:val="0"/>
          <w:sz w:val="22"/>
          <w:szCs w:val="22"/>
        </w:rPr>
        <w:t>ta Isabel”</w:t>
      </w:r>
      <w:r w:rsidR="006D3AAD" w:rsidRPr="00A86186">
        <w:rPr>
          <w:rFonts w:ascii="Palatino Linotype" w:hAnsi="Palatino Linotype" w:cs="Arial"/>
          <w:b w:val="0"/>
          <w:sz w:val="22"/>
          <w:szCs w:val="22"/>
        </w:rPr>
        <w:t xml:space="preserve"> (</w:t>
      </w:r>
      <w:r w:rsidR="006D3AAD">
        <w:rPr>
          <w:rFonts w:ascii="Palatino Linotype" w:hAnsi="Palatino Linotype" w:cs="Arial"/>
          <w:b w:val="0"/>
          <w:sz w:val="22"/>
          <w:szCs w:val="22"/>
        </w:rPr>
        <w:t>Franja 5</w:t>
      </w:r>
      <w:r w:rsidR="006D3AAD" w:rsidRPr="00A86186">
        <w:rPr>
          <w:rFonts w:ascii="Palatino Linotype" w:hAnsi="Palatino Linotype" w:cs="Arial"/>
          <w:b w:val="0"/>
          <w:sz w:val="22"/>
          <w:szCs w:val="22"/>
        </w:rPr>
        <w:t>)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077615">
      <w:pPr>
        <w:pStyle w:val="Ttulo"/>
        <w:spacing w:before="240" w:after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077615">
      <w:pPr>
        <w:spacing w:before="240"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6D3AAD">
        <w:rPr>
          <w:rFonts w:ascii="Palatino Linotype" w:hAnsi="Palatino Linotype" w:cs="Arial"/>
          <w:sz w:val="22"/>
          <w:szCs w:val="22"/>
        </w:rPr>
        <w:t>154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6D3AAD">
        <w:rPr>
          <w:rFonts w:ascii="Palatino Linotype" w:hAnsi="Palatino Linotype" w:cs="Arial"/>
          <w:sz w:val="22"/>
          <w:szCs w:val="22"/>
        </w:rPr>
        <w:t>20</w:t>
      </w:r>
      <w:r w:rsidR="00057D41">
        <w:rPr>
          <w:rFonts w:ascii="Palatino Linotype" w:hAnsi="Palatino Linotype" w:cs="Arial"/>
          <w:sz w:val="22"/>
          <w:szCs w:val="22"/>
        </w:rPr>
        <w:t xml:space="preserve">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6D3AAD">
        <w:rPr>
          <w:rFonts w:ascii="Palatino Linotype" w:hAnsi="Palatino Linotype" w:cs="Arial"/>
          <w:sz w:val="22"/>
          <w:szCs w:val="22"/>
        </w:rPr>
        <w:t xml:space="preserve">julio </w:t>
      </w:r>
      <w:r w:rsidR="00057D41">
        <w:rPr>
          <w:rFonts w:ascii="Palatino Linotype" w:hAnsi="Palatino Linotype" w:cs="Arial"/>
          <w:sz w:val="22"/>
          <w:szCs w:val="22"/>
        </w:rPr>
        <w:t>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077615">
      <w:pPr>
        <w:spacing w:before="240"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="00077615">
        <w:rPr>
          <w:rFonts w:ascii="Palatino Linotype" w:hAnsi="Palatino Linotype" w:cs="Arial"/>
        </w:rPr>
        <w:tab/>
        <w:t>el numeral 1 del artí</w:t>
      </w:r>
      <w:r w:rsidRPr="001842A8">
        <w:rPr>
          <w:rFonts w:ascii="Palatino Linotype" w:hAnsi="Palatino Linotype" w:cs="Arial"/>
        </w:rPr>
        <w:t>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98259C" w:rsidRDefault="0098259C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8079C6" w:rsidRPr="001842A8">
        <w:rPr>
          <w:rFonts w:ascii="Palatino Linotype" w:hAnsi="Palatino Linotype" w:cs="Arial"/>
          <w:bCs/>
        </w:rPr>
        <w:t>“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8079C6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8079C6">
        <w:rPr>
          <w:rFonts w:ascii="Palatino Linotype" w:hAnsi="Palatino Linotype" w:cs="Arial"/>
          <w:bCs/>
          <w:i/>
          <w:lang w:val="es-ES_tradnl"/>
        </w:rPr>
        <w:t>G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8079C6">
        <w:rPr>
          <w:rFonts w:ascii="Palatino Linotype" w:hAnsi="Palatino Linotype" w:cs="Arial"/>
          <w:bCs/>
          <w:i/>
          <w:lang w:val="es-ES_tradnl"/>
        </w:rPr>
        <w:t>Autónomo D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8079C6" w:rsidRPr="001842A8">
        <w:rPr>
          <w:rFonts w:ascii="Palatino Linotype" w:hAnsi="Palatino Linotype" w:cs="Arial"/>
          <w:bCs/>
          <w:lang w:val="es-ES_tradnl"/>
        </w:rPr>
        <w:t>”</w:t>
      </w:r>
      <w:r w:rsidR="008079C6" w:rsidRPr="001842A8">
        <w:rPr>
          <w:rFonts w:ascii="Palatino Linotype" w:hAnsi="Palatino Linotype" w:cs="Arial"/>
          <w:b/>
          <w:bCs/>
        </w:rPr>
        <w:t>;</w:t>
      </w:r>
    </w:p>
    <w:p w:rsidR="00C15531" w:rsidRPr="00F24D4E" w:rsidRDefault="00C15531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>
        <w:rPr>
          <w:rFonts w:ascii="Palatino Linotype" w:hAnsi="Palatino Linotype" w:cs="Arial"/>
          <w:b/>
          <w:bCs/>
        </w:rPr>
        <w:t>Que,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>la Disposición Transitoria Décima Cuarta del COOTAD, señala: “</w:t>
      </w:r>
      <w:r>
        <w:rPr>
          <w:rFonts w:ascii="Palatino Linotype" w:hAnsi="Palatino Linotype" w:cs="Arial"/>
          <w:bCs/>
          <w:i/>
        </w:rPr>
        <w:t xml:space="preserve">(…) </w:t>
      </w:r>
      <w:r w:rsidRPr="00C15531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643B95">
        <w:rPr>
          <w:rFonts w:ascii="Palatino Linotype" w:hAnsi="Palatino Linotype" w:cs="Arial"/>
        </w:rPr>
        <w:t>.”</w:t>
      </w:r>
      <w:r>
        <w:rPr>
          <w:rFonts w:ascii="Palatino Linotype" w:hAnsi="Palatino Linotype" w:cs="Arial"/>
        </w:rPr>
        <w:t>;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077615" w:rsidRDefault="00077615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AA4753">
        <w:rPr>
          <w:rFonts w:ascii="Palatino Linotype" w:hAnsi="Palatino Linotype"/>
          <w:b/>
          <w:bCs/>
        </w:rPr>
        <w:t>Que,</w:t>
      </w:r>
      <w:r>
        <w:rPr>
          <w:rFonts w:ascii="Palatino Linotype" w:hAnsi="Palatino Linotype"/>
        </w:rPr>
        <w:t xml:space="preserve">  la </w:t>
      </w:r>
      <w:r w:rsidRPr="00AA4753">
        <w:rPr>
          <w:rFonts w:ascii="Palatino Linotype" w:hAnsi="Palatino Linotype"/>
        </w:rPr>
        <w:t>Mesa Institucional d</w:t>
      </w:r>
      <w:r>
        <w:rPr>
          <w:rFonts w:ascii="Palatino Linotype" w:hAnsi="Palatino Linotype"/>
        </w:rPr>
        <w:t>e Trabajo</w:t>
      </w:r>
      <w:r w:rsidRPr="00DB6074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reunida el 20</w:t>
      </w:r>
      <w:r w:rsidRPr="008C6A5A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febrero de 2015 en la Administración </w:t>
      </w:r>
      <w:r w:rsidRPr="00EA4743">
        <w:rPr>
          <w:rFonts w:ascii="Palatino Linotype" w:hAnsi="Palatino Linotype"/>
        </w:rPr>
        <w:t>Zonal Quitumbe, integrada por los siguientes órganos y dependencias:</w:t>
      </w:r>
      <w:r>
        <w:rPr>
          <w:rFonts w:ascii="Palatino Linotype" w:hAnsi="Palatino Linotype"/>
        </w:rPr>
        <w:t xml:space="preserve"> </w:t>
      </w:r>
      <w:r w:rsidRPr="00EA4743">
        <w:rPr>
          <w:rFonts w:ascii="Palatino Linotype" w:hAnsi="Palatino Linotype"/>
        </w:rPr>
        <w:lastRenderedPageBreak/>
        <w:t xml:space="preserve">Administración Zonal Quitumbe; </w:t>
      </w:r>
      <w:r w:rsidRPr="00B33DE3">
        <w:rPr>
          <w:rFonts w:ascii="Palatino Linotype" w:hAnsi="Palatino Linotype"/>
        </w:rPr>
        <w:t>Direc</w:t>
      </w:r>
      <w:r>
        <w:rPr>
          <w:rFonts w:ascii="Palatino Linotype" w:hAnsi="Palatino Linotype"/>
        </w:rPr>
        <w:t>ción Zonal de Asesoría Jurídica</w:t>
      </w:r>
      <w:r w:rsidRPr="00EA4743">
        <w:rPr>
          <w:rFonts w:ascii="Palatino Linotype" w:hAnsi="Palatino Linotype"/>
        </w:rPr>
        <w:t xml:space="preserve">; Dirección Metropolitana de Catastro; Secretaría de Territorio, Hábitat y Vivienda; y, Unidad Especial Regula Tu Barrio, </w:t>
      </w:r>
      <w:r w:rsidRPr="00EA4743">
        <w:rPr>
          <w:rFonts w:ascii="Palatino Linotype" w:hAnsi="Palatino Linotype"/>
          <w:iCs/>
        </w:rPr>
        <w:t xml:space="preserve">emitió el </w:t>
      </w:r>
      <w:r w:rsidRPr="00EA4743">
        <w:rPr>
          <w:rFonts w:ascii="Palatino Linotype" w:hAnsi="Palatino Linotype" w:cs="Arial"/>
        </w:rPr>
        <w:t xml:space="preserve">informe No. </w:t>
      </w:r>
      <w:r>
        <w:rPr>
          <w:rFonts w:ascii="Palatino Linotype" w:hAnsi="Palatino Linotype" w:cs="Arial"/>
        </w:rPr>
        <w:t>002</w:t>
      </w:r>
      <w:r w:rsidRPr="000A1C26">
        <w:rPr>
          <w:rFonts w:ascii="Palatino Linotype" w:hAnsi="Palatino Linotype" w:cs="Arial"/>
        </w:rPr>
        <w:t>-UERB-Q-SOLT-201</w:t>
      </w:r>
      <w:r>
        <w:rPr>
          <w:rFonts w:ascii="Palatino Linotype" w:hAnsi="Palatino Linotype" w:cs="Arial"/>
        </w:rPr>
        <w:t>5</w:t>
      </w:r>
      <w:r w:rsidRPr="00EA4743">
        <w:rPr>
          <w:rFonts w:ascii="Palatino Linotype" w:hAnsi="Palatino Linotype" w:cs="Arial"/>
        </w:rPr>
        <w:t xml:space="preserve">, </w:t>
      </w:r>
      <w:r w:rsidRPr="00EA4743">
        <w:rPr>
          <w:rFonts w:ascii="Palatino Linotype" w:hAnsi="Palatino Linotype"/>
        </w:rPr>
        <w:t>para la aprobación del Asentamiento Humano de Hecho y Consolidado denominado</w:t>
      </w:r>
      <w:r>
        <w:rPr>
          <w:rFonts w:ascii="Palatino Linotype" w:hAnsi="Palatino Linotype"/>
        </w:rPr>
        <w:t xml:space="preserve"> Comité </w:t>
      </w:r>
      <w:proofErr w:type="spellStart"/>
      <w:r>
        <w:rPr>
          <w:rFonts w:ascii="Palatino Linotype" w:hAnsi="Palatino Linotype"/>
        </w:rPr>
        <w:t>Promejoras</w:t>
      </w:r>
      <w:proofErr w:type="spellEnd"/>
      <w:r>
        <w:rPr>
          <w:rFonts w:ascii="Palatino Linotype" w:hAnsi="Palatino Linotype"/>
        </w:rPr>
        <w:t xml:space="preserve"> “Santa Isabel” (Franja 5), a favor de sus copropietarios.</w:t>
      </w:r>
    </w:p>
    <w:p w:rsidR="008079C6" w:rsidRPr="00A837DE" w:rsidRDefault="008079C6" w:rsidP="00077615">
      <w:pPr>
        <w:pStyle w:val="Sinespaciado"/>
        <w:spacing w:after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077615">
      <w:pPr>
        <w:spacing w:after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077615" w:rsidRPr="00B74F7F" w:rsidRDefault="00077615" w:rsidP="00077615">
      <w:pPr>
        <w:pStyle w:val="Sinespaciado"/>
        <w:spacing w:after="240" w:line="276" w:lineRule="auto"/>
        <w:jc w:val="center"/>
        <w:outlineLvl w:val="0"/>
        <w:rPr>
          <w:rFonts w:ascii="Palatino Linotype" w:hAnsi="Palatino Linotype"/>
        </w:rPr>
      </w:pPr>
      <w:r w:rsidRPr="00AA4753">
        <w:rPr>
          <w:rFonts w:ascii="Palatino Linotype" w:hAnsi="Palatino Linotype" w:cs="Arial"/>
          <w:b/>
        </w:rPr>
        <w:t>ORDENANZA QUE RECONOCE Y</w:t>
      </w:r>
      <w:r>
        <w:rPr>
          <w:rFonts w:ascii="Palatino Linotype" w:hAnsi="Palatino Linotype" w:cs="Arial"/>
          <w:b/>
        </w:rPr>
        <w:t xml:space="preserve"> APRUEBA EL ASENTAMIENTO HUMANO DE HECHO Y CONSOLIDADO DENOMINADO COMITE PROMEJORAS “SANTA ISABEL” (FRANJA 5), A FAVOR DE SUS COPROPIETARIOS</w:t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 1.- </w:t>
      </w:r>
      <w:r w:rsidRPr="0061158F">
        <w:rPr>
          <w:rFonts w:ascii="Palatino Linotype" w:hAnsi="Palatino Linotype"/>
          <w:b/>
          <w:sz w:val="22"/>
          <w:szCs w:val="22"/>
          <w:lang w:val="es-EC"/>
        </w:rPr>
        <w:t>De los planos y documentos presentados.-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A4753">
        <w:rPr>
          <w:rFonts w:ascii="Palatino Linotype" w:hAnsi="Palatino Linotype"/>
          <w:sz w:val="22"/>
          <w:szCs w:val="22"/>
          <w:lang w:val="es-EC"/>
        </w:rPr>
        <w:t>Los planos y documentos presentados son de exclusiva responsabilidad del</w:t>
      </w:r>
      <w:r>
        <w:rPr>
          <w:rFonts w:ascii="Palatino Linotype" w:hAnsi="Palatino Linotype"/>
          <w:sz w:val="22"/>
          <w:szCs w:val="22"/>
          <w:lang w:val="es-EC"/>
        </w:rPr>
        <w:t xml:space="preserve"> proyectista, y copropietarios del predio donde se encuentra el Asentamiento Humano de Hecho y Consolidado denominado</w:t>
      </w:r>
      <w:r w:rsidRPr="00055CD9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“Santa Isabel” (Franja 5)</w:t>
      </w:r>
      <w:r w:rsidRPr="00AA4753">
        <w:rPr>
          <w:rFonts w:ascii="Palatino Linotype" w:hAnsi="Palatino Linotype"/>
          <w:sz w:val="22"/>
          <w:szCs w:val="22"/>
          <w:lang w:val="es-EC"/>
        </w:rPr>
        <w:t>, sin perjuicio de la responsabilidad de quienes revisaron los planos y los documentos legales, excepto en caso de que hayan sido inducidos a engaño.</w:t>
      </w:r>
    </w:p>
    <w:p w:rsidR="00077615" w:rsidRPr="00F0318F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F0318F">
        <w:rPr>
          <w:rFonts w:ascii="Palatino Linotype" w:hAnsi="Palatino Linotype"/>
          <w:sz w:val="22"/>
          <w:szCs w:val="22"/>
          <w:lang w:val="es-EC"/>
        </w:rPr>
        <w:t>En caso de comprobarse ocultación o falsedad en planos, datos, documentos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F0318F">
        <w:rPr>
          <w:rFonts w:ascii="Palatino Linotype" w:hAnsi="Palatino Linotype"/>
          <w:sz w:val="22"/>
          <w:szCs w:val="22"/>
          <w:lang w:val="es-EC"/>
        </w:rPr>
        <w:t xml:space="preserve"> o de existir reclamos de terceros afectados, será de exclusiva responsabilidad </w:t>
      </w:r>
      <w:r>
        <w:rPr>
          <w:rFonts w:ascii="Palatino Linotype" w:hAnsi="Palatino Linotype"/>
          <w:sz w:val="22"/>
          <w:szCs w:val="22"/>
          <w:lang w:val="es-EC"/>
        </w:rPr>
        <w:t>del técnico y de los copropietarios del predio</w:t>
      </w:r>
      <w:r w:rsidRPr="00F0318F">
        <w:rPr>
          <w:rFonts w:ascii="Palatino Linotype" w:hAnsi="Palatino Linotype"/>
          <w:sz w:val="22"/>
          <w:szCs w:val="22"/>
          <w:lang w:val="es-EC"/>
        </w:rPr>
        <w:t>.</w:t>
      </w:r>
      <w:r w:rsidRPr="00F0318F">
        <w:rPr>
          <w:rFonts w:ascii="Palatino Linotype" w:hAnsi="Palatino Linotype"/>
          <w:sz w:val="22"/>
          <w:szCs w:val="22"/>
        </w:rPr>
        <w:t xml:space="preserve"> </w:t>
      </w:r>
      <w:r w:rsidRPr="00F0318F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077615" w:rsidRPr="00C946EC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>Por las condiciones de asentamiento humano de hecho y consolidado, se lo aprueba considerándolo de interés social.</w:t>
      </w:r>
    </w:p>
    <w:p w:rsidR="00077615" w:rsidRPr="00AA4753" w:rsidRDefault="00077615" w:rsidP="00077615">
      <w:pPr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 2.- Especificaciones técnicas.-</w:t>
      </w:r>
    </w:p>
    <w:p w:rsidR="00077615" w:rsidRPr="00936385" w:rsidRDefault="00077615" w:rsidP="00077615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 xml:space="preserve">Zonificación actual </w:t>
      </w:r>
      <w:r w:rsidRPr="00936385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     </w:t>
      </w:r>
      <w:r>
        <w:rPr>
          <w:rFonts w:ascii="Palatino Linotype" w:hAnsi="Palatino Linotype" w:cs="Arial"/>
          <w:sz w:val="22"/>
          <w:szCs w:val="22"/>
        </w:rPr>
        <w:tab/>
        <w:t>D3</w:t>
      </w:r>
      <w:r>
        <w:rPr>
          <w:rFonts w:ascii="Palatino Linotype" w:hAnsi="Palatino Linotype"/>
          <w:sz w:val="22"/>
          <w:szCs w:val="22"/>
        </w:rPr>
        <w:t xml:space="preserve"> (D203-80</w:t>
      </w:r>
      <w:r w:rsidRPr="00936385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077615" w:rsidRPr="00936385" w:rsidRDefault="00077615" w:rsidP="00077615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Lote mínimo:</w:t>
      </w:r>
      <w:r w:rsidRPr="00936385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</w:t>
      </w:r>
      <w:r>
        <w:rPr>
          <w:rFonts w:ascii="Palatino Linotype" w:hAnsi="Palatino Linotype" w:cs="Arial"/>
          <w:sz w:val="22"/>
          <w:szCs w:val="22"/>
        </w:rPr>
        <w:tab/>
        <w:t>2</w:t>
      </w:r>
      <w:r w:rsidRPr="00936385">
        <w:rPr>
          <w:rFonts w:ascii="Palatino Linotype" w:hAnsi="Palatino Linotype" w:cs="Arial"/>
          <w:sz w:val="22"/>
          <w:szCs w:val="22"/>
        </w:rPr>
        <w:t>00 m</w:t>
      </w:r>
      <w:r w:rsidRPr="00077615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936385">
        <w:rPr>
          <w:rFonts w:ascii="Palatino Linotype" w:hAnsi="Palatino Linotype" w:cs="Arial"/>
          <w:sz w:val="22"/>
          <w:szCs w:val="22"/>
        </w:rPr>
        <w:t xml:space="preserve"> </w:t>
      </w:r>
    </w:p>
    <w:p w:rsidR="00077615" w:rsidRPr="00936385" w:rsidRDefault="00077615" w:rsidP="00077615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 xml:space="preserve">Forma de ocupación del suelo: </w:t>
      </w:r>
      <w:r>
        <w:rPr>
          <w:rFonts w:ascii="Palatino Linotype" w:hAnsi="Palatino Linotype" w:cs="Arial"/>
          <w:sz w:val="22"/>
          <w:szCs w:val="22"/>
        </w:rPr>
        <w:tab/>
        <w:t xml:space="preserve">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(D) Sobre línea de fábrica</w:t>
      </w:r>
    </w:p>
    <w:p w:rsidR="00077615" w:rsidRPr="00936385" w:rsidRDefault="00077615" w:rsidP="00077615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lastRenderedPageBreak/>
        <w:t>Uso principal del suelo:</w:t>
      </w:r>
      <w:r w:rsidRPr="00936385">
        <w:rPr>
          <w:rFonts w:ascii="Palatino Linotype" w:hAnsi="Palatino Linotype" w:cs="Arial"/>
          <w:b/>
          <w:sz w:val="22"/>
          <w:szCs w:val="22"/>
        </w:rPr>
        <w:tab/>
      </w:r>
      <w:r w:rsidRPr="00936385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(R2) Residencial Mediana Densidad</w:t>
      </w:r>
    </w:p>
    <w:p w:rsidR="00077615" w:rsidRDefault="00077615" w:rsidP="00077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5"/>
        </w:tabs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Número de lotes: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        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20</w:t>
      </w:r>
    </w:p>
    <w:p w:rsidR="00077615" w:rsidRPr="00936385" w:rsidRDefault="00077615" w:rsidP="00077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Área útil de lotes: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 xml:space="preserve">                     </w:t>
      </w:r>
      <w:r>
        <w:rPr>
          <w:rFonts w:ascii="Palatino Linotype" w:hAnsi="Palatino Linotype" w:cs="Arial"/>
          <w:sz w:val="22"/>
          <w:szCs w:val="22"/>
        </w:rPr>
        <w:tab/>
        <w:t xml:space="preserve">5.273,68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936385">
        <w:rPr>
          <w:rFonts w:ascii="Palatino Linotype" w:hAnsi="Palatino Linotype" w:cs="Arial"/>
          <w:sz w:val="22"/>
          <w:szCs w:val="22"/>
        </w:rPr>
        <w:tab/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936385">
        <w:rPr>
          <w:rFonts w:ascii="Palatino Linotype" w:hAnsi="Palatino Linotype" w:cs="Arial"/>
          <w:b/>
          <w:sz w:val="22"/>
          <w:szCs w:val="22"/>
        </w:rPr>
        <w:t>Área de vías y pasajes:</w:t>
      </w:r>
      <w:r>
        <w:rPr>
          <w:rFonts w:ascii="Palatino Linotype" w:hAnsi="Palatino Linotype" w:cs="Arial"/>
          <w:sz w:val="22"/>
          <w:szCs w:val="22"/>
        </w:rPr>
        <w:tab/>
        <w:t xml:space="preserve">                        </w:t>
      </w:r>
      <w:r>
        <w:rPr>
          <w:rFonts w:ascii="Palatino Linotype" w:hAnsi="Palatino Linotype" w:cs="Arial"/>
          <w:sz w:val="22"/>
          <w:szCs w:val="22"/>
        </w:rPr>
        <w:tab/>
        <w:t xml:space="preserve">526,14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Pr="00561521" w:rsidRDefault="00077615" w:rsidP="00077615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F3100D">
        <w:rPr>
          <w:rFonts w:ascii="Palatino Linotype" w:hAnsi="Palatino Linotype" w:cstheme="minorHAnsi"/>
          <w:b/>
          <w:sz w:val="22"/>
          <w:szCs w:val="22"/>
          <w:lang w:val="es-EC"/>
        </w:rPr>
        <w:t xml:space="preserve">Área escritura predio </w:t>
      </w:r>
      <w:r w:rsidR="00984ED7">
        <w:rPr>
          <w:rFonts w:ascii="Palatino Linotype" w:hAnsi="Palatino Linotype" w:cstheme="minorHAnsi"/>
          <w:b/>
          <w:sz w:val="22"/>
          <w:szCs w:val="22"/>
          <w:lang w:val="es-EC"/>
        </w:rPr>
        <w:t xml:space="preserve">No. </w:t>
      </w:r>
      <w:r w:rsidRPr="00F3100D">
        <w:rPr>
          <w:rFonts w:ascii="Palatino Linotype" w:hAnsi="Palatino Linotype" w:cstheme="minorHAnsi"/>
          <w:b/>
          <w:sz w:val="22"/>
          <w:szCs w:val="22"/>
          <w:lang w:val="es-EC"/>
        </w:rPr>
        <w:t>180279</w:t>
      </w:r>
      <w:r>
        <w:rPr>
          <w:rFonts w:ascii="Palatino Linotype" w:hAnsi="Palatino Linotype" w:cstheme="minorHAnsi"/>
          <w:b/>
          <w:sz w:val="22"/>
          <w:szCs w:val="22"/>
          <w:lang w:val="es-EC"/>
        </w:rPr>
        <w:t>:</w:t>
      </w:r>
      <w:r w:rsidRPr="00561521">
        <w:rPr>
          <w:rFonts w:ascii="Palatino Linotype" w:hAnsi="Palatino Linotype" w:cstheme="minorHAnsi"/>
          <w:sz w:val="22"/>
          <w:szCs w:val="22"/>
          <w:lang w:val="es-EC"/>
        </w:rPr>
        <w:t xml:space="preserve">                </w:t>
      </w:r>
      <w:r w:rsidR="00984ED7">
        <w:rPr>
          <w:rFonts w:ascii="Palatino Linotype" w:hAnsi="Palatino Linotype" w:cstheme="minorHAnsi"/>
          <w:sz w:val="22"/>
          <w:szCs w:val="22"/>
          <w:lang w:val="es-EC"/>
        </w:rPr>
        <w:tab/>
      </w:r>
      <w:r w:rsidRPr="00561521">
        <w:rPr>
          <w:rFonts w:ascii="Palatino Linotype" w:hAnsi="Palatino Linotype" w:cstheme="minorHAnsi"/>
          <w:sz w:val="22"/>
          <w:szCs w:val="22"/>
          <w:lang w:val="es-EC"/>
        </w:rPr>
        <w:t>1.932,00</w:t>
      </w:r>
      <w:r>
        <w:rPr>
          <w:rFonts w:ascii="Palatino Linotype" w:hAnsi="Palatino Linotype" w:cstheme="minorHAnsi"/>
          <w:sz w:val="22"/>
          <w:szCs w:val="22"/>
          <w:lang w:val="es-EC"/>
        </w:rPr>
        <w:t xml:space="preserve">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  <w:lang w:val="es-EC"/>
        </w:rPr>
      </w:pPr>
      <w:r w:rsidRPr="000F4019">
        <w:rPr>
          <w:rFonts w:ascii="Palatino Linotype" w:hAnsi="Palatino Linotype" w:cs="Arial"/>
          <w:b/>
          <w:sz w:val="22"/>
          <w:szCs w:val="22"/>
        </w:rPr>
        <w:t>Área predio</w:t>
      </w:r>
      <w:r>
        <w:rPr>
          <w:rFonts w:ascii="Palatino Linotype" w:hAnsi="Palatino Linotype" w:cs="Arial"/>
          <w:b/>
          <w:sz w:val="22"/>
          <w:szCs w:val="22"/>
        </w:rPr>
        <w:t xml:space="preserve"> (Lev.</w:t>
      </w:r>
      <w:r w:rsidR="00984ED7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 xml:space="preserve">Top.):                               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F3100D">
        <w:rPr>
          <w:rFonts w:ascii="Palatino Linotype" w:hAnsi="Palatino Linotype" w:cs="Arial"/>
          <w:sz w:val="22"/>
          <w:szCs w:val="22"/>
          <w:lang w:val="es-EC"/>
        </w:rPr>
        <w:t>1.924,36</w:t>
      </w:r>
      <w:r>
        <w:rPr>
          <w:rFonts w:ascii="Palatino Linotype" w:hAnsi="Palatino Linotype" w:cs="Arial"/>
          <w:sz w:val="22"/>
          <w:szCs w:val="22"/>
          <w:lang w:val="es-EC"/>
        </w:rPr>
        <w:t xml:space="preserve"> </w:t>
      </w:r>
      <w:r w:rsidRPr="00F3100D">
        <w:rPr>
          <w:rFonts w:ascii="Palatino Linotype" w:hAnsi="Palatino Linotype" w:cs="Arial"/>
          <w:sz w:val="22"/>
          <w:szCs w:val="22"/>
        </w:rPr>
        <w:t>m</w:t>
      </w:r>
      <w:r w:rsidRPr="00F3100D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Pr="00561521" w:rsidRDefault="00077615" w:rsidP="00077615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F3100D">
        <w:rPr>
          <w:rFonts w:ascii="Palatino Linotype" w:hAnsi="Palatino Linotype" w:cstheme="minorHAnsi"/>
          <w:b/>
          <w:sz w:val="22"/>
          <w:szCs w:val="22"/>
          <w:lang w:val="es-EC"/>
        </w:rPr>
        <w:t xml:space="preserve">Área escritura predio </w:t>
      </w:r>
      <w:r w:rsidR="00984ED7">
        <w:rPr>
          <w:rFonts w:ascii="Palatino Linotype" w:hAnsi="Palatino Linotype" w:cstheme="minorHAnsi"/>
          <w:b/>
          <w:sz w:val="22"/>
          <w:szCs w:val="22"/>
          <w:lang w:val="es-EC"/>
        </w:rPr>
        <w:t xml:space="preserve">No. </w:t>
      </w:r>
      <w:r w:rsidRPr="00F3100D">
        <w:rPr>
          <w:rFonts w:ascii="Palatino Linotype" w:hAnsi="Palatino Linotype" w:cstheme="minorHAnsi"/>
          <w:b/>
          <w:sz w:val="22"/>
          <w:szCs w:val="22"/>
          <w:lang w:val="es-EC"/>
        </w:rPr>
        <w:t>180280</w:t>
      </w:r>
      <w:r>
        <w:rPr>
          <w:rFonts w:ascii="Palatino Linotype" w:hAnsi="Palatino Linotype" w:cstheme="minorHAnsi"/>
          <w:b/>
          <w:sz w:val="22"/>
          <w:szCs w:val="22"/>
          <w:lang w:val="es-EC"/>
        </w:rPr>
        <w:t>:</w:t>
      </w:r>
      <w:r w:rsidRPr="00561521">
        <w:rPr>
          <w:rFonts w:ascii="Palatino Linotype" w:hAnsi="Palatino Linotype" w:cstheme="minorHAnsi"/>
          <w:sz w:val="22"/>
          <w:szCs w:val="22"/>
          <w:lang w:val="es-EC"/>
        </w:rPr>
        <w:t xml:space="preserve">                </w:t>
      </w:r>
      <w:r w:rsidR="00984ED7">
        <w:rPr>
          <w:rFonts w:ascii="Palatino Linotype" w:hAnsi="Palatino Linotype" w:cstheme="minorHAnsi"/>
          <w:sz w:val="22"/>
          <w:szCs w:val="22"/>
          <w:lang w:val="es-EC"/>
        </w:rPr>
        <w:tab/>
      </w:r>
      <w:r w:rsidRPr="00561521">
        <w:rPr>
          <w:rFonts w:ascii="Palatino Linotype" w:hAnsi="Palatino Linotype" w:cstheme="minorHAnsi"/>
          <w:sz w:val="22"/>
          <w:szCs w:val="22"/>
          <w:lang w:val="es-EC"/>
        </w:rPr>
        <w:t>1.932,00</w:t>
      </w:r>
      <w:r>
        <w:rPr>
          <w:rFonts w:ascii="Palatino Linotype" w:hAnsi="Palatino Linotype" w:cstheme="minorHAnsi"/>
          <w:sz w:val="22"/>
          <w:szCs w:val="22"/>
          <w:lang w:val="es-EC"/>
        </w:rPr>
        <w:t xml:space="preserve">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 w:cstheme="minorHAnsi"/>
          <w:sz w:val="22"/>
          <w:szCs w:val="22"/>
          <w:lang w:val="es-EC"/>
        </w:rPr>
      </w:pPr>
      <w:r w:rsidRPr="000F4019">
        <w:rPr>
          <w:rFonts w:ascii="Palatino Linotype" w:hAnsi="Palatino Linotype" w:cs="Arial"/>
          <w:b/>
          <w:sz w:val="22"/>
          <w:szCs w:val="22"/>
        </w:rPr>
        <w:t>Área predio</w:t>
      </w:r>
      <w:r>
        <w:rPr>
          <w:rFonts w:ascii="Palatino Linotype" w:hAnsi="Palatino Linotype" w:cs="Arial"/>
          <w:b/>
          <w:sz w:val="22"/>
          <w:szCs w:val="22"/>
        </w:rPr>
        <w:t xml:space="preserve"> (Lev.</w:t>
      </w:r>
      <w:r w:rsidR="00984ED7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 xml:space="preserve">Top.):                               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F3100D">
        <w:rPr>
          <w:rFonts w:ascii="Palatino Linotype" w:hAnsi="Palatino Linotype" w:cstheme="minorHAnsi"/>
          <w:sz w:val="22"/>
          <w:szCs w:val="22"/>
          <w:lang w:val="es-EC"/>
        </w:rPr>
        <w:t>1.923,82</w:t>
      </w:r>
      <w:r>
        <w:rPr>
          <w:rFonts w:ascii="Palatino Linotype" w:hAnsi="Palatino Linotype" w:cstheme="minorHAnsi"/>
          <w:sz w:val="22"/>
          <w:szCs w:val="22"/>
          <w:lang w:val="es-EC"/>
        </w:rPr>
        <w:t xml:space="preserve"> </w:t>
      </w:r>
      <w:r w:rsidRPr="00F3100D">
        <w:rPr>
          <w:rFonts w:ascii="Palatino Linotype" w:hAnsi="Palatino Linotype" w:cs="Arial"/>
          <w:sz w:val="22"/>
          <w:szCs w:val="22"/>
        </w:rPr>
        <w:t>m</w:t>
      </w:r>
      <w:r w:rsidRPr="00F3100D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F3100D">
        <w:rPr>
          <w:rFonts w:ascii="Palatino Linotype" w:hAnsi="Palatino Linotype" w:cstheme="minorHAnsi"/>
          <w:b/>
          <w:sz w:val="22"/>
          <w:szCs w:val="22"/>
          <w:lang w:val="es-EC"/>
        </w:rPr>
        <w:t xml:space="preserve">Área escritura predio </w:t>
      </w:r>
      <w:r w:rsidR="00984ED7">
        <w:rPr>
          <w:rFonts w:ascii="Palatino Linotype" w:hAnsi="Palatino Linotype" w:cstheme="minorHAnsi"/>
          <w:b/>
          <w:sz w:val="22"/>
          <w:szCs w:val="22"/>
          <w:lang w:val="es-EC"/>
        </w:rPr>
        <w:t xml:space="preserve">No. </w:t>
      </w:r>
      <w:r w:rsidRPr="00F3100D">
        <w:rPr>
          <w:rFonts w:ascii="Palatino Linotype" w:hAnsi="Palatino Linotype" w:cstheme="minorHAnsi"/>
          <w:b/>
          <w:sz w:val="22"/>
          <w:szCs w:val="22"/>
          <w:lang w:val="es-EC"/>
        </w:rPr>
        <w:t>180282</w:t>
      </w:r>
      <w:r>
        <w:rPr>
          <w:rFonts w:ascii="Palatino Linotype" w:hAnsi="Palatino Linotype" w:cstheme="minorHAnsi"/>
          <w:b/>
          <w:sz w:val="22"/>
          <w:szCs w:val="22"/>
          <w:lang w:val="es-EC"/>
        </w:rPr>
        <w:t>:</w:t>
      </w:r>
      <w:r w:rsidRPr="00F310CD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Pr="00561521">
        <w:rPr>
          <w:rFonts w:ascii="Palatino Linotype" w:hAnsi="Palatino Linotype" w:cstheme="minorHAnsi"/>
          <w:sz w:val="22"/>
          <w:szCs w:val="22"/>
          <w:lang w:val="es-EC"/>
        </w:rPr>
        <w:t xml:space="preserve">              </w:t>
      </w:r>
      <w:r>
        <w:rPr>
          <w:rFonts w:ascii="Palatino Linotype" w:hAnsi="Palatino Linotype" w:cstheme="minorHAnsi"/>
          <w:sz w:val="22"/>
          <w:szCs w:val="22"/>
          <w:lang w:val="es-EC"/>
        </w:rPr>
        <w:t xml:space="preserve"> </w:t>
      </w:r>
      <w:r w:rsidR="00984ED7">
        <w:rPr>
          <w:rFonts w:ascii="Palatino Linotype" w:hAnsi="Palatino Linotype" w:cstheme="minorHAnsi"/>
          <w:sz w:val="22"/>
          <w:szCs w:val="22"/>
          <w:lang w:val="es-EC"/>
        </w:rPr>
        <w:tab/>
      </w:r>
      <w:r w:rsidRPr="00561521">
        <w:rPr>
          <w:rFonts w:ascii="Palatino Linotype" w:hAnsi="Palatino Linotype" w:cstheme="minorHAnsi"/>
          <w:sz w:val="22"/>
          <w:szCs w:val="22"/>
          <w:lang w:val="es-EC"/>
        </w:rPr>
        <w:t>1.932,00</w:t>
      </w:r>
      <w:r>
        <w:rPr>
          <w:rFonts w:ascii="Palatino Linotype" w:hAnsi="Palatino Linotype" w:cstheme="minorHAnsi"/>
          <w:sz w:val="22"/>
          <w:szCs w:val="22"/>
          <w:lang w:val="es-EC"/>
        </w:rPr>
        <w:t xml:space="preserve"> </w:t>
      </w:r>
      <w:r w:rsidRPr="00936385">
        <w:rPr>
          <w:rFonts w:ascii="Palatino Linotype" w:hAnsi="Palatino Linotype" w:cs="Arial"/>
          <w:sz w:val="22"/>
          <w:szCs w:val="22"/>
        </w:rPr>
        <w:t>m</w:t>
      </w:r>
      <w:r w:rsidRPr="0093638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Pr="00F3100D" w:rsidRDefault="00077615" w:rsidP="00077615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F4019">
        <w:rPr>
          <w:rFonts w:ascii="Palatino Linotype" w:hAnsi="Palatino Linotype" w:cs="Arial"/>
          <w:b/>
          <w:sz w:val="22"/>
          <w:szCs w:val="22"/>
        </w:rPr>
        <w:t>Área predio</w:t>
      </w:r>
      <w:r>
        <w:rPr>
          <w:rFonts w:ascii="Palatino Linotype" w:hAnsi="Palatino Linotype" w:cs="Arial"/>
          <w:b/>
          <w:sz w:val="22"/>
          <w:szCs w:val="22"/>
        </w:rPr>
        <w:t xml:space="preserve"> (Lev.</w:t>
      </w:r>
      <w:r w:rsidR="00984ED7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>Top</w:t>
      </w:r>
      <w:r w:rsidRPr="00F3100D">
        <w:rPr>
          <w:rFonts w:ascii="Palatino Linotype" w:hAnsi="Palatino Linotype" w:cs="Arial"/>
          <w:b/>
          <w:sz w:val="22"/>
          <w:szCs w:val="22"/>
        </w:rPr>
        <w:t>.)</w:t>
      </w:r>
      <w:r>
        <w:rPr>
          <w:rFonts w:ascii="Palatino Linotype" w:hAnsi="Palatino Linotype" w:cs="Arial"/>
          <w:b/>
          <w:sz w:val="22"/>
          <w:szCs w:val="22"/>
        </w:rPr>
        <w:t>:</w:t>
      </w:r>
      <w:r w:rsidRPr="00F3100D">
        <w:rPr>
          <w:rFonts w:ascii="Palatino Linotype" w:hAnsi="Palatino Linotype" w:cs="Arial"/>
          <w:b/>
          <w:sz w:val="22"/>
          <w:szCs w:val="22"/>
        </w:rPr>
        <w:t xml:space="preserve">              </w:t>
      </w:r>
      <w:r>
        <w:rPr>
          <w:rFonts w:ascii="Palatino Linotype" w:hAnsi="Palatino Linotype" w:cs="Arial"/>
          <w:b/>
          <w:sz w:val="22"/>
          <w:szCs w:val="22"/>
        </w:rPr>
        <w:t xml:space="preserve">               </w:t>
      </w:r>
      <w:r w:rsidRPr="00F3100D">
        <w:rPr>
          <w:rFonts w:ascii="Palatino Linotype" w:hAnsi="Palatino Linotype" w:cs="Arial"/>
          <w:b/>
          <w:sz w:val="22"/>
          <w:szCs w:val="22"/>
        </w:rPr>
        <w:t xml:space="preserve">   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F3100D">
        <w:rPr>
          <w:rFonts w:ascii="Palatino Linotype" w:hAnsi="Palatino Linotype" w:cstheme="minorHAnsi"/>
          <w:sz w:val="22"/>
          <w:szCs w:val="22"/>
          <w:lang w:val="es-EC"/>
        </w:rPr>
        <w:t>1.951,64</w:t>
      </w:r>
      <w:r>
        <w:rPr>
          <w:rFonts w:ascii="Palatino Linotype" w:hAnsi="Palatino Linotype" w:cstheme="minorHAnsi"/>
          <w:sz w:val="22"/>
          <w:szCs w:val="22"/>
          <w:lang w:val="es-EC"/>
        </w:rPr>
        <w:t xml:space="preserve"> </w:t>
      </w:r>
      <w:r w:rsidRPr="00F3100D">
        <w:rPr>
          <w:rFonts w:ascii="Palatino Linotype" w:hAnsi="Palatino Linotype" w:cstheme="minorHAnsi"/>
          <w:sz w:val="22"/>
          <w:szCs w:val="22"/>
        </w:rPr>
        <w:t>m</w:t>
      </w:r>
      <w:r w:rsidRPr="00F3100D">
        <w:rPr>
          <w:rFonts w:ascii="Palatino Linotype" w:hAnsi="Palatino Linotype" w:cstheme="minorHAnsi"/>
          <w:sz w:val="22"/>
          <w:szCs w:val="22"/>
          <w:vertAlign w:val="superscript"/>
        </w:rPr>
        <w:t>2</w:t>
      </w:r>
    </w:p>
    <w:p w:rsidR="00077615" w:rsidRPr="000F4019" w:rsidRDefault="00077615" w:rsidP="00077615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F4019">
        <w:rPr>
          <w:rFonts w:ascii="Palatino Linotype" w:hAnsi="Palatino Linotype" w:cs="Arial"/>
          <w:b/>
          <w:sz w:val="22"/>
          <w:szCs w:val="22"/>
        </w:rPr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>s (Lev.</w:t>
      </w:r>
      <w:r w:rsidR="00984ED7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 xml:space="preserve">Top.):                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D21845">
        <w:rPr>
          <w:rFonts w:ascii="Palatino Linotype" w:hAnsi="Palatino Linotype" w:cs="Arial"/>
          <w:sz w:val="22"/>
          <w:szCs w:val="22"/>
        </w:rPr>
        <w:t>5.799,82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D21845">
        <w:rPr>
          <w:rFonts w:ascii="Palatino Linotype" w:hAnsi="Palatino Linotype" w:cs="Arial"/>
          <w:sz w:val="22"/>
          <w:szCs w:val="22"/>
        </w:rPr>
        <w:t>m</w:t>
      </w:r>
      <w:r w:rsidRPr="00D21845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Pr="00B67ECE" w:rsidRDefault="00077615" w:rsidP="00077615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0F4019">
        <w:rPr>
          <w:rFonts w:ascii="Palatino Linotype" w:hAnsi="Palatino Linotype" w:cs="Arial"/>
          <w:b/>
          <w:sz w:val="22"/>
          <w:szCs w:val="22"/>
        </w:rPr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 xml:space="preserve">s </w:t>
      </w:r>
      <w:r w:rsidRPr="000F4019">
        <w:rPr>
          <w:rFonts w:ascii="Palatino Linotype" w:hAnsi="Palatino Linotype" w:cs="Arial"/>
          <w:b/>
          <w:sz w:val="22"/>
          <w:szCs w:val="22"/>
        </w:rPr>
        <w:t>(Escritura):</w:t>
      </w:r>
      <w:r>
        <w:rPr>
          <w:rFonts w:ascii="Palatino Linotype" w:hAnsi="Palatino Linotype" w:cs="Arial"/>
          <w:b/>
          <w:sz w:val="22"/>
          <w:szCs w:val="22"/>
        </w:rPr>
        <w:t xml:space="preserve">             </w:t>
      </w:r>
      <w:r>
        <w:rPr>
          <w:rFonts w:ascii="Palatino Linotype" w:hAnsi="Palatino Linotype" w:cs="Arial"/>
          <w:sz w:val="22"/>
          <w:szCs w:val="22"/>
        </w:rPr>
        <w:t xml:space="preserve">  </w:t>
      </w:r>
      <w:r>
        <w:rPr>
          <w:rFonts w:ascii="Palatino Linotype" w:hAnsi="Palatino Linotype" w:cs="Arial"/>
          <w:sz w:val="22"/>
          <w:szCs w:val="22"/>
        </w:rPr>
        <w:tab/>
        <w:t>5.</w:t>
      </w:r>
      <w:r w:rsidRPr="00D21845">
        <w:rPr>
          <w:rFonts w:ascii="Palatino Linotype" w:hAnsi="Palatino Linotype" w:cs="Arial"/>
          <w:sz w:val="22"/>
          <w:szCs w:val="22"/>
        </w:rPr>
        <w:t>79</w:t>
      </w:r>
      <w:r>
        <w:rPr>
          <w:rFonts w:ascii="Palatino Linotype" w:hAnsi="Palatino Linotype" w:cs="Arial"/>
          <w:sz w:val="22"/>
          <w:szCs w:val="22"/>
        </w:rPr>
        <w:t>6</w:t>
      </w:r>
      <w:r w:rsidRPr="000F4019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>0</w:t>
      </w:r>
      <w:r w:rsidRPr="000F4019">
        <w:rPr>
          <w:rFonts w:ascii="Palatino Linotype" w:hAnsi="Palatino Linotype" w:cs="Arial"/>
          <w:sz w:val="22"/>
          <w:szCs w:val="22"/>
        </w:rPr>
        <w:t>0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0F4019">
        <w:rPr>
          <w:rFonts w:ascii="Palatino Linotype" w:hAnsi="Palatino Linotype" w:cs="Arial"/>
          <w:sz w:val="22"/>
          <w:szCs w:val="22"/>
        </w:rPr>
        <w:t>m</w:t>
      </w:r>
      <w:r w:rsidRPr="000F4019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077615" w:rsidRPr="00C946EC" w:rsidRDefault="00077615" w:rsidP="00077615">
      <w:pPr>
        <w:spacing w:after="240" w:line="276" w:lineRule="auto"/>
        <w:jc w:val="both"/>
        <w:rPr>
          <w:rFonts w:ascii="Palatino Linotype" w:hAnsi="Palatino Linotype"/>
          <w:bCs/>
          <w:color w:val="000000"/>
          <w:sz w:val="22"/>
          <w:szCs w:val="22"/>
          <w:lang w:val="es-EC"/>
        </w:rPr>
      </w:pPr>
      <w:r w:rsidRPr="00936385">
        <w:rPr>
          <w:rFonts w:ascii="Palatino Linotype" w:hAnsi="Palatino Linotype"/>
          <w:sz w:val="22"/>
          <w:szCs w:val="22"/>
          <w:lang w:val="es-EC"/>
        </w:rPr>
        <w:t>El</w:t>
      </w:r>
      <w:r>
        <w:rPr>
          <w:rFonts w:ascii="Palatino Linotype" w:hAnsi="Palatino Linotype"/>
          <w:sz w:val="22"/>
          <w:szCs w:val="22"/>
          <w:lang w:val="es-EC"/>
        </w:rPr>
        <w:t xml:space="preserve"> número total de lotes es de 20</w:t>
      </w:r>
      <w:r w:rsidRPr="00936385">
        <w:rPr>
          <w:rFonts w:ascii="Palatino Linotype" w:hAnsi="Palatino Linotype" w:cs="Arial"/>
          <w:sz w:val="22"/>
          <w:szCs w:val="22"/>
        </w:rPr>
        <w:t>, signad</w:t>
      </w:r>
      <w:r>
        <w:rPr>
          <w:rFonts w:ascii="Palatino Linotype" w:hAnsi="Palatino Linotype" w:cs="Arial"/>
          <w:sz w:val="22"/>
          <w:szCs w:val="22"/>
        </w:rPr>
        <w:t>os del uno (1) al veinte (20</w:t>
      </w:r>
      <w:r w:rsidRPr="00936385">
        <w:rPr>
          <w:rFonts w:ascii="Palatino Linotype" w:hAnsi="Palatino Linotype" w:cs="Arial"/>
          <w:sz w:val="22"/>
          <w:szCs w:val="22"/>
        </w:rPr>
        <w:t>)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, </w:t>
      </w:r>
      <w:r w:rsidRPr="001334B6">
        <w:rPr>
          <w:rFonts w:ascii="Palatino Linotype" w:hAnsi="Palatino Linotype" w:cs="Arial"/>
          <w:sz w:val="22"/>
          <w:szCs w:val="22"/>
        </w:rPr>
        <w:t>cuyo detalle es el que consta en los planos aprobatorios que forman parte</w:t>
      </w:r>
      <w:r>
        <w:rPr>
          <w:rFonts w:ascii="Palatino Linotype" w:hAnsi="Palatino Linotype" w:cs="Arial"/>
          <w:sz w:val="22"/>
          <w:szCs w:val="22"/>
        </w:rPr>
        <w:t xml:space="preserve"> integrante</w:t>
      </w:r>
      <w:r w:rsidRPr="001334B6">
        <w:rPr>
          <w:rFonts w:ascii="Palatino Linotype" w:hAnsi="Palatino Linotype" w:cs="Arial"/>
          <w:sz w:val="22"/>
          <w:szCs w:val="22"/>
        </w:rPr>
        <w:t xml:space="preserve"> de la presente </w:t>
      </w:r>
      <w:r>
        <w:rPr>
          <w:rFonts w:ascii="Palatino Linotype" w:hAnsi="Palatino Linotype" w:cs="Arial"/>
          <w:sz w:val="22"/>
          <w:szCs w:val="22"/>
        </w:rPr>
        <w:t>O</w:t>
      </w:r>
      <w:r w:rsidRPr="001334B6">
        <w:rPr>
          <w:rFonts w:ascii="Palatino Linotype" w:hAnsi="Palatino Linotype" w:cs="Arial"/>
          <w:sz w:val="22"/>
          <w:szCs w:val="22"/>
        </w:rPr>
        <w:t>rdenanza.</w:t>
      </w:r>
    </w:p>
    <w:p w:rsidR="00077615" w:rsidRPr="00C946EC" w:rsidRDefault="00077615" w:rsidP="00077615">
      <w:pPr>
        <w:shd w:val="clear" w:color="auto" w:fill="FFFFFF"/>
        <w:spacing w:after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0763F1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>
        <w:rPr>
          <w:rFonts w:ascii="Palatino Linotype" w:hAnsi="Palatino Linotype" w:cs="Arial"/>
          <w:bCs/>
          <w:sz w:val="22"/>
          <w:szCs w:val="22"/>
        </w:rPr>
        <w:t>L</w:t>
      </w:r>
      <w:r w:rsidRPr="000763F1">
        <w:rPr>
          <w:rFonts w:ascii="Palatino Linotype" w:hAnsi="Palatino Linotype" w:cs="Arial"/>
          <w:bCs/>
          <w:sz w:val="22"/>
          <w:szCs w:val="22"/>
        </w:rPr>
        <w:t xml:space="preserve">os lotes </w:t>
      </w:r>
      <w:r>
        <w:rPr>
          <w:rFonts w:ascii="Palatino Linotype" w:hAnsi="Palatino Linotype" w:cs="Arial"/>
          <w:bCs/>
          <w:sz w:val="22"/>
          <w:szCs w:val="22"/>
        </w:rPr>
        <w:t xml:space="preserve">producto del </w:t>
      </w:r>
      <w:r w:rsidRPr="000763F1">
        <w:rPr>
          <w:rFonts w:ascii="Palatino Linotype" w:hAnsi="Palatino Linotype" w:cs="Arial"/>
          <w:bCs/>
          <w:sz w:val="22"/>
          <w:szCs w:val="22"/>
        </w:rPr>
        <w:t>fracciona</w:t>
      </w:r>
      <w:r>
        <w:rPr>
          <w:rFonts w:ascii="Palatino Linotype" w:hAnsi="Palatino Linotype" w:cs="Arial"/>
          <w:bCs/>
          <w:sz w:val="22"/>
          <w:szCs w:val="22"/>
        </w:rPr>
        <w:t>miento</w:t>
      </w:r>
      <w:r w:rsidRPr="000763F1">
        <w:rPr>
          <w:rFonts w:ascii="Palatino Linotype" w:hAnsi="Palatino Linotype" w:cs="Arial"/>
          <w:bCs/>
          <w:sz w:val="22"/>
          <w:szCs w:val="22"/>
        </w:rPr>
        <w:t xml:space="preserve"> mant</w:t>
      </w:r>
      <w:r>
        <w:rPr>
          <w:rFonts w:ascii="Palatino Linotype" w:hAnsi="Palatino Linotype" w:cs="Arial"/>
          <w:bCs/>
          <w:sz w:val="22"/>
          <w:szCs w:val="22"/>
        </w:rPr>
        <w:t>endrán</w:t>
      </w:r>
      <w:r w:rsidRPr="000763F1">
        <w:rPr>
          <w:rFonts w:ascii="Palatino Linotype" w:hAnsi="Palatino Linotype" w:cs="Arial"/>
          <w:bCs/>
          <w:sz w:val="22"/>
          <w:szCs w:val="22"/>
        </w:rPr>
        <w:t xml:space="preserve"> la</w:t>
      </w:r>
      <w:r w:rsidRPr="000763F1">
        <w:rPr>
          <w:rFonts w:ascii="Palatino Linotype" w:hAnsi="Palatino Linotype"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 xml:space="preserve">siguiente </w:t>
      </w:r>
      <w:r w:rsidRPr="000763F1">
        <w:rPr>
          <w:rFonts w:ascii="Palatino Linotype" w:hAnsi="Palatino Linotype"/>
          <w:sz w:val="22"/>
          <w:szCs w:val="22"/>
          <w:lang w:val="es-EC"/>
        </w:rPr>
        <w:t xml:space="preserve">zonificación: </w:t>
      </w:r>
      <w:r w:rsidRPr="000763F1">
        <w:rPr>
          <w:rFonts w:ascii="Palatino Linotype" w:eastAsia="Calibri" w:hAnsi="Palatino Linotype" w:cs="Arial"/>
          <w:sz w:val="22"/>
          <w:szCs w:val="22"/>
        </w:rPr>
        <w:t>D3 (D203-80); forma de ocupación: (D) sobre línea de fábrica; lote mínimo</w:t>
      </w:r>
      <w:r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200,00 m</w:t>
      </w:r>
      <w:r w:rsidRPr="000763F1">
        <w:rPr>
          <w:rFonts w:ascii="Palatino Linotype" w:eastAsia="Calibri" w:hAnsi="Palatino Linotype" w:cs="Arial"/>
          <w:sz w:val="22"/>
          <w:szCs w:val="22"/>
          <w:vertAlign w:val="superscript"/>
        </w:rPr>
        <w:t>2</w:t>
      </w:r>
      <w:r w:rsidRPr="000763F1">
        <w:rPr>
          <w:rFonts w:ascii="Palatino Linotype" w:eastAsia="Calibri" w:hAnsi="Palatino Linotype" w:cs="Arial"/>
          <w:sz w:val="22"/>
          <w:szCs w:val="22"/>
        </w:rPr>
        <w:t>; número de pisos: 3; COS planta baja</w:t>
      </w:r>
      <w:r w:rsidR="00595261"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80 %, COS total</w:t>
      </w:r>
      <w:r w:rsidR="00595261">
        <w:rPr>
          <w:rFonts w:ascii="Palatino Linotype" w:eastAsia="Calibri" w:hAnsi="Palatino Linotype" w:cs="Arial"/>
          <w:sz w:val="22"/>
          <w:szCs w:val="22"/>
        </w:rPr>
        <w:t>: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240%; clasificación del suelo: (SU) Suelo Urbano; Uso principal: (R2) Residencia Mediana Densidad</w:t>
      </w:r>
      <w:r>
        <w:rPr>
          <w:rFonts w:ascii="Palatino Linotype" w:eastAsia="Calibri" w:hAnsi="Palatino Linotype" w:cs="Arial"/>
          <w:sz w:val="22"/>
          <w:szCs w:val="22"/>
        </w:rPr>
        <w:t>.</w:t>
      </w:r>
      <w:r w:rsidRPr="000763F1">
        <w:rPr>
          <w:rFonts w:ascii="Palatino Linotype" w:eastAsia="Calibri" w:hAnsi="Palatino Linotype" w:cs="Arial"/>
          <w:sz w:val="22"/>
          <w:szCs w:val="22"/>
        </w:rPr>
        <w:t xml:space="preserve"> </w:t>
      </w:r>
    </w:p>
    <w:p w:rsidR="00077615" w:rsidRPr="00C946EC" w:rsidRDefault="00077615" w:rsidP="00077615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3B5AF1">
        <w:rPr>
          <w:rFonts w:ascii="Palatino Linotype" w:hAnsi="Palatino Linotype"/>
          <w:b/>
          <w:bCs/>
          <w:sz w:val="22"/>
          <w:szCs w:val="22"/>
          <w:lang w:val="es-EC"/>
        </w:rPr>
        <w:t>Artíc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ulo 4.- Excedentes y/o diferencias 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e á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>rea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s</w:t>
      </w:r>
      <w:r w:rsidRPr="00E3169E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</w:t>
      </w:r>
      <w:r w:rsidRPr="008C378E">
        <w:rPr>
          <w:rFonts w:ascii="Palatino Linotype" w:hAnsi="Palatino Linotype"/>
          <w:bCs/>
          <w:sz w:val="22"/>
          <w:szCs w:val="22"/>
          <w:lang w:val="es-EC"/>
        </w:rPr>
        <w:t>Por cuanto dentro del proceso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 de regularización se detectó la existencia de una variación de área, previo a la protocolización e inscripción de la presente ordenanza se deberá regularizar el área, de conformidad con lo establecido en la Disposición General Segunda de la Ordenanza Metropolitana No. 269, sancionada el 30 de </w:t>
      </w:r>
      <w:r w:rsidR="00595261">
        <w:rPr>
          <w:rFonts w:ascii="Palatino Linotype" w:hAnsi="Palatino Linotype"/>
          <w:bCs/>
          <w:sz w:val="22"/>
          <w:szCs w:val="22"/>
          <w:lang w:val="es-EC"/>
        </w:rPr>
        <w:t>julio de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 2012.</w:t>
      </w:r>
    </w:p>
    <w:p w:rsidR="00C31B8F" w:rsidRPr="00C31B8F" w:rsidRDefault="00077615" w:rsidP="00077615">
      <w:pPr>
        <w:pStyle w:val="Sinespaciado"/>
        <w:spacing w:after="240" w:line="276" w:lineRule="auto"/>
        <w:jc w:val="both"/>
        <w:rPr>
          <w:rFonts w:ascii="Palatino Linotype" w:hAnsi="Palatino Linotype"/>
          <w:bCs/>
        </w:rPr>
      </w:pPr>
      <w:r w:rsidRPr="00C31B8F">
        <w:rPr>
          <w:rFonts w:ascii="Palatino Linotype" w:hAnsi="Palatino Linotype"/>
          <w:b/>
          <w:bCs/>
        </w:rPr>
        <w:t xml:space="preserve">Artículo 5.- </w:t>
      </w:r>
      <w:r w:rsidR="00C31B8F" w:rsidRPr="00C31B8F">
        <w:rPr>
          <w:rFonts w:ascii="Palatino Linotype" w:hAnsi="Palatino Linotype"/>
          <w:b/>
          <w:bCs/>
        </w:rPr>
        <w:t xml:space="preserve">Del área verde.- </w:t>
      </w:r>
      <w:r w:rsidR="00C31B8F" w:rsidRPr="00C31B8F">
        <w:rPr>
          <w:rFonts w:ascii="Palatino Linotype" w:hAnsi="Palatino Linotype" w:cs="Arial"/>
          <w:bCs/>
        </w:rPr>
        <w:t xml:space="preserve">Los copropietarios del inmueble donde se </w:t>
      </w:r>
      <w:r w:rsidR="00C31B8F" w:rsidRPr="00C31B8F">
        <w:rPr>
          <w:rFonts w:ascii="Palatino Linotype" w:hAnsi="Palatino Linotype" w:cs="Arial"/>
        </w:rPr>
        <w:t xml:space="preserve">ubica el </w:t>
      </w:r>
      <w:r w:rsidR="00C31B8F" w:rsidRPr="00C31B8F">
        <w:rPr>
          <w:rFonts w:ascii="Palatino Linotype" w:hAnsi="Palatino Linotype"/>
        </w:rPr>
        <w:t xml:space="preserve">Asentamiento Humano de Hecho y Consolidado denominado Comité </w:t>
      </w:r>
      <w:proofErr w:type="spellStart"/>
      <w:r w:rsidR="00C31B8F" w:rsidRPr="00C31B8F">
        <w:rPr>
          <w:rFonts w:ascii="Palatino Linotype" w:hAnsi="Palatino Linotype"/>
        </w:rPr>
        <w:t>Promejoras</w:t>
      </w:r>
      <w:proofErr w:type="spellEnd"/>
      <w:r w:rsidR="00C31B8F" w:rsidRPr="00C31B8F">
        <w:rPr>
          <w:rFonts w:ascii="Palatino Linotype" w:hAnsi="Palatino Linotype"/>
        </w:rPr>
        <w:t xml:space="preserve"> “Santa Isabel” (Franja 5)</w:t>
      </w:r>
      <w:r w:rsidR="00C31B8F" w:rsidRPr="00C31B8F">
        <w:rPr>
          <w:rFonts w:ascii="Palatino Linotype" w:hAnsi="Palatino Linotype" w:cs="Arial"/>
        </w:rPr>
        <w:t>,</w:t>
      </w:r>
      <w:r w:rsidR="00C31B8F" w:rsidRPr="00C31B8F">
        <w:rPr>
          <w:rFonts w:ascii="Palatino Linotype" w:hAnsi="Palatino Linotype" w:cs="Arial"/>
          <w:b/>
        </w:rPr>
        <w:t xml:space="preserve"> </w:t>
      </w:r>
      <w:r w:rsidR="00C31B8F" w:rsidRPr="00C31B8F">
        <w:rPr>
          <w:rFonts w:ascii="Palatino Linotype" w:hAnsi="Palatino Linotype" w:cs="Arial"/>
        </w:rPr>
        <w:t xml:space="preserve">transfirieron </w:t>
      </w:r>
      <w:r w:rsidR="00C31B8F">
        <w:rPr>
          <w:rFonts w:ascii="Palatino Linotype" w:hAnsi="Palatino Linotype" w:cs="Arial"/>
        </w:rPr>
        <w:t xml:space="preserve">previamente </w:t>
      </w:r>
      <w:r w:rsidR="00C31B8F" w:rsidRPr="00C31B8F">
        <w:rPr>
          <w:rFonts w:ascii="Palatino Linotype" w:hAnsi="Palatino Linotype" w:cs="Arial"/>
        </w:rPr>
        <w:t xml:space="preserve">al Municipio del Distrito Metropolitano de </w:t>
      </w:r>
      <w:r w:rsidR="00C31B8F" w:rsidRPr="00C31B8F">
        <w:rPr>
          <w:rFonts w:ascii="Palatino Linotype" w:hAnsi="Palatino Linotype" w:cs="Arial"/>
        </w:rPr>
        <w:lastRenderedPageBreak/>
        <w:t xml:space="preserve">Quito, </w:t>
      </w:r>
      <w:r w:rsidR="00C31B8F" w:rsidRPr="00C31B8F">
        <w:rPr>
          <w:rFonts w:ascii="Palatino Linotype" w:hAnsi="Palatino Linotype" w:cstheme="minorHAnsi"/>
        </w:rPr>
        <w:t xml:space="preserve">el área correspondiente a </w:t>
      </w:r>
      <w:r w:rsidR="00C31B8F" w:rsidRPr="00C31B8F">
        <w:rPr>
          <w:rFonts w:ascii="Palatino Linotype" w:hAnsi="Palatino Linotype" w:cs="Arial"/>
        </w:rPr>
        <w:t xml:space="preserve">áreas verdes y áreas de equipamiento comunal, por lo que no se incluye </w:t>
      </w:r>
      <w:r w:rsidR="00984ED7">
        <w:rPr>
          <w:rFonts w:ascii="Palatino Linotype" w:hAnsi="Palatino Linotype" w:cs="Arial"/>
        </w:rPr>
        <w:t xml:space="preserve">la </w:t>
      </w:r>
      <w:r w:rsidR="00C31B8F" w:rsidRPr="00C31B8F">
        <w:rPr>
          <w:rFonts w:ascii="Palatino Linotype" w:hAnsi="Palatino Linotype" w:cs="Arial"/>
        </w:rPr>
        <w:t>transferencia de dichas áreas dentro de la presente Ordenanza</w:t>
      </w:r>
      <w:r w:rsidR="00C31B8F" w:rsidRPr="00C31B8F">
        <w:rPr>
          <w:rFonts w:ascii="Palatino Linotype" w:hAnsi="Palatino Linotype" w:cstheme="minorHAnsi"/>
        </w:rPr>
        <w:t>.</w:t>
      </w:r>
    </w:p>
    <w:p w:rsidR="00077615" w:rsidRPr="005222E0" w:rsidRDefault="00C31B8F" w:rsidP="00077615">
      <w:pPr>
        <w:pStyle w:val="Sinespaciado"/>
        <w:spacing w:after="240" w:line="276" w:lineRule="auto"/>
        <w:jc w:val="both"/>
        <w:rPr>
          <w:rFonts w:ascii="Palatino Linotype" w:hAnsi="Palatino Linotype" w:cs="Arial"/>
          <w:bCs/>
          <w:lang w:val="es-ES"/>
        </w:rPr>
      </w:pPr>
      <w:r>
        <w:rPr>
          <w:rFonts w:ascii="Palatino Linotype" w:hAnsi="Palatino Linotype"/>
          <w:b/>
          <w:bCs/>
        </w:rPr>
        <w:t xml:space="preserve">Artículo 6.- </w:t>
      </w:r>
      <w:r w:rsidR="00077615" w:rsidRPr="002E70F1">
        <w:rPr>
          <w:rFonts w:ascii="Palatino Linotype" w:hAnsi="Palatino Linotype"/>
          <w:b/>
          <w:bCs/>
        </w:rPr>
        <w:t xml:space="preserve">De las vías.- </w:t>
      </w:r>
      <w:r w:rsidR="00077615" w:rsidRPr="002E70F1">
        <w:rPr>
          <w:rFonts w:ascii="Palatino Linotype" w:hAnsi="Palatino Linotype"/>
          <w:bCs/>
          <w:iCs/>
        </w:rPr>
        <w:t xml:space="preserve">El </w:t>
      </w:r>
      <w:r w:rsidR="00595261">
        <w:rPr>
          <w:rFonts w:ascii="Palatino Linotype" w:hAnsi="Palatino Linotype"/>
          <w:bCs/>
          <w:iCs/>
        </w:rPr>
        <w:t>a</w:t>
      </w:r>
      <w:r w:rsidR="00077615" w:rsidRPr="002E70F1">
        <w:rPr>
          <w:rFonts w:ascii="Palatino Linotype" w:hAnsi="Palatino Linotype"/>
          <w:bCs/>
          <w:iCs/>
        </w:rPr>
        <w:t xml:space="preserve">sentamiento </w:t>
      </w:r>
      <w:r w:rsidR="00595261">
        <w:rPr>
          <w:rFonts w:ascii="Palatino Linotype" w:hAnsi="Palatino Linotype"/>
          <w:bCs/>
          <w:iCs/>
        </w:rPr>
        <w:t>h</w:t>
      </w:r>
      <w:r w:rsidR="00077615" w:rsidRPr="002E70F1">
        <w:rPr>
          <w:rFonts w:ascii="Palatino Linotype" w:hAnsi="Palatino Linotype"/>
          <w:bCs/>
          <w:iCs/>
        </w:rPr>
        <w:t xml:space="preserve">umano de </w:t>
      </w:r>
      <w:r w:rsidR="00595261">
        <w:rPr>
          <w:rFonts w:ascii="Palatino Linotype" w:hAnsi="Palatino Linotype"/>
          <w:bCs/>
          <w:iCs/>
        </w:rPr>
        <w:t>h</w:t>
      </w:r>
      <w:r w:rsidR="00077615" w:rsidRPr="002E70F1">
        <w:rPr>
          <w:rFonts w:ascii="Palatino Linotype" w:hAnsi="Palatino Linotype"/>
          <w:bCs/>
          <w:iCs/>
        </w:rPr>
        <w:t xml:space="preserve">echo y </w:t>
      </w:r>
      <w:r w:rsidR="00595261">
        <w:rPr>
          <w:rFonts w:ascii="Palatino Linotype" w:hAnsi="Palatino Linotype"/>
          <w:bCs/>
          <w:iCs/>
        </w:rPr>
        <w:t>c</w:t>
      </w:r>
      <w:r w:rsidR="00077615" w:rsidRPr="002E70F1">
        <w:rPr>
          <w:rFonts w:ascii="Palatino Linotype" w:hAnsi="Palatino Linotype"/>
          <w:bCs/>
          <w:iCs/>
        </w:rPr>
        <w:t xml:space="preserve">onsolidado </w:t>
      </w:r>
      <w:r w:rsidR="00077615" w:rsidRPr="002E70F1">
        <w:rPr>
          <w:rFonts w:ascii="Palatino Linotype" w:hAnsi="Palatino Linotype"/>
          <w:iCs/>
        </w:rPr>
        <w:t>contempla un sistema vial de uso público</w:t>
      </w:r>
      <w:r w:rsidR="005222E0">
        <w:rPr>
          <w:rFonts w:ascii="Palatino Linotype" w:hAnsi="Palatino Linotype"/>
          <w:iCs/>
        </w:rPr>
        <w:t xml:space="preserve">; y, </w:t>
      </w:r>
      <w:r w:rsidR="00077615" w:rsidRPr="002E70F1">
        <w:rPr>
          <w:rFonts w:ascii="Palatino Linotype" w:hAnsi="Palatino Linotype"/>
          <w:iCs/>
        </w:rPr>
        <w:t>debido a que es un asentamiento hum</w:t>
      </w:r>
      <w:r w:rsidR="00077615">
        <w:rPr>
          <w:rFonts w:ascii="Palatino Linotype" w:hAnsi="Palatino Linotype"/>
          <w:iCs/>
        </w:rPr>
        <w:t xml:space="preserve">ano de hecho y consolidado </w:t>
      </w:r>
      <w:r w:rsidR="005222E0">
        <w:rPr>
          <w:rFonts w:ascii="Palatino Linotype" w:hAnsi="Palatino Linotype"/>
          <w:iCs/>
        </w:rPr>
        <w:t>con</w:t>
      </w:r>
      <w:r w:rsidR="00077615">
        <w:rPr>
          <w:rFonts w:ascii="Palatino Linotype" w:hAnsi="Palatino Linotype"/>
          <w:iCs/>
        </w:rPr>
        <w:t xml:space="preserve"> 21</w:t>
      </w:r>
      <w:r w:rsidR="00077615" w:rsidRPr="00A0510C">
        <w:rPr>
          <w:rFonts w:ascii="Palatino Linotype" w:hAnsi="Palatino Linotype"/>
          <w:iCs/>
        </w:rPr>
        <w:t xml:space="preserve"> años</w:t>
      </w:r>
      <w:r w:rsidR="00077615">
        <w:rPr>
          <w:rFonts w:ascii="Palatino Linotype" w:hAnsi="Palatino Linotype"/>
          <w:iCs/>
        </w:rPr>
        <w:t xml:space="preserve"> de existencia</w:t>
      </w:r>
      <w:r w:rsidR="005222E0">
        <w:rPr>
          <w:rFonts w:ascii="Palatino Linotype" w:hAnsi="Palatino Linotype"/>
          <w:iCs/>
        </w:rPr>
        <w:t xml:space="preserve"> y</w:t>
      </w:r>
      <w:r w:rsidR="00077615">
        <w:rPr>
          <w:rFonts w:ascii="Palatino Linotype" w:hAnsi="Palatino Linotype"/>
          <w:iCs/>
        </w:rPr>
        <w:t xml:space="preserve"> 55</w:t>
      </w:r>
      <w:r w:rsidR="00077615" w:rsidRPr="00A0510C">
        <w:rPr>
          <w:rFonts w:ascii="Palatino Linotype" w:hAnsi="Palatino Linotype"/>
          <w:iCs/>
        </w:rPr>
        <w:t>%</w:t>
      </w:r>
      <w:r w:rsidR="00077615" w:rsidRPr="002E70F1">
        <w:rPr>
          <w:rFonts w:ascii="Palatino Linotype" w:hAnsi="Palatino Linotype"/>
          <w:iCs/>
        </w:rPr>
        <w:t xml:space="preserve"> de consolidación de viviendas, </w:t>
      </w:r>
      <w:r w:rsidR="005222E0">
        <w:rPr>
          <w:rFonts w:ascii="Palatino Linotype" w:hAnsi="Palatino Linotype"/>
          <w:iCs/>
        </w:rPr>
        <w:t>los anchos de vías y pasajes se sujetarán al plano adjunto a la presente ordenanza.</w:t>
      </w:r>
    </w:p>
    <w:p w:rsidR="00077615" w:rsidRPr="002E70F1" w:rsidRDefault="00077615" w:rsidP="00077615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>
        <w:rPr>
          <w:rFonts w:ascii="Palatino Linotype" w:hAnsi="Palatino Linotype"/>
          <w:iCs/>
          <w:sz w:val="22"/>
          <w:szCs w:val="22"/>
          <w:lang w:val="es-EC"/>
        </w:rPr>
        <w:t>Los anchos de vías y pasajes que se aprueban son la</w:t>
      </w:r>
      <w:r w:rsidRPr="002E70F1">
        <w:rPr>
          <w:rFonts w:ascii="Palatino Linotype" w:hAnsi="Palatino Linotype"/>
          <w:iCs/>
          <w:sz w:val="22"/>
          <w:szCs w:val="22"/>
          <w:lang w:val="es-EC"/>
        </w:rPr>
        <w:t>s siguientes:</w:t>
      </w:r>
    </w:p>
    <w:p w:rsidR="00077615" w:rsidRPr="000C3EA1" w:rsidRDefault="00077615" w:rsidP="00077615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highlight w:val="yellow"/>
          <w:lang w:val="es-EC"/>
        </w:rPr>
      </w:pPr>
      <w:r w:rsidRPr="003B5AF1">
        <w:rPr>
          <w:rFonts w:ascii="Palatino Linotype" w:hAnsi="Palatino Linotype"/>
          <w:bCs/>
          <w:sz w:val="22"/>
          <w:szCs w:val="22"/>
          <w:lang w:val="es-EC"/>
        </w:rPr>
        <w:t>Pasaje “</w:t>
      </w:r>
      <w:r>
        <w:rPr>
          <w:rFonts w:ascii="Palatino Linotype" w:hAnsi="Palatino Linotype"/>
          <w:bCs/>
          <w:sz w:val="22"/>
          <w:szCs w:val="22"/>
          <w:lang w:val="es-EC"/>
        </w:rPr>
        <w:t>Espíritu Santo”</w:t>
      </w:r>
      <w:r w:rsidR="005222E0">
        <w:rPr>
          <w:rFonts w:ascii="Palatino Linotype" w:hAnsi="Palatino Linotype"/>
          <w:bCs/>
          <w:sz w:val="22"/>
          <w:szCs w:val="22"/>
          <w:lang w:val="es-EC"/>
        </w:rPr>
        <w:t>:</w:t>
      </w:r>
      <w:r w:rsidR="005222E0">
        <w:rPr>
          <w:rFonts w:ascii="Palatino Linotype" w:hAnsi="Palatino Linotype"/>
          <w:bCs/>
          <w:sz w:val="22"/>
          <w:szCs w:val="22"/>
          <w:lang w:val="es-EC"/>
        </w:rPr>
        <w:tab/>
      </w:r>
      <w:r w:rsidR="005222E0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3B5AF1">
        <w:rPr>
          <w:rFonts w:ascii="Palatino Linotype" w:hAnsi="Palatino Linotype"/>
          <w:bCs/>
          <w:sz w:val="22"/>
          <w:szCs w:val="22"/>
          <w:lang w:val="es-EC"/>
        </w:rPr>
        <w:t>6,00</w:t>
      </w:r>
      <w:r w:rsidR="005222E0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3B5AF1">
        <w:rPr>
          <w:rFonts w:ascii="Palatino Linotype" w:hAnsi="Palatino Linotype"/>
          <w:bCs/>
          <w:sz w:val="22"/>
          <w:szCs w:val="22"/>
          <w:lang w:val="es-EC"/>
        </w:rPr>
        <w:t xml:space="preserve">m  </w:t>
      </w:r>
      <w:r w:rsidRPr="000C3EA1">
        <w:rPr>
          <w:rFonts w:ascii="Palatino Linotype" w:hAnsi="Palatino Linotype"/>
          <w:bCs/>
          <w:sz w:val="22"/>
          <w:szCs w:val="22"/>
          <w:highlight w:val="yellow"/>
          <w:lang w:val="es-EC"/>
        </w:rPr>
        <w:t xml:space="preserve">                                      </w:t>
      </w:r>
    </w:p>
    <w:p w:rsidR="00077615" w:rsidRPr="002E70F1" w:rsidRDefault="00C31B8F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b/>
          <w:bCs/>
          <w:sz w:val="22"/>
          <w:szCs w:val="22"/>
          <w:lang w:val="es-EC"/>
        </w:rPr>
        <w:t>Artículo 7</w:t>
      </w:r>
      <w:r w:rsidR="00077615" w:rsidRPr="002E70F1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De las obras a ejecutarse.- </w:t>
      </w:r>
      <w:r w:rsidR="00077615" w:rsidRPr="002E70F1">
        <w:rPr>
          <w:rFonts w:ascii="Palatino Linotype" w:hAnsi="Palatino Linotype"/>
          <w:sz w:val="22"/>
          <w:szCs w:val="22"/>
          <w:lang w:val="es-EC"/>
        </w:rPr>
        <w:t xml:space="preserve">Las obras a ejecutarse en el asentamiento </w:t>
      </w:r>
      <w:r w:rsidR="00752FA4">
        <w:rPr>
          <w:rFonts w:ascii="Palatino Linotype" w:hAnsi="Palatino Linotype"/>
          <w:sz w:val="22"/>
          <w:szCs w:val="22"/>
          <w:lang w:val="es-EC"/>
        </w:rPr>
        <w:t xml:space="preserve">humano de hecho y consolidado </w:t>
      </w:r>
      <w:r w:rsidR="00077615" w:rsidRPr="002E70F1">
        <w:rPr>
          <w:rFonts w:ascii="Palatino Linotype" w:hAnsi="Palatino Linotype"/>
          <w:sz w:val="22"/>
          <w:szCs w:val="22"/>
          <w:lang w:val="es-EC"/>
        </w:rPr>
        <w:t>son las siguientes:</w:t>
      </w:r>
    </w:p>
    <w:p w:rsidR="00077615" w:rsidRPr="00A250B0" w:rsidRDefault="00077615" w:rsidP="005032C2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250B0">
        <w:rPr>
          <w:rFonts w:ascii="Palatino Linotype" w:hAnsi="Palatino Linotype"/>
          <w:sz w:val="22"/>
          <w:szCs w:val="22"/>
          <w:lang w:val="es-EC"/>
        </w:rPr>
        <w:t>Calzadas</w:t>
      </w:r>
      <w:r w:rsidR="005032C2">
        <w:rPr>
          <w:rFonts w:ascii="Palatino Linotype" w:hAnsi="Palatino Linotype"/>
          <w:sz w:val="22"/>
          <w:szCs w:val="22"/>
          <w:lang w:val="es-EC"/>
        </w:rPr>
        <w:t>:</w:t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>90%</w:t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>Aceras</w:t>
      </w:r>
      <w:r w:rsidR="005032C2">
        <w:rPr>
          <w:rFonts w:ascii="Palatino Linotype" w:hAnsi="Palatino Linotype"/>
          <w:sz w:val="22"/>
          <w:szCs w:val="22"/>
          <w:lang w:val="es-EC"/>
        </w:rPr>
        <w:t>:</w:t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>90%</w:t>
      </w:r>
    </w:p>
    <w:p w:rsidR="00077615" w:rsidRPr="00A250B0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250B0">
        <w:rPr>
          <w:rFonts w:ascii="Palatino Linotype" w:hAnsi="Palatino Linotype"/>
          <w:sz w:val="22"/>
          <w:szCs w:val="22"/>
          <w:lang w:val="es-EC"/>
        </w:rPr>
        <w:t>Bordillos</w:t>
      </w:r>
      <w:r w:rsidR="005032C2">
        <w:rPr>
          <w:rFonts w:ascii="Palatino Linotype" w:hAnsi="Palatino Linotype"/>
          <w:sz w:val="22"/>
          <w:szCs w:val="22"/>
          <w:lang w:val="es-EC"/>
        </w:rPr>
        <w:t>:</w:t>
      </w:r>
      <w:r w:rsidRPr="00A250B0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ab/>
        <w:t xml:space="preserve">  </w:t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>90%</w:t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 xml:space="preserve">Agua </w:t>
      </w:r>
      <w:r w:rsidR="005032C2">
        <w:rPr>
          <w:rFonts w:ascii="Palatino Linotype" w:hAnsi="Palatino Linotype"/>
          <w:sz w:val="22"/>
          <w:szCs w:val="22"/>
          <w:lang w:val="es-EC"/>
        </w:rPr>
        <w:t>p</w:t>
      </w:r>
      <w:r w:rsidRPr="00A250B0">
        <w:rPr>
          <w:rFonts w:ascii="Palatino Linotype" w:hAnsi="Palatino Linotype"/>
          <w:sz w:val="22"/>
          <w:szCs w:val="22"/>
          <w:lang w:val="es-EC"/>
        </w:rPr>
        <w:t>otable</w:t>
      </w:r>
      <w:r w:rsidR="005032C2">
        <w:rPr>
          <w:rFonts w:ascii="Palatino Linotype" w:hAnsi="Palatino Linotype"/>
          <w:sz w:val="22"/>
          <w:szCs w:val="22"/>
          <w:lang w:val="es-EC"/>
        </w:rPr>
        <w:t>:</w:t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>90%</w:t>
      </w:r>
    </w:p>
    <w:p w:rsidR="00077615" w:rsidRPr="00A250B0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250B0">
        <w:rPr>
          <w:rFonts w:ascii="Palatino Linotype" w:hAnsi="Palatino Linotype"/>
          <w:sz w:val="22"/>
          <w:szCs w:val="22"/>
          <w:lang w:val="es-EC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 xml:space="preserve">nergía </w:t>
      </w:r>
      <w:r w:rsidR="005032C2">
        <w:rPr>
          <w:rFonts w:ascii="Palatino Linotype" w:hAnsi="Palatino Linotype"/>
          <w:sz w:val="22"/>
          <w:szCs w:val="22"/>
          <w:lang w:val="es-EC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>léctrica</w:t>
      </w:r>
      <w:r w:rsidR="005032C2"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 xml:space="preserve">            </w:t>
      </w:r>
      <w:r w:rsidR="005032C2">
        <w:rPr>
          <w:rFonts w:ascii="Palatino Linotype" w:hAnsi="Palatino Linotype"/>
          <w:sz w:val="22"/>
          <w:szCs w:val="22"/>
          <w:lang w:val="es-EC"/>
        </w:rPr>
        <w:tab/>
      </w:r>
      <w:r w:rsidRPr="00A250B0">
        <w:rPr>
          <w:rFonts w:ascii="Palatino Linotype" w:hAnsi="Palatino Linotype"/>
          <w:sz w:val="22"/>
          <w:szCs w:val="22"/>
          <w:lang w:val="es-EC"/>
        </w:rPr>
        <w:t>90%</w:t>
      </w:r>
    </w:p>
    <w:p w:rsidR="00077615" w:rsidRPr="00C946EC" w:rsidRDefault="00077615" w:rsidP="00077615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 w:rsidR="00C31B8F">
        <w:rPr>
          <w:rFonts w:ascii="Palatino Linotype" w:hAnsi="Palatino Linotype"/>
          <w:b/>
          <w:bCs/>
          <w:sz w:val="22"/>
          <w:szCs w:val="22"/>
          <w:lang w:val="es-EC"/>
        </w:rPr>
        <w:t>8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.-</w:t>
      </w:r>
      <w:r w:rsidRPr="004D49A0">
        <w:rPr>
          <w:rFonts w:ascii="Palatino Linotype" w:hAnsi="Palatino Linotype"/>
          <w:b/>
          <w:bCs/>
          <w:sz w:val="22"/>
          <w:szCs w:val="22"/>
          <w:lang w:val="es-EC"/>
        </w:rPr>
        <w:t xml:space="preserve"> </w:t>
      </w:r>
      <w:r w:rsidRPr="00D5093D">
        <w:rPr>
          <w:rFonts w:ascii="Palatino Linotype" w:hAnsi="Palatino Linotype"/>
          <w:b/>
          <w:bCs/>
          <w:sz w:val="22"/>
          <w:szCs w:val="22"/>
          <w:lang w:val="es-EC"/>
        </w:rPr>
        <w:t xml:space="preserve">Informe de </w:t>
      </w:r>
      <w:r w:rsidRPr="00D566AB">
        <w:rPr>
          <w:rFonts w:ascii="Palatino Linotype" w:hAnsi="Palatino Linotype"/>
          <w:b/>
          <w:bCs/>
          <w:sz w:val="22"/>
          <w:szCs w:val="22"/>
          <w:lang w:val="es-EC" w:eastAsia="es-EC"/>
        </w:rPr>
        <w:t>la</w:t>
      </w:r>
      <w:r w:rsidRPr="00D566AB">
        <w:rPr>
          <w:rFonts w:ascii="Palatino Linotype" w:hAnsi="Palatino Linotype"/>
          <w:b/>
          <w:bCs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Secretaría General de Seguridad y Gobernabilidad</w:t>
      </w:r>
      <w:r>
        <w:rPr>
          <w:rFonts w:ascii="Palatino Linotype" w:hAnsi="Palatino Linotype"/>
          <w:b/>
          <w:bCs/>
          <w:i/>
          <w:sz w:val="22"/>
          <w:szCs w:val="22"/>
          <w:lang w:val="es-EC"/>
        </w:rPr>
        <w:t>.-</w:t>
      </w:r>
      <w:r>
        <w:rPr>
          <w:rFonts w:ascii="Palatino Linotype" w:hAnsi="Palatino Linotype"/>
          <w:b/>
          <w:bCs/>
          <w:sz w:val="22"/>
          <w:szCs w:val="22"/>
        </w:rPr>
        <w:t> </w:t>
      </w:r>
      <w:r w:rsidRPr="00C946EC">
        <w:rPr>
          <w:rFonts w:ascii="Palatino Linotype" w:hAnsi="Palatino Linotype"/>
          <w:bCs/>
          <w:sz w:val="22"/>
          <w:szCs w:val="22"/>
        </w:rPr>
        <w:t xml:space="preserve">Los </w:t>
      </w:r>
      <w:r w:rsidRPr="00C946EC">
        <w:rPr>
          <w:rFonts w:ascii="Palatino Linotype" w:hAnsi="Palatino Linotype"/>
          <w:bCs/>
          <w:sz w:val="22"/>
          <w:szCs w:val="22"/>
          <w:lang w:val="es-EC"/>
        </w:rPr>
        <w:t>copropietarios</w:t>
      </w:r>
      <w:r w:rsidRPr="00C946EC">
        <w:rPr>
          <w:rFonts w:ascii="Palatino Linotype" w:hAnsi="Palatino Linotype"/>
          <w:bCs/>
          <w:sz w:val="22"/>
          <w:szCs w:val="22"/>
        </w:rPr>
        <w:t xml:space="preserve"> del predio</w:t>
      </w:r>
      <w:r>
        <w:rPr>
          <w:rFonts w:ascii="Palatino Linotype" w:hAnsi="Palatino Linotype"/>
          <w:bCs/>
          <w:sz w:val="22"/>
          <w:szCs w:val="22"/>
        </w:rPr>
        <w:t xml:space="preserve"> que se regulariza, </w:t>
      </w:r>
      <w:r w:rsidRPr="00B45177">
        <w:rPr>
          <w:rFonts w:ascii="Palatino Linotype" w:hAnsi="Palatino Linotype"/>
          <w:bCs/>
          <w:sz w:val="22"/>
          <w:szCs w:val="22"/>
          <w:lang w:val="es-EC"/>
        </w:rPr>
        <w:t>deberán cumplir con</w:t>
      </w:r>
      <w:r w:rsidRPr="00C946EC">
        <w:rPr>
          <w:rFonts w:ascii="Palatino Linotype" w:hAnsi="Palatino Linotype"/>
          <w:bCs/>
          <w:sz w:val="22"/>
          <w:szCs w:val="22"/>
        </w:rPr>
        <w:t xml:space="preserve"> las recomendaciones que se encuentra</w:t>
      </w:r>
      <w:r>
        <w:rPr>
          <w:rFonts w:ascii="Palatino Linotype" w:hAnsi="Palatino Linotype"/>
          <w:bCs/>
          <w:sz w:val="22"/>
          <w:szCs w:val="22"/>
        </w:rPr>
        <w:t>n</w:t>
      </w:r>
      <w:r w:rsidRPr="00C946EC">
        <w:rPr>
          <w:rFonts w:ascii="Palatino Linotype" w:hAnsi="Palatino Linotype"/>
          <w:bCs/>
          <w:sz w:val="22"/>
          <w:szCs w:val="22"/>
        </w:rPr>
        <w:t xml:space="preserve"> determinadas en el informe de la Dirección Metropo</w:t>
      </w:r>
      <w:r w:rsidR="005032C2">
        <w:rPr>
          <w:rFonts w:ascii="Palatino Linotype" w:hAnsi="Palatino Linotype"/>
          <w:bCs/>
          <w:sz w:val="22"/>
          <w:szCs w:val="22"/>
        </w:rPr>
        <w:t>litana de Gestión de Riesgos No</w:t>
      </w:r>
      <w:r w:rsidRPr="00C946EC">
        <w:rPr>
          <w:rFonts w:ascii="Palatino Linotype" w:hAnsi="Palatino Linotype"/>
          <w:bCs/>
          <w:sz w:val="22"/>
          <w:szCs w:val="22"/>
        </w:rPr>
        <w:t xml:space="preserve"> </w:t>
      </w:r>
      <w:r w:rsidRPr="00C946EC">
        <w:rPr>
          <w:rFonts w:ascii="Palatino Linotype" w:hAnsi="Palatino Linotype"/>
          <w:bCs/>
          <w:sz w:val="22"/>
          <w:szCs w:val="22"/>
          <w:lang w:val="es-EC"/>
        </w:rPr>
        <w:t>1</w:t>
      </w:r>
      <w:r>
        <w:rPr>
          <w:rFonts w:ascii="Palatino Linotype" w:hAnsi="Palatino Linotype"/>
          <w:bCs/>
          <w:sz w:val="22"/>
          <w:szCs w:val="22"/>
          <w:lang w:val="es-EC"/>
        </w:rPr>
        <w:t>41-AT-DMGR-2013</w:t>
      </w:r>
      <w:r w:rsidRPr="00C946EC">
        <w:rPr>
          <w:rFonts w:ascii="Palatino Linotype" w:hAnsi="Palatino Linotype"/>
          <w:bCs/>
          <w:sz w:val="22"/>
          <w:szCs w:val="22"/>
          <w:lang w:val="es-EC"/>
        </w:rPr>
        <w:t xml:space="preserve">, </w:t>
      </w:r>
      <w:r w:rsidR="005032C2">
        <w:rPr>
          <w:rFonts w:ascii="Palatino Linotype" w:hAnsi="Palatino Linotype"/>
          <w:bCs/>
          <w:sz w:val="22"/>
          <w:szCs w:val="22"/>
          <w:lang w:val="es-EC"/>
        </w:rPr>
        <w:t>remitido mediante oficio No. 552-DMGR-2013 de 28 de noviembre de 2013</w:t>
      </w:r>
      <w:r w:rsidRPr="00C946EC">
        <w:rPr>
          <w:rFonts w:ascii="Palatino Linotype" w:hAnsi="Palatino Linotype"/>
          <w:bCs/>
          <w:sz w:val="22"/>
          <w:szCs w:val="22"/>
          <w:lang w:val="es-EC"/>
        </w:rPr>
        <w:t>, que establece que</w:t>
      </w:r>
      <w:r w:rsidR="005032C2">
        <w:rPr>
          <w:rFonts w:ascii="Palatino Linotype" w:hAnsi="Palatino Linotype"/>
          <w:bCs/>
          <w:sz w:val="22"/>
          <w:szCs w:val="22"/>
          <w:lang w:val="es-EC"/>
        </w:rPr>
        <w:t xml:space="preserve"> el asentamiento deberá cumplir las siguientes recomendaciones</w:t>
      </w:r>
      <w:r w:rsidRPr="00C946EC">
        <w:rPr>
          <w:rFonts w:ascii="Palatino Linotype" w:hAnsi="Palatino Linotype"/>
          <w:bCs/>
          <w:sz w:val="22"/>
          <w:szCs w:val="22"/>
          <w:lang w:val="es-EC"/>
        </w:rPr>
        <w:t>:</w:t>
      </w:r>
    </w:p>
    <w:p w:rsidR="00077615" w:rsidRPr="00C946EC" w:rsidRDefault="00077615" w:rsidP="00077615">
      <w:pPr>
        <w:numPr>
          <w:ilvl w:val="0"/>
          <w:numId w:val="33"/>
        </w:numPr>
        <w:spacing w:after="240" w:line="276" w:lineRule="auto"/>
        <w:ind w:left="340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>
        <w:rPr>
          <w:rFonts w:ascii="Palatino Linotype" w:hAnsi="Palatino Linotype"/>
          <w:bCs/>
          <w:sz w:val="22"/>
          <w:szCs w:val="22"/>
          <w:lang w:val="es-EC"/>
        </w:rPr>
        <w:t>Solicitar a la Empresa Pública Metropolitana de Agua Potable y Saneamiento (EPMAPS), la implementación de sistemas de drenajes pluviales y de escurrimiento superficial adecuados p</w:t>
      </w:r>
      <w:r w:rsidRPr="00C946EC">
        <w:rPr>
          <w:rFonts w:ascii="Palatino Linotype" w:hAnsi="Palatino Linotype"/>
          <w:bCs/>
          <w:sz w:val="22"/>
          <w:szCs w:val="22"/>
          <w:lang w:val="es-EC"/>
        </w:rPr>
        <w:t xml:space="preserve">ara </w:t>
      </w:r>
      <w:r>
        <w:rPr>
          <w:rFonts w:ascii="Palatino Linotype" w:hAnsi="Palatino Linotype"/>
          <w:bCs/>
          <w:sz w:val="22"/>
          <w:szCs w:val="22"/>
          <w:lang w:val="es-EC"/>
        </w:rPr>
        <w:t>evitar la saturación del suelo.</w:t>
      </w:r>
    </w:p>
    <w:p w:rsidR="00077615" w:rsidRPr="00C946EC" w:rsidRDefault="005032C2" w:rsidP="00077615">
      <w:pPr>
        <w:numPr>
          <w:ilvl w:val="0"/>
          <w:numId w:val="33"/>
        </w:numPr>
        <w:spacing w:after="240" w:line="276" w:lineRule="auto"/>
        <w:ind w:left="340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>
        <w:rPr>
          <w:rFonts w:ascii="Palatino Linotype" w:hAnsi="Palatino Linotype"/>
          <w:bCs/>
          <w:sz w:val="22"/>
          <w:szCs w:val="22"/>
          <w:lang w:val="es-EC"/>
        </w:rPr>
        <w:t>A</w:t>
      </w:r>
      <w:r w:rsidR="00077615">
        <w:rPr>
          <w:rFonts w:ascii="Palatino Linotype" w:hAnsi="Palatino Linotype"/>
          <w:bCs/>
          <w:sz w:val="22"/>
          <w:szCs w:val="22"/>
          <w:lang w:val="es-EC"/>
        </w:rPr>
        <w:t>quellos taludes generados por desbanques, que tengan una altura superior a 1 metro, deberán asegurarse con muros de contención, de manera que eviten la afectación a los propietarios o a los predios colindantes.</w:t>
      </w:r>
    </w:p>
    <w:p w:rsidR="00077615" w:rsidRPr="00F3100D" w:rsidRDefault="00077615" w:rsidP="00077615">
      <w:pPr>
        <w:numPr>
          <w:ilvl w:val="0"/>
          <w:numId w:val="33"/>
        </w:numPr>
        <w:spacing w:after="240" w:line="276" w:lineRule="auto"/>
        <w:ind w:left="340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>
        <w:rPr>
          <w:rFonts w:ascii="Palatino Linotype" w:hAnsi="Palatino Linotype"/>
          <w:bCs/>
          <w:sz w:val="22"/>
          <w:szCs w:val="22"/>
          <w:lang w:val="es-EC"/>
        </w:rPr>
        <w:t>Construir con sistemas estructurales y sujetándose a las especificaciones técnicas de la Norma Ecuatoriana de la Construcción 2011.</w:t>
      </w:r>
      <w:r w:rsidRPr="00C946EC">
        <w:rPr>
          <w:rFonts w:ascii="Palatino Linotype" w:hAnsi="Palatino Linotype"/>
          <w:bCs/>
          <w:sz w:val="22"/>
          <w:szCs w:val="22"/>
          <w:lang w:val="es-EC"/>
        </w:rPr>
        <w:t xml:space="preserve">  </w:t>
      </w:r>
    </w:p>
    <w:p w:rsidR="00077615" w:rsidRPr="0075207B" w:rsidRDefault="00077615" w:rsidP="00077615">
      <w:pPr>
        <w:spacing w:after="240"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 w:rsidR="00C31B8F">
        <w:rPr>
          <w:rFonts w:ascii="Palatino Linotype" w:hAnsi="Palatino Linotype"/>
          <w:b/>
          <w:bCs/>
          <w:sz w:val="22"/>
          <w:szCs w:val="22"/>
          <w:lang w:val="es-EC"/>
        </w:rPr>
        <w:t>9</w:t>
      </w: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.- Del plazo de ejecución de las obras.-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</w:t>
      </w:r>
      <w:r>
        <w:rPr>
          <w:rFonts w:ascii="Palatino Linotype" w:hAnsi="Palatino Linotype"/>
          <w:sz w:val="22"/>
          <w:szCs w:val="22"/>
          <w:lang w:val="es-EC"/>
        </w:rPr>
        <w:t>cuatro</w:t>
      </w:r>
      <w:r w:rsidRPr="00A95DC6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250B0">
        <w:rPr>
          <w:rFonts w:ascii="Palatino Linotype" w:hAnsi="Palatino Linotype"/>
          <w:sz w:val="22"/>
          <w:szCs w:val="22"/>
          <w:lang w:val="es-EC"/>
        </w:rPr>
        <w:t>(4)</w:t>
      </w:r>
      <w:r w:rsidRPr="00A95DC6">
        <w:rPr>
          <w:rFonts w:ascii="Palatino Linotype" w:hAnsi="Palatino Linotype"/>
          <w:sz w:val="22"/>
          <w:szCs w:val="22"/>
          <w:lang w:val="es-EC"/>
        </w:rPr>
        <w:t xml:space="preserve"> años</w:t>
      </w:r>
      <w:r w:rsidRPr="00BD648F">
        <w:rPr>
          <w:rFonts w:ascii="Palatino Linotype" w:hAnsi="Palatino Linotype"/>
          <w:sz w:val="22"/>
          <w:szCs w:val="22"/>
          <w:lang w:val="es-EC"/>
        </w:rPr>
        <w:t>,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>de conformidad al cronograma de obras presentado por</w:t>
      </w:r>
      <w:r>
        <w:rPr>
          <w:rFonts w:ascii="Palatino Linotype" w:hAnsi="Palatino Linotype"/>
          <w:iCs/>
          <w:sz w:val="22"/>
          <w:szCs w:val="22"/>
          <w:lang w:val="es-EC"/>
        </w:rPr>
        <w:t xml:space="preserve"> los copropietarios del predio donde se </w:t>
      </w:r>
      <w:r>
        <w:rPr>
          <w:rFonts w:ascii="Palatino Linotype" w:hAnsi="Palatino Linotype"/>
          <w:iCs/>
          <w:sz w:val="22"/>
          <w:szCs w:val="22"/>
          <w:lang w:val="es-EC"/>
        </w:rPr>
        <w:lastRenderedPageBreak/>
        <w:t>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“Santa Isabel” (Franja 5)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, plazo que se contará a partir de la fecha de sanción de la presente ordenanza. De estas obras </w:t>
      </w:r>
      <w:r>
        <w:rPr>
          <w:rFonts w:ascii="Palatino Linotype" w:hAnsi="Palatino Linotype"/>
          <w:sz w:val="22"/>
          <w:szCs w:val="22"/>
          <w:lang w:val="es-EC"/>
        </w:rPr>
        <w:t>los co</w:t>
      </w:r>
      <w:r w:rsidRPr="00AA4753">
        <w:rPr>
          <w:rFonts w:ascii="Palatino Linotype" w:hAnsi="Palatino Linotype"/>
          <w:bCs/>
          <w:sz w:val="22"/>
          <w:szCs w:val="22"/>
          <w:lang w:val="es-EC"/>
        </w:rPr>
        <w:t>propietari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os </w:t>
      </w:r>
      <w:r w:rsidRPr="00AA4753">
        <w:rPr>
          <w:rFonts w:ascii="Palatino Linotype" w:hAnsi="Palatino Linotype"/>
          <w:bCs/>
          <w:sz w:val="22"/>
          <w:szCs w:val="22"/>
          <w:lang w:val="es-EC"/>
        </w:rPr>
        <w:t>de</w:t>
      </w:r>
      <w:r>
        <w:rPr>
          <w:rFonts w:ascii="Palatino Linotype" w:hAnsi="Palatino Linotype"/>
          <w:bCs/>
          <w:sz w:val="22"/>
          <w:szCs w:val="22"/>
          <w:lang w:val="es-EC"/>
        </w:rPr>
        <w:t>l</w:t>
      </w:r>
      <w:r w:rsidRPr="00AA4753">
        <w:rPr>
          <w:rFonts w:ascii="Palatino Linotype" w:hAnsi="Palatino Linotype"/>
          <w:bCs/>
          <w:sz w:val="22"/>
          <w:szCs w:val="22"/>
          <w:lang w:val="es-EC"/>
        </w:rPr>
        <w:t xml:space="preserve"> predio fraccionado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pagará</w:t>
      </w:r>
      <w:r>
        <w:rPr>
          <w:rFonts w:ascii="Palatino Linotype" w:hAnsi="Palatino Linotype"/>
          <w:iCs/>
          <w:sz w:val="22"/>
          <w:szCs w:val="22"/>
          <w:lang w:val="es-EC"/>
        </w:rPr>
        <w:t>n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las contribuciones especiales y mejoras de ley.</w:t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="00C31B8F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 10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.- Del control de ejecución de las obras.-</w:t>
      </w:r>
      <w:r w:rsidRPr="00AA4753">
        <w:rPr>
          <w:rFonts w:ascii="Palatino Linotype" w:hAnsi="Palatino Linotype"/>
          <w:iCs/>
          <w:sz w:val="22"/>
          <w:szCs w:val="22"/>
          <w:lang w:val="es-EC"/>
        </w:rPr>
        <w:t xml:space="preserve"> La Administración Zonal Quitumbe r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</w:t>
      </w:r>
      <w:r>
        <w:rPr>
          <w:rFonts w:ascii="Palatino Linotype" w:hAnsi="Palatino Linotype"/>
          <w:sz w:val="22"/>
          <w:szCs w:val="22"/>
          <w:lang w:val="es-EC"/>
        </w:rPr>
        <w:t>de infraestructura pública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 hasta la terminación de las mismas, </w:t>
      </w:r>
      <w:r w:rsidR="005032C2" w:rsidRPr="005D59E8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</w:t>
      </w:r>
      <w:r w:rsidR="005032C2">
        <w:rPr>
          <w:rFonts w:ascii="Palatino Linotype" w:hAnsi="Palatino Linotype"/>
          <w:sz w:val="22"/>
          <w:szCs w:val="22"/>
          <w:lang w:val="es-EC"/>
        </w:rPr>
        <w:t>.</w:t>
      </w:r>
    </w:p>
    <w:p w:rsidR="00077615" w:rsidRPr="00C946EC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</w:t>
      </w:r>
      <w:r w:rsidR="00C31B8F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.- De la multa por retraso en la ejecución de obras.- 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En caso de retraso en la ejecución de las obras de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obras </w:t>
      </w:r>
      <w:r>
        <w:rPr>
          <w:rFonts w:ascii="Palatino Linotype" w:hAnsi="Palatino Linotype"/>
          <w:sz w:val="22"/>
          <w:szCs w:val="22"/>
          <w:lang w:val="es-EC"/>
        </w:rPr>
        <w:t>de infraestructura pública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, </w:t>
      </w:r>
      <w:r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“Santa Isabel” (Franja 5)</w:t>
      </w:r>
      <w:r w:rsidRPr="00AA4753">
        <w:rPr>
          <w:rFonts w:ascii="Palatino Linotype" w:eastAsia="Calibri" w:hAnsi="Palatino Linotype"/>
          <w:sz w:val="22"/>
          <w:szCs w:val="22"/>
          <w:lang w:val="es-EC" w:eastAsia="en-US"/>
        </w:rPr>
        <w:t>,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pagará</w:t>
      </w:r>
      <w:r>
        <w:rPr>
          <w:rFonts w:ascii="Palatino Linotype" w:hAnsi="Palatino Linotype"/>
          <w:sz w:val="22"/>
          <w:szCs w:val="22"/>
          <w:lang w:val="es-ES_tradnl"/>
        </w:rPr>
        <w:t>n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a la Municipalidad en calidad de multa, el uno por mil por cada día de retraso, calculado del costo de las obras no ejecutadas.</w:t>
      </w:r>
    </w:p>
    <w:p w:rsidR="00077615" w:rsidRPr="00AA4753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Pr="00AA4753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077615" w:rsidRPr="00C946EC" w:rsidRDefault="00077615" w:rsidP="00077615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AA4753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</w:t>
      </w:r>
      <w:r w:rsidRPr="006B0612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obras </w:t>
      </w:r>
      <w:r>
        <w:rPr>
          <w:rFonts w:ascii="Palatino Linotype" w:hAnsi="Palatino Linotype"/>
          <w:sz w:val="22"/>
          <w:szCs w:val="22"/>
          <w:lang w:val="es-EC"/>
        </w:rPr>
        <w:t>de infraestructura pública</w:t>
      </w:r>
      <w:r w:rsidRPr="00AA4753">
        <w:rPr>
          <w:rFonts w:ascii="Palatino Linotype" w:hAnsi="Palatino Linotype"/>
          <w:sz w:val="22"/>
          <w:szCs w:val="22"/>
          <w:lang w:val="es-ES_tradnl"/>
        </w:rPr>
        <w:t>, se notificará a la Dirección Metropolitana Financiera para que emita el título de crédito respectivo y proceda a su cobro, incluso por la vía coactiva.</w:t>
      </w:r>
    </w:p>
    <w:p w:rsidR="00077615" w:rsidRPr="00AA4753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 1</w:t>
      </w:r>
      <w:r w:rsidR="00C31B8F">
        <w:rPr>
          <w:rFonts w:ascii="Palatino Linotype" w:hAnsi="Palatino Linotype"/>
          <w:b/>
          <w:bCs/>
          <w:iCs/>
          <w:sz w:val="22"/>
          <w:szCs w:val="22"/>
          <w:lang w:val="es-EC"/>
        </w:rPr>
        <w:t>2</w:t>
      </w:r>
      <w:r w:rsidRPr="00AA4753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.- De la garantía de ejecución de las obras.-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Los lotes producto </w:t>
      </w:r>
      <w:r>
        <w:rPr>
          <w:rFonts w:ascii="Palatino Linotype" w:hAnsi="Palatino Linotype"/>
          <w:sz w:val="22"/>
          <w:szCs w:val="22"/>
          <w:lang w:val="es-EC"/>
        </w:rPr>
        <w:t xml:space="preserve">del presente reconocimiento de </w:t>
      </w:r>
      <w:r w:rsidR="00F34F67">
        <w:rPr>
          <w:rFonts w:ascii="Palatino Linotype" w:hAnsi="Palatino Linotype"/>
          <w:sz w:val="22"/>
          <w:szCs w:val="22"/>
          <w:lang w:val="es-EC"/>
        </w:rPr>
        <w:t>a</w:t>
      </w:r>
      <w:r>
        <w:rPr>
          <w:rFonts w:ascii="Palatino Linotype" w:hAnsi="Palatino Linotype"/>
          <w:sz w:val="22"/>
          <w:szCs w:val="22"/>
          <w:lang w:val="es-EC"/>
        </w:rPr>
        <w:t xml:space="preserve">sentamiento </w:t>
      </w:r>
      <w:r w:rsidR="00F34F67">
        <w:rPr>
          <w:rFonts w:ascii="Palatino Linotype" w:hAnsi="Palatino Linotype"/>
          <w:sz w:val="22"/>
          <w:szCs w:val="22"/>
          <w:lang w:val="es-EC"/>
        </w:rPr>
        <w:t>h</w:t>
      </w:r>
      <w:r>
        <w:rPr>
          <w:rFonts w:ascii="Palatino Linotype" w:hAnsi="Palatino Linotype"/>
          <w:sz w:val="22"/>
          <w:szCs w:val="22"/>
          <w:lang w:val="es-EC"/>
        </w:rPr>
        <w:t xml:space="preserve">umano de </w:t>
      </w:r>
      <w:r w:rsidR="00F34F67">
        <w:rPr>
          <w:rFonts w:ascii="Palatino Linotype" w:hAnsi="Palatino Linotype"/>
          <w:sz w:val="22"/>
          <w:szCs w:val="22"/>
          <w:lang w:val="es-EC"/>
        </w:rPr>
        <w:t>h</w:t>
      </w:r>
      <w:r>
        <w:rPr>
          <w:rFonts w:ascii="Palatino Linotype" w:hAnsi="Palatino Linotype"/>
          <w:sz w:val="22"/>
          <w:szCs w:val="22"/>
          <w:lang w:val="es-EC"/>
        </w:rPr>
        <w:t xml:space="preserve">echo y </w:t>
      </w:r>
      <w:r w:rsidR="00F34F67">
        <w:rPr>
          <w:rFonts w:ascii="Palatino Linotype" w:hAnsi="Palatino Linotype"/>
          <w:sz w:val="22"/>
          <w:szCs w:val="22"/>
          <w:lang w:val="es-EC"/>
        </w:rPr>
        <w:t>c</w:t>
      </w:r>
      <w:r w:rsidRPr="00AA4753">
        <w:rPr>
          <w:rFonts w:ascii="Palatino Linotype" w:hAnsi="Palatino Linotype"/>
          <w:sz w:val="22"/>
          <w:szCs w:val="22"/>
          <w:lang w:val="es-EC"/>
        </w:rPr>
        <w:t>onsolidado</w:t>
      </w:r>
      <w:r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quedan gravados con primera, especial y preferente hipoteca a favor del Municipio del Distrito Metropolitano de Quito, y que subsistirá hasta la terminación de la ejecución de las obras de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obras </w:t>
      </w:r>
      <w:r>
        <w:rPr>
          <w:rFonts w:ascii="Palatino Linotype" w:hAnsi="Palatino Linotype"/>
          <w:sz w:val="22"/>
          <w:szCs w:val="22"/>
          <w:lang w:val="es-EC"/>
        </w:rPr>
        <w:t>de infraestructura pública</w:t>
      </w:r>
      <w:r w:rsidRPr="00AA4753">
        <w:rPr>
          <w:rFonts w:ascii="Palatino Linotype" w:hAnsi="Palatino Linotype"/>
          <w:sz w:val="22"/>
          <w:szCs w:val="22"/>
          <w:lang w:val="es-EC"/>
        </w:rPr>
        <w:t>.</w:t>
      </w:r>
    </w:p>
    <w:p w:rsidR="00077615" w:rsidRPr="008C42FE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sz w:val="22"/>
          <w:szCs w:val="22"/>
          <w:lang w:val="es-EC"/>
        </w:rPr>
        <w:t>En caso de existir algún gravamen que pese sobre el inmueble, este se individualizará al momento de ejecutarse el fraccionamiento.</w:t>
      </w:r>
    </w:p>
    <w:p w:rsidR="00077615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</w:t>
      </w:r>
      <w:r w:rsidR="00C31B8F">
        <w:rPr>
          <w:rFonts w:ascii="Palatino Linotype" w:hAnsi="Palatino Linotype"/>
          <w:b/>
          <w:bCs/>
          <w:sz w:val="22"/>
          <w:szCs w:val="22"/>
          <w:lang w:val="es-ES_tradnl"/>
        </w:rPr>
        <w:t>3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De la protocolización e inscripción de la ordenanza.- </w:t>
      </w:r>
      <w:r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F2263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Comité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“Santa Isabel” (Franja 5)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se compromete</w:t>
      </w:r>
      <w:r>
        <w:rPr>
          <w:rFonts w:ascii="Palatino Linotype" w:hAnsi="Palatino Linotype"/>
          <w:sz w:val="22"/>
          <w:szCs w:val="22"/>
          <w:lang w:val="es-ES_tradnl"/>
        </w:rPr>
        <w:t>n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en el término de ciento ochenta (180) días, contados a partir de la fecha de emisión de la resolución de regularización de </w:t>
      </w:r>
      <w:r>
        <w:rPr>
          <w:rFonts w:ascii="Palatino Linotype" w:hAnsi="Palatino Linotype"/>
          <w:sz w:val="22"/>
          <w:szCs w:val="22"/>
          <w:lang w:val="es-ES_tradnl"/>
        </w:rPr>
        <w:t>excedentes y/o diferencias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de área</w:t>
      </w:r>
      <w:r>
        <w:rPr>
          <w:rFonts w:ascii="Palatino Linotype" w:hAnsi="Palatino Linotype"/>
          <w:sz w:val="22"/>
          <w:szCs w:val="22"/>
          <w:lang w:val="es-ES_tradnl"/>
        </w:rPr>
        <w:t>s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por parte de la Autoridad Administrativa </w:t>
      </w:r>
      <w:r w:rsidRPr="00AA4753">
        <w:rPr>
          <w:rFonts w:ascii="Palatino Linotype" w:hAnsi="Palatino Linotype"/>
          <w:sz w:val="22"/>
          <w:szCs w:val="22"/>
          <w:lang w:val="es-ES_tradnl"/>
        </w:rPr>
        <w:lastRenderedPageBreak/>
        <w:t xml:space="preserve">Competente, a 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protocolizar la presente </w:t>
      </w:r>
      <w:r>
        <w:rPr>
          <w:rFonts w:ascii="Palatino Linotype" w:hAnsi="Palatino Linotype"/>
          <w:sz w:val="22"/>
          <w:szCs w:val="22"/>
          <w:lang w:val="es-EC"/>
        </w:rPr>
        <w:t>O</w:t>
      </w:r>
      <w:r w:rsidRPr="00AA4753">
        <w:rPr>
          <w:rFonts w:ascii="Palatino Linotype" w:hAnsi="Palatino Linotype"/>
          <w:sz w:val="22"/>
          <w:szCs w:val="22"/>
          <w:lang w:val="es-EC"/>
        </w:rPr>
        <w:t xml:space="preserve">rdenanza ante Notario Público e inscribirla en el Registro de la Propiedad del Distrito Metropolitano de Quito, </w:t>
      </w:r>
      <w:r w:rsidRPr="00AA4753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AA4753">
        <w:rPr>
          <w:rFonts w:ascii="Palatino Linotype" w:hAnsi="Palatino Linotype"/>
          <w:sz w:val="22"/>
          <w:szCs w:val="22"/>
          <w:lang w:val="es-EC"/>
        </w:rPr>
        <w:t>;</w:t>
      </w:r>
      <w:r w:rsidRPr="00AA4753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077615" w:rsidRPr="00AA4753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>
        <w:rPr>
          <w:rFonts w:ascii="Palatino Linotype" w:hAnsi="Palatino Linotype"/>
          <w:sz w:val="22"/>
          <w:szCs w:val="22"/>
          <w:lang w:val="es-ES_tradnl"/>
        </w:rPr>
        <w:t xml:space="preserve">La inscripción de la presente </w:t>
      </w:r>
      <w:r w:rsidR="00752FA4">
        <w:rPr>
          <w:rFonts w:ascii="Palatino Linotype" w:hAnsi="Palatino Linotype"/>
          <w:sz w:val="22"/>
          <w:szCs w:val="22"/>
          <w:lang w:val="es-ES_tradnl"/>
        </w:rPr>
        <w:t>O</w:t>
      </w:r>
      <w:r>
        <w:rPr>
          <w:rFonts w:ascii="Palatino Linotype" w:hAnsi="Palatino Linotype"/>
          <w:sz w:val="22"/>
          <w:szCs w:val="22"/>
          <w:lang w:val="es-ES_tradnl"/>
        </w:rPr>
        <w:t>rdenanza servirá como título de dominio de los beneficiarios para efectos del perfeccionamiento de la transferencia de áreas verdes, en caso de que existan.</w:t>
      </w:r>
    </w:p>
    <w:p w:rsidR="00077615" w:rsidRPr="00B36B5A" w:rsidRDefault="00077615" w:rsidP="00077615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AA4753">
        <w:rPr>
          <w:rFonts w:ascii="Palatino Linotype" w:hAnsi="Palatino Linotype" w:cs="Arial"/>
          <w:b/>
          <w:sz w:val="22"/>
          <w:szCs w:val="22"/>
          <w:lang w:val="es-ES_tradnl"/>
        </w:rPr>
        <w:t>Artículo 1</w:t>
      </w:r>
      <w:r w:rsidR="00C31B8F">
        <w:rPr>
          <w:rFonts w:ascii="Palatino Linotype" w:hAnsi="Palatino Linotype" w:cs="Arial"/>
          <w:b/>
          <w:sz w:val="22"/>
          <w:szCs w:val="22"/>
          <w:lang w:val="es-ES_tradnl"/>
        </w:rPr>
        <w:t>4</w:t>
      </w:r>
      <w:r w:rsidRPr="00AA4753">
        <w:rPr>
          <w:rFonts w:ascii="Palatino Linotype" w:hAnsi="Palatino Linotype" w:cs="Arial"/>
          <w:b/>
          <w:sz w:val="22"/>
          <w:szCs w:val="22"/>
          <w:lang w:val="es-ES_tradnl"/>
        </w:rPr>
        <w:t xml:space="preserve">.- 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De la partición y a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djudicación.- </w:t>
      </w:r>
      <w:r>
        <w:rPr>
          <w:rFonts w:ascii="Palatino Linotype" w:hAnsi="Palatino Linotype" w:cs="Arial"/>
          <w:sz w:val="22"/>
          <w:szCs w:val="22"/>
          <w:lang w:val="es-ES_tradnl"/>
        </w:rPr>
        <w:t>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e faculta al señor Alcalde </w:t>
      </w:r>
      <w:r>
        <w:rPr>
          <w:rFonts w:ascii="Palatino Linotype" w:hAnsi="Palatino Linotype" w:cs="Arial"/>
          <w:sz w:val="22"/>
          <w:szCs w:val="22"/>
          <w:lang w:val="es-ES_tradnl"/>
        </w:rPr>
        <w:t>para que mediante resolución administrativa,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proceda con la </w:t>
      </w:r>
      <w:r>
        <w:rPr>
          <w:rFonts w:ascii="Palatino Linotype" w:hAnsi="Palatino Linotype" w:cs="Arial"/>
          <w:sz w:val="22"/>
          <w:szCs w:val="22"/>
          <w:lang w:val="es-ES_tradnl"/>
        </w:rPr>
        <w:t>partición a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dministrativa correspondiente</w:t>
      </w:r>
      <w:r>
        <w:rPr>
          <w:rFonts w:ascii="Palatino Linotype" w:hAnsi="Palatino Linotype" w:cs="Arial"/>
          <w:sz w:val="22"/>
          <w:szCs w:val="22"/>
          <w:lang w:val="es-ES_tradnl"/>
        </w:rPr>
        <w:t>. D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icha resolución de partición y adjudic</w:t>
      </w:r>
      <w:r>
        <w:rPr>
          <w:rFonts w:ascii="Palatino Linotype" w:hAnsi="Palatino Linotype" w:cs="Arial"/>
          <w:sz w:val="22"/>
          <w:szCs w:val="22"/>
          <w:lang w:val="es-ES_tradnl"/>
        </w:rPr>
        <w:t>ación se protocolizará ante Notario Público y se inscribirá en el Registro de la P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ropiedad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del Distrito Metropolitano de Quito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, la misma que sin otra solemnidad constituirá título de dominio del beneficiario.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Cuando por efectos de la partición y adjudicación administrativas se produjeren controversias de dominio o derechos personales entre el beneficiario 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el acto administrativo y quien 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pretenda ser titular del derecho de domini</w:t>
      </w:r>
      <w:r>
        <w:rPr>
          <w:rFonts w:ascii="Palatino Linotype" w:hAnsi="Palatino Linotype" w:cs="Arial"/>
          <w:sz w:val="22"/>
          <w:szCs w:val="22"/>
          <w:lang w:val="es-ES_tradnl"/>
        </w:rPr>
        <w:t>o sobre los derechos y acciones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del l</w:t>
      </w:r>
      <w:r>
        <w:rPr>
          <w:rFonts w:ascii="Palatino Linotype" w:hAnsi="Palatino Linotype" w:cs="Arial"/>
          <w:sz w:val="22"/>
          <w:szCs w:val="22"/>
          <w:lang w:val="es-ES_tradnl"/>
        </w:rPr>
        <w:t>ote o bien inmueble fraccionado,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estas serán conocidas  y re</w:t>
      </w:r>
      <w:r>
        <w:rPr>
          <w:rFonts w:ascii="Palatino Linotype" w:hAnsi="Palatino Linotype" w:cs="Arial"/>
          <w:sz w:val="22"/>
          <w:szCs w:val="22"/>
          <w:lang w:val="es-ES_tradnl"/>
        </w:rPr>
        <w:t>sueltas por  el juez competente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en juicio ordinario. 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077615" w:rsidRPr="00AA4753" w:rsidRDefault="00077615" w:rsidP="00077615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 1</w:t>
      </w:r>
      <w:r w:rsidR="00C31B8F">
        <w:rPr>
          <w:rFonts w:ascii="Palatino Linotype" w:hAnsi="Palatino Linotype"/>
          <w:b/>
          <w:sz w:val="22"/>
          <w:szCs w:val="22"/>
          <w:lang w:val="es-EC"/>
        </w:rPr>
        <w:t>5</w:t>
      </w:r>
      <w:r w:rsidRPr="00AA4753">
        <w:rPr>
          <w:rFonts w:ascii="Palatino Linotype" w:hAnsi="Palatino Linotype"/>
          <w:b/>
          <w:sz w:val="22"/>
          <w:szCs w:val="22"/>
          <w:lang w:val="es-EC"/>
        </w:rPr>
        <w:t xml:space="preserve">.- Potestad de ejecución.- </w:t>
      </w:r>
      <w:r w:rsidRPr="00AA4753">
        <w:rPr>
          <w:rFonts w:ascii="Palatino Linotype" w:hAnsi="Palatino Linotype"/>
          <w:sz w:val="22"/>
          <w:szCs w:val="22"/>
          <w:lang w:val="es-EC"/>
        </w:rPr>
        <w:t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077615" w:rsidRPr="00AA4753" w:rsidRDefault="00077615" w:rsidP="00077615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>Artículo 1</w:t>
      </w:r>
      <w:r w:rsidR="00C31B8F">
        <w:rPr>
          <w:rFonts w:ascii="Palatino Linotype" w:hAnsi="Palatino Linotype"/>
          <w:b/>
          <w:bCs/>
          <w:sz w:val="22"/>
          <w:szCs w:val="22"/>
          <w:lang w:val="es-ES_tradnl"/>
        </w:rPr>
        <w:t>6</w:t>
      </w:r>
      <w:r w:rsidRPr="00AA475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Solicitudes de ampliación de plazo.- </w:t>
      </w:r>
      <w:r w:rsidRPr="00AA4753">
        <w:rPr>
          <w:rFonts w:ascii="Palatino Linotype" w:hAnsi="Palatino Linotype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13584F" w:rsidRDefault="00BA5D17" w:rsidP="00077615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74F7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</w:t>
      </w:r>
      <w:r w:rsidR="00920CC7">
        <w:rPr>
          <w:rFonts w:ascii="Palatino Linotype" w:hAnsi="Palatino Linotype" w:cs="Arial"/>
          <w:b/>
          <w:sz w:val="22"/>
          <w:szCs w:val="22"/>
          <w:lang w:val="es-ES_tradnl"/>
        </w:rPr>
        <w:t>f</w:t>
      </w:r>
      <w:r w:rsidRPr="00B74F7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inal.- </w:t>
      </w:r>
      <w:r w:rsidRPr="00B74F7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</w:t>
      </w:r>
      <w:r w:rsidRPr="0013584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de la fecha de su sanción, sin perjuicio de su publicación en la página web institucional de la Municipalidad.</w:t>
      </w:r>
    </w:p>
    <w:p w:rsidR="00D566AB" w:rsidRDefault="00D566AB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D566AB" w:rsidRDefault="00D566AB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02F52" w:rsidRPr="00B072AF" w:rsidRDefault="00302F52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sz w:val="22"/>
          <w:szCs w:val="22"/>
        </w:rPr>
        <w:lastRenderedPageBreak/>
        <w:t xml:space="preserve">Dada, en la Sala de Sesiones del Concejo Metropolitano de Quito, el </w:t>
      </w:r>
      <w:r w:rsidR="00D566AB">
        <w:rPr>
          <w:rFonts w:ascii="Palatino Linotype" w:hAnsi="Palatino Linotype" w:cs="Arial"/>
          <w:sz w:val="22"/>
          <w:szCs w:val="22"/>
        </w:rPr>
        <w:t>27</w:t>
      </w:r>
      <w:r w:rsidRPr="0013584F">
        <w:rPr>
          <w:rFonts w:ascii="Palatino Linotype" w:hAnsi="Palatino Linotype" w:cs="Arial"/>
          <w:sz w:val="22"/>
          <w:szCs w:val="22"/>
        </w:rPr>
        <w:t xml:space="preserve"> de</w:t>
      </w:r>
      <w:r w:rsidRPr="00B072AF">
        <w:rPr>
          <w:rFonts w:ascii="Palatino Linotype" w:hAnsi="Palatino Linotype" w:cs="Arial"/>
          <w:sz w:val="22"/>
          <w:szCs w:val="22"/>
        </w:rPr>
        <w:t xml:space="preserve"> </w:t>
      </w:r>
      <w:r w:rsidR="00D566AB">
        <w:rPr>
          <w:rFonts w:ascii="Palatino Linotype" w:hAnsi="Palatino Linotype" w:cs="Arial"/>
          <w:sz w:val="22"/>
          <w:szCs w:val="22"/>
        </w:rPr>
        <w:t xml:space="preserve">agosto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Pr="00B072AF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920CC7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Ing. Anabel Hermosa Acosta</w:t>
            </w:r>
          </w:p>
          <w:p w:rsidR="00302F52" w:rsidRPr="00680EAC" w:rsidRDefault="00920CC7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>
              <w:rPr>
                <w:rFonts w:ascii="Palatino Linotype" w:hAnsi="Palatino Linotype" w:cs="Arial"/>
                <w:b/>
                <w:sz w:val="19"/>
                <w:szCs w:val="19"/>
              </w:rPr>
              <w:t xml:space="preserve">Segunda </w:t>
            </w:r>
            <w:r w:rsidR="00302F52" w:rsidRPr="00680EAC">
              <w:rPr>
                <w:rFonts w:ascii="Palatino Linotype" w:hAnsi="Palatino Linotype" w:cs="Arial"/>
                <w:b/>
                <w:sz w:val="19"/>
                <w:szCs w:val="19"/>
              </w:rPr>
              <w:t>Vicepresident</w:t>
            </w:r>
            <w:r w:rsidR="00302F52"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="00302F52"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A01024" w:rsidRPr="00680EAC" w:rsidRDefault="00A01024" w:rsidP="000267F9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</w:t>
      </w:r>
      <w:r w:rsidR="000A0F48">
        <w:rPr>
          <w:rFonts w:ascii="Palatino Linotype" w:eastAsia="MS Mincho" w:hAnsi="Palatino Linotype" w:cs="Arial"/>
          <w:sz w:val="22"/>
          <w:szCs w:val="22"/>
        </w:rPr>
        <w:t xml:space="preserve"> en dos debates, en sesiones de </w:t>
      </w:r>
      <w:r w:rsidR="00D566AB">
        <w:rPr>
          <w:rFonts w:ascii="Palatino Linotype" w:eastAsia="MS Mincho" w:hAnsi="Palatino Linotype" w:cs="Arial"/>
          <w:sz w:val="22"/>
          <w:szCs w:val="22"/>
        </w:rPr>
        <w:t>13</w:t>
      </w:r>
      <w:r w:rsidR="000A0F48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D566AB">
        <w:rPr>
          <w:rFonts w:ascii="Palatino Linotype" w:eastAsia="MS Mincho" w:hAnsi="Palatino Linotype" w:cs="Arial"/>
          <w:sz w:val="22"/>
          <w:szCs w:val="22"/>
        </w:rPr>
        <w:t>27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D566AB">
        <w:rPr>
          <w:rFonts w:ascii="Palatino Linotype" w:eastAsia="MS Mincho" w:hAnsi="Palatino Linotype" w:cs="Arial"/>
          <w:sz w:val="22"/>
          <w:szCs w:val="22"/>
        </w:rPr>
        <w:t xml:space="preserve">agosto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Default="008079C6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Pr="003843CA" w:rsidRDefault="008079C6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D566AB" w:rsidRPr="00D566AB" w:rsidRDefault="00D566AB" w:rsidP="00D566AB">
      <w:pPr>
        <w:pStyle w:val="Textosinformato"/>
        <w:rPr>
          <w:rFonts w:ascii="Palatino Linotype" w:eastAsia="MS Mincho" w:hAnsi="Palatino Linotype" w:cs="Arial"/>
          <w:b/>
          <w:bCs/>
          <w:sz w:val="14"/>
          <w:szCs w:val="14"/>
        </w:rPr>
      </w:pPr>
      <w:r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  <w:bookmarkStart w:id="0" w:name="_GoBack"/>
      <w:bookmarkEnd w:id="0"/>
    </w:p>
    <w:sectPr w:rsidR="00D566AB" w:rsidRPr="00D566AB" w:rsidSect="008079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133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67" w:rsidRDefault="00F34F67" w:rsidP="00B14643">
      <w:r>
        <w:separator/>
      </w:r>
    </w:p>
  </w:endnote>
  <w:endnote w:type="continuationSeparator" w:id="1">
    <w:p w:rsidR="00F34F67" w:rsidRDefault="00F34F67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67" w:rsidRPr="00723B61" w:rsidRDefault="00F34F67">
    <w:pPr>
      <w:pStyle w:val="Piedepgina"/>
      <w:jc w:val="right"/>
      <w:rPr>
        <w:rFonts w:ascii="Palatino Linotype" w:hAnsi="Palatino Linotype"/>
      </w:rPr>
    </w:pPr>
  </w:p>
  <w:p w:rsidR="00F34F67" w:rsidRDefault="00F34F6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67" w:rsidRPr="00723B61" w:rsidRDefault="00F34F67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F2631E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F2631E" w:rsidRPr="00723B61">
      <w:rPr>
        <w:rFonts w:ascii="Palatino Linotype" w:hAnsi="Palatino Linotype"/>
        <w:b/>
        <w:sz w:val="24"/>
        <w:szCs w:val="24"/>
      </w:rPr>
      <w:fldChar w:fldCharType="separate"/>
    </w:r>
    <w:r w:rsidR="001D06D1">
      <w:rPr>
        <w:rFonts w:ascii="Palatino Linotype" w:hAnsi="Palatino Linotype"/>
        <w:b/>
        <w:noProof/>
      </w:rPr>
      <w:t>3</w:t>
    </w:r>
    <w:r w:rsidR="00F2631E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D17A49">
      <w:rPr>
        <w:rFonts w:ascii="Palatino Linotype" w:hAnsi="Palatino Linotype"/>
        <w:b/>
      </w:rPr>
      <w:t>8</w:t>
    </w:r>
  </w:p>
  <w:p w:rsidR="00F34F67" w:rsidRDefault="00F34F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67" w:rsidRDefault="00F34F67" w:rsidP="00B14643">
      <w:r>
        <w:separator/>
      </w:r>
    </w:p>
  </w:footnote>
  <w:footnote w:type="continuationSeparator" w:id="1">
    <w:p w:rsidR="00F34F67" w:rsidRDefault="00F34F67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67" w:rsidRDefault="00F34F67">
    <w:pPr>
      <w:pStyle w:val="Encabezado"/>
      <w:rPr>
        <w:lang w:val="es-EC"/>
      </w:rPr>
    </w:pPr>
  </w:p>
  <w:p w:rsidR="00F34F67" w:rsidRDefault="00F34F67">
    <w:pPr>
      <w:pStyle w:val="Encabezado"/>
      <w:rPr>
        <w:lang w:val="es-EC"/>
      </w:rPr>
    </w:pPr>
  </w:p>
  <w:p w:rsidR="00F34F67" w:rsidRDefault="00F34F67">
    <w:pPr>
      <w:pStyle w:val="Encabezado"/>
      <w:rPr>
        <w:lang w:val="es-EC"/>
      </w:rPr>
    </w:pPr>
  </w:p>
  <w:p w:rsidR="00F34F67" w:rsidRDefault="00F34F67">
    <w:pPr>
      <w:pStyle w:val="Encabezado"/>
      <w:rPr>
        <w:lang w:val="es-EC"/>
      </w:rPr>
    </w:pPr>
  </w:p>
  <w:p w:rsidR="00F34F67" w:rsidRDefault="00F34F67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1D06D1" w:rsidRDefault="001D06D1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F34F67" w:rsidRPr="00476B21" w:rsidRDefault="00F34F67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F34F67" w:rsidRPr="00150606" w:rsidRDefault="00F34F67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67" w:rsidRDefault="00F34F6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67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34F67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34F67" w:rsidRPr="00476B21" w:rsidRDefault="00F34F67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F34F67" w:rsidRDefault="00F34F67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67" w:rsidRDefault="00F34F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E7148"/>
    <w:multiLevelType w:val="hybridMultilevel"/>
    <w:tmpl w:val="50BA40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84D9B"/>
    <w:multiLevelType w:val="hybridMultilevel"/>
    <w:tmpl w:val="ED4653EE"/>
    <w:lvl w:ilvl="0" w:tplc="300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2"/>
  </w:num>
  <w:num w:numId="11">
    <w:abstractNumId w:val="28"/>
  </w:num>
  <w:num w:numId="12">
    <w:abstractNumId w:val="1"/>
  </w:num>
  <w:num w:numId="13">
    <w:abstractNumId w:val="29"/>
  </w:num>
  <w:num w:numId="14">
    <w:abstractNumId w:val="23"/>
  </w:num>
  <w:num w:numId="15">
    <w:abstractNumId w:val="10"/>
  </w:num>
  <w:num w:numId="16">
    <w:abstractNumId w:val="13"/>
  </w:num>
  <w:num w:numId="17">
    <w:abstractNumId w:val="9"/>
  </w:num>
  <w:num w:numId="18">
    <w:abstractNumId w:val="24"/>
  </w:num>
  <w:num w:numId="19">
    <w:abstractNumId w:val="6"/>
  </w:num>
  <w:num w:numId="20">
    <w:abstractNumId w:val="18"/>
  </w:num>
  <w:num w:numId="21">
    <w:abstractNumId w:val="26"/>
  </w:num>
  <w:num w:numId="22">
    <w:abstractNumId w:val="17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20"/>
  </w:num>
  <w:num w:numId="28">
    <w:abstractNumId w:val="16"/>
  </w:num>
  <w:num w:numId="29">
    <w:abstractNumId w:val="27"/>
  </w:num>
  <w:num w:numId="30">
    <w:abstractNumId w:val="8"/>
  </w:num>
  <w:num w:numId="31">
    <w:abstractNumId w:val="22"/>
  </w:num>
  <w:num w:numId="32">
    <w:abstractNumId w:val="1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7F9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26A0"/>
    <w:rsid w:val="00074B5F"/>
    <w:rsid w:val="00077615"/>
    <w:rsid w:val="0008239D"/>
    <w:rsid w:val="00090566"/>
    <w:rsid w:val="00090901"/>
    <w:rsid w:val="000926DD"/>
    <w:rsid w:val="000950B5"/>
    <w:rsid w:val="00097181"/>
    <w:rsid w:val="000A0F48"/>
    <w:rsid w:val="000A124A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3584F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07FE"/>
    <w:rsid w:val="001A1E74"/>
    <w:rsid w:val="001A21AF"/>
    <w:rsid w:val="001A2A2E"/>
    <w:rsid w:val="001A37BD"/>
    <w:rsid w:val="001A423C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676"/>
    <w:rsid w:val="001C5B7C"/>
    <w:rsid w:val="001D06D1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534"/>
    <w:rsid w:val="00210EC5"/>
    <w:rsid w:val="00212D0E"/>
    <w:rsid w:val="002149A1"/>
    <w:rsid w:val="002151EE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1F1C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946FB"/>
    <w:rsid w:val="003958F3"/>
    <w:rsid w:val="0039693E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4453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1ABC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4932"/>
    <w:rsid w:val="0048545E"/>
    <w:rsid w:val="004868B3"/>
    <w:rsid w:val="00487381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032C2"/>
    <w:rsid w:val="0050724E"/>
    <w:rsid w:val="00510372"/>
    <w:rsid w:val="00511176"/>
    <w:rsid w:val="00516E13"/>
    <w:rsid w:val="00516FFD"/>
    <w:rsid w:val="005222E0"/>
    <w:rsid w:val="00523121"/>
    <w:rsid w:val="005231E7"/>
    <w:rsid w:val="00523D5A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95261"/>
    <w:rsid w:val="00595499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64B1"/>
    <w:rsid w:val="005E7CBA"/>
    <w:rsid w:val="005F1A76"/>
    <w:rsid w:val="005F2841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67CBB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AAD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38A9"/>
    <w:rsid w:val="007459D5"/>
    <w:rsid w:val="00747C7E"/>
    <w:rsid w:val="007513B7"/>
    <w:rsid w:val="0075242D"/>
    <w:rsid w:val="00752FA4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A70EC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079C6"/>
    <w:rsid w:val="0081056B"/>
    <w:rsid w:val="00813CBA"/>
    <w:rsid w:val="0081441B"/>
    <w:rsid w:val="00815428"/>
    <w:rsid w:val="00816E9E"/>
    <w:rsid w:val="00817FE4"/>
    <w:rsid w:val="00833268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1A7F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7036"/>
    <w:rsid w:val="00900480"/>
    <w:rsid w:val="0090288A"/>
    <w:rsid w:val="00902D76"/>
    <w:rsid w:val="00903379"/>
    <w:rsid w:val="00905E7E"/>
    <w:rsid w:val="00907FE8"/>
    <w:rsid w:val="00910052"/>
    <w:rsid w:val="00912C3B"/>
    <w:rsid w:val="009179C7"/>
    <w:rsid w:val="00920CC7"/>
    <w:rsid w:val="00922D45"/>
    <w:rsid w:val="00923463"/>
    <w:rsid w:val="00923B99"/>
    <w:rsid w:val="00923EC9"/>
    <w:rsid w:val="00924A8D"/>
    <w:rsid w:val="00926E41"/>
    <w:rsid w:val="00927C76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84ED7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9F7CD5"/>
    <w:rsid w:val="00A01024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4F2B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6186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F29"/>
    <w:rsid w:val="00B064EA"/>
    <w:rsid w:val="00B069D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74F7F"/>
    <w:rsid w:val="00B81472"/>
    <w:rsid w:val="00B824C4"/>
    <w:rsid w:val="00B84D5C"/>
    <w:rsid w:val="00B92361"/>
    <w:rsid w:val="00B969AE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5C84"/>
    <w:rsid w:val="00BC6487"/>
    <w:rsid w:val="00BC6EE5"/>
    <w:rsid w:val="00BD5A41"/>
    <w:rsid w:val="00BD5A99"/>
    <w:rsid w:val="00BD617B"/>
    <w:rsid w:val="00BE0042"/>
    <w:rsid w:val="00BE06BA"/>
    <w:rsid w:val="00BE28DF"/>
    <w:rsid w:val="00BE4F22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6E0B"/>
    <w:rsid w:val="00C27958"/>
    <w:rsid w:val="00C3085E"/>
    <w:rsid w:val="00C31B8F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96AAE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E751E"/>
    <w:rsid w:val="00CF350D"/>
    <w:rsid w:val="00CF3C94"/>
    <w:rsid w:val="00CF6872"/>
    <w:rsid w:val="00D005A3"/>
    <w:rsid w:val="00D0199B"/>
    <w:rsid w:val="00D0271B"/>
    <w:rsid w:val="00D04849"/>
    <w:rsid w:val="00D057C6"/>
    <w:rsid w:val="00D071B4"/>
    <w:rsid w:val="00D123D9"/>
    <w:rsid w:val="00D17A49"/>
    <w:rsid w:val="00D20544"/>
    <w:rsid w:val="00D21B39"/>
    <w:rsid w:val="00D23621"/>
    <w:rsid w:val="00D238EF"/>
    <w:rsid w:val="00D25592"/>
    <w:rsid w:val="00D26767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566AB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1585"/>
    <w:rsid w:val="00DA3162"/>
    <w:rsid w:val="00DA329B"/>
    <w:rsid w:val="00DA3641"/>
    <w:rsid w:val="00DB1AD0"/>
    <w:rsid w:val="00DB6A9F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46CCC"/>
    <w:rsid w:val="00E506FA"/>
    <w:rsid w:val="00E515DC"/>
    <w:rsid w:val="00E51A77"/>
    <w:rsid w:val="00E552C1"/>
    <w:rsid w:val="00E60674"/>
    <w:rsid w:val="00E64F9D"/>
    <w:rsid w:val="00E73CAC"/>
    <w:rsid w:val="00E7413C"/>
    <w:rsid w:val="00E774B8"/>
    <w:rsid w:val="00E80965"/>
    <w:rsid w:val="00E82399"/>
    <w:rsid w:val="00E83519"/>
    <w:rsid w:val="00E83CAF"/>
    <w:rsid w:val="00E9042E"/>
    <w:rsid w:val="00E909C1"/>
    <w:rsid w:val="00E918F7"/>
    <w:rsid w:val="00E93F84"/>
    <w:rsid w:val="00E93FB3"/>
    <w:rsid w:val="00E942FB"/>
    <w:rsid w:val="00E94928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355D"/>
    <w:rsid w:val="00EE7381"/>
    <w:rsid w:val="00EF3D1D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31E"/>
    <w:rsid w:val="00F26E8C"/>
    <w:rsid w:val="00F32707"/>
    <w:rsid w:val="00F34F67"/>
    <w:rsid w:val="00F37FDA"/>
    <w:rsid w:val="00F44356"/>
    <w:rsid w:val="00F458C4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30B"/>
    <w:rsid w:val="00F82FA9"/>
    <w:rsid w:val="00F83D99"/>
    <w:rsid w:val="00F87577"/>
    <w:rsid w:val="00F93948"/>
    <w:rsid w:val="00F93F5B"/>
    <w:rsid w:val="00F965A2"/>
    <w:rsid w:val="00FA472E"/>
    <w:rsid w:val="00FA47C5"/>
    <w:rsid w:val="00FA5013"/>
    <w:rsid w:val="00FA63B3"/>
    <w:rsid w:val="00FA69E4"/>
    <w:rsid w:val="00FB06E8"/>
    <w:rsid w:val="00FB0AB6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66DA-44F6-4CA1-9684-880886D7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2847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15</cp:revision>
  <cp:lastPrinted>2015-08-24T22:02:00Z</cp:lastPrinted>
  <dcterms:created xsi:type="dcterms:W3CDTF">2015-07-24T21:44:00Z</dcterms:created>
  <dcterms:modified xsi:type="dcterms:W3CDTF">2015-08-27T19:30:00Z</dcterms:modified>
</cp:coreProperties>
</file>