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704CC1" w:rsidRPr="0076281E" w:rsidRDefault="00930448" w:rsidP="00704CC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A1F48" w:rsidRPr="00624394" w:rsidRDefault="007A1F48" w:rsidP="007A1F48">
      <w:pPr>
        <w:pStyle w:val="Sinespaciado"/>
        <w:spacing w:after="120" w:line="276" w:lineRule="auto"/>
        <w:ind w:firstLine="708"/>
        <w:rPr>
          <w:rFonts w:ascii="Palatino Linotype" w:hAnsi="Palatino Linotype"/>
        </w:rPr>
      </w:pPr>
      <w:r w:rsidRPr="00624394">
        <w:rPr>
          <w:rFonts w:ascii="Palatino Linotype" w:hAnsi="Palatino Linotype"/>
        </w:rPr>
        <w:t xml:space="preserve">El Asentamiento Humano de Hecho y Consolidado de interés social denominado Comité Barrial “Brisas del Norte” y Otros, se encuentra ubicado en la parroquia Calderón, al inicio del proceso de regularización contaba con una consolidación del </w:t>
      </w:r>
      <w:r>
        <w:rPr>
          <w:rFonts w:ascii="Palatino Linotype" w:hAnsi="Palatino Linotype"/>
        </w:rPr>
        <w:t>52,</w:t>
      </w:r>
      <w:r w:rsidRPr="00624394">
        <w:rPr>
          <w:rFonts w:ascii="Palatino Linotype" w:hAnsi="Palatino Linotype"/>
        </w:rPr>
        <w:t>98% y 20 años de asentamiento, actualmente cuenta con el 74,67% de consolidación; sin embargo, al momento de la sanción de la presente ordenanza, el asentamiento cuenta con 25 años de asentamiento y 600 beneficiarios.</w:t>
      </w:r>
    </w:p>
    <w:p w:rsidR="007A1F48" w:rsidRPr="00624394" w:rsidRDefault="007A1F48" w:rsidP="007A1F48">
      <w:pPr>
        <w:pStyle w:val="Sinespaciado"/>
        <w:spacing w:after="120" w:line="276" w:lineRule="auto"/>
        <w:ind w:firstLine="708"/>
        <w:rPr>
          <w:rFonts w:ascii="Palatino Linotype" w:hAnsi="Palatino Linotype"/>
        </w:rPr>
      </w:pPr>
      <w:r w:rsidRPr="00624394">
        <w:rPr>
          <w:rFonts w:ascii="Palatino Linotype" w:hAnsi="Palatino Linotype"/>
        </w:rPr>
        <w:t xml:space="preserve">Mediante Ordenanza </w:t>
      </w:r>
      <w:r>
        <w:rPr>
          <w:rFonts w:ascii="Palatino Linotype" w:hAnsi="Palatino Linotype"/>
          <w:lang w:val="es-ES_tradnl"/>
        </w:rPr>
        <w:t>No.</w:t>
      </w:r>
      <w:r w:rsidRPr="00624394">
        <w:rPr>
          <w:rFonts w:ascii="Palatino Linotype" w:hAnsi="Palatino Linotype"/>
          <w:lang w:val="es-ES_tradnl"/>
        </w:rPr>
        <w:t xml:space="preserve"> 0370, sancionada 19 de marzo de 2013</w:t>
      </w:r>
      <w:r>
        <w:rPr>
          <w:rFonts w:ascii="Palatino Linotype" w:hAnsi="Palatino Linotype"/>
          <w:lang w:val="es-ES_tradnl"/>
        </w:rPr>
        <w:t>,</w:t>
      </w:r>
      <w:r w:rsidRPr="00624394">
        <w:rPr>
          <w:rFonts w:ascii="Palatino Linotype" w:hAnsi="Palatino Linotype"/>
          <w:lang w:val="es-ES_tradnl"/>
        </w:rPr>
        <w:t xml:space="preserve"> por el Alcalde del Distrito Metropolitano de Quito, protocolizada 17 de enero de 2014 ante la Dra. Paulina </w:t>
      </w:r>
      <w:proofErr w:type="spellStart"/>
      <w:r w:rsidRPr="00624394">
        <w:rPr>
          <w:rFonts w:ascii="Palatino Linotype" w:hAnsi="Palatino Linotype"/>
          <w:lang w:val="es-ES_tradnl"/>
        </w:rPr>
        <w:t>Auquilla</w:t>
      </w:r>
      <w:proofErr w:type="spellEnd"/>
      <w:r w:rsidRPr="00624394">
        <w:rPr>
          <w:rFonts w:ascii="Palatino Linotype" w:hAnsi="Palatino Linotype"/>
          <w:lang w:val="es-ES_tradnl"/>
        </w:rPr>
        <w:t xml:space="preserve"> Fonseca Notaria Trigésima Séptima del cantón Quito se reconoce y aprueba el Asentamiento Humano de Hecho y Consolidado denominado Comité Barrial “Brisas del Norte” y Otros, ubicado en la parroquia Calderón, a favor de sus copropietarios; sin embargo, se hace constar tanto en la Ordenanza como en el plano habilitante de la misma que son 151 lotes producto del fraccionamiento, cuando de conformidad con la realidad técnica actualmente y por consecuencia de la inscripción en el Registro de la Propiedad del Distrito Metropolitano de Quito de una sentencia de Prescripción Adquisitiva Extraordinaria de Dominio, el número de lotes es de 150 con lo cual han variado las áreas del asentamiento y por ende ha cambiado la situación jurídica del predio. Además del análisis efectuado al Asentamiento </w:t>
      </w:r>
      <w:r w:rsidRPr="00624394">
        <w:rPr>
          <w:rFonts w:ascii="Palatino Linotype" w:hAnsi="Palatino Linotype"/>
        </w:rPr>
        <w:t>la Unidad Especial Regula Tu Barrio lo ha considerado de Interés Social.</w:t>
      </w:r>
    </w:p>
    <w:p w:rsidR="007A1F48" w:rsidRPr="00624394" w:rsidRDefault="007A1F48" w:rsidP="007A1F48">
      <w:pPr>
        <w:pStyle w:val="Sinespaciado"/>
        <w:spacing w:after="120" w:line="276" w:lineRule="auto"/>
        <w:ind w:firstLine="708"/>
        <w:rPr>
          <w:rFonts w:ascii="Palatino Linotype" w:hAnsi="Palatino Linotype"/>
        </w:rPr>
      </w:pPr>
      <w:r w:rsidRPr="00624394">
        <w:rPr>
          <w:rFonts w:ascii="Palatino Linotype" w:hAnsi="Palatino Linotype"/>
        </w:rPr>
        <w:t xml:space="preserve">Igualmente, es imprescindible incluir nuevos artículos que contienen disposiciones legales que van en beneficio de la comunidad; por lo tanto, es necesario se reforme la Ordenanza, por lo que, la Unidad Especial Regula Tu Barrio realizó el proceso tendiente a reformar dicha Ordenanza, a fin de dotar a la población beneficiaria de servicios básicos; </w:t>
      </w:r>
      <w:r w:rsidRPr="00624394">
        <w:rPr>
          <w:rFonts w:ascii="Palatino Linotype" w:hAnsi="Palatino Linotype"/>
        </w:rPr>
        <w:lastRenderedPageBreak/>
        <w:t>y, a su vez, permitir que los legítimos copropietarios cuenten con el título de dominio que garantice el ejercicio del derecho a la vivienda, adecuada y digna, conforme lo prevé la Constitución del Ecuador.</w:t>
      </w:r>
    </w:p>
    <w:p w:rsidR="002305D7" w:rsidRPr="0076281E" w:rsidRDefault="007A1F48" w:rsidP="007A1F48">
      <w:pPr>
        <w:pStyle w:val="Sinespaciado"/>
        <w:spacing w:after="120" w:line="276" w:lineRule="auto"/>
        <w:ind w:firstLine="708"/>
        <w:jc w:val="both"/>
        <w:rPr>
          <w:rFonts w:ascii="Palatino Linotype" w:hAnsi="Palatino Linotype"/>
          <w:b/>
        </w:rPr>
      </w:pPr>
      <w:r w:rsidRPr="00624394">
        <w:rPr>
          <w:rFonts w:ascii="Palatino Linotype" w:hAnsi="Palatino Linotype"/>
          <w:bCs/>
        </w:rPr>
        <w:t>En este sentido, la presente Ordenanza contiene la normativa de reforma de la</w:t>
      </w:r>
      <w:r w:rsidRPr="00624394">
        <w:rPr>
          <w:rFonts w:ascii="Palatino Linotype" w:hAnsi="Palatino Linotype"/>
        </w:rPr>
        <w:t xml:space="preserve"> Ordenanza </w:t>
      </w:r>
      <w:r>
        <w:rPr>
          <w:rFonts w:ascii="Palatino Linotype" w:hAnsi="Palatino Linotype"/>
          <w:lang w:val="es-ES_tradnl"/>
        </w:rPr>
        <w:t xml:space="preserve">No. </w:t>
      </w:r>
      <w:r w:rsidRPr="00624394">
        <w:rPr>
          <w:rFonts w:ascii="Palatino Linotype" w:hAnsi="Palatino Linotype"/>
          <w:lang w:val="es-ES_tradnl"/>
        </w:rPr>
        <w:t xml:space="preserve">0370, sancionada 19 de marzo de 2013 del </w:t>
      </w:r>
      <w:r w:rsidRPr="00624394">
        <w:rPr>
          <w:rFonts w:ascii="Palatino Linotype" w:hAnsi="Palatino Linotype"/>
        </w:rPr>
        <w:t>Asentamiento Humano de Hecho y Consolidado de interés social denominado Comité Barrial “Brisas del Norte” y Otros, ubicado en la parroquia Calderón, a favor de sus copropietarios, a fin de garantizar a los beneficiarios el ejercicio de su derecho a la vivienda y el acceso a servicios de calidad</w:t>
      </w:r>
      <w:r w:rsidR="002305D7" w:rsidRPr="0076281E">
        <w:rPr>
          <w:rFonts w:ascii="Palatino Linotype" w:hAnsi="Palatino Linotype"/>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7A1F48">
        <w:rPr>
          <w:rFonts w:ascii="Palatino Linotype" w:hAnsi="Palatino Linotype"/>
          <w:sz w:val="22"/>
          <w:szCs w:val="22"/>
        </w:rPr>
        <w:t>2</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A1F48" w:rsidRDefault="006274AF" w:rsidP="007A1F48">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A1F48" w:rsidRPr="007A1F48" w:rsidRDefault="007A1F48" w:rsidP="007A1F48">
      <w:pPr>
        <w:pStyle w:val="Sinespaciado"/>
        <w:spacing w:after="120" w:line="276" w:lineRule="auto"/>
        <w:ind w:left="705" w:hanging="705"/>
        <w:jc w:val="both"/>
        <w:rPr>
          <w:rFonts w:ascii="Palatino Linotype" w:hAnsi="Palatino Linotype"/>
          <w:bCs/>
        </w:rPr>
      </w:pPr>
      <w:r w:rsidRPr="00624394">
        <w:rPr>
          <w:rFonts w:ascii="Palatino Linotype" w:hAnsi="Palatino Linotype"/>
          <w:b/>
          <w:bCs/>
        </w:rPr>
        <w:t>Que,</w:t>
      </w:r>
      <w:r w:rsidRPr="00624394">
        <w:rPr>
          <w:rFonts w:ascii="Palatino Linotype" w:hAnsi="Palatino Linotype"/>
          <w:b/>
          <w:bCs/>
        </w:rPr>
        <w:tab/>
      </w:r>
      <w:r w:rsidRPr="00624394">
        <w:rPr>
          <w:rFonts w:ascii="Palatino Linotype" w:hAnsi="Palatino Linotype"/>
        </w:rPr>
        <w:t>mediante Ordenanza Municipal No. 0370 sancionada el 19 de marzo</w:t>
      </w:r>
      <w:r>
        <w:rPr>
          <w:rFonts w:ascii="Palatino Linotype" w:hAnsi="Palatino Linotype"/>
        </w:rPr>
        <w:t xml:space="preserve"> de 2013,</w:t>
      </w:r>
      <w:r w:rsidRPr="00624394">
        <w:rPr>
          <w:rFonts w:ascii="Palatino Linotype" w:hAnsi="Palatino Linotype"/>
        </w:rPr>
        <w:t xml:space="preserve"> se aprueba el Asentamiento Humano de Hecho y Consolidado denominado </w:t>
      </w:r>
      <w:r w:rsidRPr="00624394">
        <w:rPr>
          <w:rFonts w:ascii="Palatino Linotype" w:hAnsi="Palatino Linotype"/>
          <w:lang w:val="es-ES_tradnl"/>
        </w:rPr>
        <w:t>Comité Barrial “Brisas del Norte” y Otros, ubicado en la parroquia Calderón, a favor de sus copropietarios</w:t>
      </w:r>
      <w:r w:rsidRPr="00624394">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 xml:space="preserve">mediante Ordenanza No. 147 de 9 de diciembre de 2016, se establecieron los procesos y procedimientos para la regularización integral de los asentamientos humanos de hecho </w:t>
      </w:r>
      <w:r w:rsidRPr="0076281E">
        <w:rPr>
          <w:rFonts w:ascii="Palatino Linotype" w:hAnsi="Palatino Linotype"/>
          <w:bCs/>
        </w:rPr>
        <w:lastRenderedPageBreak/>
        <w:t>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3863BC" w:rsidRPr="0076281E" w:rsidRDefault="003863BC" w:rsidP="003863BC">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76281E" w:rsidRDefault="00F8528F" w:rsidP="00BA599D">
      <w:pPr>
        <w:pStyle w:val="Sinespaciado"/>
        <w:spacing w:after="120" w:line="276" w:lineRule="auto"/>
        <w:ind w:left="705" w:hanging="705"/>
        <w:jc w:val="both"/>
        <w:rPr>
          <w:rFonts w:ascii="Palatino Linotype" w:hAnsi="Palatino Linotype"/>
          <w:b/>
          <w:bCs/>
        </w:rPr>
      </w:pPr>
      <w:r w:rsidRPr="0076281E">
        <w:rPr>
          <w:rFonts w:ascii="Palatino Linotype" w:hAnsi="Palatino Linotype"/>
          <w:b/>
          <w:bCs/>
        </w:rPr>
        <w:t>Que,</w:t>
      </w:r>
      <w:r w:rsidRPr="0076281E">
        <w:rPr>
          <w:rFonts w:ascii="Palatino Linotype" w:hAnsi="Palatino Linotype"/>
        </w:rPr>
        <w:tab/>
      </w:r>
      <w:r w:rsidR="007A1F48" w:rsidRPr="00624394">
        <w:rPr>
          <w:rFonts w:ascii="Palatino Linotype" w:hAnsi="Palatino Linotype"/>
        </w:rPr>
        <w:t>la Mesa Institucional, reunida el 17 de noviembre de 2017 en la Administración Zonal Calderón, integrada por: el Ab. Henry Valencia, Administrador Zonal Calderón; Ab. Mónica Espín, Dirección Jurídica de la Administración Zonal Calderón;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7A1F48">
        <w:rPr>
          <w:rFonts w:ascii="Palatino Linotype" w:hAnsi="Palatino Linotype"/>
        </w:rPr>
        <w:t>o</w:t>
      </w:r>
      <w:r w:rsidR="007A1F48" w:rsidRPr="00624394">
        <w:rPr>
          <w:rFonts w:ascii="Palatino Linotype" w:hAnsi="Palatino Linotype"/>
        </w:rPr>
        <w:t xml:space="preserve">. </w:t>
      </w:r>
      <w:r w:rsidR="007A1F48" w:rsidRPr="007A1F48">
        <w:rPr>
          <w:rFonts w:ascii="Palatino Linotype" w:hAnsi="Palatino Linotype"/>
        </w:rPr>
        <w:t>009-</w:t>
      </w:r>
      <w:proofErr w:type="spellStart"/>
      <w:r w:rsidR="007A1F48" w:rsidRPr="007A1F48">
        <w:rPr>
          <w:rFonts w:ascii="Palatino Linotype" w:hAnsi="Palatino Linotype"/>
        </w:rPr>
        <w:t>UERB</w:t>
      </w:r>
      <w:proofErr w:type="spellEnd"/>
      <w:r w:rsidR="007A1F48" w:rsidRPr="007A1F48">
        <w:rPr>
          <w:rFonts w:ascii="Palatino Linotype" w:hAnsi="Palatino Linotype"/>
        </w:rPr>
        <w:t>-</w:t>
      </w:r>
      <w:proofErr w:type="spellStart"/>
      <w:r w:rsidR="007A1F48" w:rsidRPr="007A1F48">
        <w:rPr>
          <w:rFonts w:ascii="Palatino Linotype" w:hAnsi="Palatino Linotype"/>
        </w:rPr>
        <w:t>AZCA</w:t>
      </w:r>
      <w:proofErr w:type="spellEnd"/>
      <w:r w:rsidR="007A1F48" w:rsidRPr="007A1F48">
        <w:rPr>
          <w:rFonts w:ascii="Palatino Linotype" w:hAnsi="Palatino Linotype"/>
        </w:rPr>
        <w:t>-</w:t>
      </w:r>
      <w:proofErr w:type="spellStart"/>
      <w:r w:rsidR="007A1F48" w:rsidRPr="007A1F48">
        <w:rPr>
          <w:rFonts w:ascii="Palatino Linotype" w:hAnsi="Palatino Linotype"/>
        </w:rPr>
        <w:t>SOLT</w:t>
      </w:r>
      <w:proofErr w:type="spellEnd"/>
      <w:r w:rsidR="007A1F48" w:rsidRPr="007A1F48">
        <w:rPr>
          <w:rFonts w:ascii="Palatino Linotype" w:hAnsi="Palatino Linotype"/>
        </w:rPr>
        <w:t>-2017,</w:t>
      </w:r>
      <w:r w:rsidR="007A1F48" w:rsidRPr="00624394">
        <w:rPr>
          <w:rFonts w:ascii="Palatino Linotype" w:hAnsi="Palatino Linotype"/>
        </w:rPr>
        <w:t xml:space="preserve"> de fecha 17 de noviembre de 2017, habilitante de la Ordenanza de reconocimiento del</w:t>
      </w:r>
      <w:r w:rsidR="007A1F48" w:rsidRPr="00624394">
        <w:rPr>
          <w:rFonts w:ascii="Palatino Linotype" w:hAnsi="Palatino Linotype"/>
          <w:bCs/>
        </w:rPr>
        <w:t xml:space="preserve"> Asentamiento Humano de Hecho y Consolidado de Interés Social denominado</w:t>
      </w:r>
      <w:r w:rsidR="007A1F48" w:rsidRPr="00624394">
        <w:rPr>
          <w:rFonts w:ascii="Palatino Linotype" w:hAnsi="Palatino Linotype"/>
        </w:rPr>
        <w:t xml:space="preserve"> </w:t>
      </w:r>
      <w:r w:rsidR="007A1F48" w:rsidRPr="00624394">
        <w:rPr>
          <w:rFonts w:ascii="Palatino Linotype" w:hAnsi="Palatino Linotype"/>
          <w:lang w:val="es-ES_tradnl"/>
        </w:rPr>
        <w:t>Comité Barrial “Brisas del Norte” y Otros, ubicado en la parroquia Calderón, a favor de sus copropietarios</w:t>
      </w:r>
      <w:r w:rsidR="00BC5FD3" w:rsidRPr="0076281E">
        <w:rPr>
          <w:rFonts w:ascii="Palatino Linotype" w:hAnsi="Palatino Linotype"/>
          <w:bCs/>
        </w:rPr>
        <w:t>.</w:t>
      </w:r>
    </w:p>
    <w:p w:rsidR="006274AF" w:rsidRPr="0076281E"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Pr="0076281E"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7A1F48" w:rsidRDefault="007A1F48" w:rsidP="007A1F48">
      <w:pPr>
        <w:spacing w:after="120" w:line="276" w:lineRule="auto"/>
        <w:jc w:val="center"/>
        <w:rPr>
          <w:rFonts w:ascii="Palatino Linotype" w:hAnsi="Palatino Linotype"/>
          <w:b/>
          <w:sz w:val="22"/>
          <w:szCs w:val="22"/>
        </w:rPr>
      </w:pPr>
      <w:r w:rsidRPr="00624394">
        <w:rPr>
          <w:rFonts w:ascii="Palatino Linotype" w:hAnsi="Palatino Linotype"/>
          <w:b/>
          <w:bCs/>
          <w:kern w:val="32"/>
          <w:sz w:val="22"/>
          <w:szCs w:val="22"/>
        </w:rPr>
        <w:lastRenderedPageBreak/>
        <w:t xml:space="preserve">ORDENANZA REFORMATORIA A LA ORDENANZA No. 0370, SANCIONADA EL 19 DE MARZO DE 2013, QUE DEROGÓ LAS ORDENANZAS </w:t>
      </w:r>
      <w:r>
        <w:rPr>
          <w:rFonts w:ascii="Palatino Linotype" w:hAnsi="Palatino Linotype"/>
          <w:b/>
          <w:bCs/>
          <w:kern w:val="32"/>
          <w:sz w:val="22"/>
          <w:szCs w:val="22"/>
        </w:rPr>
        <w:t>Nos</w:t>
      </w:r>
      <w:r w:rsidRPr="00624394">
        <w:rPr>
          <w:rFonts w:ascii="Palatino Linotype" w:hAnsi="Palatino Linotype"/>
          <w:b/>
          <w:bCs/>
          <w:kern w:val="32"/>
          <w:sz w:val="22"/>
          <w:szCs w:val="22"/>
        </w:rPr>
        <w:t xml:space="preserve"> 3568, SANCIONADA EL 22 DE FEBRERO DE 2005</w:t>
      </w:r>
      <w:r>
        <w:rPr>
          <w:rFonts w:ascii="Palatino Linotype" w:hAnsi="Palatino Linotype"/>
          <w:b/>
          <w:bCs/>
          <w:kern w:val="32"/>
          <w:sz w:val="22"/>
          <w:szCs w:val="22"/>
        </w:rPr>
        <w:t>,</w:t>
      </w:r>
      <w:r w:rsidRPr="00624394">
        <w:rPr>
          <w:rFonts w:ascii="Palatino Linotype" w:hAnsi="Palatino Linotype"/>
          <w:b/>
          <w:bCs/>
          <w:kern w:val="32"/>
          <w:sz w:val="22"/>
          <w:szCs w:val="22"/>
        </w:rPr>
        <w:t xml:space="preserve"> Y 3730, SANCIONADA EL 19 DE JUNIO DE 2008, QUE RECONOCIÓ Y APROBÓ EL ASENTAMIENTO HUMANO DE </w:t>
      </w:r>
      <w:r w:rsidRPr="00624394">
        <w:rPr>
          <w:rFonts w:ascii="Palatino Linotype" w:hAnsi="Palatino Linotype"/>
          <w:b/>
          <w:bCs/>
          <w:sz w:val="22"/>
          <w:szCs w:val="22"/>
        </w:rPr>
        <w:t xml:space="preserve">HECHO Y CONSOLIDADO DENOMINADO </w:t>
      </w:r>
      <w:r w:rsidRPr="00624394">
        <w:rPr>
          <w:rFonts w:ascii="Palatino Linotype" w:hAnsi="Palatino Linotype"/>
          <w:b/>
          <w:sz w:val="22"/>
          <w:szCs w:val="22"/>
        </w:rPr>
        <w:t>COMITÉ BARRIAL “BRISAS DEL NORTE” Y OTROS, UBICADO EN LA PARROQUIA CALDERÓN A FAVOR DE SUS COPROPIETARIOS</w:t>
      </w:r>
    </w:p>
    <w:p w:rsidR="007A1F48" w:rsidRPr="00624394" w:rsidRDefault="007A1F48" w:rsidP="007A1F48">
      <w:pPr>
        <w:pStyle w:val="Ttulo7"/>
        <w:spacing w:before="0" w:after="120" w:line="276" w:lineRule="auto"/>
        <w:rPr>
          <w:rFonts w:ascii="Palatino Linotype" w:hAnsi="Palatino Linotype"/>
          <w:bCs/>
          <w:i/>
          <w:sz w:val="22"/>
          <w:szCs w:val="22"/>
        </w:rPr>
      </w:pPr>
      <w:r w:rsidRPr="00624394">
        <w:rPr>
          <w:rFonts w:ascii="Palatino Linotype" w:hAnsi="Palatino Linotype"/>
          <w:b/>
          <w:bCs/>
          <w:sz w:val="22"/>
          <w:szCs w:val="22"/>
        </w:rPr>
        <w:t>Artículo 1.- Sustitúyase e</w:t>
      </w:r>
      <w:r w:rsidRPr="00624394">
        <w:rPr>
          <w:rFonts w:ascii="Palatino Linotype" w:hAnsi="Palatino Linotype"/>
          <w:bCs/>
          <w:sz w:val="22"/>
          <w:szCs w:val="22"/>
        </w:rPr>
        <w:t>l artículo 1 de la Ordenanza No. 0370, sancionada el 19 de marzo de 2013,  por el siguiente:</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b/>
          <w:bCs/>
          <w:i/>
          <w:sz w:val="22"/>
          <w:szCs w:val="22"/>
        </w:rPr>
        <w:t xml:space="preserve">“Artículo 1.- De los planos y documentos presentados.- </w:t>
      </w:r>
      <w:r w:rsidRPr="00624394">
        <w:rPr>
          <w:rFonts w:ascii="Palatino Linotype" w:hAnsi="Palatino Linotype"/>
          <w:i/>
          <w:sz w:val="22"/>
          <w:szCs w:val="22"/>
        </w:rPr>
        <w:t xml:space="preserve">Los planos y documentos presentados son de exclusiva responsabilidad del proyectista y de los copropietarios del </w:t>
      </w:r>
      <w:r w:rsidRPr="00624394">
        <w:rPr>
          <w:rFonts w:ascii="Palatino Linotype" w:hAnsi="Palatino Linotype"/>
          <w:bCs/>
          <w:i/>
          <w:sz w:val="22"/>
          <w:szCs w:val="22"/>
        </w:rPr>
        <w:t>Asentamiento Humano de Hecho y Consolidado denominado Comité “Barrial Brisas del Norte” y Otros</w:t>
      </w:r>
      <w:r w:rsidRPr="00624394">
        <w:rPr>
          <w:rFonts w:ascii="Palatino Linotype" w:hAnsi="Palatino Linotype"/>
          <w:i/>
          <w:sz w:val="22"/>
          <w:szCs w:val="22"/>
        </w:rPr>
        <w:t>, ubicado en la parroquia Calderón</w:t>
      </w:r>
      <w:r>
        <w:rPr>
          <w:rFonts w:ascii="Palatino Linotype" w:hAnsi="Palatino Linotype"/>
          <w:i/>
          <w:sz w:val="22"/>
          <w:szCs w:val="22"/>
        </w:rPr>
        <w:t>,</w:t>
      </w:r>
      <w:r w:rsidRPr="00624394">
        <w:rPr>
          <w:rFonts w:ascii="Palatino Linotype" w:hAnsi="Palatino Linotype"/>
          <w:i/>
          <w:sz w:val="22"/>
          <w:szCs w:val="22"/>
        </w:rPr>
        <w:t xml:space="preserve"> </w:t>
      </w:r>
      <w:r w:rsidRPr="00624394">
        <w:rPr>
          <w:rFonts w:ascii="Palatino Linotype" w:hAnsi="Palatino Linotype"/>
          <w:bCs/>
          <w:i/>
          <w:sz w:val="22"/>
          <w:szCs w:val="22"/>
        </w:rPr>
        <w:t xml:space="preserve">sin </w:t>
      </w:r>
      <w:r w:rsidRPr="00624394">
        <w:rPr>
          <w:rFonts w:ascii="Palatino Linotype" w:hAnsi="Palatino Linotype"/>
          <w:i/>
          <w:sz w:val="22"/>
          <w:szCs w:val="22"/>
        </w:rPr>
        <w:t>perjuicio de la responsabilidad de quienes revisaron los planos y los documentos legales, excepto que hayan sido inducidos a engaño.</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En caso de comprobarse ocultación o falsedad en planos, datos, documentos, o de existir reclamos de terceros afectados, son de exclusiva responsabilidad del técnico y de los propietarios del predio.  </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Las dimensiones, superficies de los lotes son las determinadas en el plano aprobatorio, el cual forma parte integrante de esta ordenanza, siendo en el futuro indivisibles. </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i/>
          <w:sz w:val="22"/>
          <w:szCs w:val="22"/>
        </w:rPr>
        <w:t>Por las condiciones del asentamiento humano de hecho y consolidado, se lo declara considerándolo de interés social.”</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2.- </w:t>
      </w:r>
      <w:r w:rsidRPr="00624394">
        <w:rPr>
          <w:rFonts w:ascii="Palatino Linotype" w:hAnsi="Palatino Linotype"/>
          <w:bCs/>
          <w:sz w:val="22"/>
          <w:szCs w:val="22"/>
        </w:rPr>
        <w:t>Agréguese en todos los</w:t>
      </w:r>
      <w:r w:rsidRPr="00624394">
        <w:rPr>
          <w:rFonts w:ascii="Palatino Linotype" w:hAnsi="Palatino Linotype"/>
          <w:b/>
          <w:bCs/>
          <w:sz w:val="22"/>
          <w:szCs w:val="22"/>
        </w:rPr>
        <w:t xml:space="preserve"> </w:t>
      </w:r>
      <w:r w:rsidRPr="00624394">
        <w:rPr>
          <w:rFonts w:ascii="Palatino Linotype" w:hAnsi="Palatino Linotype"/>
          <w:bCs/>
          <w:sz w:val="22"/>
          <w:szCs w:val="22"/>
        </w:rPr>
        <w:t xml:space="preserve">artículos de la Ordenanza No. 0370, sancionada el 19 de marzo de 2013 en donde se refiere al nombre del Asentamiento Humano de Hecho y Consolidado denominado Comité Barrial “Brisas del Norte” y </w:t>
      </w:r>
      <w:r>
        <w:rPr>
          <w:rFonts w:ascii="Palatino Linotype" w:hAnsi="Palatino Linotype"/>
          <w:bCs/>
          <w:sz w:val="22"/>
          <w:szCs w:val="22"/>
        </w:rPr>
        <w:t>o</w:t>
      </w:r>
      <w:r w:rsidRPr="00624394">
        <w:rPr>
          <w:rFonts w:ascii="Palatino Linotype" w:hAnsi="Palatino Linotype"/>
          <w:bCs/>
          <w:sz w:val="22"/>
          <w:szCs w:val="22"/>
        </w:rPr>
        <w:t>tros, la frase “</w:t>
      </w:r>
      <w:r w:rsidRPr="007A1F48">
        <w:rPr>
          <w:rFonts w:ascii="Palatino Linotype" w:hAnsi="Palatino Linotype"/>
          <w:bCs/>
          <w:i/>
          <w:sz w:val="22"/>
          <w:szCs w:val="22"/>
        </w:rPr>
        <w:t>de interés social</w:t>
      </w:r>
      <w:r w:rsidRPr="00624394">
        <w:rPr>
          <w:rFonts w:ascii="Palatino Linotype" w:hAnsi="Palatino Linotype"/>
          <w:bCs/>
          <w:sz w:val="22"/>
          <w:szCs w:val="22"/>
        </w:rPr>
        <w:t>”</w:t>
      </w:r>
      <w:r>
        <w:rPr>
          <w:rFonts w:ascii="Palatino Linotype" w:hAnsi="Palatino Linotype"/>
          <w:bCs/>
          <w:sz w:val="22"/>
          <w:szCs w:val="22"/>
        </w:rPr>
        <w:t>.</w:t>
      </w:r>
    </w:p>
    <w:p w:rsidR="007A1F48" w:rsidRPr="00624394" w:rsidRDefault="007A1F48" w:rsidP="007A1F48">
      <w:pPr>
        <w:pStyle w:val="Ttulo7"/>
        <w:spacing w:before="0" w:after="120" w:line="276" w:lineRule="auto"/>
        <w:rPr>
          <w:rFonts w:ascii="Palatino Linotype" w:hAnsi="Palatino Linotype"/>
          <w:bCs/>
          <w:i/>
          <w:sz w:val="22"/>
          <w:szCs w:val="22"/>
        </w:rPr>
      </w:pPr>
      <w:r w:rsidRPr="00624394">
        <w:rPr>
          <w:rFonts w:ascii="Palatino Linotype" w:hAnsi="Palatino Linotype"/>
          <w:b/>
          <w:bCs/>
          <w:sz w:val="22"/>
          <w:szCs w:val="22"/>
        </w:rPr>
        <w:t xml:space="preserve">Artículo 3.- </w:t>
      </w:r>
      <w:r w:rsidRPr="00624394">
        <w:rPr>
          <w:rFonts w:ascii="Palatino Linotype" w:hAnsi="Palatino Linotype"/>
          <w:bCs/>
          <w:sz w:val="22"/>
          <w:szCs w:val="22"/>
        </w:rPr>
        <w:t>Sustitúyase el artículo 2 de la Ordenanza No. 0370, sancionada el 19 de marzo de 2013, por el siguiente:</w:t>
      </w:r>
    </w:p>
    <w:p w:rsidR="007A1F48" w:rsidRPr="00624394" w:rsidRDefault="007A1F48" w:rsidP="007A1F48">
      <w:pPr>
        <w:spacing w:after="120" w:line="276" w:lineRule="auto"/>
        <w:ind w:left="708"/>
        <w:rPr>
          <w:rFonts w:ascii="Palatino Linotype" w:hAnsi="Palatino Linotype"/>
          <w:b/>
          <w:i/>
          <w:sz w:val="22"/>
          <w:szCs w:val="22"/>
        </w:rPr>
      </w:pPr>
      <w:r w:rsidRPr="00624394">
        <w:rPr>
          <w:rFonts w:ascii="Palatino Linotype" w:hAnsi="Palatino Linotype"/>
          <w:b/>
          <w:i/>
          <w:sz w:val="22"/>
          <w:szCs w:val="22"/>
        </w:rPr>
        <w:t>“Artículo 2.- Especificaciones técnicas.-</w:t>
      </w:r>
    </w:p>
    <w:tbl>
      <w:tblPr>
        <w:tblW w:w="5000" w:type="pc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3582"/>
        <w:gridCol w:w="4136"/>
      </w:tblGrid>
      <w:tr w:rsidR="007A1F48" w:rsidRPr="00624394"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b/>
                <w:i/>
                <w:sz w:val="22"/>
                <w:szCs w:val="22"/>
              </w:rPr>
            </w:pPr>
            <w:r w:rsidRPr="00624394">
              <w:rPr>
                <w:rFonts w:ascii="Palatino Linotype" w:hAnsi="Palatino Linotype"/>
                <w:b/>
                <w:i/>
                <w:sz w:val="22"/>
                <w:szCs w:val="22"/>
              </w:rPr>
              <w:t>Zonificación:</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624394" w:rsidRDefault="007A1F48" w:rsidP="007A1F48">
            <w:pPr>
              <w:spacing w:after="120" w:line="276" w:lineRule="auto"/>
              <w:contextualSpacing/>
              <w:jc w:val="both"/>
              <w:rPr>
                <w:rFonts w:ascii="Palatino Linotype" w:hAnsi="Palatino Linotype"/>
                <w:i/>
                <w:sz w:val="22"/>
                <w:szCs w:val="22"/>
              </w:rPr>
            </w:pPr>
            <w:proofErr w:type="spellStart"/>
            <w:r w:rsidRPr="00624394">
              <w:rPr>
                <w:rFonts w:ascii="Palatino Linotype" w:hAnsi="Palatino Linotype"/>
                <w:i/>
                <w:sz w:val="22"/>
                <w:szCs w:val="22"/>
              </w:rPr>
              <w:t>D3</w:t>
            </w:r>
            <w:proofErr w:type="spellEnd"/>
            <w:r w:rsidRPr="00624394">
              <w:rPr>
                <w:rFonts w:ascii="Palatino Linotype" w:hAnsi="Palatino Linotype"/>
                <w:i/>
                <w:sz w:val="22"/>
                <w:szCs w:val="22"/>
              </w:rPr>
              <w:t>(</w:t>
            </w:r>
            <w:proofErr w:type="spellStart"/>
            <w:r w:rsidRPr="00624394">
              <w:rPr>
                <w:rFonts w:ascii="Palatino Linotype" w:hAnsi="Palatino Linotype"/>
                <w:i/>
                <w:sz w:val="22"/>
                <w:szCs w:val="22"/>
              </w:rPr>
              <w:t>D203</w:t>
            </w:r>
            <w:proofErr w:type="spellEnd"/>
            <w:r w:rsidRPr="00624394">
              <w:rPr>
                <w:rFonts w:ascii="Palatino Linotype" w:hAnsi="Palatino Linotype"/>
                <w:i/>
                <w:sz w:val="22"/>
                <w:szCs w:val="22"/>
              </w:rPr>
              <w:t>-80)</w:t>
            </w:r>
          </w:p>
        </w:tc>
        <w:tc>
          <w:tcPr>
            <w:tcW w:w="2193" w:type="pct"/>
            <w:tcBorders>
              <w:top w:val="single" w:sz="4" w:space="0" w:color="000000"/>
              <w:left w:val="single" w:sz="4" w:space="0" w:color="auto"/>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i/>
                <w:sz w:val="22"/>
                <w:szCs w:val="22"/>
              </w:rPr>
            </w:pPr>
            <w:proofErr w:type="spellStart"/>
            <w:r w:rsidRPr="00624394">
              <w:rPr>
                <w:rFonts w:ascii="Palatino Linotype" w:hAnsi="Palatino Linotype"/>
                <w:i/>
                <w:sz w:val="22"/>
                <w:szCs w:val="22"/>
              </w:rPr>
              <w:t>A31</w:t>
            </w:r>
            <w:proofErr w:type="spellEnd"/>
            <w:r w:rsidRPr="00624394">
              <w:rPr>
                <w:rFonts w:ascii="Palatino Linotype" w:hAnsi="Palatino Linotype"/>
                <w:i/>
                <w:sz w:val="22"/>
                <w:szCs w:val="22"/>
              </w:rPr>
              <w:t>(</w:t>
            </w:r>
            <w:proofErr w:type="spellStart"/>
            <w:r w:rsidRPr="00624394">
              <w:rPr>
                <w:rFonts w:ascii="Palatino Linotype" w:hAnsi="Palatino Linotype"/>
                <w:i/>
                <w:sz w:val="22"/>
                <w:szCs w:val="22"/>
              </w:rPr>
              <w:t>PQ</w:t>
            </w:r>
            <w:proofErr w:type="spellEnd"/>
            <w:r w:rsidRPr="00624394">
              <w:rPr>
                <w:rFonts w:ascii="Palatino Linotype" w:hAnsi="Palatino Linotype"/>
                <w:i/>
                <w:sz w:val="22"/>
                <w:szCs w:val="22"/>
              </w:rPr>
              <w:t>)</w:t>
            </w:r>
          </w:p>
        </w:tc>
      </w:tr>
      <w:tr w:rsidR="007A1F48" w:rsidRPr="00624394"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b/>
                <w:i/>
                <w:sz w:val="22"/>
                <w:szCs w:val="22"/>
              </w:rPr>
            </w:pPr>
            <w:r w:rsidRPr="00624394">
              <w:rPr>
                <w:rFonts w:ascii="Palatino Linotype" w:hAnsi="Palatino Linotype"/>
                <w:b/>
                <w:i/>
                <w:sz w:val="22"/>
                <w:szCs w:val="22"/>
              </w:rPr>
              <w:t>Lote mínimo:</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624394" w:rsidRDefault="007A1F48" w:rsidP="007A1F48">
            <w:pPr>
              <w:spacing w:after="120" w:line="276" w:lineRule="auto"/>
              <w:contextualSpacing/>
              <w:jc w:val="both"/>
              <w:rPr>
                <w:rFonts w:ascii="Palatino Linotype" w:hAnsi="Palatino Linotype"/>
                <w:i/>
                <w:sz w:val="22"/>
                <w:szCs w:val="22"/>
              </w:rPr>
            </w:pPr>
            <w:r w:rsidRPr="00624394">
              <w:rPr>
                <w:rFonts w:ascii="Palatino Linotype" w:hAnsi="Palatino Linotype"/>
                <w:i/>
                <w:sz w:val="22"/>
                <w:szCs w:val="22"/>
              </w:rPr>
              <w:t xml:space="preserve">200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tc>
        <w:tc>
          <w:tcPr>
            <w:tcW w:w="2193" w:type="pct"/>
            <w:tcBorders>
              <w:top w:val="single" w:sz="4" w:space="0" w:color="000000"/>
              <w:left w:val="single" w:sz="4" w:space="0" w:color="auto"/>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i/>
                <w:sz w:val="22"/>
                <w:szCs w:val="22"/>
              </w:rPr>
            </w:pPr>
            <w:r w:rsidRPr="00624394">
              <w:rPr>
                <w:rFonts w:ascii="Palatino Linotype" w:hAnsi="Palatino Linotype"/>
                <w:i/>
                <w:sz w:val="22"/>
                <w:szCs w:val="22"/>
              </w:rPr>
              <w:t>-</w:t>
            </w:r>
          </w:p>
        </w:tc>
      </w:tr>
      <w:tr w:rsidR="007A1F48" w:rsidRPr="00624394" w:rsidTr="007A1F48">
        <w:trPr>
          <w:trHeight w:val="8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7A1F48" w:rsidRPr="00624394" w:rsidRDefault="007A1F48" w:rsidP="007A1F48">
            <w:pPr>
              <w:spacing w:after="120" w:line="276" w:lineRule="auto"/>
              <w:contextualSpacing/>
              <w:jc w:val="both"/>
              <w:rPr>
                <w:rFonts w:ascii="Palatino Linotype" w:hAnsi="Palatino Linotype"/>
                <w:b/>
                <w:i/>
                <w:sz w:val="22"/>
                <w:szCs w:val="22"/>
              </w:rPr>
            </w:pPr>
            <w:r w:rsidRPr="00624394">
              <w:rPr>
                <w:rFonts w:ascii="Palatino Linotype" w:hAnsi="Palatino Linotype"/>
                <w:b/>
                <w:i/>
                <w:sz w:val="22"/>
                <w:szCs w:val="22"/>
              </w:rPr>
              <w:t>Forma de ocupación del suelo:</w:t>
            </w:r>
          </w:p>
        </w:tc>
        <w:tc>
          <w:tcPr>
            <w:tcW w:w="1899" w:type="pct"/>
            <w:tcBorders>
              <w:top w:val="single" w:sz="4" w:space="0" w:color="000000"/>
              <w:left w:val="single" w:sz="4" w:space="0" w:color="000000"/>
              <w:bottom w:val="single" w:sz="4" w:space="0" w:color="000000"/>
              <w:right w:val="single" w:sz="4" w:space="0" w:color="auto"/>
            </w:tcBorders>
            <w:vAlign w:val="center"/>
            <w:hideMark/>
          </w:tcPr>
          <w:p w:rsidR="007A1F48" w:rsidRPr="00624394" w:rsidRDefault="007A1F48" w:rsidP="007A1F48">
            <w:pPr>
              <w:spacing w:after="120" w:line="276" w:lineRule="auto"/>
              <w:jc w:val="both"/>
              <w:rPr>
                <w:rFonts w:ascii="Palatino Linotype" w:hAnsi="Palatino Linotype"/>
                <w:i/>
                <w:sz w:val="22"/>
                <w:szCs w:val="22"/>
              </w:rPr>
            </w:pPr>
            <w:r w:rsidRPr="00624394">
              <w:rPr>
                <w:rFonts w:ascii="Palatino Linotype" w:hAnsi="Palatino Linotype"/>
                <w:i/>
                <w:sz w:val="22"/>
                <w:szCs w:val="22"/>
              </w:rPr>
              <w:t>(D) Sobre línea de fábrica</w:t>
            </w:r>
          </w:p>
        </w:tc>
        <w:tc>
          <w:tcPr>
            <w:tcW w:w="2193" w:type="pct"/>
            <w:tcBorders>
              <w:top w:val="single" w:sz="4" w:space="0" w:color="000000"/>
              <w:left w:val="single" w:sz="4" w:space="0" w:color="auto"/>
              <w:bottom w:val="single" w:sz="4" w:space="0" w:color="000000"/>
              <w:right w:val="single" w:sz="4" w:space="0" w:color="000000"/>
            </w:tcBorders>
            <w:vAlign w:val="center"/>
            <w:hideMark/>
          </w:tcPr>
          <w:p w:rsidR="007A1F48" w:rsidRPr="00624394" w:rsidRDefault="007A1F48" w:rsidP="007A1F48">
            <w:pPr>
              <w:spacing w:after="120" w:line="276" w:lineRule="auto"/>
              <w:jc w:val="both"/>
              <w:rPr>
                <w:rFonts w:ascii="Palatino Linotype" w:hAnsi="Palatino Linotype"/>
                <w:i/>
                <w:sz w:val="22"/>
                <w:szCs w:val="22"/>
              </w:rPr>
            </w:pPr>
            <w:r w:rsidRPr="00624394">
              <w:rPr>
                <w:rFonts w:ascii="Palatino Linotype" w:hAnsi="Palatino Linotype"/>
                <w:i/>
                <w:sz w:val="22"/>
                <w:szCs w:val="22"/>
              </w:rPr>
              <w:t>(A) Aislada</w:t>
            </w:r>
          </w:p>
        </w:tc>
      </w:tr>
      <w:tr w:rsidR="007A1F48" w:rsidRPr="00624394"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b/>
                <w:i/>
                <w:sz w:val="22"/>
                <w:szCs w:val="22"/>
              </w:rPr>
            </w:pPr>
            <w:r w:rsidRPr="00624394">
              <w:rPr>
                <w:rFonts w:ascii="Palatino Linotype" w:hAnsi="Palatino Linotype"/>
                <w:b/>
                <w:i/>
                <w:sz w:val="22"/>
                <w:szCs w:val="22"/>
              </w:rPr>
              <w:t>Uso de suelo:</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624394" w:rsidRDefault="007A1F48" w:rsidP="007A1F48">
            <w:pPr>
              <w:spacing w:after="120" w:line="276" w:lineRule="auto"/>
              <w:jc w:val="both"/>
              <w:rPr>
                <w:rFonts w:ascii="Palatino Linotype" w:hAnsi="Palatino Linotype"/>
                <w:i/>
                <w:sz w:val="22"/>
                <w:szCs w:val="22"/>
              </w:rPr>
            </w:pPr>
            <w:r w:rsidRPr="00624394">
              <w:rPr>
                <w:rFonts w:ascii="Palatino Linotype" w:hAnsi="Palatino Linotype"/>
                <w:i/>
                <w:sz w:val="22"/>
                <w:szCs w:val="22"/>
              </w:rPr>
              <w:t>(</w:t>
            </w:r>
            <w:proofErr w:type="spellStart"/>
            <w:r w:rsidRPr="00624394">
              <w:rPr>
                <w:rFonts w:ascii="Palatino Linotype" w:hAnsi="Palatino Linotype"/>
                <w:i/>
                <w:sz w:val="22"/>
                <w:szCs w:val="22"/>
              </w:rPr>
              <w:t>RU2</w:t>
            </w:r>
            <w:proofErr w:type="spellEnd"/>
            <w:r w:rsidRPr="00624394">
              <w:rPr>
                <w:rFonts w:ascii="Palatino Linotype" w:hAnsi="Palatino Linotype"/>
                <w:i/>
                <w:sz w:val="22"/>
                <w:szCs w:val="22"/>
              </w:rPr>
              <w:t xml:space="preserve">) Residencial Urbano 2 </w:t>
            </w:r>
          </w:p>
        </w:tc>
        <w:tc>
          <w:tcPr>
            <w:tcW w:w="2193" w:type="pct"/>
            <w:tcBorders>
              <w:top w:val="single" w:sz="4" w:space="0" w:color="000000"/>
              <w:left w:val="single" w:sz="4" w:space="0" w:color="auto"/>
              <w:bottom w:val="single" w:sz="4" w:space="0" w:color="000000"/>
              <w:right w:val="single" w:sz="4" w:space="0" w:color="000000"/>
            </w:tcBorders>
          </w:tcPr>
          <w:p w:rsidR="007A1F48" w:rsidRPr="00624394" w:rsidRDefault="007A1F48" w:rsidP="007A1F48">
            <w:pPr>
              <w:spacing w:after="120" w:line="276" w:lineRule="auto"/>
              <w:jc w:val="both"/>
              <w:rPr>
                <w:rFonts w:ascii="Palatino Linotype" w:hAnsi="Palatino Linotype"/>
                <w:i/>
                <w:sz w:val="22"/>
                <w:szCs w:val="22"/>
              </w:rPr>
            </w:pPr>
            <w:r w:rsidRPr="00624394">
              <w:rPr>
                <w:rFonts w:ascii="Palatino Linotype" w:hAnsi="Palatino Linotype"/>
                <w:i/>
                <w:sz w:val="22"/>
                <w:szCs w:val="22"/>
              </w:rPr>
              <w:t>(PE-</w:t>
            </w:r>
            <w:proofErr w:type="spellStart"/>
            <w:r w:rsidRPr="00624394">
              <w:rPr>
                <w:rFonts w:ascii="Palatino Linotype" w:hAnsi="Palatino Linotype"/>
                <w:i/>
                <w:sz w:val="22"/>
                <w:szCs w:val="22"/>
              </w:rPr>
              <w:t>CPN</w:t>
            </w:r>
            <w:proofErr w:type="spellEnd"/>
            <w:r w:rsidRPr="00624394">
              <w:rPr>
                <w:rFonts w:ascii="Palatino Linotype" w:hAnsi="Palatino Linotype"/>
                <w:i/>
                <w:sz w:val="22"/>
                <w:szCs w:val="22"/>
              </w:rPr>
              <w:t xml:space="preserve">) Protección ecológica – </w:t>
            </w:r>
            <w:r w:rsidRPr="00624394">
              <w:rPr>
                <w:rFonts w:ascii="Palatino Linotype" w:hAnsi="Palatino Linotype"/>
                <w:i/>
                <w:sz w:val="22"/>
                <w:szCs w:val="22"/>
              </w:rPr>
              <w:lastRenderedPageBreak/>
              <w:t>Conservación del Patrimonio</w:t>
            </w:r>
          </w:p>
        </w:tc>
      </w:tr>
      <w:tr w:rsidR="007A1F48" w:rsidRPr="00624394"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b/>
                <w:i/>
                <w:sz w:val="22"/>
                <w:szCs w:val="22"/>
              </w:rPr>
            </w:pPr>
            <w:r w:rsidRPr="00624394">
              <w:rPr>
                <w:rFonts w:ascii="Palatino Linotype" w:hAnsi="Palatino Linotype"/>
                <w:b/>
                <w:i/>
                <w:sz w:val="22"/>
                <w:szCs w:val="22"/>
              </w:rPr>
              <w:lastRenderedPageBreak/>
              <w:t>Clasificación del suelo:</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624394" w:rsidRDefault="007A1F48" w:rsidP="007A1F48">
            <w:pPr>
              <w:spacing w:after="120" w:line="276" w:lineRule="auto"/>
              <w:contextualSpacing/>
              <w:jc w:val="both"/>
              <w:rPr>
                <w:rFonts w:ascii="Palatino Linotype" w:hAnsi="Palatino Linotype"/>
                <w:i/>
                <w:sz w:val="22"/>
                <w:szCs w:val="22"/>
              </w:rPr>
            </w:pPr>
            <w:r w:rsidRPr="00624394">
              <w:rPr>
                <w:rFonts w:ascii="Palatino Linotype" w:hAnsi="Palatino Linotype"/>
                <w:i/>
                <w:sz w:val="22"/>
                <w:szCs w:val="22"/>
              </w:rPr>
              <w:t xml:space="preserve">(SU) Suelo Urbano  </w:t>
            </w:r>
          </w:p>
        </w:tc>
        <w:tc>
          <w:tcPr>
            <w:tcW w:w="2193" w:type="pct"/>
            <w:tcBorders>
              <w:top w:val="single" w:sz="4" w:space="0" w:color="000000"/>
              <w:left w:val="single" w:sz="4" w:space="0" w:color="auto"/>
              <w:bottom w:val="single" w:sz="4" w:space="0" w:color="000000"/>
              <w:right w:val="single" w:sz="4" w:space="0" w:color="000000"/>
            </w:tcBorders>
            <w:hideMark/>
          </w:tcPr>
          <w:p w:rsidR="007A1F48" w:rsidRPr="00624394" w:rsidRDefault="007A1F48" w:rsidP="007A1F48">
            <w:pPr>
              <w:spacing w:after="120" w:line="276" w:lineRule="auto"/>
              <w:contextualSpacing/>
              <w:jc w:val="both"/>
              <w:rPr>
                <w:rFonts w:ascii="Palatino Linotype" w:hAnsi="Palatino Linotype"/>
                <w:i/>
                <w:sz w:val="22"/>
                <w:szCs w:val="22"/>
              </w:rPr>
            </w:pPr>
            <w:r w:rsidRPr="00624394">
              <w:rPr>
                <w:rFonts w:ascii="Palatino Linotype" w:hAnsi="Palatino Linotype"/>
                <w:i/>
                <w:sz w:val="22"/>
                <w:szCs w:val="22"/>
              </w:rPr>
              <w:t>(</w:t>
            </w:r>
            <w:proofErr w:type="spellStart"/>
            <w:r w:rsidRPr="00624394">
              <w:rPr>
                <w:rFonts w:ascii="Palatino Linotype" w:hAnsi="Palatino Linotype"/>
                <w:i/>
                <w:sz w:val="22"/>
                <w:szCs w:val="22"/>
              </w:rPr>
              <w:t>SRU</w:t>
            </w:r>
            <w:proofErr w:type="spellEnd"/>
            <w:r w:rsidRPr="00624394">
              <w:rPr>
                <w:rFonts w:ascii="Palatino Linotype" w:hAnsi="Palatino Linotype"/>
                <w:i/>
                <w:sz w:val="22"/>
                <w:szCs w:val="22"/>
              </w:rPr>
              <w:t xml:space="preserve">) Suelo Rural   </w:t>
            </w:r>
          </w:p>
        </w:tc>
      </w:tr>
    </w:tbl>
    <w:p w:rsidR="007A1F48" w:rsidRDefault="007A1F48" w:rsidP="007A1F48">
      <w:pPr>
        <w:pStyle w:val="Sinespaciado"/>
        <w:spacing w:after="120" w:line="276" w:lineRule="auto"/>
        <w:ind w:left="708"/>
        <w:rPr>
          <w:rFonts w:ascii="Palatino Linotype" w:hAnsi="Palatino Linotype"/>
          <w:b/>
          <w:i/>
        </w:rPr>
      </w:pPr>
    </w:p>
    <w:p w:rsidR="007A1F48"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Número de lotes:</w:t>
      </w:r>
      <w:r w:rsidRPr="00624394">
        <w:rPr>
          <w:rFonts w:ascii="Palatino Linotype" w:hAnsi="Palatino Linotype"/>
          <w:i/>
        </w:rPr>
        <w:tab/>
      </w:r>
      <w:r w:rsidRPr="00624394">
        <w:rPr>
          <w:rFonts w:ascii="Palatino Linotype" w:hAnsi="Palatino Linotype"/>
          <w:i/>
        </w:rPr>
        <w:tab/>
      </w:r>
      <w:r w:rsidRPr="00624394">
        <w:rPr>
          <w:rFonts w:ascii="Palatino Linotype" w:hAnsi="Palatino Linotype"/>
          <w:i/>
        </w:rPr>
        <w:tab/>
      </w:r>
      <w:r>
        <w:rPr>
          <w:rFonts w:ascii="Palatino Linotype" w:hAnsi="Palatino Linotype"/>
          <w:i/>
        </w:rPr>
        <w:tab/>
      </w:r>
      <w:r>
        <w:rPr>
          <w:rFonts w:ascii="Palatino Linotype" w:hAnsi="Palatino Linotype"/>
          <w:i/>
        </w:rPr>
        <w:tab/>
      </w:r>
      <w:r w:rsidRPr="00624394">
        <w:rPr>
          <w:rFonts w:ascii="Palatino Linotype" w:hAnsi="Palatino Linotype"/>
          <w:i/>
        </w:rPr>
        <w:t>150</w:t>
      </w:r>
    </w:p>
    <w:p w:rsidR="007A1F48" w:rsidRDefault="007A1F48" w:rsidP="007A1F48">
      <w:pPr>
        <w:pStyle w:val="Sinespaciado"/>
        <w:spacing w:after="120" w:line="276" w:lineRule="auto"/>
        <w:ind w:left="708"/>
        <w:rPr>
          <w:rFonts w:ascii="Palatino Linotype" w:hAnsi="Palatino Linotype"/>
          <w:i/>
          <w:vertAlign w:val="superscript"/>
        </w:rPr>
      </w:pPr>
      <w:r w:rsidRPr="00624394">
        <w:rPr>
          <w:rFonts w:ascii="Palatino Linotype" w:hAnsi="Palatino Linotype"/>
          <w:b/>
          <w:i/>
        </w:rPr>
        <w:t>Área útil de lotes:</w:t>
      </w:r>
      <w:r w:rsidRPr="00624394">
        <w:rPr>
          <w:rFonts w:ascii="Palatino Linotype" w:hAnsi="Palatino Linotype"/>
          <w:i/>
        </w:rPr>
        <w:tab/>
      </w:r>
      <w:r w:rsidRPr="00624394">
        <w:rPr>
          <w:rFonts w:ascii="Palatino Linotype" w:hAnsi="Palatino Linotype"/>
          <w:i/>
        </w:rPr>
        <w:tab/>
      </w:r>
      <w:r w:rsidRPr="00624394">
        <w:rPr>
          <w:rFonts w:ascii="Palatino Linotype" w:hAnsi="Palatino Linotype"/>
          <w:i/>
        </w:rPr>
        <w:tab/>
      </w:r>
      <w:r>
        <w:rPr>
          <w:rFonts w:ascii="Palatino Linotype" w:hAnsi="Palatino Linotype"/>
          <w:i/>
        </w:rPr>
        <w:tab/>
      </w:r>
      <w:r>
        <w:rPr>
          <w:rFonts w:ascii="Palatino Linotype" w:hAnsi="Palatino Linotype"/>
          <w:i/>
        </w:rPr>
        <w:tab/>
      </w:r>
      <w:r w:rsidRPr="00624394">
        <w:rPr>
          <w:rFonts w:ascii="Palatino Linotype" w:hAnsi="Palatino Linotype"/>
          <w:i/>
        </w:rPr>
        <w:t>30.325,62</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Área faja de protección</w:t>
      </w:r>
      <w:r>
        <w:rPr>
          <w:rFonts w:ascii="Palatino Linotype" w:hAnsi="Palatino Linotype"/>
          <w:b/>
          <w:i/>
        </w:rPr>
        <w:t xml:space="preserve"> </w:t>
      </w:r>
      <w:r w:rsidRPr="00624394">
        <w:rPr>
          <w:rFonts w:ascii="Palatino Linotype" w:hAnsi="Palatino Linotype"/>
          <w:b/>
          <w:i/>
        </w:rPr>
        <w:t>en lotes:</w:t>
      </w:r>
      <w:r w:rsidRPr="00624394">
        <w:rPr>
          <w:rFonts w:ascii="Palatino Linotype" w:hAnsi="Palatino Linotype"/>
          <w:b/>
          <w:i/>
        </w:rPr>
        <w:tab/>
      </w:r>
      <w:r w:rsidRPr="00624394">
        <w:rPr>
          <w:rFonts w:ascii="Palatino Linotype" w:hAnsi="Palatino Linotype"/>
          <w:b/>
          <w:i/>
        </w:rPr>
        <w:tab/>
      </w:r>
      <w:r w:rsidRPr="00624394">
        <w:rPr>
          <w:rFonts w:ascii="Palatino Linotype" w:hAnsi="Palatino Linotype"/>
          <w:b/>
          <w:i/>
        </w:rPr>
        <w:tab/>
      </w:r>
      <w:r w:rsidRPr="00624394">
        <w:rPr>
          <w:rFonts w:ascii="Palatino Linotype" w:hAnsi="Palatino Linotype"/>
          <w:i/>
        </w:rPr>
        <w:t>1.179,44</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Área de quebrada rellena</w:t>
      </w:r>
      <w:r>
        <w:rPr>
          <w:rFonts w:ascii="Palatino Linotype" w:hAnsi="Palatino Linotype"/>
          <w:b/>
          <w:i/>
        </w:rPr>
        <w:t xml:space="preserve"> </w:t>
      </w:r>
      <w:r w:rsidRPr="00624394">
        <w:rPr>
          <w:rFonts w:ascii="Palatino Linotype" w:hAnsi="Palatino Linotype"/>
          <w:b/>
          <w:i/>
        </w:rPr>
        <w:t>en lotes:</w:t>
      </w:r>
      <w:r w:rsidRPr="00624394">
        <w:rPr>
          <w:rFonts w:ascii="Palatino Linotype" w:hAnsi="Palatino Linotype"/>
          <w:b/>
          <w:i/>
        </w:rPr>
        <w:tab/>
      </w:r>
      <w:r w:rsidRPr="00624394">
        <w:rPr>
          <w:rFonts w:ascii="Palatino Linotype" w:hAnsi="Palatino Linotype"/>
          <w:b/>
          <w:i/>
        </w:rPr>
        <w:tab/>
      </w:r>
      <w:r w:rsidRPr="00624394">
        <w:rPr>
          <w:rFonts w:ascii="Palatino Linotype" w:hAnsi="Palatino Linotype"/>
          <w:b/>
          <w:i/>
        </w:rPr>
        <w:tab/>
      </w:r>
      <w:r w:rsidRPr="00624394">
        <w:rPr>
          <w:rFonts w:ascii="Palatino Linotype" w:hAnsi="Palatino Linotype"/>
          <w:i/>
        </w:rPr>
        <w:t>771,38</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Área verde y de equipamiento</w:t>
      </w:r>
      <w:r>
        <w:rPr>
          <w:rFonts w:ascii="Palatino Linotype" w:hAnsi="Palatino Linotype"/>
          <w:b/>
          <w:i/>
        </w:rPr>
        <w:t xml:space="preserve"> </w:t>
      </w:r>
      <w:r w:rsidRPr="00624394">
        <w:rPr>
          <w:rFonts w:ascii="Palatino Linotype" w:hAnsi="Palatino Linotype"/>
          <w:b/>
          <w:i/>
        </w:rPr>
        <w:t>comunal:</w:t>
      </w:r>
      <w:r w:rsidRPr="00624394">
        <w:rPr>
          <w:rFonts w:ascii="Palatino Linotype" w:hAnsi="Palatino Linotype"/>
          <w:i/>
        </w:rPr>
        <w:tab/>
      </w:r>
      <w:r w:rsidRPr="00624394">
        <w:rPr>
          <w:rFonts w:ascii="Palatino Linotype" w:hAnsi="Palatino Linotype"/>
          <w:i/>
        </w:rPr>
        <w:tab/>
        <w:t>794,36</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Área de quebrada rellena:</w:t>
      </w:r>
      <w:r w:rsidRPr="00624394">
        <w:rPr>
          <w:rFonts w:ascii="Palatino Linotype" w:hAnsi="Palatino Linotype"/>
          <w:b/>
          <w:i/>
        </w:rPr>
        <w:tab/>
      </w:r>
      <w:r w:rsidRPr="00624394">
        <w:rPr>
          <w:rFonts w:ascii="Palatino Linotype" w:hAnsi="Palatino Linotype"/>
          <w:b/>
          <w:i/>
        </w:rPr>
        <w:tab/>
      </w:r>
      <w:r>
        <w:rPr>
          <w:rFonts w:ascii="Palatino Linotype" w:hAnsi="Palatino Linotype"/>
          <w:b/>
          <w:i/>
        </w:rPr>
        <w:tab/>
      </w:r>
      <w:r>
        <w:rPr>
          <w:rFonts w:ascii="Palatino Linotype" w:hAnsi="Palatino Linotype"/>
          <w:b/>
          <w:i/>
        </w:rPr>
        <w:tab/>
      </w:r>
      <w:r w:rsidRPr="00624394">
        <w:rPr>
          <w:rFonts w:ascii="Palatino Linotype" w:hAnsi="Palatino Linotype"/>
          <w:i/>
        </w:rPr>
        <w:t>200,66</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Default="007A1F48" w:rsidP="007A1F48">
      <w:pPr>
        <w:pStyle w:val="Sinespaciado"/>
        <w:spacing w:after="120" w:line="276" w:lineRule="auto"/>
        <w:ind w:left="708"/>
        <w:rPr>
          <w:rFonts w:ascii="Palatino Linotype" w:hAnsi="Palatino Linotype"/>
          <w:b/>
          <w:i/>
        </w:rPr>
      </w:pPr>
      <w:r w:rsidRPr="00624394">
        <w:rPr>
          <w:rFonts w:ascii="Palatino Linotype" w:hAnsi="Palatino Linotype"/>
          <w:b/>
          <w:i/>
        </w:rPr>
        <w:t>Área faja de protección de</w:t>
      </w:r>
      <w:r>
        <w:rPr>
          <w:rFonts w:ascii="Palatino Linotype" w:hAnsi="Palatino Linotype"/>
          <w:b/>
          <w:i/>
        </w:rPr>
        <w:t xml:space="preserve"> </w:t>
      </w:r>
      <w:r w:rsidRPr="00624394">
        <w:rPr>
          <w:rFonts w:ascii="Palatino Linotype" w:hAnsi="Palatino Linotype"/>
          <w:b/>
          <w:i/>
        </w:rPr>
        <w:t xml:space="preserve">quebrada </w:t>
      </w:r>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w:t>
      </w:r>
      <w:proofErr w:type="gramStart"/>
      <w:r>
        <w:rPr>
          <w:rFonts w:ascii="Palatino Linotype" w:hAnsi="Palatino Linotype"/>
          <w:b/>
          <w:i/>
        </w:rPr>
        <w:t>á</w:t>
      </w:r>
      <w:r w:rsidRPr="00624394">
        <w:rPr>
          <w:rFonts w:ascii="Palatino Linotype" w:hAnsi="Palatino Linotype"/>
          <w:b/>
          <w:i/>
        </w:rPr>
        <w:t>reas</w:t>
      </w:r>
      <w:proofErr w:type="gramEnd"/>
      <w:r w:rsidRPr="00624394">
        <w:rPr>
          <w:rFonts w:ascii="Palatino Linotype" w:hAnsi="Palatino Linotype"/>
          <w:b/>
          <w:i/>
        </w:rPr>
        <w:t xml:space="preserve"> </w:t>
      </w:r>
      <w:r>
        <w:rPr>
          <w:rFonts w:ascii="Palatino Linotype" w:hAnsi="Palatino Linotype"/>
          <w:b/>
          <w:i/>
        </w:rPr>
        <w:t>m</w:t>
      </w:r>
      <w:r w:rsidRPr="00624394">
        <w:rPr>
          <w:rFonts w:ascii="Palatino Linotype" w:hAnsi="Palatino Linotype"/>
          <w:b/>
          <w:i/>
        </w:rPr>
        <w:t>unicipales):</w:t>
      </w:r>
      <w:r w:rsidRPr="00624394">
        <w:rPr>
          <w:rFonts w:ascii="Palatino Linotype" w:hAnsi="Palatino Linotype"/>
          <w:b/>
          <w:i/>
        </w:rPr>
        <w:tab/>
      </w:r>
      <w:r>
        <w:rPr>
          <w:rFonts w:ascii="Palatino Linotype" w:hAnsi="Palatino Linotype"/>
          <w:b/>
          <w:i/>
        </w:rPr>
        <w:tab/>
      </w:r>
      <w:r>
        <w:rPr>
          <w:rFonts w:ascii="Palatino Linotype" w:hAnsi="Palatino Linotype"/>
          <w:b/>
          <w:i/>
        </w:rPr>
        <w:tab/>
      </w:r>
      <w:r>
        <w:rPr>
          <w:rFonts w:ascii="Palatino Linotype" w:hAnsi="Palatino Linotype"/>
          <w:b/>
          <w:i/>
        </w:rPr>
        <w:tab/>
      </w:r>
      <w:r>
        <w:rPr>
          <w:rFonts w:ascii="Palatino Linotype" w:hAnsi="Palatino Linotype"/>
          <w:b/>
          <w:i/>
        </w:rPr>
        <w:tab/>
      </w:r>
      <w:r w:rsidRPr="00624394">
        <w:rPr>
          <w:rFonts w:ascii="Palatino Linotype" w:hAnsi="Palatino Linotype"/>
          <w:i/>
        </w:rPr>
        <w:t>213,40</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Área vías y pasajes:</w:t>
      </w:r>
      <w:r w:rsidRPr="00624394">
        <w:rPr>
          <w:rFonts w:ascii="Palatino Linotype" w:hAnsi="Palatino Linotype"/>
          <w:i/>
        </w:rPr>
        <w:tab/>
      </w:r>
      <w:r w:rsidRPr="00624394">
        <w:rPr>
          <w:rFonts w:ascii="Palatino Linotype" w:hAnsi="Palatino Linotype"/>
          <w:i/>
        </w:rPr>
        <w:tab/>
      </w:r>
      <w:r w:rsidRPr="00624394">
        <w:rPr>
          <w:rFonts w:ascii="Palatino Linotype" w:hAnsi="Palatino Linotype"/>
          <w:i/>
        </w:rPr>
        <w:tab/>
      </w:r>
      <w:r>
        <w:rPr>
          <w:rFonts w:ascii="Palatino Linotype" w:hAnsi="Palatino Linotype"/>
          <w:i/>
        </w:rPr>
        <w:tab/>
      </w:r>
      <w:r>
        <w:rPr>
          <w:rFonts w:ascii="Palatino Linotype" w:hAnsi="Palatino Linotype"/>
          <w:i/>
        </w:rPr>
        <w:tab/>
      </w:r>
      <w:r w:rsidRPr="00624394">
        <w:rPr>
          <w:rFonts w:ascii="Palatino Linotype" w:hAnsi="Palatino Linotype"/>
          <w:i/>
        </w:rPr>
        <w:t>11.020,86</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pStyle w:val="Sinespaciado"/>
        <w:spacing w:after="120" w:line="276" w:lineRule="auto"/>
        <w:ind w:left="708"/>
        <w:rPr>
          <w:rFonts w:ascii="Palatino Linotype" w:hAnsi="Palatino Linotype"/>
          <w:i/>
        </w:rPr>
      </w:pPr>
      <w:r w:rsidRPr="00624394">
        <w:rPr>
          <w:rFonts w:ascii="Palatino Linotype" w:hAnsi="Palatino Linotype"/>
          <w:b/>
          <w:i/>
        </w:rPr>
        <w:t>Área total de lote:</w:t>
      </w:r>
      <w:r w:rsidRPr="00624394">
        <w:rPr>
          <w:rFonts w:ascii="Palatino Linotype" w:hAnsi="Palatino Linotype"/>
          <w:i/>
        </w:rPr>
        <w:tab/>
      </w:r>
      <w:r w:rsidRPr="00624394">
        <w:rPr>
          <w:rFonts w:ascii="Palatino Linotype" w:hAnsi="Palatino Linotype"/>
          <w:i/>
        </w:rPr>
        <w:tab/>
      </w:r>
      <w:r w:rsidRPr="00624394">
        <w:rPr>
          <w:rFonts w:ascii="Palatino Linotype" w:hAnsi="Palatino Linotype"/>
          <w:i/>
        </w:rPr>
        <w:tab/>
      </w:r>
      <w:r>
        <w:rPr>
          <w:rFonts w:ascii="Palatino Linotype" w:hAnsi="Palatino Linotype"/>
          <w:i/>
        </w:rPr>
        <w:tab/>
      </w:r>
      <w:r>
        <w:rPr>
          <w:rFonts w:ascii="Palatino Linotype" w:hAnsi="Palatino Linotype"/>
          <w:i/>
        </w:rPr>
        <w:tab/>
      </w:r>
      <w:r w:rsidRPr="00624394">
        <w:rPr>
          <w:rFonts w:ascii="Palatino Linotype" w:hAnsi="Palatino Linotype"/>
          <w:i/>
        </w:rPr>
        <w:t>44.505,72</w:t>
      </w:r>
      <w:r>
        <w:rPr>
          <w:rFonts w:ascii="Palatino Linotype" w:hAnsi="Palatino Linotype"/>
          <w:i/>
        </w:rPr>
        <w:t xml:space="preserve"> </w:t>
      </w:r>
      <w:proofErr w:type="spellStart"/>
      <w:r w:rsidRPr="00624394">
        <w:rPr>
          <w:rFonts w:ascii="Palatino Linotype" w:hAnsi="Palatino Linotype"/>
          <w:i/>
        </w:rPr>
        <w:t>m</w:t>
      </w:r>
      <w:r w:rsidRPr="007A1F48">
        <w:rPr>
          <w:rFonts w:ascii="Palatino Linotype" w:hAnsi="Palatino Linotype"/>
          <w:i/>
          <w:vertAlign w:val="superscript"/>
        </w:rPr>
        <w:t>2</w:t>
      </w:r>
      <w:proofErr w:type="spellEnd"/>
    </w:p>
    <w:p w:rsidR="007A1F48" w:rsidRPr="00624394" w:rsidRDefault="007A1F48" w:rsidP="007A1F48">
      <w:pPr>
        <w:spacing w:after="120" w:line="276" w:lineRule="auto"/>
        <w:ind w:left="708"/>
        <w:rPr>
          <w:rFonts w:ascii="Palatino Linotype" w:hAnsi="Palatino Linotype"/>
          <w:i/>
          <w:sz w:val="22"/>
          <w:szCs w:val="22"/>
        </w:rPr>
      </w:pPr>
      <w:r w:rsidRPr="00624394">
        <w:rPr>
          <w:rFonts w:ascii="Palatino Linotype" w:hAnsi="Palatino Linotype"/>
          <w:i/>
          <w:sz w:val="22"/>
          <w:szCs w:val="22"/>
        </w:rPr>
        <w:t xml:space="preserve"> El número total de lotes es de 150, signados del uno (1) al ciento cincuenta (150), cuyo detalle es el que consta en los planos aprobatorios que forman parte de la presente Ordenanza.”</w:t>
      </w:r>
    </w:p>
    <w:p w:rsidR="007A1F48" w:rsidRPr="00624394" w:rsidRDefault="007A1F48" w:rsidP="007A1F48">
      <w:pPr>
        <w:pStyle w:val="Ttulo7"/>
        <w:spacing w:before="0" w:after="120" w:line="276" w:lineRule="auto"/>
        <w:rPr>
          <w:rFonts w:ascii="Palatino Linotype" w:hAnsi="Palatino Linotype"/>
          <w:bCs/>
          <w:i/>
          <w:sz w:val="22"/>
          <w:szCs w:val="22"/>
        </w:rPr>
      </w:pPr>
      <w:r w:rsidRPr="00624394">
        <w:rPr>
          <w:rFonts w:ascii="Palatino Linotype" w:hAnsi="Palatino Linotype"/>
          <w:b/>
          <w:bCs/>
          <w:sz w:val="22"/>
          <w:szCs w:val="22"/>
        </w:rPr>
        <w:t>Artículo 4.-</w:t>
      </w:r>
      <w:r w:rsidRPr="00624394">
        <w:rPr>
          <w:rFonts w:ascii="Palatino Linotype" w:hAnsi="Palatino Linotype"/>
          <w:bCs/>
          <w:sz w:val="22"/>
          <w:szCs w:val="22"/>
        </w:rPr>
        <w:t xml:space="preserve"> Sustitúyase el artículo 3 de la Ordenanza No. 0370, sancionada el 19 de marzo de 2013, por el siguiente</w:t>
      </w:r>
    </w:p>
    <w:p w:rsidR="007A1F48" w:rsidRPr="007A1F48" w:rsidRDefault="007A1F48" w:rsidP="007A1F48">
      <w:pPr>
        <w:spacing w:after="120" w:line="276" w:lineRule="auto"/>
        <w:ind w:left="708"/>
        <w:jc w:val="both"/>
        <w:rPr>
          <w:rFonts w:ascii="Palatino Linotype" w:hAnsi="Palatino Linotype"/>
          <w:bCs/>
          <w:i/>
          <w:sz w:val="22"/>
          <w:szCs w:val="22"/>
        </w:rPr>
      </w:pPr>
      <w:r w:rsidRPr="007A1F48">
        <w:rPr>
          <w:rFonts w:ascii="Palatino Linotype" w:hAnsi="Palatino Linotype"/>
          <w:b/>
          <w:bCs/>
          <w:i/>
          <w:sz w:val="22"/>
          <w:szCs w:val="22"/>
        </w:rPr>
        <w:t xml:space="preserve">“Artículo 3.- Zonificación de los lotes.- </w:t>
      </w:r>
      <w:r w:rsidRPr="007A1F48">
        <w:rPr>
          <w:rFonts w:ascii="Palatino Linotype" w:hAnsi="Palatino Linotype"/>
          <w:bCs/>
          <w:i/>
          <w:sz w:val="22"/>
          <w:szCs w:val="22"/>
        </w:rPr>
        <w:t xml:space="preserve">Los lotes fraccionados modificaran la zonificación para los 150 lotes conforme se detalla a continuación: </w:t>
      </w:r>
    </w:p>
    <w:tbl>
      <w:tblPr>
        <w:tblW w:w="5000" w:type="pc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3582"/>
        <w:gridCol w:w="4136"/>
      </w:tblGrid>
      <w:tr w:rsidR="007A1F48" w:rsidRPr="007A1F48"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7A1F48" w:rsidRDefault="007A1F48" w:rsidP="007A1F48">
            <w:pPr>
              <w:spacing w:after="120" w:line="276" w:lineRule="auto"/>
              <w:contextualSpacing/>
              <w:rPr>
                <w:rFonts w:ascii="Palatino Linotype" w:hAnsi="Palatino Linotype"/>
                <w:b/>
                <w:i/>
                <w:sz w:val="22"/>
                <w:szCs w:val="22"/>
              </w:rPr>
            </w:pPr>
            <w:r w:rsidRPr="007A1F48">
              <w:rPr>
                <w:rFonts w:ascii="Palatino Linotype" w:hAnsi="Palatino Linotype"/>
                <w:b/>
                <w:i/>
                <w:sz w:val="22"/>
                <w:szCs w:val="22"/>
              </w:rPr>
              <w:t>Zonificación:</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7A1F48" w:rsidRDefault="007A1F48" w:rsidP="007A1F48">
            <w:pPr>
              <w:spacing w:after="120" w:line="276" w:lineRule="auto"/>
              <w:contextualSpacing/>
              <w:rPr>
                <w:rFonts w:ascii="Palatino Linotype" w:hAnsi="Palatino Linotype"/>
                <w:i/>
                <w:sz w:val="22"/>
                <w:szCs w:val="22"/>
              </w:rPr>
            </w:pPr>
            <w:proofErr w:type="spellStart"/>
            <w:r w:rsidRPr="007A1F48">
              <w:rPr>
                <w:rFonts w:ascii="Palatino Linotype" w:hAnsi="Palatino Linotype"/>
                <w:i/>
                <w:sz w:val="22"/>
                <w:szCs w:val="22"/>
              </w:rPr>
              <w:t>D3</w:t>
            </w:r>
            <w:proofErr w:type="spellEnd"/>
            <w:r w:rsidRPr="007A1F48">
              <w:rPr>
                <w:rFonts w:ascii="Palatino Linotype" w:hAnsi="Palatino Linotype"/>
                <w:i/>
                <w:sz w:val="22"/>
                <w:szCs w:val="22"/>
              </w:rPr>
              <w:t>(</w:t>
            </w:r>
            <w:proofErr w:type="spellStart"/>
            <w:r w:rsidRPr="007A1F48">
              <w:rPr>
                <w:rFonts w:ascii="Palatino Linotype" w:hAnsi="Palatino Linotype"/>
                <w:i/>
                <w:sz w:val="22"/>
                <w:szCs w:val="22"/>
              </w:rPr>
              <w:t>D203</w:t>
            </w:r>
            <w:proofErr w:type="spellEnd"/>
            <w:r w:rsidRPr="007A1F48">
              <w:rPr>
                <w:rFonts w:ascii="Palatino Linotype" w:hAnsi="Palatino Linotype"/>
                <w:i/>
                <w:sz w:val="22"/>
                <w:szCs w:val="22"/>
              </w:rPr>
              <w:t>-80)</w:t>
            </w:r>
          </w:p>
        </w:tc>
        <w:tc>
          <w:tcPr>
            <w:tcW w:w="2193" w:type="pct"/>
            <w:tcBorders>
              <w:top w:val="single" w:sz="4" w:space="0" w:color="000000"/>
              <w:left w:val="single" w:sz="4" w:space="0" w:color="auto"/>
              <w:bottom w:val="single" w:sz="4" w:space="0" w:color="000000"/>
              <w:right w:val="single" w:sz="4" w:space="0" w:color="000000"/>
            </w:tcBorders>
            <w:hideMark/>
          </w:tcPr>
          <w:p w:rsidR="007A1F48" w:rsidRPr="007A1F48" w:rsidRDefault="007A1F48" w:rsidP="007A1F48">
            <w:pPr>
              <w:spacing w:after="120" w:line="276" w:lineRule="auto"/>
              <w:contextualSpacing/>
              <w:rPr>
                <w:rFonts w:ascii="Palatino Linotype" w:hAnsi="Palatino Linotype"/>
                <w:i/>
                <w:sz w:val="22"/>
                <w:szCs w:val="22"/>
              </w:rPr>
            </w:pPr>
            <w:proofErr w:type="spellStart"/>
            <w:r w:rsidRPr="007A1F48">
              <w:rPr>
                <w:rFonts w:ascii="Palatino Linotype" w:hAnsi="Palatino Linotype"/>
                <w:i/>
                <w:sz w:val="22"/>
                <w:szCs w:val="22"/>
              </w:rPr>
              <w:t>A31</w:t>
            </w:r>
            <w:proofErr w:type="spellEnd"/>
            <w:r w:rsidRPr="007A1F48">
              <w:rPr>
                <w:rFonts w:ascii="Palatino Linotype" w:hAnsi="Palatino Linotype"/>
                <w:i/>
                <w:sz w:val="22"/>
                <w:szCs w:val="22"/>
              </w:rPr>
              <w:t>(</w:t>
            </w:r>
            <w:proofErr w:type="spellStart"/>
            <w:r w:rsidRPr="007A1F48">
              <w:rPr>
                <w:rFonts w:ascii="Palatino Linotype" w:hAnsi="Palatino Linotype"/>
                <w:i/>
                <w:sz w:val="22"/>
                <w:szCs w:val="22"/>
              </w:rPr>
              <w:t>PQ</w:t>
            </w:r>
            <w:proofErr w:type="spellEnd"/>
            <w:r w:rsidRPr="007A1F48">
              <w:rPr>
                <w:rFonts w:ascii="Palatino Linotype" w:hAnsi="Palatino Linotype"/>
                <w:i/>
                <w:sz w:val="22"/>
                <w:szCs w:val="22"/>
              </w:rPr>
              <w:t>)</w:t>
            </w:r>
          </w:p>
        </w:tc>
      </w:tr>
      <w:tr w:rsidR="007A1F48" w:rsidRPr="007A1F48"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7A1F48" w:rsidRDefault="007A1F48" w:rsidP="007A1F48">
            <w:pPr>
              <w:spacing w:after="120" w:line="276" w:lineRule="auto"/>
              <w:contextualSpacing/>
              <w:rPr>
                <w:rFonts w:ascii="Palatino Linotype" w:hAnsi="Palatino Linotype"/>
                <w:b/>
                <w:i/>
                <w:sz w:val="22"/>
                <w:szCs w:val="22"/>
              </w:rPr>
            </w:pPr>
            <w:r w:rsidRPr="007A1F48">
              <w:rPr>
                <w:rFonts w:ascii="Palatino Linotype" w:hAnsi="Palatino Linotype"/>
                <w:b/>
                <w:i/>
                <w:sz w:val="22"/>
                <w:szCs w:val="22"/>
              </w:rPr>
              <w:t>Lote mínimo:</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7A1F48" w:rsidRDefault="007A1F48" w:rsidP="007A1F48">
            <w:pPr>
              <w:spacing w:after="120" w:line="276" w:lineRule="auto"/>
              <w:contextualSpacing/>
              <w:rPr>
                <w:rFonts w:ascii="Palatino Linotype" w:hAnsi="Palatino Linotype"/>
                <w:i/>
                <w:sz w:val="22"/>
                <w:szCs w:val="22"/>
              </w:rPr>
            </w:pPr>
            <w:r w:rsidRPr="007A1F48">
              <w:rPr>
                <w:rFonts w:ascii="Palatino Linotype" w:hAnsi="Palatino Linotype"/>
                <w:i/>
                <w:sz w:val="22"/>
                <w:szCs w:val="22"/>
              </w:rPr>
              <w:t xml:space="preserve">200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tc>
        <w:tc>
          <w:tcPr>
            <w:tcW w:w="2193" w:type="pct"/>
            <w:tcBorders>
              <w:top w:val="single" w:sz="4" w:space="0" w:color="000000"/>
              <w:left w:val="single" w:sz="4" w:space="0" w:color="auto"/>
              <w:bottom w:val="single" w:sz="4" w:space="0" w:color="000000"/>
              <w:right w:val="single" w:sz="4" w:space="0" w:color="000000"/>
            </w:tcBorders>
            <w:hideMark/>
          </w:tcPr>
          <w:p w:rsidR="007A1F48" w:rsidRPr="007A1F48" w:rsidRDefault="007A1F48" w:rsidP="007A1F48">
            <w:pPr>
              <w:spacing w:after="120" w:line="276" w:lineRule="auto"/>
              <w:contextualSpacing/>
              <w:rPr>
                <w:rFonts w:ascii="Palatino Linotype" w:hAnsi="Palatino Linotype"/>
                <w:i/>
                <w:sz w:val="22"/>
                <w:szCs w:val="22"/>
              </w:rPr>
            </w:pPr>
            <w:r w:rsidRPr="007A1F48">
              <w:rPr>
                <w:rFonts w:ascii="Palatino Linotype" w:hAnsi="Palatino Linotype"/>
                <w:i/>
                <w:sz w:val="22"/>
                <w:szCs w:val="22"/>
              </w:rPr>
              <w:t>-</w:t>
            </w:r>
          </w:p>
        </w:tc>
      </w:tr>
      <w:tr w:rsidR="007A1F48" w:rsidRPr="007A1F48" w:rsidTr="007A1F48">
        <w:trPr>
          <w:trHeight w:val="8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7A1F48" w:rsidRPr="007A1F48" w:rsidRDefault="007A1F48" w:rsidP="007A1F48">
            <w:pPr>
              <w:spacing w:after="120" w:line="276" w:lineRule="auto"/>
              <w:contextualSpacing/>
              <w:rPr>
                <w:rFonts w:ascii="Palatino Linotype" w:hAnsi="Palatino Linotype"/>
                <w:b/>
                <w:i/>
                <w:sz w:val="22"/>
                <w:szCs w:val="22"/>
              </w:rPr>
            </w:pPr>
            <w:r w:rsidRPr="007A1F48">
              <w:rPr>
                <w:rFonts w:ascii="Palatino Linotype" w:hAnsi="Palatino Linotype"/>
                <w:b/>
                <w:i/>
                <w:sz w:val="22"/>
                <w:szCs w:val="22"/>
              </w:rPr>
              <w:t>Forma de ocupación del suelo:</w:t>
            </w:r>
          </w:p>
        </w:tc>
        <w:tc>
          <w:tcPr>
            <w:tcW w:w="1899" w:type="pct"/>
            <w:tcBorders>
              <w:top w:val="single" w:sz="4" w:space="0" w:color="000000"/>
              <w:left w:val="single" w:sz="4" w:space="0" w:color="000000"/>
              <w:bottom w:val="single" w:sz="4" w:space="0" w:color="000000"/>
              <w:right w:val="single" w:sz="4" w:space="0" w:color="auto"/>
            </w:tcBorders>
            <w:vAlign w:val="center"/>
            <w:hideMark/>
          </w:tcPr>
          <w:p w:rsidR="007A1F48" w:rsidRPr="007A1F48" w:rsidRDefault="007A1F48" w:rsidP="007A1F48">
            <w:pPr>
              <w:spacing w:after="120" w:line="276" w:lineRule="auto"/>
              <w:rPr>
                <w:rFonts w:ascii="Palatino Linotype" w:hAnsi="Palatino Linotype"/>
                <w:i/>
                <w:sz w:val="22"/>
                <w:szCs w:val="22"/>
              </w:rPr>
            </w:pPr>
            <w:r w:rsidRPr="007A1F48">
              <w:rPr>
                <w:rFonts w:ascii="Palatino Linotype" w:hAnsi="Palatino Linotype"/>
                <w:i/>
                <w:sz w:val="22"/>
                <w:szCs w:val="22"/>
              </w:rPr>
              <w:t>(D) Sobre línea de fábrica</w:t>
            </w:r>
          </w:p>
        </w:tc>
        <w:tc>
          <w:tcPr>
            <w:tcW w:w="2193" w:type="pct"/>
            <w:tcBorders>
              <w:top w:val="single" w:sz="4" w:space="0" w:color="000000"/>
              <w:left w:val="single" w:sz="4" w:space="0" w:color="auto"/>
              <w:bottom w:val="single" w:sz="4" w:space="0" w:color="000000"/>
              <w:right w:val="single" w:sz="4" w:space="0" w:color="000000"/>
            </w:tcBorders>
            <w:vAlign w:val="center"/>
            <w:hideMark/>
          </w:tcPr>
          <w:p w:rsidR="007A1F48" w:rsidRPr="007A1F48" w:rsidRDefault="007A1F48" w:rsidP="007A1F48">
            <w:pPr>
              <w:spacing w:after="120" w:line="276" w:lineRule="auto"/>
              <w:rPr>
                <w:rFonts w:ascii="Palatino Linotype" w:hAnsi="Palatino Linotype"/>
                <w:i/>
                <w:sz w:val="22"/>
                <w:szCs w:val="22"/>
              </w:rPr>
            </w:pPr>
            <w:r w:rsidRPr="007A1F48">
              <w:rPr>
                <w:rFonts w:ascii="Palatino Linotype" w:hAnsi="Palatino Linotype"/>
                <w:i/>
                <w:sz w:val="22"/>
                <w:szCs w:val="22"/>
              </w:rPr>
              <w:t>(A) Aislada</w:t>
            </w:r>
          </w:p>
        </w:tc>
      </w:tr>
      <w:tr w:rsidR="007A1F48" w:rsidRPr="007A1F48" w:rsidTr="007A1F48">
        <w:trPr>
          <w:trHeight w:val="87"/>
        </w:trPr>
        <w:tc>
          <w:tcPr>
            <w:tcW w:w="908" w:type="pct"/>
            <w:tcBorders>
              <w:top w:val="single" w:sz="4" w:space="0" w:color="000000"/>
              <w:left w:val="single" w:sz="4" w:space="0" w:color="000000"/>
              <w:bottom w:val="single" w:sz="4" w:space="0" w:color="000000"/>
              <w:right w:val="single" w:sz="4" w:space="0" w:color="000000"/>
            </w:tcBorders>
            <w:hideMark/>
          </w:tcPr>
          <w:p w:rsidR="007A1F48" w:rsidRPr="007A1F48" w:rsidRDefault="007A1F48" w:rsidP="007A1F48">
            <w:pPr>
              <w:spacing w:after="120" w:line="276" w:lineRule="auto"/>
              <w:contextualSpacing/>
              <w:rPr>
                <w:rFonts w:ascii="Palatino Linotype" w:hAnsi="Palatino Linotype"/>
                <w:b/>
                <w:i/>
                <w:sz w:val="22"/>
                <w:szCs w:val="22"/>
              </w:rPr>
            </w:pPr>
            <w:r w:rsidRPr="007A1F48">
              <w:rPr>
                <w:rFonts w:ascii="Palatino Linotype" w:hAnsi="Palatino Linotype"/>
                <w:b/>
                <w:i/>
                <w:sz w:val="22"/>
                <w:szCs w:val="22"/>
              </w:rPr>
              <w:t>Uso de suelo:</w:t>
            </w:r>
          </w:p>
        </w:tc>
        <w:tc>
          <w:tcPr>
            <w:tcW w:w="1899" w:type="pct"/>
            <w:tcBorders>
              <w:top w:val="single" w:sz="4" w:space="0" w:color="000000"/>
              <w:left w:val="single" w:sz="4" w:space="0" w:color="000000"/>
              <w:bottom w:val="single" w:sz="4" w:space="0" w:color="000000"/>
              <w:right w:val="single" w:sz="4" w:space="0" w:color="auto"/>
            </w:tcBorders>
            <w:hideMark/>
          </w:tcPr>
          <w:p w:rsidR="007A1F48" w:rsidRPr="007A1F48" w:rsidRDefault="007A1F48" w:rsidP="007A1F48">
            <w:pPr>
              <w:spacing w:after="120" w:line="276" w:lineRule="auto"/>
              <w:rPr>
                <w:rFonts w:ascii="Palatino Linotype" w:hAnsi="Palatino Linotype"/>
                <w:i/>
                <w:sz w:val="22"/>
                <w:szCs w:val="22"/>
              </w:rPr>
            </w:pPr>
            <w:r w:rsidRPr="007A1F48">
              <w:rPr>
                <w:rFonts w:ascii="Palatino Linotype" w:hAnsi="Palatino Linotype"/>
                <w:i/>
                <w:sz w:val="22"/>
                <w:szCs w:val="22"/>
              </w:rPr>
              <w:t>(</w:t>
            </w:r>
            <w:proofErr w:type="spellStart"/>
            <w:r w:rsidRPr="007A1F48">
              <w:rPr>
                <w:rFonts w:ascii="Palatino Linotype" w:hAnsi="Palatino Linotype"/>
                <w:i/>
                <w:sz w:val="22"/>
                <w:szCs w:val="22"/>
              </w:rPr>
              <w:t>RU2</w:t>
            </w:r>
            <w:proofErr w:type="spellEnd"/>
            <w:r w:rsidRPr="007A1F48">
              <w:rPr>
                <w:rFonts w:ascii="Palatino Linotype" w:hAnsi="Palatino Linotype"/>
                <w:i/>
                <w:sz w:val="22"/>
                <w:szCs w:val="22"/>
              </w:rPr>
              <w:t xml:space="preserve">) Residencial Urbano 2 </w:t>
            </w:r>
          </w:p>
        </w:tc>
        <w:tc>
          <w:tcPr>
            <w:tcW w:w="2193" w:type="pct"/>
            <w:tcBorders>
              <w:top w:val="single" w:sz="4" w:space="0" w:color="000000"/>
              <w:left w:val="single" w:sz="4" w:space="0" w:color="auto"/>
              <w:bottom w:val="single" w:sz="4" w:space="0" w:color="000000"/>
              <w:right w:val="single" w:sz="4" w:space="0" w:color="000000"/>
            </w:tcBorders>
            <w:hideMark/>
          </w:tcPr>
          <w:p w:rsidR="007A1F48" w:rsidRPr="007A1F48" w:rsidRDefault="007A1F48" w:rsidP="007A1F48">
            <w:pPr>
              <w:spacing w:after="120" w:line="276" w:lineRule="auto"/>
              <w:rPr>
                <w:rFonts w:ascii="Palatino Linotype" w:hAnsi="Palatino Linotype"/>
                <w:i/>
                <w:sz w:val="22"/>
                <w:szCs w:val="22"/>
              </w:rPr>
            </w:pPr>
            <w:r w:rsidRPr="007A1F48">
              <w:rPr>
                <w:rFonts w:ascii="Palatino Linotype" w:hAnsi="Palatino Linotype"/>
                <w:i/>
                <w:sz w:val="22"/>
                <w:szCs w:val="22"/>
              </w:rPr>
              <w:t>(PE-</w:t>
            </w:r>
            <w:proofErr w:type="spellStart"/>
            <w:r w:rsidRPr="007A1F48">
              <w:rPr>
                <w:rFonts w:ascii="Palatino Linotype" w:hAnsi="Palatino Linotype"/>
                <w:i/>
                <w:sz w:val="22"/>
                <w:szCs w:val="22"/>
              </w:rPr>
              <w:t>CPN</w:t>
            </w:r>
            <w:proofErr w:type="spellEnd"/>
            <w:r w:rsidRPr="007A1F48">
              <w:rPr>
                <w:rFonts w:ascii="Palatino Linotype" w:hAnsi="Palatino Linotype"/>
                <w:i/>
                <w:sz w:val="22"/>
                <w:szCs w:val="22"/>
              </w:rPr>
              <w:t>) Protección ecológica – Conservación del Patrimonio</w:t>
            </w:r>
          </w:p>
        </w:tc>
      </w:tr>
    </w:tbl>
    <w:p w:rsidR="007A1F48" w:rsidRPr="007A1F48" w:rsidRDefault="007A1F48" w:rsidP="007A1F48">
      <w:pPr>
        <w:spacing w:after="120" w:line="276" w:lineRule="auto"/>
        <w:rPr>
          <w:rFonts w:ascii="Palatino Linotype" w:hAnsi="Palatino Linotype"/>
          <w:bCs/>
          <w:sz w:val="22"/>
          <w:szCs w:val="22"/>
        </w:rPr>
      </w:pP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lastRenderedPageBreak/>
        <w:t>Artículo 5.-</w:t>
      </w:r>
      <w:r w:rsidRPr="00624394">
        <w:rPr>
          <w:rFonts w:ascii="Palatino Linotype" w:hAnsi="Palatino Linotype"/>
          <w:bCs/>
          <w:sz w:val="22"/>
          <w:szCs w:val="22"/>
        </w:rPr>
        <w:t xml:space="preserve"> Agréguese el siguiente artículo </w:t>
      </w:r>
      <w:proofErr w:type="spellStart"/>
      <w:r w:rsidRPr="00624394">
        <w:rPr>
          <w:rFonts w:ascii="Palatino Linotype" w:hAnsi="Palatino Linotype"/>
          <w:bCs/>
          <w:sz w:val="22"/>
          <w:szCs w:val="22"/>
        </w:rPr>
        <w:t>innumerado</w:t>
      </w:r>
      <w:proofErr w:type="spellEnd"/>
      <w:r w:rsidRPr="00624394">
        <w:rPr>
          <w:rFonts w:ascii="Palatino Linotype" w:hAnsi="Palatino Linotype"/>
          <w:bCs/>
          <w:sz w:val="22"/>
          <w:szCs w:val="22"/>
        </w:rPr>
        <w:t xml:space="preserve"> después del artículo 3 de la Ordenanza No. 0370, sancionada el 19 de marzo de 2013:</w:t>
      </w:r>
    </w:p>
    <w:p w:rsidR="007A1F48" w:rsidRPr="00624394" w:rsidRDefault="007A1F48" w:rsidP="007A1F48">
      <w:pPr>
        <w:spacing w:after="120" w:line="276" w:lineRule="auto"/>
        <w:ind w:left="708"/>
        <w:rPr>
          <w:rFonts w:ascii="Palatino Linotype" w:hAnsi="Palatino Linotype"/>
          <w:i/>
          <w:sz w:val="22"/>
          <w:szCs w:val="22"/>
        </w:rPr>
      </w:pPr>
      <w:r w:rsidRPr="00624394">
        <w:rPr>
          <w:rFonts w:ascii="Palatino Linotype" w:hAnsi="Palatino Linotype"/>
          <w:bCs/>
          <w:sz w:val="22"/>
          <w:szCs w:val="22"/>
        </w:rPr>
        <w:t xml:space="preserve"> “</w:t>
      </w:r>
      <w:r w:rsidRPr="00624394">
        <w:rPr>
          <w:rFonts w:ascii="Palatino Linotype" w:hAnsi="Palatino Linotype"/>
          <w:b/>
          <w:bCs/>
          <w:i/>
          <w:sz w:val="22"/>
          <w:szCs w:val="22"/>
        </w:rPr>
        <w:t xml:space="preserve">Artículo (….).- </w:t>
      </w:r>
      <w:r w:rsidRPr="00624394">
        <w:rPr>
          <w:rFonts w:ascii="Palatino Linotype" w:hAnsi="Palatino Linotype"/>
          <w:b/>
          <w:i/>
          <w:sz w:val="22"/>
          <w:szCs w:val="22"/>
        </w:rPr>
        <w:t xml:space="preserve">Clasificación del </w:t>
      </w:r>
      <w:r>
        <w:rPr>
          <w:rFonts w:ascii="Palatino Linotype" w:hAnsi="Palatino Linotype"/>
          <w:b/>
          <w:i/>
          <w:sz w:val="22"/>
          <w:szCs w:val="22"/>
        </w:rPr>
        <w:t>s</w:t>
      </w:r>
      <w:r w:rsidRPr="00624394">
        <w:rPr>
          <w:rFonts w:ascii="Palatino Linotype" w:hAnsi="Palatino Linotype"/>
          <w:b/>
          <w:i/>
          <w:sz w:val="22"/>
          <w:szCs w:val="22"/>
        </w:rPr>
        <w:t>uelo.-</w:t>
      </w:r>
      <w:r w:rsidRPr="00624394">
        <w:rPr>
          <w:rFonts w:ascii="Palatino Linotype" w:hAnsi="Palatino Linotype"/>
          <w:i/>
          <w:sz w:val="22"/>
          <w:szCs w:val="22"/>
        </w:rPr>
        <w:t xml:space="preserve"> Los lotes fraccionados mantendrán la clasificación vigente esto es (SU) Suelo Urbano y se agrega (</w:t>
      </w:r>
      <w:proofErr w:type="spellStart"/>
      <w:r w:rsidRPr="00624394">
        <w:rPr>
          <w:rFonts w:ascii="Palatino Linotype" w:hAnsi="Palatino Linotype"/>
          <w:i/>
          <w:sz w:val="22"/>
          <w:szCs w:val="22"/>
        </w:rPr>
        <w:t>SRU</w:t>
      </w:r>
      <w:proofErr w:type="spellEnd"/>
      <w:r w:rsidRPr="00624394">
        <w:rPr>
          <w:rFonts w:ascii="Palatino Linotype" w:hAnsi="Palatino Linotype"/>
          <w:i/>
          <w:sz w:val="22"/>
          <w:szCs w:val="22"/>
        </w:rPr>
        <w:t>) Suelo Rural”</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6.- </w:t>
      </w:r>
      <w:r w:rsidRPr="00624394">
        <w:rPr>
          <w:rFonts w:ascii="Palatino Linotype" w:hAnsi="Palatino Linotype"/>
          <w:bCs/>
          <w:sz w:val="22"/>
          <w:szCs w:val="22"/>
        </w:rPr>
        <w:t>Sustitúyase el artículo 4 de la Ordenanza No. 0370, sancionada el 19 de marzo de 2013, por el siguiente:</w:t>
      </w:r>
    </w:p>
    <w:p w:rsidR="007A1F48" w:rsidRPr="00624394" w:rsidRDefault="007A1F48" w:rsidP="007A1F48">
      <w:pPr>
        <w:spacing w:after="120" w:line="276" w:lineRule="auto"/>
        <w:ind w:left="708"/>
        <w:jc w:val="both"/>
        <w:rPr>
          <w:rFonts w:ascii="Palatino Linotype" w:hAnsi="Palatino Linotype"/>
          <w:bCs/>
          <w:i/>
          <w:color w:val="000000"/>
          <w:sz w:val="22"/>
          <w:szCs w:val="22"/>
        </w:rPr>
      </w:pPr>
      <w:r w:rsidRPr="00624394">
        <w:rPr>
          <w:rFonts w:ascii="Palatino Linotype" w:hAnsi="Palatino Linotype"/>
          <w:b/>
          <w:sz w:val="22"/>
          <w:szCs w:val="22"/>
        </w:rPr>
        <w:t>“</w:t>
      </w:r>
      <w:r w:rsidRPr="00624394">
        <w:rPr>
          <w:rFonts w:ascii="Palatino Linotype" w:hAnsi="Palatino Linotype"/>
          <w:b/>
          <w:i/>
          <w:sz w:val="22"/>
          <w:szCs w:val="22"/>
        </w:rPr>
        <w:t xml:space="preserve">Artículo 4.- Lotes por excepción.- </w:t>
      </w:r>
      <w:r w:rsidRPr="00624394">
        <w:rPr>
          <w:rFonts w:ascii="Palatino Linotype" w:hAnsi="Palatino Linotype"/>
          <w:bCs/>
          <w:i/>
          <w:color w:val="000000"/>
          <w:sz w:val="22"/>
          <w:szCs w:val="22"/>
        </w:rPr>
        <w:t>Por tratarse de un asentamiento de hecho y consolidado de interés social, se aprueban por excepción los siguientes lotes de menor superficie conforme el plano: 9, 10, 11, 12, 27, 30, 31, 32, 33, 34, 35, 36, 37, 38, 39, 40, 41, 42, 43, 50, 51, 52, 53, 54, 55, 57, 58, 59, 60, 61, 62, 63, 64, 67, 68, 69, 72, 73, 100, 126, 142, 143 y</w:t>
      </w:r>
      <w:r>
        <w:rPr>
          <w:rFonts w:ascii="Palatino Linotype" w:hAnsi="Palatino Linotype"/>
          <w:bCs/>
          <w:i/>
          <w:color w:val="000000"/>
          <w:sz w:val="22"/>
          <w:szCs w:val="22"/>
        </w:rPr>
        <w:t xml:space="preserve"> </w:t>
      </w:r>
      <w:r w:rsidRPr="00624394">
        <w:rPr>
          <w:rFonts w:ascii="Palatino Linotype" w:hAnsi="Palatino Linotype"/>
          <w:bCs/>
          <w:i/>
          <w:color w:val="000000"/>
          <w:sz w:val="22"/>
          <w:szCs w:val="22"/>
        </w:rPr>
        <w:t>148.</w:t>
      </w:r>
      <w:r>
        <w:rPr>
          <w:rFonts w:ascii="Palatino Linotype" w:hAnsi="Palatino Linotype"/>
          <w:bCs/>
          <w:i/>
          <w:color w:val="000000"/>
          <w:sz w:val="22"/>
          <w:szCs w:val="22"/>
        </w:rPr>
        <w:t>”</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7.- </w:t>
      </w:r>
      <w:r w:rsidRPr="00624394">
        <w:rPr>
          <w:rFonts w:ascii="Palatino Linotype" w:hAnsi="Palatino Linotype"/>
          <w:bCs/>
          <w:sz w:val="22"/>
          <w:szCs w:val="22"/>
        </w:rPr>
        <w:t>Sustitúyase el artículo 5 de la Ordenanza No. 0370, sancionada el 19 de marzo de 2013, por el siguiente:</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b/>
          <w:i/>
          <w:sz w:val="22"/>
          <w:szCs w:val="22"/>
        </w:rPr>
        <w:t xml:space="preserve">“Artículo 5.- Lotes ubicados en áreas de faja de protección del borde superior de quebrada.- </w:t>
      </w:r>
      <w:r w:rsidRPr="00624394">
        <w:rPr>
          <w:rFonts w:ascii="Palatino Linotype" w:hAnsi="Palatino Linotype"/>
          <w:i/>
          <w:sz w:val="22"/>
          <w:szCs w:val="22"/>
        </w:rPr>
        <w:t>Los lotes No</w:t>
      </w:r>
      <w:r>
        <w:rPr>
          <w:rFonts w:ascii="Palatino Linotype" w:hAnsi="Palatino Linotype"/>
          <w:i/>
          <w:sz w:val="22"/>
          <w:szCs w:val="22"/>
        </w:rPr>
        <w:t>s</w:t>
      </w:r>
      <w:r w:rsidRPr="00624394">
        <w:rPr>
          <w:rFonts w:ascii="Palatino Linotype" w:hAnsi="Palatino Linotype"/>
          <w:i/>
          <w:sz w:val="22"/>
          <w:szCs w:val="22"/>
        </w:rPr>
        <w:t>. 1, 2, 3, 4, 5, 6, 7, 8, 26, 27, 28, 29, 122, 123, 125, 126, 127, 128, 129, 130, 131, 132, 133, 134, 135, 136, 137, 138, 139, 140, 141, 142, 143</w:t>
      </w:r>
      <w:r>
        <w:rPr>
          <w:rFonts w:ascii="Palatino Linotype" w:hAnsi="Palatino Linotype"/>
          <w:i/>
          <w:sz w:val="22"/>
          <w:szCs w:val="22"/>
        </w:rPr>
        <w:t xml:space="preserve"> y</w:t>
      </w:r>
      <w:r w:rsidRPr="00624394">
        <w:rPr>
          <w:rFonts w:ascii="Palatino Linotype" w:hAnsi="Palatino Linotype"/>
          <w:i/>
          <w:sz w:val="22"/>
          <w:szCs w:val="22"/>
        </w:rPr>
        <w:t xml:space="preserve"> 144, se encuentran afectados por la faja de protección generada por el bode superior de quebrada, por lo que deberán cumplir con lo establecido en la normativa metropolitana vigente.”</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8.- </w:t>
      </w:r>
      <w:r w:rsidRPr="00624394">
        <w:rPr>
          <w:rFonts w:ascii="Palatino Linotype" w:hAnsi="Palatino Linotype"/>
          <w:bCs/>
          <w:sz w:val="22"/>
          <w:szCs w:val="22"/>
        </w:rPr>
        <w:t>Sustitúyase el artículo 6 de la Ordenanza No. 0370, sancionada el 19 de marzo de 2013, por el siguiente:</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b/>
          <w:i/>
          <w:sz w:val="22"/>
          <w:szCs w:val="22"/>
        </w:rPr>
        <w:t xml:space="preserve">“Artículo 6.- Lotes ubicados quebrada rellena.- </w:t>
      </w:r>
      <w:r w:rsidRPr="00624394">
        <w:rPr>
          <w:rFonts w:ascii="Palatino Linotype" w:hAnsi="Palatino Linotype"/>
          <w:i/>
          <w:sz w:val="22"/>
          <w:szCs w:val="22"/>
        </w:rPr>
        <w:t>Los lotes No</w:t>
      </w:r>
      <w:r>
        <w:rPr>
          <w:rFonts w:ascii="Palatino Linotype" w:hAnsi="Palatino Linotype"/>
          <w:i/>
          <w:sz w:val="22"/>
          <w:szCs w:val="22"/>
        </w:rPr>
        <w:t>s</w:t>
      </w:r>
      <w:r w:rsidRPr="00624394">
        <w:rPr>
          <w:rFonts w:ascii="Palatino Linotype" w:hAnsi="Palatino Linotype"/>
          <w:i/>
          <w:sz w:val="22"/>
          <w:szCs w:val="22"/>
        </w:rPr>
        <w:t>. 4, 5, 6, 7, 28, 29,</w:t>
      </w:r>
      <w:r>
        <w:rPr>
          <w:rFonts w:ascii="Palatino Linotype" w:hAnsi="Palatino Linotype"/>
          <w:i/>
          <w:sz w:val="22"/>
          <w:szCs w:val="22"/>
        </w:rPr>
        <w:t xml:space="preserve"> </w:t>
      </w:r>
      <w:r w:rsidRPr="00624394">
        <w:rPr>
          <w:rFonts w:ascii="Palatino Linotype" w:hAnsi="Palatino Linotype"/>
          <w:i/>
          <w:sz w:val="22"/>
          <w:szCs w:val="22"/>
        </w:rPr>
        <w:t>122, 127, 128, 129, 130, 131, 132, 13</w:t>
      </w:r>
      <w:r>
        <w:rPr>
          <w:rFonts w:ascii="Palatino Linotype" w:hAnsi="Palatino Linotype"/>
          <w:i/>
          <w:sz w:val="22"/>
          <w:szCs w:val="22"/>
        </w:rPr>
        <w:t>3, 135, 136, 137, 138, 139, 140 y</w:t>
      </w:r>
      <w:r w:rsidRPr="00624394">
        <w:rPr>
          <w:rFonts w:ascii="Palatino Linotype" w:hAnsi="Palatino Linotype"/>
          <w:i/>
          <w:sz w:val="22"/>
          <w:szCs w:val="22"/>
        </w:rPr>
        <w:t xml:space="preserve"> 144, se encuentran asentados sobre quebrada rellena, por lo que deberán cumplir con lo establecido en la normativa metropolitana vigente.”</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9.- </w:t>
      </w:r>
      <w:r w:rsidRPr="00624394">
        <w:rPr>
          <w:rFonts w:ascii="Palatino Linotype" w:hAnsi="Palatino Linotype"/>
          <w:bCs/>
          <w:sz w:val="22"/>
          <w:szCs w:val="22"/>
        </w:rPr>
        <w:t>Elimínese el artículo 7 de la Ordenanza No. 0370, sancionada el 19 de marzo de 2013.</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10.- </w:t>
      </w:r>
      <w:r w:rsidRPr="00624394">
        <w:rPr>
          <w:rFonts w:ascii="Palatino Linotype" w:hAnsi="Palatino Linotype"/>
          <w:bCs/>
          <w:sz w:val="22"/>
          <w:szCs w:val="22"/>
        </w:rPr>
        <w:t xml:space="preserve">Sustitúyase el artículo 8 de la Ordenanza No. 0370, sancionada el 19 de marzo de 2013, por los siguientes artículos </w:t>
      </w:r>
      <w:proofErr w:type="spellStart"/>
      <w:r w:rsidRPr="00624394">
        <w:rPr>
          <w:rFonts w:ascii="Palatino Linotype" w:hAnsi="Palatino Linotype"/>
          <w:bCs/>
          <w:sz w:val="22"/>
          <w:szCs w:val="22"/>
        </w:rPr>
        <w:t>innumerados</w:t>
      </w:r>
      <w:proofErr w:type="spellEnd"/>
      <w:r w:rsidRPr="00624394">
        <w:rPr>
          <w:rFonts w:ascii="Palatino Linotype" w:hAnsi="Palatino Linotype"/>
          <w:bCs/>
          <w:sz w:val="22"/>
          <w:szCs w:val="22"/>
        </w:rPr>
        <w:t>:</w:t>
      </w:r>
    </w:p>
    <w:p w:rsidR="007A1F48" w:rsidRPr="007A1F48" w:rsidRDefault="007A1F48" w:rsidP="007A1F48">
      <w:pPr>
        <w:spacing w:after="120" w:line="276" w:lineRule="auto"/>
        <w:ind w:left="708"/>
        <w:jc w:val="both"/>
        <w:rPr>
          <w:rFonts w:ascii="Palatino Linotype" w:hAnsi="Palatino Linotype"/>
          <w:b/>
          <w:i/>
          <w:sz w:val="22"/>
          <w:szCs w:val="22"/>
        </w:rPr>
      </w:pPr>
      <w:r w:rsidRPr="007A1F48">
        <w:rPr>
          <w:rFonts w:ascii="Palatino Linotype" w:hAnsi="Palatino Linotype"/>
          <w:b/>
          <w:i/>
          <w:sz w:val="22"/>
          <w:szCs w:val="22"/>
        </w:rPr>
        <w:t xml:space="preserve">“Artículo (….).- </w:t>
      </w:r>
      <w:r w:rsidRPr="007A1F48">
        <w:rPr>
          <w:rFonts w:ascii="Palatino Linotype" w:hAnsi="Palatino Linotype"/>
          <w:b/>
          <w:bCs/>
          <w:i/>
          <w:sz w:val="22"/>
          <w:szCs w:val="22"/>
        </w:rPr>
        <w:t>Del área verde y área de equipamiento comunal</w:t>
      </w:r>
      <w:r w:rsidRPr="007A1F48">
        <w:rPr>
          <w:rFonts w:ascii="Palatino Linotype" w:hAnsi="Palatino Linotype"/>
          <w:bCs/>
          <w:i/>
          <w:sz w:val="22"/>
          <w:szCs w:val="22"/>
        </w:rPr>
        <w:t xml:space="preserve">.- El </w:t>
      </w:r>
      <w:r w:rsidRPr="007A1F48">
        <w:rPr>
          <w:rFonts w:ascii="Palatino Linotype" w:hAnsi="Palatino Linotype"/>
          <w:i/>
          <w:sz w:val="22"/>
          <w:szCs w:val="22"/>
        </w:rPr>
        <w:t xml:space="preserve">Asentamiento Humano de Hecho y Consolidado denominado: Comité Barrial “Brisas del Norte” y Otros, ubicado en la parroquia Calderón, a favor de sus copropietarios, transfieren al Municipio del Distrito Metropolitano de Quito como contribución de áreas verdes y áreas de equipamiento </w:t>
      </w:r>
      <w:r w:rsidRPr="007A1F48">
        <w:rPr>
          <w:rFonts w:ascii="Palatino Linotype" w:hAnsi="Palatino Linotype"/>
          <w:i/>
          <w:sz w:val="22"/>
          <w:szCs w:val="22"/>
        </w:rPr>
        <w:lastRenderedPageBreak/>
        <w:t xml:space="preserve">comunal, un área total de 794,36 </w:t>
      </w:r>
      <w:proofErr w:type="spellStart"/>
      <w:r w:rsidRPr="007A1F48">
        <w:rPr>
          <w:rFonts w:ascii="Palatino Linotype" w:hAnsi="Palatino Linotype"/>
          <w:i/>
          <w:sz w:val="22"/>
          <w:szCs w:val="22"/>
        </w:rPr>
        <w:t>m</w:t>
      </w:r>
      <w:r w:rsidRPr="007A1F48">
        <w:rPr>
          <w:rFonts w:ascii="Palatino Linotype" w:hAnsi="Palatino Linotype"/>
          <w:i/>
          <w:sz w:val="22"/>
          <w:szCs w:val="22"/>
          <w:vertAlign w:val="superscript"/>
        </w:rPr>
        <w:t>2</w:t>
      </w:r>
      <w:proofErr w:type="spellEnd"/>
      <w:r w:rsidRPr="007A1F48">
        <w:rPr>
          <w:rFonts w:ascii="Palatino Linotype" w:hAnsi="Palatino Linotype"/>
          <w:i/>
          <w:sz w:val="22"/>
          <w:szCs w:val="22"/>
        </w:rPr>
        <w:t xml:space="preserve"> del área útil de los lotes, de conformidad al siguiente detalle</w:t>
      </w:r>
      <w:r w:rsidRPr="007A1F48">
        <w:rPr>
          <w:rFonts w:ascii="Palatino Linotype" w:hAnsi="Palatino Linotype"/>
          <w:b/>
          <w:i/>
          <w:sz w:val="22"/>
          <w:szCs w:val="22"/>
        </w:rPr>
        <w:t>:</w:t>
      </w:r>
    </w:p>
    <w:tbl>
      <w:tblPr>
        <w:tblW w:w="5000" w:type="pc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939"/>
        <w:gridCol w:w="2205"/>
        <w:gridCol w:w="1345"/>
        <w:gridCol w:w="1497"/>
        <w:gridCol w:w="1673"/>
      </w:tblGrid>
      <w:tr w:rsidR="007A1F48" w:rsidRPr="007A1F48" w:rsidTr="007A1F48">
        <w:trPr>
          <w:trHeight w:val="29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b/>
                <w:i/>
                <w:sz w:val="22"/>
                <w:szCs w:val="22"/>
              </w:rPr>
            </w:pPr>
            <w:r w:rsidRPr="007A1F48">
              <w:rPr>
                <w:rFonts w:ascii="Palatino Linotype" w:hAnsi="Palatino Linotype"/>
                <w:b/>
                <w:i/>
                <w:sz w:val="22"/>
                <w:szCs w:val="22"/>
              </w:rPr>
              <w:t>Áreas verdes y comunales</w:t>
            </w:r>
          </w:p>
        </w:tc>
      </w:tr>
      <w:tr w:rsidR="007A1F48" w:rsidRPr="007A1F48" w:rsidTr="007A1F48">
        <w:trPr>
          <w:trHeight w:val="268"/>
        </w:trPr>
        <w:tc>
          <w:tcPr>
            <w:tcW w:w="939" w:type="pct"/>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c</w:t>
            </w:r>
            <w:r w:rsidRPr="007A1F48">
              <w:rPr>
                <w:rFonts w:ascii="Palatino Linotype" w:hAnsi="Palatino Linotype"/>
                <w:b/>
                <w:i/>
                <w:sz w:val="22"/>
                <w:szCs w:val="22"/>
              </w:rPr>
              <w:t>omunal</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3"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7"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222"/>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Faja de Protección de Quebrada (Área municipal 1)</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44,98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887"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center"/>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sidRPr="007A1F48">
              <w:rPr>
                <w:rFonts w:ascii="Palatino Linotype" w:hAnsi="Palatino Linotype"/>
                <w:i/>
                <w:sz w:val="22"/>
                <w:szCs w:val="22"/>
              </w:rPr>
              <w:t>608,78</w:t>
            </w:r>
            <w:r>
              <w:rPr>
                <w:rFonts w:ascii="Palatino Linotype" w:hAnsi="Palatino Linotype"/>
                <w:i/>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 xml:space="preserve">Calle </w:t>
            </w:r>
            <w:proofErr w:type="spellStart"/>
            <w:r w:rsidRPr="007A1F48">
              <w:rPr>
                <w:rFonts w:ascii="Palatino Linotype" w:hAnsi="Palatino Linotype"/>
                <w:i/>
                <w:sz w:val="22"/>
                <w:szCs w:val="22"/>
              </w:rPr>
              <w:t>Oe1A</w:t>
            </w:r>
            <w:proofErr w:type="spellEnd"/>
            <w:r w:rsidRPr="007A1F48">
              <w:rPr>
                <w:rFonts w:ascii="Palatino Linotype" w:hAnsi="Palatino Linotype"/>
                <w:i/>
                <w:sz w:val="22"/>
                <w:szCs w:val="22"/>
              </w:rPr>
              <w:t xml:space="preserve"> De los Gladiolos</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46,21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Lote 8</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13,20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7</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16,32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939" w:type="pct"/>
            <w:vMerge w:val="restart"/>
            <w:tcBorders>
              <w:top w:val="single" w:sz="4" w:space="0" w:color="auto"/>
              <w:left w:val="single" w:sz="4" w:space="0" w:color="000000"/>
              <w:bottom w:val="single" w:sz="4" w:space="0" w:color="auto"/>
              <w:right w:val="single" w:sz="4" w:space="0" w:color="000000"/>
            </w:tcBorders>
            <w:shd w:val="clear" w:color="auto" w:fill="auto"/>
          </w:tcPr>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i/>
                <w:sz w:val="22"/>
                <w:szCs w:val="22"/>
              </w:rPr>
            </w:pPr>
            <w:r>
              <w:rPr>
                <w:rFonts w:ascii="Palatino Linotype" w:hAnsi="Palatino Linotype"/>
                <w:b/>
                <w:i/>
                <w:sz w:val="22"/>
                <w:szCs w:val="22"/>
              </w:rPr>
              <w:t>Área v</w:t>
            </w:r>
            <w:r w:rsidRPr="007A1F48">
              <w:rPr>
                <w:rFonts w:ascii="Palatino Linotype" w:hAnsi="Palatino Linotype"/>
                <w:b/>
                <w:i/>
                <w:sz w:val="22"/>
                <w:szCs w:val="22"/>
              </w:rPr>
              <w:t>erde 1</w:t>
            </w: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Calle de los Aguacates</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29,13 m.</w:t>
            </w:r>
          </w:p>
        </w:tc>
        <w:tc>
          <w:tcPr>
            <w:tcW w:w="887" w:type="pct"/>
            <w:vMerge w:val="restart"/>
            <w:tcBorders>
              <w:top w:val="single" w:sz="4" w:space="0" w:color="auto"/>
              <w:left w:val="single" w:sz="4" w:space="0" w:color="000000"/>
              <w:bottom w:val="single" w:sz="4" w:space="0" w:color="auto"/>
              <w:right w:val="single" w:sz="4" w:space="0" w:color="000000"/>
            </w:tcBorders>
            <w:shd w:val="clear" w:color="auto" w:fill="auto"/>
          </w:tcPr>
          <w:p w:rsidR="007A1F48" w:rsidRPr="007A1F48" w:rsidRDefault="007A1F48" w:rsidP="007A1F48">
            <w:pPr>
              <w:spacing w:after="120" w:line="276" w:lineRule="auto"/>
              <w:jc w:val="center"/>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106,86</w:t>
            </w:r>
            <w:r>
              <w:rPr>
                <w:rFonts w:ascii="Palatino Linotype" w:hAnsi="Palatino Linotype"/>
                <w:i/>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Calle de los Aguacates</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29,14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145</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6,55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Calle de los Aguacates</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0,83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939" w:type="pct"/>
            <w:vMerge w:val="restart"/>
            <w:tcBorders>
              <w:top w:val="single" w:sz="4" w:space="0" w:color="auto"/>
              <w:left w:val="single" w:sz="4" w:space="0" w:color="000000"/>
              <w:bottom w:val="single" w:sz="4" w:space="0" w:color="auto"/>
              <w:right w:val="single" w:sz="4" w:space="0" w:color="000000"/>
            </w:tcBorders>
            <w:shd w:val="clear" w:color="auto" w:fill="auto"/>
          </w:tcPr>
          <w:p w:rsidR="007A1F48" w:rsidRPr="007A1F48" w:rsidRDefault="007A1F48" w:rsidP="007A1F48">
            <w:pPr>
              <w:spacing w:after="120" w:line="276" w:lineRule="auto"/>
              <w:jc w:val="center"/>
              <w:rPr>
                <w:rFonts w:ascii="Palatino Linotype" w:hAnsi="Palatino Linotype"/>
                <w:b/>
                <w:i/>
                <w:sz w:val="22"/>
                <w:szCs w:val="22"/>
              </w:rPr>
            </w:pPr>
          </w:p>
          <w:p w:rsidR="007A1F48" w:rsidRDefault="007A1F48" w:rsidP="007A1F48">
            <w:pPr>
              <w:spacing w:after="120" w:line="276" w:lineRule="auto"/>
              <w:jc w:val="center"/>
              <w:rPr>
                <w:rFonts w:ascii="Palatino Linotype" w:hAnsi="Palatino Linotype"/>
                <w:b/>
                <w:i/>
                <w:sz w:val="22"/>
                <w:szCs w:val="22"/>
              </w:rPr>
            </w:pPr>
          </w:p>
          <w:p w:rsid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v</w:t>
            </w:r>
            <w:r w:rsidRPr="007A1F48">
              <w:rPr>
                <w:rFonts w:ascii="Palatino Linotype" w:hAnsi="Palatino Linotype"/>
                <w:b/>
                <w:i/>
                <w:sz w:val="22"/>
                <w:szCs w:val="22"/>
              </w:rPr>
              <w:t>erde 2</w:t>
            </w: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Faja de Protección de Quebrada (Área municipal 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2,67 m.</w:t>
            </w:r>
          </w:p>
        </w:tc>
        <w:tc>
          <w:tcPr>
            <w:tcW w:w="887" w:type="pct"/>
            <w:vMerge w:val="restart"/>
            <w:tcBorders>
              <w:top w:val="single" w:sz="4" w:space="0" w:color="auto"/>
              <w:left w:val="single" w:sz="4" w:space="0" w:color="000000"/>
              <w:bottom w:val="single" w:sz="4" w:space="0" w:color="auto"/>
              <w:right w:val="single" w:sz="4" w:space="0" w:color="000000"/>
            </w:tcBorders>
            <w:shd w:val="clear" w:color="auto" w:fill="auto"/>
          </w:tcPr>
          <w:p w:rsidR="007A1F48" w:rsidRPr="007A1F48" w:rsidRDefault="007A1F48" w:rsidP="007A1F48">
            <w:pPr>
              <w:spacing w:after="120" w:line="276" w:lineRule="auto"/>
              <w:jc w:val="center"/>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p>
          <w:p w:rsidR="007A1F48" w:rsidRDefault="007A1F48" w:rsidP="007A1F48">
            <w:pPr>
              <w:spacing w:after="120" w:line="276" w:lineRule="auto"/>
              <w:jc w:val="center"/>
              <w:rPr>
                <w:rFonts w:ascii="Palatino Linotype" w:hAnsi="Palatino Linotype"/>
                <w:i/>
                <w:sz w:val="22"/>
                <w:szCs w:val="22"/>
              </w:rPr>
            </w:pP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78,72</w:t>
            </w:r>
            <w:r>
              <w:rPr>
                <w:rFonts w:ascii="Palatino Linotype" w:hAnsi="Palatino Linotype"/>
                <w:i/>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Calle de los Aguacates</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6,31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28</w:t>
            </w:r>
          </w:p>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Calle de los Aguacates</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10,88 m.</w:t>
            </w:r>
          </w:p>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7,04 m.</w:t>
            </w: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17,92 m.</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6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Municipal</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both"/>
              <w:rPr>
                <w:rFonts w:ascii="Palatino Linotype" w:hAnsi="Palatino Linotype"/>
                <w:i/>
                <w:sz w:val="22"/>
                <w:szCs w:val="22"/>
              </w:rPr>
            </w:pPr>
          </w:p>
        </w:tc>
        <w:tc>
          <w:tcPr>
            <w:tcW w:w="794"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17,53 m.</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r>
    </w:tbl>
    <w:p w:rsidR="007A1F48" w:rsidRPr="007A1F48" w:rsidRDefault="007A1F48" w:rsidP="007A1F48">
      <w:pPr>
        <w:spacing w:after="120" w:line="276" w:lineRule="auto"/>
        <w:ind w:left="708"/>
        <w:jc w:val="both"/>
        <w:rPr>
          <w:rFonts w:ascii="Palatino Linotype" w:hAnsi="Palatino Linotype"/>
          <w:i/>
          <w:sz w:val="22"/>
          <w:szCs w:val="22"/>
        </w:rPr>
      </w:pPr>
    </w:p>
    <w:p w:rsidR="007A1F48" w:rsidRPr="007A1F48" w:rsidRDefault="007A1F48" w:rsidP="007A1F48">
      <w:pPr>
        <w:spacing w:after="120" w:line="276" w:lineRule="auto"/>
        <w:ind w:left="708"/>
        <w:jc w:val="both"/>
        <w:rPr>
          <w:rFonts w:ascii="Palatino Linotype" w:hAnsi="Palatino Linotype"/>
          <w:b/>
          <w:i/>
          <w:sz w:val="22"/>
          <w:szCs w:val="22"/>
        </w:rPr>
      </w:pPr>
      <w:r w:rsidRPr="007A1F48">
        <w:rPr>
          <w:rFonts w:ascii="Palatino Linotype" w:hAnsi="Palatino Linotype"/>
          <w:b/>
          <w:i/>
          <w:sz w:val="22"/>
          <w:szCs w:val="22"/>
        </w:rPr>
        <w:t xml:space="preserve">Artículo (….).- </w:t>
      </w:r>
      <w:r w:rsidRPr="007A1F48">
        <w:rPr>
          <w:rFonts w:ascii="Palatino Linotype" w:hAnsi="Palatino Linotype"/>
          <w:b/>
          <w:bCs/>
          <w:i/>
          <w:sz w:val="22"/>
          <w:szCs w:val="22"/>
        </w:rPr>
        <w:t>Del área de faja de protección de quebrada (área municipal)</w:t>
      </w:r>
      <w:r w:rsidRPr="007A1F48">
        <w:rPr>
          <w:rFonts w:ascii="Palatino Linotype" w:hAnsi="Palatino Linotype"/>
          <w:bCs/>
          <w:i/>
          <w:sz w:val="22"/>
          <w:szCs w:val="22"/>
        </w:rPr>
        <w:t xml:space="preserve">.- El </w:t>
      </w:r>
      <w:r w:rsidRPr="007A1F48">
        <w:rPr>
          <w:rFonts w:ascii="Palatino Linotype" w:hAnsi="Palatino Linotype"/>
          <w:i/>
          <w:sz w:val="22"/>
          <w:szCs w:val="22"/>
        </w:rPr>
        <w:t xml:space="preserve">Asentamiento Humano de Hecho y Consolidado denominado: Comité Barrial “Brisas del Norte” y Otros, ubicado en la parroquia Calderón, a favor de sus copropietarios, transfieren al </w:t>
      </w:r>
      <w:r w:rsidRPr="007A1F48">
        <w:rPr>
          <w:rFonts w:ascii="Palatino Linotype" w:hAnsi="Palatino Linotype"/>
          <w:i/>
          <w:sz w:val="22"/>
          <w:szCs w:val="22"/>
        </w:rPr>
        <w:lastRenderedPageBreak/>
        <w:t>Municipio del Distrito Metropolitano de Quito como contribución por área de faja de protección de quebrada (área municipal), un área total de 213,40</w:t>
      </w:r>
      <w:r w:rsidRPr="007A1F48">
        <w:rPr>
          <w:rFonts w:ascii="Palatino Linotype" w:hAnsi="Palatino Linotype"/>
          <w:bCs/>
          <w:i/>
          <w:kern w:val="24"/>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r w:rsidRPr="007A1F48">
        <w:rPr>
          <w:rFonts w:ascii="Palatino Linotype" w:hAnsi="Palatino Linotype"/>
          <w:i/>
          <w:sz w:val="22"/>
          <w:szCs w:val="22"/>
        </w:rPr>
        <w:t>, de conformidad al siguiente detalle</w:t>
      </w:r>
      <w:r w:rsidRPr="007A1F48">
        <w:rPr>
          <w:rFonts w:ascii="Palatino Linotype" w:hAnsi="Palatino Linotype"/>
          <w:b/>
          <w:i/>
          <w:sz w:val="22"/>
          <w:szCs w:val="22"/>
        </w:rPr>
        <w:t>:</w:t>
      </w:r>
    </w:p>
    <w:tbl>
      <w:tblPr>
        <w:tblW w:w="5000" w:type="pc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941"/>
        <w:gridCol w:w="2207"/>
        <w:gridCol w:w="1347"/>
        <w:gridCol w:w="1499"/>
        <w:gridCol w:w="1663"/>
      </w:tblGrid>
      <w:tr w:rsidR="007A1F48" w:rsidRPr="007A1F48" w:rsidTr="007A1F48">
        <w:trPr>
          <w:trHeight w:val="29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b/>
                <w:i/>
                <w:sz w:val="22"/>
                <w:szCs w:val="22"/>
              </w:rPr>
            </w:pPr>
            <w:r w:rsidRPr="007A1F48">
              <w:rPr>
                <w:rFonts w:ascii="Palatino Linotype" w:hAnsi="Palatino Linotype"/>
                <w:b/>
                <w:i/>
                <w:sz w:val="22"/>
                <w:szCs w:val="22"/>
              </w:rPr>
              <w:t>Área faja de protección de quebrada (área municipal)</w:t>
            </w:r>
          </w:p>
        </w:tc>
      </w:tr>
      <w:tr w:rsidR="007A1F48" w:rsidRPr="007A1F48" w:rsidTr="007A1F48">
        <w:trPr>
          <w:trHeight w:val="268"/>
        </w:trPr>
        <w:tc>
          <w:tcPr>
            <w:tcW w:w="940" w:type="pct"/>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m</w:t>
            </w:r>
            <w:r w:rsidRPr="007A1F48">
              <w:rPr>
                <w:rFonts w:ascii="Palatino Linotype" w:hAnsi="Palatino Linotype"/>
                <w:b/>
                <w:i/>
                <w:sz w:val="22"/>
                <w:szCs w:val="22"/>
              </w:rPr>
              <w:t>unicipal 1</w:t>
            </w:r>
          </w:p>
        </w:tc>
        <w:tc>
          <w:tcPr>
            <w:tcW w:w="166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2"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571"/>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45,16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882"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sidRPr="007A1F48">
              <w:rPr>
                <w:rFonts w:ascii="Palatino Linotype" w:hAnsi="Palatino Linotype"/>
                <w:i/>
                <w:sz w:val="22"/>
                <w:szCs w:val="22"/>
              </w:rPr>
              <w:t>134,72</w:t>
            </w:r>
            <w:r>
              <w:rPr>
                <w:rFonts w:ascii="Palatino Linotype" w:hAnsi="Palatino Linotype"/>
                <w:i/>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Comunal</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44,98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Lote 8</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4,17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7</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3,12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268"/>
        </w:trPr>
        <w:tc>
          <w:tcPr>
            <w:tcW w:w="940" w:type="pct"/>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m</w:t>
            </w:r>
            <w:r w:rsidRPr="007A1F48">
              <w:rPr>
                <w:rFonts w:ascii="Palatino Linotype" w:hAnsi="Palatino Linotype"/>
                <w:b/>
                <w:i/>
                <w:sz w:val="22"/>
                <w:szCs w:val="22"/>
              </w:rPr>
              <w:t>unicipal 2</w:t>
            </w:r>
          </w:p>
        </w:tc>
        <w:tc>
          <w:tcPr>
            <w:tcW w:w="166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2"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536"/>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27</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1,23 m.</w:t>
            </w:r>
          </w:p>
        </w:tc>
        <w:tc>
          <w:tcPr>
            <w:tcW w:w="882"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sidRPr="007A1F48">
              <w:rPr>
                <w:rFonts w:ascii="Palatino Linotype" w:hAnsi="Palatino Linotype"/>
                <w:i/>
                <w:sz w:val="22"/>
                <w:szCs w:val="22"/>
              </w:rPr>
              <w:t>1,53</w:t>
            </w:r>
            <w:r>
              <w:rPr>
                <w:rFonts w:ascii="Palatino Linotype" w:hAnsi="Palatino Linotype"/>
                <w:i/>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1,45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Lote 28</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1,19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 xml:space="preserve">Área de Faja de Protección </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1,12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268"/>
        </w:trPr>
        <w:tc>
          <w:tcPr>
            <w:tcW w:w="940"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m</w:t>
            </w:r>
            <w:r w:rsidRPr="007A1F48">
              <w:rPr>
                <w:rFonts w:ascii="Palatino Linotype" w:hAnsi="Palatino Linotype"/>
                <w:b/>
                <w:i/>
                <w:sz w:val="22"/>
                <w:szCs w:val="22"/>
              </w:rPr>
              <w:t>unicipal 3</w:t>
            </w:r>
          </w:p>
        </w:tc>
        <w:tc>
          <w:tcPr>
            <w:tcW w:w="166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2"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536"/>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2,06 m.</w:t>
            </w:r>
          </w:p>
        </w:tc>
        <w:tc>
          <w:tcPr>
            <w:tcW w:w="882"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sidRPr="007A1F48">
              <w:rPr>
                <w:rFonts w:ascii="Palatino Linotype" w:hAnsi="Palatino Linotype"/>
                <w:i/>
                <w:sz w:val="22"/>
                <w:szCs w:val="22"/>
              </w:rPr>
              <w:t>7,10</w:t>
            </w:r>
            <w:r w:rsidRPr="00624394">
              <w:rPr>
                <w:rFonts w:ascii="Palatino Linotype" w:hAnsi="Palatino Linotype"/>
                <w:i/>
                <w:sz w:val="22"/>
                <w:szCs w:val="22"/>
              </w:rPr>
              <w:t xml:space="preserve">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verde 2</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2,67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Lote 28</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3,00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 xml:space="preserve">Área de Faja de Protección </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3,08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268"/>
        </w:trPr>
        <w:tc>
          <w:tcPr>
            <w:tcW w:w="940" w:type="pct"/>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m</w:t>
            </w:r>
            <w:r w:rsidRPr="007A1F48">
              <w:rPr>
                <w:rFonts w:ascii="Palatino Linotype" w:hAnsi="Palatino Linotype"/>
                <w:b/>
                <w:i/>
                <w:sz w:val="22"/>
                <w:szCs w:val="22"/>
              </w:rPr>
              <w:t>unicipal 4</w:t>
            </w:r>
          </w:p>
        </w:tc>
        <w:tc>
          <w:tcPr>
            <w:tcW w:w="166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2"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536"/>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12,71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882"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Pr>
                <w:rFonts w:ascii="Palatino Linotype" w:hAnsi="Palatino Linotype"/>
                <w:i/>
                <w:sz w:val="22"/>
                <w:szCs w:val="22"/>
              </w:rPr>
              <w:t xml:space="preserve">60,38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center"/>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16,78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Calle de los Aguacates</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7,45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 xml:space="preserve">Vértice  </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0,00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268"/>
        </w:trPr>
        <w:tc>
          <w:tcPr>
            <w:tcW w:w="940"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m</w:t>
            </w:r>
            <w:r w:rsidRPr="007A1F48">
              <w:rPr>
                <w:rFonts w:ascii="Palatino Linotype" w:hAnsi="Palatino Linotype"/>
                <w:b/>
                <w:i/>
                <w:sz w:val="22"/>
                <w:szCs w:val="22"/>
              </w:rPr>
              <w:t>unicipal 5</w:t>
            </w:r>
          </w:p>
        </w:tc>
        <w:tc>
          <w:tcPr>
            <w:tcW w:w="166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2"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536"/>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135</w:t>
            </w:r>
          </w:p>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134</w:t>
            </w:r>
          </w:p>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133</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0,98 m.</w:t>
            </w: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9,49 m.</w:t>
            </w: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3,15 m.</w:t>
            </w: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13,62 m.</w:t>
            </w:r>
          </w:p>
        </w:tc>
        <w:tc>
          <w:tcPr>
            <w:tcW w:w="882"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Pr>
                <w:rFonts w:ascii="Palatino Linotype" w:hAnsi="Palatino Linotype"/>
                <w:i/>
                <w:sz w:val="22"/>
                <w:szCs w:val="22"/>
              </w:rPr>
              <w:t xml:space="preserve">5,09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13,80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Vértice</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0,00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 xml:space="preserve">Vértice </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0,00 m.</w:t>
            </w: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268"/>
        </w:trPr>
        <w:tc>
          <w:tcPr>
            <w:tcW w:w="940"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b/>
                <w:i/>
                <w:sz w:val="22"/>
                <w:szCs w:val="22"/>
              </w:rPr>
            </w:pP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b/>
                <w:i/>
                <w:sz w:val="22"/>
                <w:szCs w:val="22"/>
              </w:rPr>
              <w:t xml:space="preserve">Área </w:t>
            </w:r>
            <w:r>
              <w:rPr>
                <w:rFonts w:ascii="Palatino Linotype" w:hAnsi="Palatino Linotype"/>
                <w:b/>
                <w:i/>
                <w:sz w:val="22"/>
                <w:szCs w:val="22"/>
              </w:rPr>
              <w:t>m</w:t>
            </w:r>
            <w:r w:rsidRPr="007A1F48">
              <w:rPr>
                <w:rFonts w:ascii="Palatino Linotype" w:hAnsi="Palatino Linotype"/>
                <w:b/>
                <w:i/>
                <w:sz w:val="22"/>
                <w:szCs w:val="22"/>
              </w:rPr>
              <w:t>unicipal 6</w:t>
            </w:r>
          </w:p>
        </w:tc>
        <w:tc>
          <w:tcPr>
            <w:tcW w:w="1669"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Lindero</w:t>
            </w:r>
          </w:p>
        </w:tc>
        <w:tc>
          <w:tcPr>
            <w:tcW w:w="71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En parte</w:t>
            </w: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Total</w:t>
            </w:r>
          </w:p>
        </w:tc>
        <w:tc>
          <w:tcPr>
            <w:tcW w:w="882"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b/>
                <w:i/>
                <w:sz w:val="22"/>
                <w:szCs w:val="22"/>
              </w:rPr>
              <w:t>Superficie</w:t>
            </w:r>
          </w:p>
        </w:tc>
      </w:tr>
      <w:tr w:rsidR="007A1F48" w:rsidRPr="007A1F48" w:rsidTr="007A1F48">
        <w:trPr>
          <w:trHeight w:val="536"/>
        </w:trPr>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Norte: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132</w:t>
            </w:r>
          </w:p>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Lote 131</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4,07 m.</w:t>
            </w:r>
          </w:p>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7,43 m.</w:t>
            </w: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11,50 m.</w:t>
            </w:r>
          </w:p>
        </w:tc>
        <w:tc>
          <w:tcPr>
            <w:tcW w:w="882" w:type="pct"/>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both"/>
              <w:rPr>
                <w:rFonts w:ascii="Palatino Linotype" w:hAnsi="Palatino Linotype"/>
                <w:i/>
                <w:sz w:val="22"/>
                <w:szCs w:val="22"/>
              </w:rPr>
            </w:pPr>
          </w:p>
          <w:p w:rsidR="007A1F48" w:rsidRPr="007A1F48" w:rsidRDefault="007A1F48" w:rsidP="007A1F48">
            <w:pPr>
              <w:spacing w:after="120" w:line="276" w:lineRule="auto"/>
              <w:contextualSpacing/>
              <w:jc w:val="center"/>
              <w:rPr>
                <w:rFonts w:ascii="Palatino Linotype" w:hAnsi="Palatino Linotype"/>
                <w:i/>
                <w:sz w:val="22"/>
                <w:szCs w:val="22"/>
              </w:rPr>
            </w:pPr>
            <w:r>
              <w:rPr>
                <w:rFonts w:ascii="Palatino Linotype" w:hAnsi="Palatino Linotype"/>
                <w:i/>
                <w:sz w:val="22"/>
                <w:szCs w:val="22"/>
              </w:rPr>
              <w:t xml:space="preserve">4,58  </w:t>
            </w:r>
            <w:proofErr w:type="spellStart"/>
            <w:r w:rsidRPr="00624394">
              <w:rPr>
                <w:rFonts w:ascii="Palatino Linotype" w:hAnsi="Palatino Linotype"/>
                <w:i/>
                <w:sz w:val="22"/>
                <w:szCs w:val="22"/>
              </w:rPr>
              <w:t>m</w:t>
            </w:r>
            <w:r w:rsidRPr="007A1F48">
              <w:rPr>
                <w:rFonts w:ascii="Palatino Linotype" w:hAnsi="Palatino Linotype"/>
                <w:i/>
                <w:sz w:val="22"/>
                <w:szCs w:val="22"/>
                <w:vertAlign w:val="superscript"/>
              </w:rPr>
              <w:t>2</w:t>
            </w:r>
            <w:proofErr w:type="spellEnd"/>
          </w:p>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Sur:</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Área de quebrada rellena</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 xml:space="preserve">11,65 m. </w:t>
            </w:r>
            <w:proofErr w:type="spellStart"/>
            <w:r w:rsidRPr="007A1F48">
              <w:rPr>
                <w:rFonts w:ascii="Palatino Linotype" w:hAnsi="Palatino Linotype"/>
                <w:i/>
                <w:sz w:val="22"/>
                <w:szCs w:val="22"/>
              </w:rPr>
              <w:t>L.D</w:t>
            </w:r>
            <w:proofErr w:type="spellEnd"/>
            <w:r w:rsidRPr="007A1F48">
              <w:rPr>
                <w:rFonts w:ascii="Palatino Linotype" w:hAnsi="Palatino Linotype"/>
                <w:i/>
                <w:sz w:val="22"/>
                <w:szCs w:val="22"/>
              </w:rPr>
              <w:t>.</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1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color w:val="000000"/>
                <w:sz w:val="22"/>
                <w:szCs w:val="22"/>
              </w:rPr>
            </w:pPr>
            <w:r w:rsidRPr="007A1F48">
              <w:rPr>
                <w:rFonts w:ascii="Palatino Linotype" w:hAnsi="Palatino Linotype"/>
                <w:i/>
                <w:sz w:val="22"/>
                <w:szCs w:val="22"/>
              </w:rPr>
              <w:t xml:space="preserve">Vértice </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0,00 m.</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r>
      <w:tr w:rsidR="007A1F48" w:rsidRPr="007A1F48" w:rsidTr="007A1F48">
        <w:trPr>
          <w:trHeight w:val="7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b/>
                <w:i/>
                <w:sz w:val="22"/>
                <w:szCs w:val="22"/>
              </w:rPr>
            </w:pPr>
            <w:r w:rsidRPr="007A1F48">
              <w:rPr>
                <w:rFonts w:ascii="Palatino Linotype" w:hAnsi="Palatino Linotype"/>
                <w:b/>
                <w:i/>
                <w:sz w:val="22"/>
                <w:szCs w:val="22"/>
              </w:rPr>
              <w:t>Oeste:</w:t>
            </w:r>
          </w:p>
        </w:tc>
        <w:tc>
          <w:tcPr>
            <w:tcW w:w="1170" w:type="pct"/>
            <w:tcBorders>
              <w:top w:val="single" w:sz="4" w:space="0" w:color="000000"/>
              <w:left w:val="single" w:sz="4" w:space="0" w:color="000000"/>
              <w:bottom w:val="single" w:sz="4" w:space="0" w:color="000000"/>
              <w:right w:val="single" w:sz="4" w:space="0" w:color="000000"/>
            </w:tcBorders>
            <w:shd w:val="clear" w:color="auto" w:fill="auto"/>
            <w:hideMark/>
          </w:tcPr>
          <w:p w:rsidR="007A1F48" w:rsidRPr="007A1F48" w:rsidRDefault="007A1F48" w:rsidP="007A1F48">
            <w:pPr>
              <w:spacing w:after="120" w:line="276" w:lineRule="auto"/>
              <w:jc w:val="both"/>
              <w:rPr>
                <w:rFonts w:ascii="Palatino Linotype" w:hAnsi="Palatino Linotype"/>
                <w:i/>
                <w:sz w:val="22"/>
                <w:szCs w:val="22"/>
              </w:rPr>
            </w:pPr>
            <w:r w:rsidRPr="007A1F48">
              <w:rPr>
                <w:rFonts w:ascii="Palatino Linotype" w:hAnsi="Palatino Linotype"/>
                <w:i/>
                <w:sz w:val="22"/>
                <w:szCs w:val="22"/>
              </w:rPr>
              <w:t xml:space="preserve">Vértice </w:t>
            </w:r>
          </w:p>
        </w:tc>
        <w:tc>
          <w:tcPr>
            <w:tcW w:w="714" w:type="pct"/>
            <w:tcBorders>
              <w:top w:val="single" w:sz="4" w:space="0" w:color="000000"/>
              <w:left w:val="single" w:sz="4" w:space="0" w:color="000000"/>
              <w:bottom w:val="single" w:sz="4" w:space="0" w:color="000000"/>
              <w:right w:val="single" w:sz="4" w:space="0" w:color="auto"/>
            </w:tcBorders>
            <w:shd w:val="clear" w:color="auto" w:fill="auto"/>
            <w:vAlign w:val="center"/>
          </w:tcPr>
          <w:p w:rsidR="007A1F48" w:rsidRPr="007A1F48" w:rsidRDefault="007A1F48" w:rsidP="007A1F48">
            <w:pPr>
              <w:spacing w:after="120" w:line="276" w:lineRule="auto"/>
              <w:jc w:val="center"/>
              <w:rPr>
                <w:rFonts w:ascii="Palatino Linotype" w:hAnsi="Palatino Linotype"/>
                <w:i/>
                <w:sz w:val="22"/>
                <w:szCs w:val="22"/>
              </w:rPr>
            </w:pPr>
          </w:p>
        </w:tc>
        <w:tc>
          <w:tcPr>
            <w:tcW w:w="795"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7A1F48" w:rsidRPr="007A1F48" w:rsidRDefault="007A1F48" w:rsidP="007A1F48">
            <w:pPr>
              <w:spacing w:after="120" w:line="276" w:lineRule="auto"/>
              <w:jc w:val="center"/>
              <w:rPr>
                <w:rFonts w:ascii="Palatino Linotype" w:hAnsi="Palatino Linotype"/>
                <w:i/>
                <w:sz w:val="22"/>
                <w:szCs w:val="22"/>
              </w:rPr>
            </w:pPr>
            <w:r w:rsidRPr="007A1F48">
              <w:rPr>
                <w:rFonts w:ascii="Palatino Linotype" w:hAnsi="Palatino Linotype"/>
                <w:i/>
                <w:sz w:val="22"/>
                <w:szCs w:val="22"/>
              </w:rPr>
              <w:t>0,00 m.</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7A1F48" w:rsidRPr="007A1F48" w:rsidRDefault="007A1F48" w:rsidP="007A1F48">
            <w:pPr>
              <w:spacing w:after="120" w:line="276" w:lineRule="auto"/>
              <w:jc w:val="both"/>
              <w:rPr>
                <w:rFonts w:ascii="Palatino Linotype" w:hAnsi="Palatino Linotype"/>
                <w:i/>
                <w:sz w:val="22"/>
                <w:szCs w:val="22"/>
              </w:rPr>
            </w:pPr>
          </w:p>
        </w:tc>
      </w:tr>
    </w:tbl>
    <w:p w:rsidR="007A1F48" w:rsidRPr="00624394" w:rsidRDefault="007A1F48" w:rsidP="007A1F48">
      <w:pPr>
        <w:spacing w:after="120" w:line="276" w:lineRule="auto"/>
        <w:jc w:val="both"/>
        <w:rPr>
          <w:rFonts w:ascii="Palatino Linotype" w:hAnsi="Palatino Linotype"/>
          <w:i/>
          <w:sz w:val="22"/>
          <w:szCs w:val="22"/>
        </w:rPr>
      </w:pPr>
    </w:p>
    <w:p w:rsidR="007A1F48" w:rsidRDefault="007A1F48" w:rsidP="007A1F48">
      <w:pPr>
        <w:pStyle w:val="Ttulo7"/>
        <w:spacing w:before="0" w:after="120" w:line="276" w:lineRule="auto"/>
        <w:jc w:val="both"/>
        <w:rPr>
          <w:rFonts w:ascii="Palatino Linotype" w:hAnsi="Palatino Linotype"/>
          <w:bCs/>
          <w:sz w:val="22"/>
          <w:szCs w:val="22"/>
        </w:rPr>
      </w:pPr>
      <w:r w:rsidRPr="00624394">
        <w:rPr>
          <w:rFonts w:ascii="Palatino Linotype" w:hAnsi="Palatino Linotype"/>
          <w:b/>
          <w:bCs/>
          <w:sz w:val="22"/>
          <w:szCs w:val="22"/>
        </w:rPr>
        <w:t xml:space="preserve">Artículo 11.- </w:t>
      </w:r>
      <w:r w:rsidRPr="00624394">
        <w:rPr>
          <w:rFonts w:ascii="Palatino Linotype" w:hAnsi="Palatino Linotype"/>
          <w:bCs/>
          <w:sz w:val="22"/>
          <w:szCs w:val="22"/>
        </w:rPr>
        <w:t>Sustitúyase el artículo 9 de la Ordenanza No. 0370, sancionada el 19 de marzo de 2013, por el siguiente:</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b/>
          <w:bCs/>
          <w:i/>
          <w:sz w:val="22"/>
          <w:szCs w:val="22"/>
        </w:rPr>
        <w:t xml:space="preserve">“Artículo 9.- De las vías y pasajes.- </w:t>
      </w:r>
      <w:r w:rsidRPr="00624394">
        <w:rPr>
          <w:rFonts w:ascii="Palatino Linotype" w:hAnsi="Palatino Linotype"/>
          <w:i/>
          <w:sz w:val="22"/>
          <w:szCs w:val="22"/>
        </w:rPr>
        <w:t xml:space="preserve">El asentamiento </w:t>
      </w:r>
      <w:r w:rsidRPr="00624394">
        <w:rPr>
          <w:rFonts w:ascii="Palatino Linotype" w:hAnsi="Palatino Linotype"/>
          <w:bCs/>
          <w:i/>
          <w:iCs/>
          <w:sz w:val="22"/>
          <w:szCs w:val="22"/>
        </w:rPr>
        <w:t>humano de hecho y consolidado de interés social denominado</w:t>
      </w:r>
      <w:r w:rsidRPr="00624394">
        <w:rPr>
          <w:rFonts w:ascii="Palatino Linotype" w:hAnsi="Palatino Linotype"/>
          <w:i/>
          <w:sz w:val="22"/>
          <w:szCs w:val="22"/>
        </w:rPr>
        <w:t>: Comité Barrial “Brisas del Norte” y Otros, ubicado en la parroquia Calderón, a favor de sus copropietarios, contempla un sistema vial de uso público, debido a que éste es un asentamiento humano de hecho y consolidado de interés social actualmente con 25 años de existencia, con 74.67% de consolidación de viviendas y se encuentra ejecutando obras de infraestructura, razón por la cual los anchos viales se sujetarán al plano adjunto a la presente ordenanza.</w:t>
      </w:r>
    </w:p>
    <w:p w:rsidR="007A1F48" w:rsidRDefault="007A1F48" w:rsidP="00182091">
      <w:pPr>
        <w:pStyle w:val="Ttulo7"/>
        <w:spacing w:before="0" w:after="120" w:line="276" w:lineRule="auto"/>
        <w:ind w:left="708"/>
        <w:jc w:val="both"/>
        <w:rPr>
          <w:rFonts w:ascii="Palatino Linotype" w:hAnsi="Palatino Linotype"/>
          <w:i/>
          <w:iCs/>
          <w:sz w:val="22"/>
          <w:szCs w:val="22"/>
        </w:rPr>
      </w:pPr>
      <w:r w:rsidRPr="00624394">
        <w:rPr>
          <w:rFonts w:ascii="Palatino Linotype" w:hAnsi="Palatino Linotype"/>
          <w:i/>
          <w:iCs/>
          <w:sz w:val="22"/>
          <w:szCs w:val="22"/>
        </w:rPr>
        <w:t>Se aprueban las vías y pasajes con los siguientes anchos:</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lastRenderedPageBreak/>
        <w:t>Calle De los Ceibos</w:t>
      </w:r>
      <w:r w:rsidRPr="00624394">
        <w:rPr>
          <w:rFonts w:ascii="Palatino Linotype" w:hAnsi="Palatino Linotype"/>
          <w:i/>
          <w:sz w:val="22"/>
          <w:szCs w:val="22"/>
        </w:rPr>
        <w:tab/>
      </w:r>
      <w:r w:rsidRPr="00624394">
        <w:rPr>
          <w:rFonts w:ascii="Palatino Linotype" w:hAnsi="Palatino Linotype"/>
          <w:i/>
          <w:sz w:val="22"/>
          <w:szCs w:val="22"/>
        </w:rPr>
        <w:tab/>
        <w:t>de</w:t>
      </w:r>
      <w:r w:rsidRPr="00624394">
        <w:rPr>
          <w:rFonts w:ascii="Palatino Linotype" w:hAnsi="Palatino Linotype"/>
          <w:i/>
          <w:sz w:val="22"/>
          <w:szCs w:val="22"/>
        </w:rPr>
        <w:tab/>
        <w:t>12,00 m.</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Calle de los Aguacates</w:t>
      </w:r>
      <w:r w:rsidRPr="00624394">
        <w:rPr>
          <w:rFonts w:ascii="Palatino Linotype" w:hAnsi="Palatino Linotype"/>
          <w:i/>
          <w:sz w:val="22"/>
          <w:szCs w:val="22"/>
        </w:rPr>
        <w:tab/>
      </w:r>
      <w:r w:rsidRPr="00624394">
        <w:rPr>
          <w:rFonts w:ascii="Palatino Linotype" w:hAnsi="Palatino Linotype"/>
          <w:i/>
          <w:sz w:val="22"/>
          <w:szCs w:val="22"/>
        </w:rPr>
        <w:tab/>
        <w:t>de</w:t>
      </w:r>
      <w:r w:rsidRPr="00624394">
        <w:rPr>
          <w:rFonts w:ascii="Palatino Linotype" w:hAnsi="Palatino Linotype"/>
          <w:i/>
          <w:sz w:val="22"/>
          <w:szCs w:val="22"/>
        </w:rPr>
        <w:tab/>
        <w:t xml:space="preserve">  </w:t>
      </w:r>
      <w:proofErr w:type="spellStart"/>
      <w:r w:rsidRPr="00624394">
        <w:rPr>
          <w:rFonts w:ascii="Palatino Linotype" w:hAnsi="Palatino Linotype"/>
          <w:i/>
          <w:sz w:val="22"/>
          <w:szCs w:val="22"/>
        </w:rPr>
        <w:t>7,00m</w:t>
      </w:r>
      <w:proofErr w:type="spellEnd"/>
      <w:r w:rsidRPr="00624394">
        <w:rPr>
          <w:rFonts w:ascii="Palatino Linotype" w:hAnsi="Palatino Linotype"/>
          <w:i/>
          <w:sz w:val="22"/>
          <w:szCs w:val="22"/>
        </w:rPr>
        <w:t>.  (Variable)</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Calle </w:t>
      </w:r>
      <w:proofErr w:type="spellStart"/>
      <w:r w:rsidRPr="00624394">
        <w:rPr>
          <w:rFonts w:ascii="Palatino Linotype" w:hAnsi="Palatino Linotype"/>
          <w:i/>
          <w:sz w:val="22"/>
          <w:szCs w:val="22"/>
        </w:rPr>
        <w:t>Oe1A</w:t>
      </w:r>
      <w:proofErr w:type="spellEnd"/>
      <w:r w:rsidRPr="00624394">
        <w:rPr>
          <w:rFonts w:ascii="Palatino Linotype" w:hAnsi="Palatino Linotype"/>
          <w:i/>
          <w:sz w:val="22"/>
          <w:szCs w:val="22"/>
        </w:rPr>
        <w:t xml:space="preserve"> de los Gladiolos</w:t>
      </w:r>
      <w:r w:rsidRPr="00624394">
        <w:rPr>
          <w:rFonts w:ascii="Palatino Linotype" w:hAnsi="Palatino Linotype"/>
          <w:i/>
          <w:sz w:val="22"/>
          <w:szCs w:val="22"/>
        </w:rPr>
        <w:tab/>
        <w:t>de</w:t>
      </w:r>
      <w:r w:rsidRPr="00624394">
        <w:rPr>
          <w:rFonts w:ascii="Palatino Linotype" w:hAnsi="Palatino Linotype"/>
          <w:i/>
          <w:sz w:val="22"/>
          <w:szCs w:val="22"/>
        </w:rPr>
        <w:tab/>
        <w:t xml:space="preserve">  8,00 m. </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Calle </w:t>
      </w:r>
      <w:proofErr w:type="spellStart"/>
      <w:r w:rsidRPr="00624394">
        <w:rPr>
          <w:rFonts w:ascii="Palatino Linotype" w:hAnsi="Palatino Linotype"/>
          <w:i/>
          <w:sz w:val="22"/>
          <w:szCs w:val="22"/>
        </w:rPr>
        <w:t>N15K</w:t>
      </w:r>
      <w:proofErr w:type="spellEnd"/>
      <w:r w:rsidRPr="00624394">
        <w:rPr>
          <w:rFonts w:ascii="Palatino Linotype" w:hAnsi="Palatino Linotype"/>
          <w:i/>
          <w:sz w:val="22"/>
          <w:szCs w:val="22"/>
        </w:rPr>
        <w:t xml:space="preserve"> De las Algas</w:t>
      </w:r>
      <w:r w:rsidRPr="00624394">
        <w:rPr>
          <w:rFonts w:ascii="Palatino Linotype" w:hAnsi="Palatino Linotype"/>
          <w:i/>
          <w:sz w:val="22"/>
          <w:szCs w:val="22"/>
        </w:rPr>
        <w:tab/>
        <w:t>de</w:t>
      </w:r>
      <w:r w:rsidRPr="00624394">
        <w:rPr>
          <w:rFonts w:ascii="Palatino Linotype" w:hAnsi="Palatino Linotype"/>
          <w:i/>
          <w:sz w:val="22"/>
          <w:szCs w:val="22"/>
        </w:rPr>
        <w:tab/>
        <w:t xml:space="preserve">  7,00 m.</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Calle </w:t>
      </w:r>
      <w:proofErr w:type="spellStart"/>
      <w:r w:rsidRPr="00624394">
        <w:rPr>
          <w:rFonts w:ascii="Palatino Linotype" w:hAnsi="Palatino Linotype"/>
          <w:i/>
          <w:sz w:val="22"/>
          <w:szCs w:val="22"/>
        </w:rPr>
        <w:t>N16A</w:t>
      </w:r>
      <w:proofErr w:type="spellEnd"/>
      <w:r w:rsidRPr="00624394">
        <w:rPr>
          <w:rFonts w:ascii="Palatino Linotype" w:hAnsi="Palatino Linotype"/>
          <w:i/>
          <w:sz w:val="22"/>
          <w:szCs w:val="22"/>
        </w:rPr>
        <w:t xml:space="preserve"> De los Prados</w:t>
      </w:r>
      <w:r w:rsidRPr="00624394">
        <w:rPr>
          <w:rFonts w:ascii="Palatino Linotype" w:hAnsi="Palatino Linotype"/>
          <w:i/>
          <w:sz w:val="22"/>
          <w:szCs w:val="22"/>
        </w:rPr>
        <w:tab/>
        <w:t xml:space="preserve">de </w:t>
      </w:r>
      <w:r w:rsidRPr="00624394">
        <w:rPr>
          <w:rFonts w:ascii="Palatino Linotype" w:hAnsi="Palatino Linotype"/>
          <w:i/>
          <w:sz w:val="22"/>
          <w:szCs w:val="22"/>
        </w:rPr>
        <w:tab/>
        <w:t xml:space="preserve">  6,00 m.</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Calle </w:t>
      </w:r>
      <w:proofErr w:type="spellStart"/>
      <w:r w:rsidRPr="00624394">
        <w:rPr>
          <w:rFonts w:ascii="Palatino Linotype" w:hAnsi="Palatino Linotype"/>
          <w:i/>
          <w:sz w:val="22"/>
          <w:szCs w:val="22"/>
        </w:rPr>
        <w:t>N15H</w:t>
      </w:r>
      <w:proofErr w:type="spellEnd"/>
      <w:r w:rsidRPr="00624394">
        <w:rPr>
          <w:rFonts w:ascii="Palatino Linotype" w:hAnsi="Palatino Linotype"/>
          <w:i/>
          <w:sz w:val="22"/>
          <w:szCs w:val="22"/>
        </w:rPr>
        <w:t xml:space="preserve"> De las Sábilas</w:t>
      </w:r>
      <w:r w:rsidRPr="00624394">
        <w:rPr>
          <w:rFonts w:ascii="Palatino Linotype" w:hAnsi="Palatino Linotype"/>
          <w:i/>
          <w:sz w:val="22"/>
          <w:szCs w:val="22"/>
        </w:rPr>
        <w:tab/>
        <w:t xml:space="preserve">de </w:t>
      </w:r>
      <w:r w:rsidRPr="00624394">
        <w:rPr>
          <w:rFonts w:ascii="Palatino Linotype" w:hAnsi="Palatino Linotype"/>
          <w:i/>
          <w:sz w:val="22"/>
          <w:szCs w:val="22"/>
        </w:rPr>
        <w:tab/>
        <w:t xml:space="preserve">  4,00 m.</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Calle </w:t>
      </w:r>
      <w:proofErr w:type="spellStart"/>
      <w:r w:rsidRPr="00624394">
        <w:rPr>
          <w:rFonts w:ascii="Palatino Linotype" w:hAnsi="Palatino Linotype"/>
          <w:i/>
          <w:sz w:val="22"/>
          <w:szCs w:val="22"/>
        </w:rPr>
        <w:t>N15G</w:t>
      </w:r>
      <w:proofErr w:type="spellEnd"/>
      <w:r w:rsidRPr="00624394">
        <w:rPr>
          <w:rFonts w:ascii="Palatino Linotype" w:hAnsi="Palatino Linotype"/>
          <w:i/>
          <w:sz w:val="22"/>
          <w:szCs w:val="22"/>
        </w:rPr>
        <w:t xml:space="preserve"> De las Chilcas</w:t>
      </w:r>
      <w:r w:rsidRPr="00624394">
        <w:rPr>
          <w:rFonts w:ascii="Palatino Linotype" w:hAnsi="Palatino Linotype"/>
          <w:i/>
          <w:sz w:val="22"/>
          <w:szCs w:val="22"/>
        </w:rPr>
        <w:tab/>
        <w:t xml:space="preserve">de </w:t>
      </w:r>
      <w:r w:rsidRPr="00624394">
        <w:rPr>
          <w:rFonts w:ascii="Palatino Linotype" w:hAnsi="Palatino Linotype"/>
          <w:i/>
          <w:sz w:val="22"/>
          <w:szCs w:val="22"/>
        </w:rPr>
        <w:tab/>
        <w:t xml:space="preserve">  4,00 m.</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Calle </w:t>
      </w:r>
      <w:proofErr w:type="spellStart"/>
      <w:r w:rsidRPr="00624394">
        <w:rPr>
          <w:rFonts w:ascii="Palatino Linotype" w:hAnsi="Palatino Linotype"/>
          <w:i/>
          <w:sz w:val="22"/>
          <w:szCs w:val="22"/>
        </w:rPr>
        <w:t>N15I</w:t>
      </w:r>
      <w:proofErr w:type="spellEnd"/>
      <w:r w:rsidRPr="00624394">
        <w:rPr>
          <w:rFonts w:ascii="Palatino Linotype" w:hAnsi="Palatino Linotype"/>
          <w:i/>
          <w:sz w:val="22"/>
          <w:szCs w:val="22"/>
        </w:rPr>
        <w:t xml:space="preserve"> De los Toronjiles</w:t>
      </w:r>
      <w:r w:rsidRPr="00624394">
        <w:rPr>
          <w:rFonts w:ascii="Palatino Linotype" w:hAnsi="Palatino Linotype"/>
          <w:i/>
          <w:sz w:val="22"/>
          <w:szCs w:val="22"/>
        </w:rPr>
        <w:tab/>
        <w:t xml:space="preserve">de </w:t>
      </w:r>
      <w:r w:rsidRPr="00624394">
        <w:rPr>
          <w:rFonts w:ascii="Palatino Linotype" w:hAnsi="Palatino Linotype"/>
          <w:i/>
          <w:sz w:val="22"/>
          <w:szCs w:val="22"/>
        </w:rPr>
        <w:tab/>
        <w:t xml:space="preserve">  5,00 m.</w:t>
      </w:r>
    </w:p>
    <w:p w:rsidR="007A1F48" w:rsidRDefault="007A1F48" w:rsidP="00182091">
      <w:pPr>
        <w:pStyle w:val="Ttulo7"/>
        <w:spacing w:before="0" w:after="120" w:line="276" w:lineRule="auto"/>
        <w:ind w:left="708"/>
        <w:jc w:val="both"/>
        <w:rPr>
          <w:rFonts w:ascii="Palatino Linotype" w:hAnsi="Palatino Linotype"/>
          <w:i/>
          <w:sz w:val="22"/>
          <w:szCs w:val="22"/>
        </w:rPr>
      </w:pPr>
      <w:r w:rsidRPr="00624394">
        <w:rPr>
          <w:rFonts w:ascii="Palatino Linotype" w:hAnsi="Palatino Linotype"/>
          <w:i/>
          <w:sz w:val="22"/>
          <w:szCs w:val="22"/>
        </w:rPr>
        <w:t>Pasaje B</w:t>
      </w:r>
      <w:r w:rsidRPr="00624394">
        <w:rPr>
          <w:rFonts w:ascii="Palatino Linotype" w:hAnsi="Palatino Linotype"/>
          <w:i/>
          <w:sz w:val="22"/>
          <w:szCs w:val="22"/>
        </w:rPr>
        <w:tab/>
      </w:r>
      <w:r w:rsidRPr="00624394">
        <w:rPr>
          <w:rFonts w:ascii="Palatino Linotype" w:hAnsi="Palatino Linotype"/>
          <w:i/>
          <w:sz w:val="22"/>
          <w:szCs w:val="22"/>
        </w:rPr>
        <w:tab/>
      </w:r>
      <w:r w:rsidRPr="00624394">
        <w:rPr>
          <w:rFonts w:ascii="Palatino Linotype" w:hAnsi="Palatino Linotype"/>
          <w:i/>
          <w:sz w:val="22"/>
          <w:szCs w:val="22"/>
        </w:rPr>
        <w:tab/>
        <w:t xml:space="preserve">de </w:t>
      </w:r>
      <w:r w:rsidRPr="00624394">
        <w:rPr>
          <w:rFonts w:ascii="Palatino Linotype" w:hAnsi="Palatino Linotype"/>
          <w:i/>
          <w:sz w:val="22"/>
          <w:szCs w:val="22"/>
        </w:rPr>
        <w:tab/>
        <w:t xml:space="preserve">  4,00 m.</w:t>
      </w:r>
    </w:p>
    <w:p w:rsidR="007A1F48" w:rsidRDefault="007A1F48" w:rsidP="00182091">
      <w:pPr>
        <w:pStyle w:val="Ttulo7"/>
        <w:spacing w:before="0" w:after="120" w:line="276" w:lineRule="auto"/>
        <w:ind w:left="708"/>
        <w:jc w:val="both"/>
        <w:rPr>
          <w:rFonts w:ascii="Palatino Linotype" w:hAnsi="Palatino Linotype"/>
          <w:i/>
          <w:color w:val="0D0D0D"/>
          <w:sz w:val="22"/>
          <w:szCs w:val="22"/>
        </w:rPr>
      </w:pPr>
      <w:r w:rsidRPr="00624394">
        <w:rPr>
          <w:rFonts w:ascii="Palatino Linotype" w:hAnsi="Palatino Linotype"/>
          <w:i/>
          <w:sz w:val="22"/>
          <w:szCs w:val="22"/>
        </w:rPr>
        <w:t>Pasaje G</w:t>
      </w:r>
      <w:r w:rsidRPr="00624394">
        <w:rPr>
          <w:rFonts w:ascii="Palatino Linotype" w:hAnsi="Palatino Linotype"/>
          <w:i/>
          <w:sz w:val="22"/>
          <w:szCs w:val="22"/>
        </w:rPr>
        <w:tab/>
      </w:r>
      <w:r w:rsidRPr="00624394">
        <w:rPr>
          <w:rFonts w:ascii="Palatino Linotype" w:hAnsi="Palatino Linotype"/>
          <w:i/>
          <w:sz w:val="22"/>
          <w:szCs w:val="22"/>
        </w:rPr>
        <w:tab/>
      </w:r>
      <w:r w:rsidRPr="00624394">
        <w:rPr>
          <w:rFonts w:ascii="Palatino Linotype" w:hAnsi="Palatino Linotype"/>
          <w:i/>
          <w:sz w:val="22"/>
          <w:szCs w:val="22"/>
        </w:rPr>
        <w:tab/>
        <w:t xml:space="preserve">de </w:t>
      </w:r>
      <w:r w:rsidRPr="00624394">
        <w:rPr>
          <w:rFonts w:ascii="Palatino Linotype" w:hAnsi="Palatino Linotype"/>
          <w:i/>
          <w:sz w:val="22"/>
          <w:szCs w:val="22"/>
        </w:rPr>
        <w:tab/>
        <w:t xml:space="preserve">  6,00 m.</w:t>
      </w:r>
      <w:r w:rsidRPr="00624394">
        <w:rPr>
          <w:rFonts w:ascii="Palatino Linotype" w:hAnsi="Palatino Linotype"/>
          <w:i/>
          <w:color w:val="0D0D0D"/>
          <w:sz w:val="22"/>
          <w:szCs w:val="22"/>
        </w:rPr>
        <w:t>”</w:t>
      </w:r>
    </w:p>
    <w:p w:rsidR="007A1F48" w:rsidRPr="007A1F48"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12.- </w:t>
      </w:r>
      <w:r w:rsidRPr="00624394">
        <w:rPr>
          <w:rFonts w:ascii="Palatino Linotype" w:hAnsi="Palatino Linotype"/>
          <w:bCs/>
          <w:sz w:val="22"/>
          <w:szCs w:val="22"/>
        </w:rPr>
        <w:t xml:space="preserve">Sustitúyase el artículo 10 de la Ordenanza No. 0370, sancionada el 19 de marzo de 2013, por el siguiente: </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b/>
          <w:bCs/>
          <w:i/>
          <w:sz w:val="22"/>
          <w:szCs w:val="22"/>
        </w:rPr>
        <w:t xml:space="preserve">“Artículo 10.- De las obras a ejecutarse.- </w:t>
      </w:r>
      <w:r w:rsidRPr="00624394">
        <w:rPr>
          <w:rFonts w:ascii="Palatino Linotype" w:hAnsi="Palatino Linotype"/>
          <w:i/>
          <w:sz w:val="22"/>
          <w:szCs w:val="22"/>
        </w:rPr>
        <w:t xml:space="preserve">Las obras a ejecutarse en el asentamiento humano de hecho y consolidado de interés social, son las siguientes: </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i/>
          <w:sz w:val="22"/>
          <w:szCs w:val="22"/>
        </w:rPr>
        <w:t xml:space="preserve">Calzadas:                    </w:t>
      </w:r>
      <w:r w:rsidRPr="00624394">
        <w:rPr>
          <w:rFonts w:ascii="Palatino Linotype" w:hAnsi="Palatino Linotype"/>
          <w:i/>
          <w:sz w:val="22"/>
          <w:szCs w:val="22"/>
        </w:rPr>
        <w:tab/>
        <w:t>20%</w:t>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sidRPr="00624394">
        <w:rPr>
          <w:rFonts w:ascii="Palatino Linotype" w:hAnsi="Palatino Linotype"/>
          <w:i/>
          <w:sz w:val="22"/>
          <w:szCs w:val="22"/>
        </w:rPr>
        <w:t>Aceras:</w:t>
      </w:r>
      <w:r w:rsidRPr="00624394">
        <w:rPr>
          <w:rFonts w:ascii="Palatino Linotype" w:hAnsi="Palatino Linotype"/>
          <w:i/>
          <w:sz w:val="22"/>
          <w:szCs w:val="22"/>
        </w:rPr>
        <w:tab/>
      </w:r>
      <w:r w:rsidRPr="00624394">
        <w:rPr>
          <w:rFonts w:ascii="Palatino Linotype" w:hAnsi="Palatino Linotype"/>
          <w:i/>
          <w:sz w:val="22"/>
          <w:szCs w:val="22"/>
        </w:rPr>
        <w:tab/>
      </w:r>
      <w:r w:rsidRPr="00624394">
        <w:rPr>
          <w:rFonts w:ascii="Palatino Linotype" w:hAnsi="Palatino Linotype"/>
          <w:i/>
          <w:sz w:val="22"/>
          <w:szCs w:val="22"/>
        </w:rPr>
        <w:tab/>
        <w:t>15%</w:t>
      </w:r>
    </w:p>
    <w:p w:rsidR="007A1F48"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i/>
          <w:sz w:val="22"/>
          <w:szCs w:val="22"/>
        </w:rPr>
        <w:t>Bordillos:</w:t>
      </w:r>
      <w:r w:rsidRPr="00624394">
        <w:rPr>
          <w:rFonts w:ascii="Palatino Linotype" w:hAnsi="Palatino Linotype"/>
          <w:i/>
          <w:sz w:val="22"/>
          <w:szCs w:val="22"/>
        </w:rPr>
        <w:tab/>
      </w:r>
      <w:r w:rsidRPr="00624394">
        <w:rPr>
          <w:rFonts w:ascii="Palatino Linotype" w:hAnsi="Palatino Linotype"/>
          <w:i/>
          <w:sz w:val="22"/>
          <w:szCs w:val="22"/>
        </w:rPr>
        <w:tab/>
        <w:t>15%</w:t>
      </w:r>
      <w:r>
        <w:rPr>
          <w:rFonts w:ascii="Palatino Linotype" w:hAnsi="Palatino Linotype"/>
          <w:i/>
          <w:sz w:val="22"/>
          <w:szCs w:val="22"/>
        </w:rPr>
        <w:t>”</w:t>
      </w:r>
    </w:p>
    <w:p w:rsidR="007A1F48" w:rsidRPr="007A1F48" w:rsidRDefault="007A1F48" w:rsidP="007A1F48">
      <w:pPr>
        <w:spacing w:after="120" w:line="276" w:lineRule="auto"/>
        <w:jc w:val="both"/>
        <w:rPr>
          <w:rFonts w:ascii="Palatino Linotype" w:hAnsi="Palatino Linotype"/>
          <w:i/>
          <w:sz w:val="22"/>
          <w:szCs w:val="22"/>
        </w:rPr>
      </w:pPr>
      <w:r w:rsidRPr="00624394">
        <w:rPr>
          <w:rFonts w:ascii="Palatino Linotype" w:hAnsi="Palatino Linotype"/>
          <w:b/>
          <w:bCs/>
          <w:sz w:val="22"/>
          <w:szCs w:val="22"/>
        </w:rPr>
        <w:t xml:space="preserve">Artículo 13.- </w:t>
      </w:r>
      <w:r w:rsidRPr="00624394">
        <w:rPr>
          <w:rFonts w:ascii="Palatino Linotype" w:hAnsi="Palatino Linotype"/>
          <w:bCs/>
          <w:sz w:val="22"/>
          <w:szCs w:val="22"/>
        </w:rPr>
        <w:t xml:space="preserve">Sustitúyase el artículo 11 de la Ordenanza No. 0370, sancionada el 19 de marzo de 2013, por el siguiente: </w:t>
      </w:r>
    </w:p>
    <w:p w:rsidR="007A1F48" w:rsidRPr="00624394" w:rsidRDefault="007A1F48" w:rsidP="007A1F48">
      <w:pPr>
        <w:spacing w:after="120" w:line="276" w:lineRule="auto"/>
        <w:ind w:left="708"/>
        <w:jc w:val="both"/>
        <w:rPr>
          <w:rFonts w:ascii="Palatino Linotype" w:hAnsi="Palatino Linotype"/>
          <w:i/>
          <w:iCs/>
          <w:sz w:val="22"/>
          <w:szCs w:val="22"/>
        </w:rPr>
      </w:pPr>
      <w:r w:rsidRPr="00624394">
        <w:rPr>
          <w:rFonts w:ascii="Palatino Linotype" w:hAnsi="Palatino Linotype"/>
          <w:b/>
          <w:bCs/>
          <w:i/>
          <w:sz w:val="22"/>
          <w:szCs w:val="22"/>
        </w:rPr>
        <w:t>“Artículo 11.- Del plazo de ejecución de las obras.-</w:t>
      </w:r>
      <w:r w:rsidRPr="00624394">
        <w:rPr>
          <w:rFonts w:ascii="Palatino Linotype" w:hAnsi="Palatino Linotype"/>
          <w:i/>
          <w:sz w:val="22"/>
          <w:szCs w:val="22"/>
        </w:rPr>
        <w:t xml:space="preserve"> El plazo de ejecución de la totalidad de las obras civiles y de infraestructura, será de dos (2) años, </w:t>
      </w:r>
      <w:r w:rsidRPr="00624394">
        <w:rPr>
          <w:rFonts w:ascii="Palatino Linotype" w:hAnsi="Palatino Linotype"/>
          <w:i/>
          <w:iCs/>
          <w:sz w:val="22"/>
          <w:szCs w:val="22"/>
        </w:rPr>
        <w:t xml:space="preserve">de conformidad al cronograma de obras presentado por </w:t>
      </w:r>
      <w:r w:rsidRPr="00624394">
        <w:rPr>
          <w:rFonts w:ascii="Palatino Linotype" w:hAnsi="Palatino Linotype"/>
          <w:i/>
          <w:color w:val="0D0D0D"/>
          <w:sz w:val="22"/>
          <w:szCs w:val="22"/>
        </w:rPr>
        <w:t xml:space="preserve">los copropietarios  del inmueble donde se ubica </w:t>
      </w:r>
      <w:r w:rsidRPr="00624394">
        <w:rPr>
          <w:rFonts w:ascii="Palatino Linotype" w:hAnsi="Palatino Linotype"/>
          <w:i/>
          <w:sz w:val="22"/>
          <w:szCs w:val="22"/>
        </w:rPr>
        <w:t>el asentamiento humano de hecho y consolidado de interés social</w:t>
      </w:r>
      <w:r w:rsidRPr="00624394">
        <w:rPr>
          <w:rFonts w:ascii="Palatino Linotype" w:hAnsi="Palatino Linotype"/>
          <w:b/>
          <w:i/>
          <w:sz w:val="22"/>
          <w:szCs w:val="22"/>
        </w:rPr>
        <w:t xml:space="preserve">, </w:t>
      </w:r>
      <w:r w:rsidRPr="00624394">
        <w:rPr>
          <w:rFonts w:ascii="Palatino Linotype" w:hAnsi="Palatino Linotype"/>
          <w:i/>
          <w:iCs/>
          <w:sz w:val="22"/>
          <w:szCs w:val="22"/>
        </w:rPr>
        <w:t>plazo que se contará a partir de la fecha de inscripción de la presente Ordenanza en el Registro de la Propiedad del Distrito Metropolitano de Quito.</w:t>
      </w:r>
    </w:p>
    <w:p w:rsidR="007A1F48" w:rsidRDefault="007A1F48" w:rsidP="007A1F48">
      <w:pPr>
        <w:spacing w:after="120" w:line="276" w:lineRule="auto"/>
        <w:ind w:left="708"/>
        <w:jc w:val="both"/>
        <w:rPr>
          <w:rFonts w:ascii="Palatino Linotype" w:hAnsi="Palatino Linotype"/>
          <w:i/>
          <w:iCs/>
          <w:sz w:val="22"/>
          <w:szCs w:val="22"/>
        </w:rPr>
      </w:pPr>
      <w:r w:rsidRPr="00624394">
        <w:rPr>
          <w:rFonts w:ascii="Palatino Linotype" w:hAnsi="Palatino Linotype"/>
          <w:i/>
          <w:iCs/>
          <w:sz w:val="22"/>
          <w:szCs w:val="22"/>
        </w:rPr>
        <w:t>Cuando las obras se ejecutaren por autogestión de los copropietarios del inmueble donde se ubica el asentamiento, el valor por contribución especial a mejoras se establecerá de conformidad con la ley.”</w:t>
      </w:r>
    </w:p>
    <w:p w:rsidR="007A1F48" w:rsidRPr="007A1F48" w:rsidRDefault="007A1F48" w:rsidP="007A1F48">
      <w:pPr>
        <w:spacing w:after="120" w:line="276" w:lineRule="auto"/>
        <w:jc w:val="both"/>
        <w:rPr>
          <w:rFonts w:ascii="Palatino Linotype" w:hAnsi="Palatino Linotype"/>
          <w:i/>
          <w:iCs/>
          <w:sz w:val="22"/>
          <w:szCs w:val="22"/>
        </w:rPr>
      </w:pPr>
      <w:r w:rsidRPr="00624394">
        <w:rPr>
          <w:rFonts w:ascii="Palatino Linotype" w:hAnsi="Palatino Linotype"/>
          <w:b/>
          <w:bCs/>
          <w:sz w:val="22"/>
          <w:szCs w:val="22"/>
        </w:rPr>
        <w:t xml:space="preserve">Artículo 14.- </w:t>
      </w:r>
      <w:r w:rsidRPr="00624394">
        <w:rPr>
          <w:rFonts w:ascii="Palatino Linotype" w:hAnsi="Palatino Linotype"/>
          <w:bCs/>
          <w:sz w:val="22"/>
          <w:szCs w:val="22"/>
        </w:rPr>
        <w:t xml:space="preserve">Sustitúyase en los artículos 12 y 14 de la Ordenanza No. 0370, sancionada el 19 de marzo de 2013, lo siguiente: </w:t>
      </w:r>
    </w:p>
    <w:p w:rsidR="007A1F48" w:rsidRPr="00624394" w:rsidRDefault="007A1F48" w:rsidP="007A1F48">
      <w:pPr>
        <w:spacing w:after="120" w:line="276" w:lineRule="auto"/>
        <w:jc w:val="both"/>
        <w:rPr>
          <w:rFonts w:ascii="Palatino Linotype" w:hAnsi="Palatino Linotype"/>
          <w:color w:val="000000" w:themeColor="text1"/>
          <w:sz w:val="22"/>
          <w:szCs w:val="22"/>
        </w:rPr>
      </w:pPr>
      <w:r w:rsidRPr="00624394">
        <w:rPr>
          <w:rFonts w:ascii="Palatino Linotype" w:hAnsi="Palatino Linotype"/>
          <w:bCs/>
          <w:sz w:val="22"/>
          <w:szCs w:val="22"/>
        </w:rPr>
        <w:t>La palabra “</w:t>
      </w:r>
      <w:r w:rsidRPr="007A1F48">
        <w:rPr>
          <w:rFonts w:ascii="Palatino Linotype" w:hAnsi="Palatino Linotype"/>
          <w:bCs/>
          <w:i/>
          <w:sz w:val="22"/>
          <w:szCs w:val="22"/>
        </w:rPr>
        <w:t>urbanización</w:t>
      </w:r>
      <w:r w:rsidRPr="00624394">
        <w:rPr>
          <w:rFonts w:ascii="Palatino Linotype" w:hAnsi="Palatino Linotype"/>
          <w:bCs/>
          <w:sz w:val="22"/>
          <w:szCs w:val="22"/>
        </w:rPr>
        <w:t>”, por las siguientes: “</w:t>
      </w:r>
      <w:r w:rsidRPr="00624394">
        <w:rPr>
          <w:rFonts w:ascii="Palatino Linotype" w:hAnsi="Palatino Linotype"/>
          <w:i/>
          <w:color w:val="000000" w:themeColor="text1"/>
          <w:sz w:val="22"/>
          <w:szCs w:val="22"/>
          <w:lang w:val="es-ES_tradnl"/>
        </w:rPr>
        <w:t xml:space="preserve">obras </w:t>
      </w:r>
      <w:r w:rsidRPr="00624394">
        <w:rPr>
          <w:rFonts w:ascii="Palatino Linotype" w:hAnsi="Palatino Linotype"/>
          <w:i/>
          <w:color w:val="000000" w:themeColor="text1"/>
          <w:sz w:val="22"/>
          <w:szCs w:val="22"/>
        </w:rPr>
        <w:t>civiles y de infraestructura</w:t>
      </w:r>
      <w:r>
        <w:rPr>
          <w:rFonts w:ascii="Palatino Linotype" w:hAnsi="Palatino Linotype"/>
          <w:color w:val="000000" w:themeColor="text1"/>
          <w:sz w:val="22"/>
          <w:szCs w:val="22"/>
        </w:rPr>
        <w:t>”.</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lastRenderedPageBreak/>
        <w:t xml:space="preserve">Artículo 15.- </w:t>
      </w:r>
      <w:r w:rsidRPr="00624394">
        <w:rPr>
          <w:rFonts w:ascii="Palatino Linotype" w:hAnsi="Palatino Linotype"/>
          <w:bCs/>
          <w:sz w:val="22"/>
          <w:szCs w:val="22"/>
        </w:rPr>
        <w:t>Sustitúyase el artículo 13 de la Ordenanza No. 0370, sancionada el 19 de marzo de 2013, por el siguiente:</w:t>
      </w:r>
    </w:p>
    <w:p w:rsidR="007A1F48" w:rsidRPr="00624394" w:rsidRDefault="007A1F48" w:rsidP="007A1F48">
      <w:pPr>
        <w:shd w:val="clear" w:color="auto" w:fill="FFFFFF"/>
        <w:spacing w:after="120" w:line="276" w:lineRule="auto"/>
        <w:ind w:left="708"/>
        <w:jc w:val="both"/>
        <w:rPr>
          <w:rFonts w:ascii="Palatino Linotype" w:hAnsi="Palatino Linotype"/>
          <w:bCs/>
          <w:i/>
          <w:color w:val="000000"/>
          <w:sz w:val="22"/>
          <w:szCs w:val="22"/>
        </w:rPr>
      </w:pPr>
      <w:r w:rsidRPr="00624394">
        <w:rPr>
          <w:rFonts w:ascii="Palatino Linotype" w:hAnsi="Palatino Linotype"/>
          <w:b/>
          <w:bCs/>
          <w:i/>
          <w:sz w:val="22"/>
          <w:szCs w:val="22"/>
        </w:rPr>
        <w:t>“Artículo 13</w:t>
      </w:r>
      <w:r w:rsidRPr="00624394">
        <w:rPr>
          <w:rFonts w:ascii="Palatino Linotype" w:hAnsi="Palatino Linotype"/>
          <w:b/>
          <w:bCs/>
          <w:i/>
          <w:sz w:val="22"/>
          <w:szCs w:val="22"/>
          <w:lang w:val="es-ES_tradnl"/>
        </w:rPr>
        <w:t xml:space="preserve">.- De la multa por retraso en ejecución de obras.- </w:t>
      </w:r>
      <w:r w:rsidRPr="00624394">
        <w:rPr>
          <w:rFonts w:ascii="Palatino Linotype" w:hAnsi="Palatino Linotype"/>
          <w:i/>
          <w:sz w:val="22"/>
          <w:szCs w:val="22"/>
          <w:lang w:val="es-ES_tradnl"/>
        </w:rPr>
        <w:t xml:space="preserve">En caso de retraso en la ejecución de las obras </w:t>
      </w:r>
      <w:r w:rsidRPr="00624394">
        <w:rPr>
          <w:rFonts w:ascii="Palatino Linotype" w:hAnsi="Palatino Linotype"/>
          <w:i/>
          <w:sz w:val="22"/>
          <w:szCs w:val="22"/>
        </w:rPr>
        <w:t>civiles y de infraestructura</w:t>
      </w:r>
      <w:r w:rsidRPr="00624394">
        <w:rPr>
          <w:rFonts w:ascii="Palatino Linotype" w:hAnsi="Palatino Linotype"/>
          <w:i/>
          <w:sz w:val="22"/>
          <w:szCs w:val="22"/>
          <w:lang w:val="es-ES_tradnl"/>
        </w:rPr>
        <w:t>,</w:t>
      </w:r>
      <w:r w:rsidRPr="00624394">
        <w:rPr>
          <w:rFonts w:ascii="Palatino Linotype" w:hAnsi="Palatino Linotype"/>
          <w:i/>
          <w:color w:val="0D0D0D"/>
          <w:sz w:val="22"/>
          <w:szCs w:val="22"/>
        </w:rPr>
        <w:t xml:space="preserve"> los copropietarios del inmueble sobre el cual se ubica </w:t>
      </w:r>
      <w:r w:rsidRPr="00624394">
        <w:rPr>
          <w:rFonts w:ascii="Palatino Linotype" w:hAnsi="Palatino Linotype"/>
          <w:i/>
          <w:sz w:val="22"/>
          <w:szCs w:val="22"/>
        </w:rPr>
        <w:t>el Asentamiento Humano de Hecho y Consolidado denominado</w:t>
      </w:r>
      <w:r w:rsidRPr="00624394">
        <w:rPr>
          <w:rFonts w:ascii="Palatino Linotype" w:hAnsi="Palatino Linotype"/>
          <w:bCs/>
          <w:i/>
          <w:sz w:val="22"/>
          <w:szCs w:val="22"/>
        </w:rPr>
        <w:t xml:space="preserve"> </w:t>
      </w:r>
      <w:r w:rsidRPr="00624394">
        <w:rPr>
          <w:rFonts w:ascii="Palatino Linotype" w:hAnsi="Palatino Linotype"/>
          <w:i/>
          <w:sz w:val="22"/>
          <w:szCs w:val="22"/>
        </w:rPr>
        <w:t xml:space="preserve">Comité Barrial “Brisas del Norte” y Otros, ubicado en la parroquia Calderón, </w:t>
      </w:r>
      <w:r w:rsidRPr="00624394">
        <w:rPr>
          <w:rFonts w:ascii="Palatino Linotype" w:hAnsi="Palatino Linotype"/>
          <w:bCs/>
          <w:i/>
          <w:iCs/>
          <w:sz w:val="22"/>
          <w:szCs w:val="22"/>
        </w:rPr>
        <w:t>s</w:t>
      </w:r>
      <w:r w:rsidRPr="00624394">
        <w:rPr>
          <w:rFonts w:ascii="Palatino Linotype" w:hAnsi="Palatino Linotype"/>
          <w:bCs/>
          <w:i/>
          <w:color w:val="000000"/>
          <w:sz w:val="22"/>
          <w:szCs w:val="22"/>
        </w:rPr>
        <w:t>e sujetarán a las sanciones contempladas en el Ordenamiento Jurídico Nacional y Metropolitano.”</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16.- </w:t>
      </w:r>
      <w:r w:rsidRPr="00624394">
        <w:rPr>
          <w:rFonts w:ascii="Palatino Linotype" w:hAnsi="Palatino Linotype"/>
          <w:bCs/>
          <w:sz w:val="22"/>
          <w:szCs w:val="22"/>
        </w:rPr>
        <w:t>Sustitúyase el artículo 15 de la Ordenanza No. 0370, sancionada el 19 de marzo de 2013, por el siguiente:</w:t>
      </w:r>
    </w:p>
    <w:p w:rsidR="007A1F48" w:rsidRPr="00624394" w:rsidRDefault="007A1F48" w:rsidP="007A1F48">
      <w:pPr>
        <w:pStyle w:val="NormalWeb"/>
        <w:spacing w:before="0" w:beforeAutospacing="0" w:after="120" w:afterAutospacing="0" w:line="276" w:lineRule="auto"/>
        <w:ind w:left="708"/>
        <w:jc w:val="both"/>
        <w:rPr>
          <w:rFonts w:ascii="Palatino Linotype" w:hAnsi="Palatino Linotype"/>
          <w:i/>
          <w:sz w:val="22"/>
          <w:szCs w:val="22"/>
          <w:lang w:val="es-ES_tradnl"/>
        </w:rPr>
      </w:pPr>
      <w:r w:rsidRPr="00624394">
        <w:rPr>
          <w:rFonts w:ascii="Palatino Linotype" w:hAnsi="Palatino Linotype"/>
          <w:b/>
          <w:i/>
          <w:sz w:val="22"/>
          <w:szCs w:val="22"/>
        </w:rPr>
        <w:t>“</w:t>
      </w:r>
      <w:r w:rsidRPr="00624394">
        <w:rPr>
          <w:rFonts w:ascii="Palatino Linotype" w:hAnsi="Palatino Linotype"/>
          <w:b/>
          <w:bCs/>
          <w:i/>
          <w:sz w:val="22"/>
          <w:szCs w:val="22"/>
          <w:lang w:val="es-ES_tradnl"/>
        </w:rPr>
        <w:t xml:space="preserve">Artículo 15.- De la </w:t>
      </w:r>
      <w:r>
        <w:rPr>
          <w:rFonts w:ascii="Palatino Linotype" w:hAnsi="Palatino Linotype"/>
          <w:b/>
          <w:bCs/>
          <w:i/>
          <w:sz w:val="22"/>
          <w:szCs w:val="22"/>
          <w:lang w:val="es-ES_tradnl"/>
        </w:rPr>
        <w:t>p</w:t>
      </w:r>
      <w:r w:rsidRPr="00624394">
        <w:rPr>
          <w:rFonts w:ascii="Palatino Linotype" w:hAnsi="Palatino Linotype"/>
          <w:b/>
          <w:bCs/>
          <w:i/>
          <w:sz w:val="22"/>
          <w:szCs w:val="22"/>
          <w:lang w:val="es-ES_tradnl"/>
        </w:rPr>
        <w:t xml:space="preserve">rotocolización e </w:t>
      </w:r>
      <w:r>
        <w:rPr>
          <w:rFonts w:ascii="Palatino Linotype" w:hAnsi="Palatino Linotype"/>
          <w:b/>
          <w:bCs/>
          <w:i/>
          <w:sz w:val="22"/>
          <w:szCs w:val="22"/>
          <w:lang w:val="es-ES_tradnl"/>
        </w:rPr>
        <w:t>inscripción de la o</w:t>
      </w:r>
      <w:r w:rsidRPr="00624394">
        <w:rPr>
          <w:rFonts w:ascii="Palatino Linotype" w:hAnsi="Palatino Linotype"/>
          <w:b/>
          <w:bCs/>
          <w:i/>
          <w:sz w:val="22"/>
          <w:szCs w:val="22"/>
          <w:lang w:val="es-ES_tradnl"/>
        </w:rPr>
        <w:t xml:space="preserve">rdenanza.- </w:t>
      </w:r>
      <w:r w:rsidRPr="00624394">
        <w:rPr>
          <w:rFonts w:ascii="Palatino Linotype" w:hAnsi="Palatino Linotype"/>
          <w:i/>
          <w:color w:val="0D0D0D"/>
          <w:sz w:val="22"/>
          <w:szCs w:val="22"/>
        </w:rPr>
        <w:t>Los copropietarios del predio donde se ubica e</w:t>
      </w:r>
      <w:r w:rsidRPr="00624394">
        <w:rPr>
          <w:rFonts w:ascii="Palatino Linotype" w:hAnsi="Palatino Linotype"/>
          <w:bCs/>
          <w:i/>
          <w:iCs/>
          <w:sz w:val="22"/>
          <w:szCs w:val="22"/>
        </w:rPr>
        <w:t xml:space="preserve">l </w:t>
      </w:r>
      <w:r w:rsidRPr="00624394">
        <w:rPr>
          <w:rFonts w:ascii="Palatino Linotype" w:hAnsi="Palatino Linotype"/>
          <w:i/>
          <w:sz w:val="22"/>
          <w:szCs w:val="22"/>
        </w:rPr>
        <w:t>Asentamiento Humano de Hecho y Consolidado de Interés Social denominado Comité Barrial “Brisas del Norte” y Otros, ubicado en la parroquia Calderón posterior a la sanción de la presente ordenanza deberán</w:t>
      </w:r>
      <w:r w:rsidRPr="00624394">
        <w:rPr>
          <w:rFonts w:ascii="Palatino Linotype" w:hAnsi="Palatino Linotype"/>
          <w:i/>
          <w:sz w:val="22"/>
          <w:szCs w:val="22"/>
          <w:lang w:val="es-ES_tradnl"/>
        </w:rPr>
        <w:t xml:space="preserve"> </w:t>
      </w:r>
      <w:r w:rsidRPr="00624394">
        <w:rPr>
          <w:rFonts w:ascii="Palatino Linotype" w:hAnsi="Palatino Linotype"/>
          <w:i/>
          <w:sz w:val="22"/>
          <w:szCs w:val="22"/>
        </w:rPr>
        <w:t xml:space="preserve">protocolizar la presente Ordenanza ante Notario Público e inscribirla en el Registro de la Propiedad del Distrito Metropolitano de Quito, </w:t>
      </w:r>
      <w:r w:rsidRPr="00624394">
        <w:rPr>
          <w:rFonts w:ascii="Palatino Linotype" w:hAnsi="Palatino Linotype"/>
          <w:i/>
          <w:sz w:val="22"/>
          <w:szCs w:val="22"/>
          <w:lang w:val="es-ES_tradnl"/>
        </w:rPr>
        <w:t>con todos sus documentos habilitantes;</w:t>
      </w:r>
    </w:p>
    <w:p w:rsidR="007A1F48" w:rsidRPr="00624394" w:rsidRDefault="007A1F48" w:rsidP="007A1F48">
      <w:pPr>
        <w:spacing w:after="120" w:line="276" w:lineRule="auto"/>
        <w:ind w:left="708"/>
        <w:jc w:val="both"/>
        <w:rPr>
          <w:rFonts w:ascii="Palatino Linotype" w:hAnsi="Palatino Linotype"/>
          <w:i/>
          <w:sz w:val="22"/>
          <w:szCs w:val="22"/>
          <w:lang w:val="es-ES_tradnl"/>
        </w:rPr>
      </w:pPr>
      <w:r w:rsidRPr="00624394">
        <w:rPr>
          <w:rFonts w:ascii="Palatino Linotype" w:hAnsi="Palatino Linotype"/>
          <w:i/>
          <w:sz w:val="22"/>
          <w:szCs w:val="22"/>
          <w:lang w:val="es-ES_tradnl"/>
        </w:rPr>
        <w:t>En caso de no legalizar la presente Ordenanza, está caducará conforme lo determinado en la normativa nacional vigente.</w:t>
      </w:r>
    </w:p>
    <w:p w:rsidR="007A1F48" w:rsidRPr="00624394" w:rsidRDefault="007A1F48" w:rsidP="007A1F48">
      <w:pPr>
        <w:spacing w:after="120" w:line="276" w:lineRule="auto"/>
        <w:ind w:left="709"/>
        <w:jc w:val="both"/>
        <w:rPr>
          <w:rFonts w:ascii="Palatino Linotype" w:hAnsi="Palatino Linotype"/>
          <w:i/>
          <w:sz w:val="22"/>
          <w:szCs w:val="22"/>
          <w:lang w:val="es-ES_tradnl"/>
        </w:rPr>
      </w:pPr>
      <w:r w:rsidRPr="00624394">
        <w:rPr>
          <w:rFonts w:ascii="Palatino Linotype" w:hAnsi="Palatino Linotype"/>
          <w:i/>
          <w:sz w:val="22"/>
          <w:szCs w:val="22"/>
          <w:lang w:val="es-ES_tradnl"/>
        </w:rPr>
        <w:t>La inscripción de la presente ordenanza servirá como título de dominio para efectos de la transferencia de áreas verdes, en caso de que existan”.</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 xml:space="preserve">Artículo 17.- </w:t>
      </w:r>
      <w:r w:rsidRPr="00624394">
        <w:rPr>
          <w:rFonts w:ascii="Palatino Linotype" w:hAnsi="Palatino Linotype"/>
          <w:bCs/>
          <w:sz w:val="22"/>
          <w:szCs w:val="22"/>
        </w:rPr>
        <w:t>Elimínese el artículo 18 de la Ordenanza No. 0370, sancionada el 19 de marzo de 2013.</w:t>
      </w:r>
    </w:p>
    <w:p w:rsidR="007A1F48" w:rsidRPr="00624394" w:rsidRDefault="007A1F48" w:rsidP="007A1F48">
      <w:pPr>
        <w:pStyle w:val="Ttulo7"/>
        <w:spacing w:before="0" w:after="120" w:line="276" w:lineRule="auto"/>
        <w:jc w:val="both"/>
        <w:rPr>
          <w:rFonts w:ascii="Palatino Linotype" w:hAnsi="Palatino Linotype"/>
          <w:bCs/>
          <w:i/>
          <w:sz w:val="22"/>
          <w:szCs w:val="22"/>
        </w:rPr>
      </w:pPr>
      <w:r w:rsidRPr="00624394">
        <w:rPr>
          <w:rFonts w:ascii="Palatino Linotype" w:hAnsi="Palatino Linotype"/>
          <w:b/>
          <w:bCs/>
          <w:sz w:val="22"/>
          <w:szCs w:val="22"/>
        </w:rPr>
        <w:t>Artículo 18.-</w:t>
      </w:r>
      <w:r w:rsidRPr="00624394">
        <w:rPr>
          <w:rFonts w:ascii="Palatino Linotype" w:hAnsi="Palatino Linotype"/>
          <w:bCs/>
          <w:sz w:val="22"/>
          <w:szCs w:val="22"/>
        </w:rPr>
        <w:t xml:space="preserve"> Agréguese los siguientes artículos </w:t>
      </w:r>
      <w:proofErr w:type="spellStart"/>
      <w:r w:rsidRPr="00624394">
        <w:rPr>
          <w:rFonts w:ascii="Palatino Linotype" w:hAnsi="Palatino Linotype"/>
          <w:bCs/>
          <w:sz w:val="22"/>
          <w:szCs w:val="22"/>
        </w:rPr>
        <w:t>innumerados</w:t>
      </w:r>
      <w:proofErr w:type="spellEnd"/>
      <w:r w:rsidRPr="00624394">
        <w:rPr>
          <w:rFonts w:ascii="Palatino Linotype" w:hAnsi="Palatino Linotype"/>
          <w:bCs/>
          <w:sz w:val="22"/>
          <w:szCs w:val="22"/>
        </w:rPr>
        <w:t xml:space="preserve"> después del artículo 18 de la Ordenanza No. 0370, sancionada el 19 de marzo de 2013:</w:t>
      </w:r>
    </w:p>
    <w:p w:rsidR="007A1F48" w:rsidRPr="00624394" w:rsidRDefault="007A1F48" w:rsidP="007A1F48">
      <w:pPr>
        <w:spacing w:after="120" w:line="276" w:lineRule="auto"/>
        <w:ind w:left="708"/>
        <w:jc w:val="both"/>
        <w:rPr>
          <w:rFonts w:ascii="Palatino Linotype" w:hAnsi="Palatino Linotype"/>
          <w:i/>
          <w:sz w:val="22"/>
          <w:szCs w:val="22"/>
        </w:rPr>
      </w:pPr>
      <w:r w:rsidRPr="00624394">
        <w:rPr>
          <w:rFonts w:ascii="Palatino Linotype" w:hAnsi="Palatino Linotype"/>
          <w:b/>
          <w:bCs/>
          <w:i/>
          <w:sz w:val="22"/>
          <w:szCs w:val="22"/>
        </w:rPr>
        <w:t xml:space="preserve">“Artículo (….).- Informe Técnico de Evaluación de Riesgos de la Secretaría General de Seguridad y Gobernabilidad.- </w:t>
      </w:r>
      <w:r w:rsidRPr="00624394">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624394">
        <w:rPr>
          <w:rFonts w:ascii="Palatino Linotype" w:hAnsi="Palatino Linotype"/>
          <w:i/>
          <w:color w:val="2A2A2A"/>
          <w:sz w:val="22"/>
          <w:szCs w:val="22"/>
        </w:rPr>
        <w:t xml:space="preserve">, </w:t>
      </w:r>
      <w:r w:rsidRPr="00624394">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7A1F48" w:rsidRPr="00624394" w:rsidRDefault="007A1F48" w:rsidP="007A1F48">
      <w:pPr>
        <w:spacing w:after="120" w:line="276" w:lineRule="auto"/>
        <w:ind w:left="708"/>
        <w:jc w:val="both"/>
        <w:rPr>
          <w:rFonts w:ascii="Palatino Linotype" w:hAnsi="Palatino Linotype"/>
          <w:i/>
          <w:color w:val="2A2A2A"/>
          <w:sz w:val="22"/>
          <w:szCs w:val="22"/>
        </w:rPr>
      </w:pPr>
      <w:r w:rsidRPr="00624394">
        <w:rPr>
          <w:rFonts w:ascii="Palatino Linotype" w:hAnsi="Palatino Linotype"/>
          <w:i/>
          <w:color w:val="2A2A2A"/>
          <w:sz w:val="22"/>
          <w:szCs w:val="22"/>
        </w:rPr>
        <w:lastRenderedPageBreak/>
        <w:t xml:space="preserve">La Agencia Metropolitana de Control realizará el seguimiento en la ejecución y avance de las obras de mitigación hasta la terminación de las mismas. </w:t>
      </w:r>
    </w:p>
    <w:p w:rsidR="007A1F48" w:rsidRPr="00624394" w:rsidRDefault="007A1F48" w:rsidP="007A1F48">
      <w:pPr>
        <w:spacing w:after="120" w:line="276" w:lineRule="auto"/>
        <w:ind w:left="708"/>
        <w:jc w:val="both"/>
        <w:rPr>
          <w:rFonts w:ascii="Palatino Linotype" w:hAnsi="Palatino Linotype"/>
          <w:bCs/>
          <w:i/>
          <w:sz w:val="22"/>
          <w:szCs w:val="22"/>
        </w:rPr>
      </w:pPr>
      <w:r w:rsidRPr="00624394">
        <w:rPr>
          <w:rFonts w:ascii="Palatino Linotype" w:hAnsi="Palatino Linotype"/>
          <w:bCs/>
          <w:i/>
          <w:sz w:val="22"/>
          <w:szCs w:val="22"/>
        </w:rPr>
        <w:t xml:space="preserve">El </w:t>
      </w:r>
      <w:r w:rsidRPr="00624394">
        <w:rPr>
          <w:rFonts w:ascii="Palatino Linotype" w:hAnsi="Palatino Linotype"/>
          <w:i/>
          <w:sz w:val="22"/>
          <w:szCs w:val="22"/>
        </w:rPr>
        <w:t>Asentamiento Humano de Hecho y Consolidado de Interés Social denominado</w:t>
      </w:r>
      <w:r w:rsidRPr="00624394">
        <w:rPr>
          <w:rFonts w:ascii="Palatino Linotype" w:hAnsi="Palatino Linotype"/>
          <w:bCs/>
          <w:i/>
          <w:sz w:val="22"/>
          <w:szCs w:val="22"/>
        </w:rPr>
        <w:t xml:space="preserve"> </w:t>
      </w:r>
      <w:r w:rsidRPr="00624394">
        <w:rPr>
          <w:rFonts w:ascii="Palatino Linotype" w:hAnsi="Palatino Linotype"/>
          <w:i/>
          <w:sz w:val="22"/>
          <w:szCs w:val="22"/>
        </w:rPr>
        <w:t xml:space="preserve">Comité Barrial “Brisas del Norte” y Otros, </w:t>
      </w:r>
      <w:r w:rsidRPr="00624394">
        <w:rPr>
          <w:rFonts w:ascii="Palatino Linotype" w:hAnsi="Palatino Linotype"/>
          <w:bCs/>
          <w:i/>
          <w:sz w:val="22"/>
          <w:szCs w:val="22"/>
        </w:rPr>
        <w:t xml:space="preserve">deberá cumplir con lo establecido  dentro de la calificación del riesgo y acatar las recomendaciones que se encuentran determinadas </w:t>
      </w:r>
      <w:r w:rsidRPr="00624394">
        <w:rPr>
          <w:rFonts w:ascii="Palatino Linotype" w:hAnsi="Palatino Linotype"/>
          <w:i/>
          <w:color w:val="000000"/>
          <w:sz w:val="22"/>
          <w:szCs w:val="22"/>
          <w:shd w:val="clear" w:color="auto" w:fill="FFFFFF"/>
        </w:rPr>
        <w:t xml:space="preserve">en el informe de la Dirección Metropolitana de Gestión de Riesgos </w:t>
      </w:r>
      <w:r w:rsidRPr="00624394">
        <w:rPr>
          <w:rFonts w:ascii="Palatino Linotype" w:hAnsi="Palatino Linotype"/>
          <w:bCs/>
          <w:i/>
          <w:sz w:val="22"/>
          <w:szCs w:val="22"/>
        </w:rPr>
        <w:t>No. 255-AT-</w:t>
      </w:r>
      <w:proofErr w:type="spellStart"/>
      <w:r w:rsidRPr="00624394">
        <w:rPr>
          <w:rFonts w:ascii="Palatino Linotype" w:hAnsi="Palatino Linotype"/>
          <w:bCs/>
          <w:i/>
          <w:sz w:val="22"/>
          <w:szCs w:val="22"/>
        </w:rPr>
        <w:t>DMGR</w:t>
      </w:r>
      <w:proofErr w:type="spellEnd"/>
      <w:r w:rsidRPr="00624394">
        <w:rPr>
          <w:rFonts w:ascii="Palatino Linotype" w:hAnsi="Palatino Linotype"/>
          <w:bCs/>
          <w:i/>
          <w:sz w:val="22"/>
          <w:szCs w:val="22"/>
        </w:rPr>
        <w:t>-2017, del 16 de noviembre de 2017 el mismo establece que:</w:t>
      </w:r>
    </w:p>
    <w:p w:rsidR="007A1F48" w:rsidRPr="00624394" w:rsidRDefault="007A1F48" w:rsidP="007A1F48">
      <w:pPr>
        <w:spacing w:after="120" w:line="276" w:lineRule="auto"/>
        <w:ind w:left="708"/>
        <w:contextualSpacing/>
        <w:jc w:val="both"/>
        <w:rPr>
          <w:rFonts w:ascii="Palatino Linotype" w:hAnsi="Palatino Linotype"/>
          <w:b/>
          <w:bCs/>
          <w:i/>
          <w:sz w:val="22"/>
          <w:szCs w:val="22"/>
        </w:rPr>
      </w:pPr>
      <w:r w:rsidRPr="00624394">
        <w:rPr>
          <w:rFonts w:ascii="Palatino Linotype" w:hAnsi="Palatino Linotype"/>
          <w:b/>
          <w:bCs/>
          <w:i/>
          <w:sz w:val="22"/>
          <w:szCs w:val="22"/>
        </w:rPr>
        <w:t>“6  CALIFICACIÓN DEL RIESGO</w:t>
      </w:r>
    </w:p>
    <w:p w:rsidR="007A1F48" w:rsidRPr="00624394" w:rsidRDefault="007A1F48" w:rsidP="007A1F48">
      <w:pPr>
        <w:spacing w:after="120" w:line="276" w:lineRule="auto"/>
        <w:ind w:left="1139"/>
        <w:jc w:val="both"/>
        <w:rPr>
          <w:rFonts w:ascii="Palatino Linotype" w:hAnsi="Palatino Linotype"/>
          <w:i/>
          <w:sz w:val="22"/>
          <w:szCs w:val="22"/>
        </w:rPr>
      </w:pPr>
      <w:r w:rsidRPr="00624394">
        <w:rPr>
          <w:rFonts w:ascii="Palatino Linotype" w:hAnsi="Palatino Linotype"/>
          <w:i/>
          <w:sz w:val="22"/>
          <w:szCs w:val="22"/>
        </w:rPr>
        <w:t xml:space="preserve">La zona en estudio, una vez realizada la inspección técnica al </w:t>
      </w:r>
      <w:proofErr w:type="spellStart"/>
      <w:r w:rsidRPr="00624394">
        <w:rPr>
          <w:rFonts w:ascii="Palatino Linotype" w:hAnsi="Palatino Linotype"/>
          <w:i/>
          <w:sz w:val="22"/>
          <w:szCs w:val="22"/>
        </w:rPr>
        <w:t>AHHYC</w:t>
      </w:r>
      <w:proofErr w:type="spellEnd"/>
      <w:r w:rsidRPr="00624394">
        <w:rPr>
          <w:rFonts w:ascii="Palatino Linotype" w:hAnsi="Palatino Linotype"/>
          <w:i/>
          <w:sz w:val="22"/>
          <w:szCs w:val="22"/>
        </w:rPr>
        <w:t xml:space="preserve"> “Brisas del Norte” de la Parroquia Calderón, considerando las amenazas, exposición y vulnerabilidades identificadas se determina que:</w:t>
      </w:r>
    </w:p>
    <w:p w:rsidR="007A1F48" w:rsidRPr="00624394" w:rsidRDefault="007A1F48" w:rsidP="007A1F48">
      <w:pPr>
        <w:pStyle w:val="Prrafodelista"/>
        <w:numPr>
          <w:ilvl w:val="0"/>
          <w:numId w:val="38"/>
        </w:numPr>
        <w:spacing w:after="120" w:line="276" w:lineRule="auto"/>
        <w:ind w:left="1417" w:hanging="284"/>
        <w:jc w:val="both"/>
        <w:rPr>
          <w:rFonts w:ascii="Palatino Linotype" w:hAnsi="Palatino Linotype"/>
          <w:i/>
          <w:sz w:val="22"/>
          <w:szCs w:val="22"/>
        </w:rPr>
      </w:pPr>
      <w:r w:rsidRPr="00624394">
        <w:rPr>
          <w:rFonts w:ascii="Palatino Linotype" w:hAnsi="Palatino Linotype"/>
          <w:b/>
          <w:i/>
          <w:sz w:val="22"/>
          <w:szCs w:val="22"/>
        </w:rPr>
        <w:t xml:space="preserve">Riesgo por movimientos en masa: </w:t>
      </w:r>
      <w:r w:rsidRPr="00624394">
        <w:rPr>
          <w:rFonts w:ascii="Palatino Linotype" w:hAnsi="Palatino Linotype"/>
          <w:i/>
          <w:sz w:val="22"/>
          <w:szCs w:val="22"/>
        </w:rPr>
        <w:t>el  asentamiento evaluado presenta condiciones de Bajo Riesgo, esto debido a que no se observaron condiciones físicas en el terreno que representen amenaza, ni tampoco condiciones de exposición, para que ocurran movimientos en masa que puedan ocasionar daños o pérdidas.</w:t>
      </w:r>
    </w:p>
    <w:p w:rsidR="007A1F48" w:rsidRPr="00624394" w:rsidRDefault="007A1F48" w:rsidP="007A1F48">
      <w:pPr>
        <w:pStyle w:val="Prrafodelista"/>
        <w:numPr>
          <w:ilvl w:val="0"/>
          <w:numId w:val="38"/>
        </w:numPr>
        <w:spacing w:after="120" w:line="276" w:lineRule="auto"/>
        <w:ind w:left="1417" w:hanging="284"/>
        <w:jc w:val="both"/>
        <w:rPr>
          <w:rFonts w:ascii="Palatino Linotype" w:hAnsi="Palatino Linotype"/>
          <w:i/>
          <w:sz w:val="22"/>
          <w:szCs w:val="22"/>
        </w:rPr>
      </w:pPr>
      <w:r w:rsidRPr="00624394">
        <w:rPr>
          <w:rFonts w:ascii="Palatino Linotype" w:hAnsi="Palatino Linotype"/>
          <w:b/>
          <w:i/>
          <w:sz w:val="22"/>
          <w:szCs w:val="22"/>
        </w:rPr>
        <w:t>Riesgo por eventos sísmicos:</w:t>
      </w:r>
      <w:r w:rsidRPr="00624394">
        <w:rPr>
          <w:rFonts w:ascii="Palatino Linotype" w:hAnsi="Palatino Linotype"/>
          <w:i/>
          <w:sz w:val="22"/>
          <w:szCs w:val="22"/>
        </w:rPr>
        <w:t xml:space="preserve"> de manera general, todo el </w:t>
      </w:r>
      <w:proofErr w:type="spellStart"/>
      <w:r w:rsidRPr="00624394">
        <w:rPr>
          <w:rFonts w:ascii="Palatino Linotype" w:hAnsi="Palatino Linotype"/>
          <w:i/>
          <w:sz w:val="22"/>
          <w:szCs w:val="22"/>
        </w:rPr>
        <w:t>AHHYC</w:t>
      </w:r>
      <w:proofErr w:type="spellEnd"/>
      <w:r w:rsidRPr="00624394">
        <w:rPr>
          <w:rFonts w:ascii="Palatino Linotype" w:hAnsi="Palatino Linotype"/>
          <w:i/>
          <w:sz w:val="22"/>
          <w:szCs w:val="22"/>
        </w:rPr>
        <w:t xml:space="preserve"> “Brisas del Norte”  de la Parroquia Calderón presenta condiciones de </w:t>
      </w:r>
      <w:r w:rsidRPr="00624394">
        <w:rPr>
          <w:rFonts w:ascii="Palatino Linotype" w:hAnsi="Palatino Linotype"/>
          <w:i/>
          <w:sz w:val="22"/>
          <w:szCs w:val="22"/>
          <w:u w:val="single"/>
        </w:rPr>
        <w:t>Riesgo Alto Mitigable</w:t>
      </w:r>
      <w:r w:rsidRPr="00624394">
        <w:rPr>
          <w:rFonts w:ascii="Palatino Linotype" w:hAnsi="Palatino Linotype"/>
          <w:i/>
          <w:sz w:val="22"/>
          <w:szCs w:val="22"/>
        </w:rPr>
        <w:t>, debido a la vulnerabilidad de sus construcciones, el tipo de suelo y la cercanía a una fuente sísmica (falla geológica).</w:t>
      </w:r>
    </w:p>
    <w:p w:rsidR="007A1F48" w:rsidRPr="00624394" w:rsidRDefault="007A1F48" w:rsidP="007A1F48">
      <w:pPr>
        <w:pStyle w:val="Prrafodelista"/>
        <w:numPr>
          <w:ilvl w:val="0"/>
          <w:numId w:val="38"/>
        </w:numPr>
        <w:spacing w:after="120" w:line="276" w:lineRule="auto"/>
        <w:ind w:left="1417" w:hanging="283"/>
        <w:contextualSpacing/>
        <w:jc w:val="both"/>
        <w:rPr>
          <w:rFonts w:ascii="Palatino Linotype" w:hAnsi="Palatino Linotype"/>
          <w:i/>
          <w:sz w:val="22"/>
          <w:szCs w:val="22"/>
        </w:rPr>
      </w:pPr>
      <w:r w:rsidRPr="00624394">
        <w:rPr>
          <w:rFonts w:ascii="Palatino Linotype" w:hAnsi="Palatino Linotype"/>
          <w:b/>
          <w:i/>
          <w:sz w:val="22"/>
          <w:szCs w:val="22"/>
        </w:rPr>
        <w:t>Riesgo por fenómenos volcánicos:</w:t>
      </w:r>
      <w:r w:rsidRPr="00624394">
        <w:rPr>
          <w:rFonts w:ascii="Palatino Linotype" w:hAnsi="Palatino Linotype"/>
          <w:i/>
          <w:sz w:val="22"/>
          <w:szCs w:val="22"/>
        </w:rPr>
        <w:t xml:space="preserve"> el principal fenómeno volcánico al que está expuesto el </w:t>
      </w:r>
      <w:proofErr w:type="spellStart"/>
      <w:r w:rsidRPr="00624394">
        <w:rPr>
          <w:rFonts w:ascii="Palatino Linotype" w:hAnsi="Palatino Linotype"/>
          <w:i/>
          <w:sz w:val="22"/>
          <w:szCs w:val="22"/>
        </w:rPr>
        <w:t>AHHYC</w:t>
      </w:r>
      <w:proofErr w:type="spellEnd"/>
      <w:r w:rsidRPr="00624394">
        <w:rPr>
          <w:rFonts w:ascii="Palatino Linotype" w:hAnsi="Palatino Linotype"/>
          <w:i/>
          <w:sz w:val="22"/>
          <w:szCs w:val="22"/>
        </w:rPr>
        <w:t xml:space="preserve"> “Brisas del Norte”  de la Parroquia Calderón, así como la región norte del </w:t>
      </w:r>
      <w:proofErr w:type="spellStart"/>
      <w:r w:rsidRPr="00624394">
        <w:rPr>
          <w:rFonts w:ascii="Palatino Linotype" w:hAnsi="Palatino Linotype"/>
          <w:i/>
          <w:sz w:val="22"/>
          <w:szCs w:val="22"/>
        </w:rPr>
        <w:t>DMQ</w:t>
      </w:r>
      <w:proofErr w:type="spellEnd"/>
      <w:r w:rsidRPr="00624394">
        <w:rPr>
          <w:rFonts w:ascii="Palatino Linotype" w:hAnsi="Palatino Linotype"/>
          <w:i/>
          <w:sz w:val="22"/>
          <w:szCs w:val="22"/>
        </w:rPr>
        <w:t xml:space="preserve">, es la potencial caída </w:t>
      </w:r>
      <w:proofErr w:type="spellStart"/>
      <w:r w:rsidRPr="00624394">
        <w:rPr>
          <w:rFonts w:ascii="Palatino Linotype" w:hAnsi="Palatino Linotype"/>
          <w:i/>
          <w:sz w:val="22"/>
          <w:szCs w:val="22"/>
        </w:rPr>
        <w:t>piroclastos</w:t>
      </w:r>
      <w:proofErr w:type="spellEnd"/>
      <w:r w:rsidRPr="00624394">
        <w:rPr>
          <w:rFonts w:ascii="Palatino Linotype" w:hAnsi="Palatino Linotype"/>
          <w:i/>
          <w:sz w:val="22"/>
          <w:szCs w:val="22"/>
        </w:rPr>
        <w:t xml:space="preserve"> (material sólido de tamaño ceniza y/o lapilli) de los volcanes Guagua Pichincha, Cotopaxi, Reventador y </w:t>
      </w:r>
      <w:proofErr w:type="spellStart"/>
      <w:r w:rsidRPr="00624394">
        <w:rPr>
          <w:rFonts w:ascii="Palatino Linotype" w:hAnsi="Palatino Linotype"/>
          <w:i/>
          <w:sz w:val="22"/>
          <w:szCs w:val="22"/>
        </w:rPr>
        <w:t>Pululahua</w:t>
      </w:r>
      <w:proofErr w:type="spellEnd"/>
      <w:r w:rsidRPr="00624394">
        <w:rPr>
          <w:rFonts w:ascii="Palatino Linotype" w:hAnsi="Palatino Linotype"/>
          <w:i/>
          <w:sz w:val="22"/>
          <w:szCs w:val="22"/>
        </w:rPr>
        <w:t xml:space="preserve">; ante esta amenaza se presenta un </w:t>
      </w:r>
      <w:r w:rsidRPr="00624394">
        <w:rPr>
          <w:rFonts w:ascii="Palatino Linotype" w:hAnsi="Palatino Linotype"/>
          <w:i/>
          <w:sz w:val="22"/>
          <w:szCs w:val="22"/>
          <w:u w:val="single"/>
        </w:rPr>
        <w:t>Riesgo Bajo Mitigable</w:t>
      </w:r>
      <w:r w:rsidRPr="00624394">
        <w:rPr>
          <w:rFonts w:ascii="Palatino Linotype" w:hAnsi="Palatino Linotype"/>
          <w:i/>
          <w:sz w:val="22"/>
          <w:szCs w:val="22"/>
        </w:rPr>
        <w:t>.</w:t>
      </w:r>
    </w:p>
    <w:p w:rsidR="007A1F48" w:rsidRPr="00624394" w:rsidRDefault="007A1F48" w:rsidP="007A1F48">
      <w:pPr>
        <w:spacing w:after="120" w:line="276" w:lineRule="auto"/>
        <w:ind w:left="1139"/>
        <w:jc w:val="both"/>
        <w:rPr>
          <w:rFonts w:ascii="Palatino Linotype" w:hAnsi="Palatino Linotype"/>
          <w:i/>
          <w:sz w:val="22"/>
          <w:szCs w:val="22"/>
        </w:rPr>
      </w:pPr>
      <w:r w:rsidRPr="00624394">
        <w:rPr>
          <w:rFonts w:ascii="Palatino Linotype" w:hAnsi="Palatino Linotype"/>
          <w:i/>
          <w:sz w:val="22"/>
          <w:szCs w:val="22"/>
        </w:rPr>
        <w:t xml:space="preserve">Por lo tanto, la </w:t>
      </w:r>
      <w:proofErr w:type="spellStart"/>
      <w:r w:rsidRPr="00624394">
        <w:rPr>
          <w:rFonts w:ascii="Palatino Linotype" w:hAnsi="Palatino Linotype"/>
          <w:i/>
          <w:sz w:val="22"/>
          <w:szCs w:val="22"/>
        </w:rPr>
        <w:t>DMGR</w:t>
      </w:r>
      <w:proofErr w:type="spellEnd"/>
      <w:r w:rsidRPr="00624394">
        <w:rPr>
          <w:rFonts w:ascii="Palatino Linotype" w:hAnsi="Palatino Linotype"/>
          <w:i/>
          <w:sz w:val="22"/>
          <w:szCs w:val="22"/>
        </w:rPr>
        <w:t xml:space="preserve"> sugiere que es </w:t>
      </w:r>
      <w:r w:rsidRPr="00624394">
        <w:rPr>
          <w:rFonts w:ascii="Palatino Linotype" w:hAnsi="Palatino Linotype"/>
          <w:b/>
          <w:i/>
          <w:sz w:val="22"/>
          <w:szCs w:val="22"/>
        </w:rPr>
        <w:t>Factible</w:t>
      </w:r>
      <w:r w:rsidRPr="00624394">
        <w:rPr>
          <w:rFonts w:ascii="Palatino Linotype" w:hAnsi="Palatino Linotype"/>
          <w:i/>
          <w:sz w:val="22"/>
          <w:szCs w:val="22"/>
        </w:rPr>
        <w:t xml:space="preserve"> continuar con el proceso de regularización del </w:t>
      </w:r>
      <w:proofErr w:type="spellStart"/>
      <w:r w:rsidRPr="00624394">
        <w:rPr>
          <w:rFonts w:ascii="Palatino Linotype" w:hAnsi="Palatino Linotype"/>
          <w:i/>
          <w:sz w:val="22"/>
          <w:szCs w:val="22"/>
        </w:rPr>
        <w:t>AHHYC</w:t>
      </w:r>
      <w:proofErr w:type="spellEnd"/>
      <w:r w:rsidRPr="00624394">
        <w:rPr>
          <w:rFonts w:ascii="Palatino Linotype" w:hAnsi="Palatino Linotype"/>
          <w:i/>
          <w:sz w:val="22"/>
          <w:szCs w:val="22"/>
        </w:rPr>
        <w:t xml:space="preserve"> “Brisas del Norte”, ya que siguiendo </w:t>
      </w:r>
      <w:r w:rsidRPr="00624394">
        <w:rPr>
          <w:rFonts w:ascii="Palatino Linotype" w:hAnsi="Palatino Linotype"/>
          <w:bCs/>
          <w:i/>
          <w:sz w:val="22"/>
          <w:szCs w:val="22"/>
        </w:rPr>
        <w:t xml:space="preserve">las recomendaciones que se describen en este informe, contribuirá a garantizar la reducción del riesgo en la zona en análisis.  </w:t>
      </w:r>
      <w:r w:rsidRPr="00624394">
        <w:rPr>
          <w:rFonts w:ascii="Palatino Linotype" w:hAnsi="Palatino Linotype"/>
          <w:i/>
          <w:sz w:val="22"/>
          <w:szCs w:val="22"/>
        </w:rPr>
        <w:softHyphen/>
      </w:r>
    </w:p>
    <w:p w:rsidR="007A1F48" w:rsidRPr="00624394" w:rsidRDefault="007A1F48" w:rsidP="007A1F48">
      <w:pPr>
        <w:spacing w:after="120" w:line="276" w:lineRule="auto"/>
        <w:ind w:left="1134"/>
        <w:jc w:val="both"/>
        <w:rPr>
          <w:rFonts w:ascii="Palatino Linotype" w:hAnsi="Palatino Linotype"/>
          <w:bCs/>
          <w:i/>
          <w:sz w:val="22"/>
          <w:szCs w:val="22"/>
        </w:rPr>
      </w:pPr>
      <w:r w:rsidRPr="00624394">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7A1F48" w:rsidRPr="00624394" w:rsidRDefault="007A1F48" w:rsidP="007A1F48">
      <w:pPr>
        <w:spacing w:after="120" w:line="276" w:lineRule="auto"/>
        <w:ind w:left="1134"/>
        <w:jc w:val="both"/>
        <w:rPr>
          <w:rFonts w:ascii="Palatino Linotype" w:hAnsi="Palatino Linotype"/>
          <w:bCs/>
          <w:i/>
          <w:sz w:val="22"/>
          <w:szCs w:val="22"/>
        </w:rPr>
      </w:pPr>
      <w:r w:rsidRPr="00624394">
        <w:rPr>
          <w:rFonts w:ascii="Palatino Linotype" w:hAnsi="Palatino Linotype"/>
          <w:b/>
          <w:bCs/>
          <w:i/>
          <w:sz w:val="22"/>
          <w:szCs w:val="22"/>
        </w:rPr>
        <w:t>Medidas Estructurales:</w:t>
      </w:r>
      <w:r w:rsidRPr="00624394">
        <w:rPr>
          <w:rFonts w:ascii="Palatino Linotype" w:hAnsi="Palatino Linotype"/>
          <w:bCs/>
          <w:i/>
          <w:sz w:val="22"/>
          <w:szCs w:val="22"/>
        </w:rPr>
        <w:t xml:space="preserve"> Acciones de ingeniería para reducir impactos de las amenazas como:</w:t>
      </w:r>
    </w:p>
    <w:p w:rsidR="007A1F48" w:rsidRPr="00624394" w:rsidRDefault="007A1F48" w:rsidP="007A1F48">
      <w:pPr>
        <w:pStyle w:val="Prrafodelista"/>
        <w:numPr>
          <w:ilvl w:val="0"/>
          <w:numId w:val="39"/>
        </w:numPr>
        <w:spacing w:after="120" w:line="276" w:lineRule="auto"/>
        <w:ind w:left="1995"/>
        <w:jc w:val="both"/>
        <w:rPr>
          <w:rFonts w:ascii="Palatino Linotype" w:hAnsi="Palatino Linotype"/>
          <w:bCs/>
          <w:i/>
          <w:sz w:val="22"/>
          <w:szCs w:val="22"/>
        </w:rPr>
      </w:pPr>
      <w:r w:rsidRPr="00624394">
        <w:rPr>
          <w:rFonts w:ascii="Palatino Linotype" w:hAnsi="Palatino Linotype"/>
          <w:bCs/>
          <w:i/>
          <w:sz w:val="22"/>
          <w:szCs w:val="22"/>
        </w:rPr>
        <w:lastRenderedPageBreak/>
        <w:t>Protección y control: Intervención directa de la amenaza (Diques, muros de contención, canalización de aguas.)</w:t>
      </w:r>
    </w:p>
    <w:p w:rsidR="007A1F48" w:rsidRPr="00624394" w:rsidRDefault="007A1F48" w:rsidP="007A1F48">
      <w:pPr>
        <w:pStyle w:val="Prrafodelista"/>
        <w:numPr>
          <w:ilvl w:val="0"/>
          <w:numId w:val="39"/>
        </w:numPr>
        <w:spacing w:after="120" w:line="276" w:lineRule="auto"/>
        <w:ind w:left="1995"/>
        <w:jc w:val="both"/>
        <w:rPr>
          <w:rFonts w:ascii="Palatino Linotype" w:hAnsi="Palatino Linotype"/>
          <w:bCs/>
          <w:i/>
          <w:sz w:val="22"/>
          <w:szCs w:val="22"/>
        </w:rPr>
      </w:pPr>
      <w:r w:rsidRPr="00624394">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7A1F48" w:rsidRPr="00624394" w:rsidRDefault="007A1F48" w:rsidP="007A1F48">
      <w:pPr>
        <w:spacing w:after="120" w:line="276" w:lineRule="auto"/>
        <w:ind w:left="1134"/>
        <w:jc w:val="both"/>
        <w:rPr>
          <w:rFonts w:ascii="Palatino Linotype" w:hAnsi="Palatino Linotype"/>
          <w:bCs/>
          <w:i/>
          <w:sz w:val="22"/>
          <w:szCs w:val="22"/>
        </w:rPr>
      </w:pPr>
      <w:r w:rsidRPr="00624394">
        <w:rPr>
          <w:rFonts w:ascii="Palatino Linotype" w:hAnsi="Palatino Linotype"/>
          <w:b/>
          <w:bCs/>
          <w:i/>
          <w:sz w:val="22"/>
          <w:szCs w:val="22"/>
        </w:rPr>
        <w:t xml:space="preserve">Medidas </w:t>
      </w:r>
      <w:r>
        <w:rPr>
          <w:rFonts w:ascii="Palatino Linotype" w:hAnsi="Palatino Linotype"/>
          <w:b/>
          <w:bCs/>
          <w:i/>
          <w:sz w:val="22"/>
          <w:szCs w:val="22"/>
        </w:rPr>
        <w:t>n</w:t>
      </w:r>
      <w:r w:rsidRPr="00624394">
        <w:rPr>
          <w:rFonts w:ascii="Palatino Linotype" w:hAnsi="Palatino Linotype"/>
          <w:b/>
          <w:bCs/>
          <w:i/>
          <w:sz w:val="22"/>
          <w:szCs w:val="22"/>
        </w:rPr>
        <w:t>o estructurales:</w:t>
      </w:r>
      <w:r w:rsidRPr="00624394">
        <w:rPr>
          <w:rFonts w:ascii="Palatino Linotype" w:hAnsi="Palatino Linotype"/>
          <w:bCs/>
          <w:i/>
          <w:sz w:val="22"/>
          <w:szCs w:val="22"/>
        </w:rPr>
        <w:t xml:space="preserve"> Desarrollo del conocimiento, políticas, leyes  y mecanismos participativos.</w:t>
      </w:r>
    </w:p>
    <w:p w:rsidR="007A1F48" w:rsidRPr="00624394" w:rsidRDefault="007A1F48" w:rsidP="007A1F48">
      <w:pPr>
        <w:pStyle w:val="Prrafodelista"/>
        <w:numPr>
          <w:ilvl w:val="0"/>
          <w:numId w:val="39"/>
        </w:numPr>
        <w:spacing w:after="120" w:line="276" w:lineRule="auto"/>
        <w:ind w:left="1995"/>
        <w:jc w:val="both"/>
        <w:rPr>
          <w:rFonts w:ascii="Palatino Linotype" w:hAnsi="Palatino Linotype"/>
          <w:bCs/>
          <w:i/>
          <w:sz w:val="22"/>
          <w:szCs w:val="22"/>
        </w:rPr>
      </w:pPr>
      <w:r w:rsidRPr="00624394">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7A1F48" w:rsidRPr="00624394" w:rsidRDefault="007A1F48" w:rsidP="007A1F48">
      <w:pPr>
        <w:pStyle w:val="Prrafodelista"/>
        <w:numPr>
          <w:ilvl w:val="0"/>
          <w:numId w:val="39"/>
        </w:numPr>
        <w:spacing w:after="120" w:line="276" w:lineRule="auto"/>
        <w:ind w:left="1989" w:hanging="357"/>
        <w:jc w:val="both"/>
        <w:rPr>
          <w:rFonts w:ascii="Palatino Linotype" w:hAnsi="Palatino Linotype"/>
          <w:bCs/>
          <w:i/>
          <w:sz w:val="22"/>
          <w:szCs w:val="22"/>
        </w:rPr>
      </w:pPr>
      <w:r w:rsidRPr="00624394">
        <w:rPr>
          <w:rFonts w:ascii="Palatino Linotype" w:hAnsi="Palatino Linotype"/>
          <w:bCs/>
          <w:i/>
          <w:sz w:val="22"/>
          <w:szCs w:val="22"/>
        </w:rPr>
        <w:t>Acciones Pasivas: Relacionadas con legislación y planificación (normas de construcción, uso del suelo y ordenamiento territorial, etc.)</w:t>
      </w:r>
    </w:p>
    <w:p w:rsidR="007A1F48" w:rsidRPr="00624394" w:rsidRDefault="007A1F48" w:rsidP="007A1F48">
      <w:pPr>
        <w:spacing w:after="120" w:line="276" w:lineRule="auto"/>
        <w:ind w:left="708"/>
        <w:jc w:val="both"/>
        <w:rPr>
          <w:rFonts w:ascii="Palatino Linotype" w:hAnsi="Palatino Linotype"/>
          <w:b/>
          <w:bCs/>
          <w:i/>
          <w:sz w:val="22"/>
          <w:szCs w:val="22"/>
        </w:rPr>
      </w:pPr>
      <w:r w:rsidRPr="00624394">
        <w:rPr>
          <w:rFonts w:ascii="Palatino Linotype" w:hAnsi="Palatino Linotype"/>
          <w:b/>
          <w:bCs/>
          <w:i/>
          <w:sz w:val="22"/>
          <w:szCs w:val="22"/>
        </w:rPr>
        <w:t>7  RECOMENDACIONES</w:t>
      </w:r>
    </w:p>
    <w:p w:rsidR="007A1F48" w:rsidRPr="00624394" w:rsidRDefault="007A1F48" w:rsidP="007A1F48">
      <w:pPr>
        <w:spacing w:after="120" w:line="276" w:lineRule="auto"/>
        <w:ind w:left="708"/>
        <w:jc w:val="both"/>
        <w:rPr>
          <w:rFonts w:ascii="Palatino Linotype" w:hAnsi="Palatino Linotype"/>
          <w:i/>
          <w:color w:val="000000"/>
          <w:sz w:val="22"/>
          <w:szCs w:val="22"/>
        </w:rPr>
      </w:pPr>
      <w:r w:rsidRPr="00624394">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7A1F48" w:rsidRPr="00624394" w:rsidRDefault="007A1F48" w:rsidP="007A1F48">
      <w:pPr>
        <w:spacing w:after="120" w:line="276" w:lineRule="auto"/>
        <w:ind w:left="708"/>
        <w:jc w:val="both"/>
        <w:rPr>
          <w:rFonts w:ascii="Palatino Linotype" w:hAnsi="Palatino Linotype"/>
          <w:b/>
          <w:bCs/>
          <w:i/>
          <w:sz w:val="22"/>
          <w:szCs w:val="22"/>
        </w:rPr>
      </w:pPr>
      <w:r w:rsidRPr="00624394">
        <w:rPr>
          <w:rFonts w:ascii="Palatino Linotype" w:hAnsi="Palatino Linotype"/>
          <w:b/>
          <w:bCs/>
          <w:i/>
          <w:sz w:val="22"/>
          <w:szCs w:val="22"/>
        </w:rPr>
        <w:t>Para el riesgo por movimientos en masa:</w:t>
      </w:r>
    </w:p>
    <w:p w:rsidR="007A1F48" w:rsidRPr="00624394" w:rsidRDefault="007A1F48" w:rsidP="007A1F48">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624394">
        <w:rPr>
          <w:rFonts w:ascii="Palatino Linotype" w:hAnsi="Palatino Linotype"/>
          <w:bCs/>
          <w:i/>
          <w:sz w:val="22"/>
          <w:szCs w:val="22"/>
        </w:rPr>
        <w:t xml:space="preserve">Se recomienda que mediante mingas comunitarias se implemente sistemas de conducción de escorrentía (agua lluvia) en las calles de tierra afirmada para prevenir la erosión del suelo y arrastre de material que pueda afectar a viviendas y asentamientos humanos ubicados en cotas inferiores. </w:t>
      </w:r>
    </w:p>
    <w:p w:rsidR="007A1F48" w:rsidRPr="00624394" w:rsidRDefault="007A1F48" w:rsidP="007A1F48">
      <w:pPr>
        <w:spacing w:after="120" w:line="276" w:lineRule="auto"/>
        <w:ind w:left="708"/>
        <w:jc w:val="both"/>
        <w:rPr>
          <w:rFonts w:ascii="Palatino Linotype" w:hAnsi="Palatino Linotype"/>
          <w:b/>
          <w:bCs/>
          <w:i/>
          <w:sz w:val="22"/>
          <w:szCs w:val="22"/>
        </w:rPr>
      </w:pPr>
      <w:r w:rsidRPr="00624394">
        <w:rPr>
          <w:rFonts w:ascii="Palatino Linotype" w:hAnsi="Palatino Linotype"/>
          <w:b/>
          <w:bCs/>
          <w:i/>
          <w:sz w:val="22"/>
          <w:szCs w:val="22"/>
        </w:rPr>
        <w:t>Para el riesgo sísmico:</w:t>
      </w:r>
    </w:p>
    <w:p w:rsidR="007A1F48" w:rsidRPr="00624394" w:rsidRDefault="007A1F48" w:rsidP="007A1F48">
      <w:pPr>
        <w:pStyle w:val="Prrafodelista"/>
        <w:numPr>
          <w:ilvl w:val="0"/>
          <w:numId w:val="40"/>
        </w:numPr>
        <w:spacing w:after="120" w:line="276" w:lineRule="auto"/>
        <w:ind w:left="1044" w:hanging="357"/>
        <w:jc w:val="both"/>
        <w:rPr>
          <w:rFonts w:ascii="Palatino Linotype" w:hAnsi="Palatino Linotype"/>
          <w:bCs/>
          <w:i/>
          <w:sz w:val="22"/>
          <w:szCs w:val="22"/>
        </w:rPr>
      </w:pPr>
      <w:r w:rsidRPr="00624394">
        <w:rPr>
          <w:rFonts w:ascii="Palatino Linotype" w:hAnsi="Palatino Linotype"/>
          <w:bCs/>
          <w:i/>
          <w:sz w:val="22"/>
          <w:szCs w:val="22"/>
        </w:rPr>
        <w:t xml:space="preserve">Se recomienda que los propietarios y/o posesionarios actuales no construyan viviendas adicionales a las existentes en el </w:t>
      </w:r>
      <w:proofErr w:type="spellStart"/>
      <w:r w:rsidRPr="00624394">
        <w:rPr>
          <w:rFonts w:ascii="Palatino Linotype" w:hAnsi="Palatino Linotype"/>
          <w:bCs/>
          <w:i/>
          <w:sz w:val="22"/>
          <w:szCs w:val="22"/>
        </w:rPr>
        <w:t>macrolote</w:t>
      </w:r>
      <w:proofErr w:type="spellEnd"/>
      <w:r w:rsidRPr="00624394">
        <w:rPr>
          <w:rFonts w:ascii="Palatino Linotype" w:hAnsi="Palatino Linotype"/>
          <w:bCs/>
          <w:i/>
          <w:sz w:val="22"/>
          <w:szCs w:val="22"/>
        </w:rPr>
        <w:t xml:space="preserve"> evaluado, ni se realicen aumentos de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w:t>
      </w:r>
      <w:proofErr w:type="spellStart"/>
      <w:r w:rsidRPr="00624394">
        <w:rPr>
          <w:rFonts w:ascii="Palatino Linotype" w:hAnsi="Palatino Linotype"/>
          <w:bCs/>
          <w:i/>
          <w:sz w:val="22"/>
          <w:szCs w:val="22"/>
        </w:rPr>
        <w:t>AHHYC</w:t>
      </w:r>
      <w:proofErr w:type="spellEnd"/>
      <w:r w:rsidRPr="00624394">
        <w:rPr>
          <w:rFonts w:ascii="Palatino Linotype" w:hAnsi="Palatino Linotype"/>
          <w:bCs/>
          <w:i/>
          <w:sz w:val="22"/>
          <w:szCs w:val="22"/>
        </w:rPr>
        <w:t xml:space="preserve"> </w:t>
      </w:r>
      <w:r w:rsidRPr="00624394">
        <w:rPr>
          <w:rFonts w:ascii="Palatino Linotype" w:hAnsi="Palatino Linotype"/>
          <w:i/>
          <w:sz w:val="22"/>
          <w:szCs w:val="22"/>
        </w:rPr>
        <w:t>“Brisas del Norte”</w:t>
      </w:r>
      <w:r w:rsidRPr="00624394">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7A1F48" w:rsidRPr="00624394" w:rsidRDefault="007A1F48" w:rsidP="007A1F48">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624394">
        <w:rPr>
          <w:rFonts w:ascii="Palatino Linotype" w:hAnsi="Palatino Linotype"/>
          <w:bCs/>
          <w:i/>
          <w:sz w:val="22"/>
          <w:szCs w:val="22"/>
        </w:rPr>
        <w:lastRenderedPageBreak/>
        <w:t xml:space="preserve">Posterior a la regularización del </w:t>
      </w:r>
      <w:proofErr w:type="spellStart"/>
      <w:r w:rsidRPr="00624394">
        <w:rPr>
          <w:rFonts w:ascii="Palatino Linotype" w:hAnsi="Palatino Linotype"/>
          <w:bCs/>
          <w:i/>
          <w:sz w:val="22"/>
          <w:szCs w:val="22"/>
        </w:rPr>
        <w:t>AHHYC</w:t>
      </w:r>
      <w:proofErr w:type="spellEnd"/>
      <w:r w:rsidRPr="00624394">
        <w:rPr>
          <w:rFonts w:ascii="Palatino Linotype" w:hAnsi="Palatino Linotype"/>
          <w:bCs/>
          <w:i/>
          <w:sz w:val="22"/>
          <w:szCs w:val="22"/>
        </w:rPr>
        <w:t xml:space="preserve"> </w:t>
      </w:r>
      <w:r w:rsidRPr="00624394">
        <w:rPr>
          <w:rFonts w:ascii="Palatino Linotype" w:hAnsi="Palatino Linotype"/>
          <w:i/>
          <w:sz w:val="22"/>
          <w:szCs w:val="22"/>
        </w:rPr>
        <w:t>“Brisas del Norte”</w:t>
      </w:r>
      <w:r w:rsidRPr="00624394">
        <w:rPr>
          <w:rFonts w:ascii="Palatino Linotype" w:hAnsi="Palatino Linotype"/>
          <w:bCs/>
          <w:i/>
          <w:sz w:val="22"/>
          <w:szCs w:val="22"/>
        </w:rPr>
        <w:t xml:space="preserve">, las </w:t>
      </w:r>
      <w:r w:rsidRPr="00624394">
        <w:rPr>
          <w:rFonts w:ascii="Palatino Linotype" w:hAnsi="Palatino Linotype"/>
          <w:i/>
          <w:sz w:val="22"/>
          <w:szCs w:val="22"/>
        </w:rPr>
        <w:t xml:space="preserve">edificaciones en proceso de construcción, aumento en planta o elevación y demás edificaciones dentro del área en análisis, que no </w:t>
      </w:r>
      <w:r w:rsidRPr="00624394">
        <w:rPr>
          <w:rFonts w:ascii="Palatino Linotype" w:hAnsi="Palatino Linotype"/>
          <w:bCs/>
          <w:i/>
          <w:sz w:val="22"/>
          <w:szCs w:val="22"/>
        </w:rPr>
        <w:t>dispongan</w:t>
      </w:r>
      <w:r w:rsidRPr="00624394">
        <w:rPr>
          <w:rFonts w:ascii="Palatino Linotype" w:hAnsi="Palatino Linotype"/>
          <w:i/>
          <w:sz w:val="22"/>
          <w:szCs w:val="22"/>
        </w:rPr>
        <w:t xml:space="preserve"> de un diseño estructural o algún tipo de asesoría técnica, los propietarios deberán </w:t>
      </w:r>
      <w:r w:rsidRPr="00624394">
        <w:rPr>
          <w:rFonts w:ascii="Palatino Linotype" w:hAnsi="Palatino Linotype"/>
          <w:bCs/>
          <w:i/>
          <w:sz w:val="22"/>
          <w:szCs w:val="22"/>
        </w:rPr>
        <w:t>contratar a un especialista (</w:t>
      </w:r>
      <w:r w:rsidRPr="00624394">
        <w:rPr>
          <w:rFonts w:ascii="Palatino Linotype" w:hAnsi="Palatino Linotype"/>
          <w:i/>
          <w:sz w:val="22"/>
          <w:szCs w:val="22"/>
        </w:rPr>
        <w:t xml:space="preserve">Ingeniero/a Civil), para que realice evaluaciones estructurales de las viviendas y </w:t>
      </w:r>
      <w:r w:rsidRPr="00624394">
        <w:rPr>
          <w:rFonts w:ascii="Palatino Linotype" w:hAnsi="Palatino Linotype"/>
          <w:bCs/>
          <w:i/>
          <w:sz w:val="22"/>
          <w:szCs w:val="22"/>
        </w:rPr>
        <w:t>proponga alternativas de reparación y/o reforzamiento estructural en caso de ameritarlo.</w:t>
      </w:r>
    </w:p>
    <w:p w:rsidR="007A1F48" w:rsidRPr="00624394" w:rsidRDefault="007A1F48" w:rsidP="007A1F48">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624394">
        <w:rPr>
          <w:rFonts w:ascii="Palatino Linotype" w:hAnsi="Palatino Linotype"/>
          <w:bCs/>
          <w:i/>
          <w:sz w:val="22"/>
          <w:szCs w:val="22"/>
        </w:rPr>
        <w:t>La recomendación técnica del párrafo anterior deberá ser complementada con la contratación de un estudio geotécnico del suelo que permita conocer las características mecánicas del suelo, la capacidad portante y recomendaciones de los tipos de cimentaciones adecuadas. Se deberá incluir en este análisis a los rellenos de quebrada. El análisis estructural solicitado en el párrafo anterior y el estudio geotécnico del suelo deberán cumplir con los parámetros que establece la norma ecuatoriana de construcción vigente.</w:t>
      </w:r>
    </w:p>
    <w:p w:rsidR="007A1F48" w:rsidRPr="00624394" w:rsidRDefault="007A1F48" w:rsidP="007A1F48">
      <w:pPr>
        <w:pStyle w:val="Prrafodelista"/>
        <w:numPr>
          <w:ilvl w:val="0"/>
          <w:numId w:val="40"/>
        </w:numPr>
        <w:spacing w:after="120" w:line="276" w:lineRule="auto"/>
        <w:ind w:left="1044" w:hanging="357"/>
        <w:jc w:val="both"/>
        <w:rPr>
          <w:rFonts w:ascii="Palatino Linotype" w:hAnsi="Palatino Linotype"/>
          <w:i/>
          <w:color w:val="000000"/>
          <w:sz w:val="22"/>
          <w:szCs w:val="22"/>
        </w:rPr>
      </w:pPr>
      <w:r w:rsidRPr="00624394">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7A1F48" w:rsidRPr="00624394" w:rsidRDefault="007A1F48" w:rsidP="007A1F48">
      <w:pPr>
        <w:spacing w:after="120" w:line="276" w:lineRule="auto"/>
        <w:ind w:left="708"/>
        <w:jc w:val="both"/>
        <w:rPr>
          <w:rFonts w:ascii="Palatino Linotype" w:hAnsi="Palatino Linotype"/>
          <w:b/>
          <w:bCs/>
          <w:i/>
          <w:sz w:val="22"/>
          <w:szCs w:val="22"/>
        </w:rPr>
      </w:pPr>
      <w:r w:rsidRPr="00624394">
        <w:rPr>
          <w:rFonts w:ascii="Palatino Linotype" w:hAnsi="Palatino Linotype"/>
          <w:b/>
          <w:bCs/>
          <w:i/>
          <w:sz w:val="22"/>
          <w:szCs w:val="22"/>
        </w:rPr>
        <w:t>Para el riesgo Volcánico (caída de ceniza):</w:t>
      </w:r>
    </w:p>
    <w:p w:rsidR="007A1F48" w:rsidRPr="00624394" w:rsidRDefault="007A1F48" w:rsidP="007A1F48">
      <w:pPr>
        <w:pStyle w:val="Prrafodelista"/>
        <w:numPr>
          <w:ilvl w:val="0"/>
          <w:numId w:val="40"/>
        </w:numPr>
        <w:spacing w:after="120" w:line="276" w:lineRule="auto"/>
        <w:ind w:left="1044" w:hanging="357"/>
        <w:jc w:val="both"/>
        <w:rPr>
          <w:rFonts w:ascii="Palatino Linotype" w:hAnsi="Palatino Linotype"/>
          <w:b/>
          <w:bCs/>
          <w:i/>
          <w:sz w:val="22"/>
          <w:szCs w:val="22"/>
        </w:rPr>
      </w:pPr>
      <w:r w:rsidRPr="00624394">
        <w:rPr>
          <w:rFonts w:ascii="Palatino Linotype" w:hAnsi="Palatino Linotype"/>
          <w:bCs/>
          <w:i/>
          <w:sz w:val="22"/>
          <w:szCs w:val="22"/>
        </w:rPr>
        <w:t xml:space="preserve">Las afectaciones que podría ocasionar la caída de </w:t>
      </w:r>
      <w:proofErr w:type="spellStart"/>
      <w:r w:rsidRPr="00624394">
        <w:rPr>
          <w:rFonts w:ascii="Palatino Linotype" w:hAnsi="Palatino Linotype"/>
          <w:bCs/>
          <w:i/>
          <w:sz w:val="22"/>
          <w:szCs w:val="22"/>
        </w:rPr>
        <w:t>piroclastos</w:t>
      </w:r>
      <w:proofErr w:type="spellEnd"/>
      <w:r w:rsidRPr="00624394">
        <w:rPr>
          <w:rFonts w:ascii="Palatino Linotype" w:hAnsi="Palatino Linotype"/>
          <w:bCs/>
          <w:i/>
          <w:sz w:val="22"/>
          <w:szCs w:val="22"/>
        </w:rPr>
        <w:t xml:space="preserve"> (ceniza y lapilli) se </w:t>
      </w:r>
      <w:r w:rsidRPr="00624394">
        <w:rPr>
          <w:rFonts w:ascii="Palatino Linotype" w:hAnsi="Palatino Linotype"/>
          <w:i/>
          <w:color w:val="000000"/>
          <w:sz w:val="22"/>
          <w:szCs w:val="22"/>
        </w:rPr>
        <w:t>mitiga</w:t>
      </w:r>
      <w:r w:rsidRPr="00624394">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7A1F48" w:rsidRPr="00624394" w:rsidRDefault="007A1F48" w:rsidP="007A1F48">
      <w:pPr>
        <w:spacing w:after="120" w:line="276" w:lineRule="auto"/>
        <w:ind w:left="708"/>
        <w:jc w:val="both"/>
        <w:rPr>
          <w:rFonts w:ascii="Palatino Linotype" w:hAnsi="Palatino Linotype"/>
          <w:b/>
          <w:bCs/>
          <w:i/>
          <w:sz w:val="22"/>
          <w:szCs w:val="22"/>
        </w:rPr>
      </w:pPr>
      <w:r w:rsidRPr="00624394">
        <w:rPr>
          <w:rFonts w:ascii="Palatino Linotype" w:hAnsi="Palatino Linotype"/>
          <w:b/>
          <w:bCs/>
          <w:i/>
          <w:sz w:val="22"/>
          <w:szCs w:val="22"/>
        </w:rPr>
        <w:t>Cumplimiento de la normativa vigente:</w:t>
      </w:r>
    </w:p>
    <w:p w:rsidR="007A1F48" w:rsidRPr="00624394" w:rsidRDefault="007A1F48" w:rsidP="007A1F48">
      <w:pPr>
        <w:pStyle w:val="Prrafodelista"/>
        <w:numPr>
          <w:ilvl w:val="0"/>
          <w:numId w:val="40"/>
        </w:numPr>
        <w:spacing w:after="120" w:line="276" w:lineRule="auto"/>
        <w:ind w:left="991" w:hanging="357"/>
        <w:jc w:val="both"/>
        <w:rPr>
          <w:rFonts w:ascii="Palatino Linotype" w:hAnsi="Palatino Linotype"/>
          <w:bCs/>
          <w:i/>
          <w:sz w:val="22"/>
          <w:szCs w:val="22"/>
        </w:rPr>
      </w:pPr>
      <w:r w:rsidRPr="00624394">
        <w:rPr>
          <w:rFonts w:ascii="Palatino Linotype" w:hAnsi="Palatino Linotype"/>
          <w:bCs/>
          <w:i/>
          <w:sz w:val="22"/>
          <w:szCs w:val="22"/>
        </w:rPr>
        <w:t xml:space="preserve">De acuerdo a la Constitución de la República del Ecuador donde establecen las </w:t>
      </w:r>
      <w:r w:rsidRPr="00624394">
        <w:rPr>
          <w:rFonts w:ascii="Palatino Linotype" w:hAnsi="Palatino Linotype"/>
          <w:i/>
          <w:sz w:val="22"/>
          <w:szCs w:val="22"/>
        </w:rPr>
        <w:t xml:space="preserve">competencias exclusivas a </w:t>
      </w:r>
      <w:r w:rsidRPr="00624394">
        <w:rPr>
          <w:rFonts w:ascii="Palatino Linotype" w:hAnsi="Palatino Linotype"/>
          <w:bCs/>
          <w:i/>
          <w:sz w:val="22"/>
          <w:szCs w:val="22"/>
        </w:rPr>
        <w:t>los</w:t>
      </w:r>
      <w:r w:rsidRPr="00624394">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624394">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7A1F48" w:rsidRPr="00624394" w:rsidRDefault="007A1F48" w:rsidP="007A1F48">
      <w:pPr>
        <w:pStyle w:val="Prrafodelista"/>
        <w:numPr>
          <w:ilvl w:val="0"/>
          <w:numId w:val="40"/>
        </w:numPr>
        <w:spacing w:after="120" w:line="276" w:lineRule="auto"/>
        <w:ind w:left="991" w:hanging="357"/>
        <w:jc w:val="both"/>
        <w:rPr>
          <w:rFonts w:ascii="Palatino Linotype" w:hAnsi="Palatino Linotype"/>
          <w:bCs/>
          <w:i/>
          <w:sz w:val="22"/>
          <w:szCs w:val="22"/>
        </w:rPr>
      </w:pPr>
      <w:r w:rsidRPr="00624394">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w:t>
      </w:r>
      <w:proofErr w:type="spellStart"/>
      <w:r w:rsidRPr="00624394">
        <w:rPr>
          <w:rFonts w:ascii="Palatino Linotype" w:hAnsi="Palatino Linotype"/>
          <w:bCs/>
          <w:i/>
          <w:sz w:val="22"/>
          <w:szCs w:val="22"/>
        </w:rPr>
        <w:t>PMDOT</w:t>
      </w:r>
      <w:proofErr w:type="spellEnd"/>
      <w:r w:rsidRPr="00624394">
        <w:rPr>
          <w:rFonts w:ascii="Palatino Linotype" w:hAnsi="Palatino Linotype"/>
          <w:bCs/>
          <w:i/>
          <w:sz w:val="22"/>
          <w:szCs w:val="22"/>
        </w:rPr>
        <w:t>),  Uso y Ocupación del Suelo, (</w:t>
      </w:r>
      <w:proofErr w:type="spellStart"/>
      <w:r w:rsidRPr="00624394">
        <w:rPr>
          <w:rFonts w:ascii="Palatino Linotype" w:hAnsi="Palatino Linotype"/>
          <w:bCs/>
          <w:i/>
          <w:sz w:val="22"/>
          <w:szCs w:val="22"/>
        </w:rPr>
        <w:t>PUOS</w:t>
      </w:r>
      <w:proofErr w:type="spellEnd"/>
      <w:r w:rsidRPr="00624394">
        <w:rPr>
          <w:rFonts w:ascii="Palatino Linotype" w:hAnsi="Palatino Linotype"/>
          <w:bCs/>
          <w:i/>
          <w:sz w:val="22"/>
          <w:szCs w:val="22"/>
        </w:rPr>
        <w:t xml:space="preserve">) y Régimen Administrativo del Suelo en el </w:t>
      </w:r>
      <w:proofErr w:type="spellStart"/>
      <w:r w:rsidRPr="00624394">
        <w:rPr>
          <w:rFonts w:ascii="Palatino Linotype" w:hAnsi="Palatino Linotype"/>
          <w:bCs/>
          <w:i/>
          <w:sz w:val="22"/>
          <w:szCs w:val="22"/>
        </w:rPr>
        <w:t>D.M.Q</w:t>
      </w:r>
      <w:proofErr w:type="spellEnd"/>
      <w:r w:rsidRPr="00624394">
        <w:rPr>
          <w:rFonts w:ascii="Palatino Linotype" w:hAnsi="Palatino Linotype"/>
          <w:bCs/>
          <w:i/>
          <w:sz w:val="22"/>
          <w:szCs w:val="22"/>
        </w:rPr>
        <w:t xml:space="preserve">. </w:t>
      </w:r>
    </w:p>
    <w:p w:rsidR="007A1F48" w:rsidRPr="00624394" w:rsidRDefault="007A1F48" w:rsidP="007A1F48">
      <w:pPr>
        <w:pStyle w:val="Prrafodelista"/>
        <w:numPr>
          <w:ilvl w:val="0"/>
          <w:numId w:val="42"/>
        </w:numPr>
        <w:spacing w:after="120" w:line="276" w:lineRule="auto"/>
        <w:ind w:left="992"/>
        <w:jc w:val="both"/>
        <w:rPr>
          <w:rFonts w:ascii="Palatino Linotype" w:hAnsi="Palatino Linotype"/>
          <w:bCs/>
          <w:i/>
          <w:sz w:val="22"/>
          <w:szCs w:val="22"/>
        </w:rPr>
      </w:pPr>
      <w:r w:rsidRPr="00624394">
        <w:rPr>
          <w:rFonts w:ascii="Palatino Linotype" w:hAnsi="Palatino Linotype"/>
          <w:bCs/>
          <w:i/>
          <w:sz w:val="22"/>
          <w:szCs w:val="22"/>
        </w:rPr>
        <w:lastRenderedPageBreak/>
        <w:t xml:space="preserve">Incluir en el Informe de Regulación Metropolitana, </w:t>
      </w:r>
      <w:proofErr w:type="spellStart"/>
      <w:r w:rsidRPr="00624394">
        <w:rPr>
          <w:rFonts w:ascii="Palatino Linotype" w:hAnsi="Palatino Linotype"/>
          <w:bCs/>
          <w:i/>
          <w:sz w:val="22"/>
          <w:szCs w:val="22"/>
        </w:rPr>
        <w:t>IRM</w:t>
      </w:r>
      <w:proofErr w:type="spellEnd"/>
      <w:r w:rsidRPr="00624394">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7A1F48" w:rsidRPr="00624394" w:rsidRDefault="007A1F48" w:rsidP="007A1F48">
      <w:pPr>
        <w:pStyle w:val="Prrafodelista"/>
        <w:numPr>
          <w:ilvl w:val="0"/>
          <w:numId w:val="42"/>
        </w:numPr>
        <w:spacing w:after="120" w:line="276" w:lineRule="auto"/>
        <w:ind w:left="992"/>
        <w:jc w:val="both"/>
        <w:rPr>
          <w:rFonts w:ascii="Palatino Linotype" w:hAnsi="Palatino Linotype"/>
          <w:bCs/>
          <w:i/>
          <w:sz w:val="22"/>
          <w:szCs w:val="22"/>
        </w:rPr>
      </w:pPr>
      <w:r w:rsidRPr="00624394">
        <w:rPr>
          <w:rFonts w:ascii="Palatino Linotype" w:hAnsi="Palatino Linotype"/>
          <w:bCs/>
          <w:i/>
          <w:sz w:val="22"/>
          <w:szCs w:val="22"/>
        </w:rPr>
        <w:t xml:space="preserve">La Unidad Especial Regula Tu Barrio deberá comunicar a la comunidad del </w:t>
      </w:r>
      <w:proofErr w:type="spellStart"/>
      <w:r w:rsidRPr="00624394">
        <w:rPr>
          <w:rFonts w:ascii="Palatino Linotype" w:hAnsi="Palatino Linotype"/>
          <w:bCs/>
          <w:i/>
          <w:sz w:val="22"/>
          <w:szCs w:val="22"/>
        </w:rPr>
        <w:t>AHHYC</w:t>
      </w:r>
      <w:proofErr w:type="spellEnd"/>
      <w:r w:rsidRPr="00624394">
        <w:rPr>
          <w:rFonts w:ascii="Palatino Linotype" w:hAnsi="Palatino Linotype"/>
          <w:bCs/>
          <w:i/>
          <w:sz w:val="22"/>
          <w:szCs w:val="22"/>
        </w:rPr>
        <w:t xml:space="preserve"> “Brisas del Norte” lo descrito en el presente informe, especialmente la calificación del riesgo ante las diferentes amenazas analizadas y las respectivas recomendaciones técnicas.”</w:t>
      </w:r>
    </w:p>
    <w:p w:rsidR="007A1F48" w:rsidRPr="00624394" w:rsidRDefault="00304149" w:rsidP="007A1F48">
      <w:pPr>
        <w:spacing w:after="120" w:line="276" w:lineRule="auto"/>
        <w:ind w:left="708"/>
        <w:jc w:val="both"/>
        <w:rPr>
          <w:rFonts w:ascii="Palatino Linotype" w:hAnsi="Palatino Linotype"/>
          <w:bCs/>
          <w:i/>
          <w:sz w:val="22"/>
          <w:szCs w:val="22"/>
          <w:lang w:val="es-ES_tradnl"/>
        </w:rPr>
      </w:pPr>
      <w:r>
        <w:rPr>
          <w:rFonts w:ascii="Palatino Linotype" w:hAnsi="Palatino Linotype"/>
          <w:b/>
          <w:i/>
          <w:sz w:val="22"/>
          <w:szCs w:val="22"/>
          <w:lang w:val="es-ES_tradnl"/>
        </w:rPr>
        <w:t>“Artículo (…)</w:t>
      </w:r>
      <w:r w:rsidR="007A1F48" w:rsidRPr="00624394">
        <w:rPr>
          <w:rFonts w:ascii="Palatino Linotype" w:hAnsi="Palatino Linotype"/>
          <w:b/>
          <w:i/>
          <w:sz w:val="22"/>
          <w:szCs w:val="22"/>
          <w:lang w:val="es-ES_tradnl"/>
        </w:rPr>
        <w:t xml:space="preserve">.- </w:t>
      </w:r>
      <w:r w:rsidR="007A1F48" w:rsidRPr="00624394">
        <w:rPr>
          <w:rFonts w:ascii="Palatino Linotype" w:hAnsi="Palatino Linotype"/>
          <w:b/>
          <w:bCs/>
          <w:i/>
          <w:sz w:val="22"/>
          <w:szCs w:val="22"/>
          <w:lang w:val="es-ES_tradnl"/>
        </w:rPr>
        <w:t xml:space="preserve">Solicitudes de ampliación de plazo.- </w:t>
      </w:r>
      <w:r w:rsidR="007A1F48" w:rsidRPr="00624394">
        <w:rPr>
          <w:rFonts w:ascii="Palatino Linotype" w:hAnsi="Palatino Linotype"/>
          <w:bCs/>
          <w:i/>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A654C3" w:rsidRPr="0076281E" w:rsidRDefault="00A654C3" w:rsidP="007A1F48">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7A5105" w:rsidRPr="0076281E">
        <w:rPr>
          <w:rFonts w:ascii="Palatino Linotype" w:hAnsi="Palatino Linotype"/>
          <w:sz w:val="22"/>
          <w:szCs w:val="22"/>
        </w:rPr>
        <w:t>1</w:t>
      </w:r>
      <w:r w:rsidR="00C649D7" w:rsidRPr="0076281E">
        <w:rPr>
          <w:rFonts w:ascii="Palatino Linotype" w:hAnsi="Palatino Linotype"/>
          <w:sz w:val="22"/>
          <w:szCs w:val="22"/>
        </w:rPr>
        <w:t>2</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Pr="003C15E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El infrascrito Secretario General del Concejo Metropolitano de Quito, certifica que la presente ordenanza fue discutida y aprobada en dos debat</w:t>
      </w:r>
      <w:bookmarkStart w:id="0" w:name="_GoBack"/>
      <w:bookmarkEnd w:id="0"/>
      <w:r w:rsidRPr="0076281E">
        <w:rPr>
          <w:rFonts w:ascii="Palatino Linotype" w:eastAsia="MS Mincho" w:hAnsi="Palatino Linotype" w:cs="Arial"/>
          <w:sz w:val="22"/>
          <w:szCs w:val="22"/>
        </w:rPr>
        <w:t xml:space="preserve">es, en sesiones de </w:t>
      </w:r>
      <w:r w:rsidR="0076281E">
        <w:rPr>
          <w:rFonts w:ascii="Palatino Linotype" w:eastAsia="MS Mincho" w:hAnsi="Palatino Linotype" w:cs="Arial"/>
          <w:sz w:val="22"/>
          <w:szCs w:val="22"/>
        </w:rPr>
        <w:t>15</w:t>
      </w:r>
      <w:r w:rsidRPr="0076281E">
        <w:rPr>
          <w:rFonts w:ascii="Palatino Linotype" w:eastAsia="MS Mincho" w:hAnsi="Palatino Linotype" w:cs="Arial"/>
          <w:sz w:val="22"/>
          <w:szCs w:val="22"/>
        </w:rPr>
        <w:t xml:space="preserve"> </w:t>
      </w:r>
      <w:r w:rsidR="00660847" w:rsidRPr="0076281E">
        <w:rPr>
          <w:rFonts w:ascii="Palatino Linotype" w:eastAsia="MS Mincho" w:hAnsi="Palatino Linotype" w:cs="Arial"/>
          <w:sz w:val="22"/>
          <w:szCs w:val="22"/>
        </w:rPr>
        <w:t>de</w:t>
      </w:r>
      <w:r w:rsidRPr="0076281E">
        <w:rPr>
          <w:rFonts w:ascii="Palatino Linotype" w:eastAsia="MS Mincho" w:hAnsi="Palatino Linotype" w:cs="Arial"/>
          <w:sz w:val="22"/>
          <w:szCs w:val="22"/>
        </w:rPr>
        <w:t xml:space="preserve"> </w:t>
      </w:r>
      <w:r w:rsidR="0076281E">
        <w:rPr>
          <w:rFonts w:ascii="Palatino Linotype" w:eastAsia="MS Mincho" w:hAnsi="Palatino Linotype" w:cs="Arial"/>
          <w:sz w:val="22"/>
          <w:szCs w:val="22"/>
        </w:rPr>
        <w:t xml:space="preserve">febrero </w:t>
      </w:r>
      <w:r w:rsidR="00C649D7" w:rsidRPr="0076281E">
        <w:rPr>
          <w:rFonts w:ascii="Palatino Linotype" w:eastAsia="MS Mincho" w:hAnsi="Palatino Linotype" w:cs="Arial"/>
          <w:sz w:val="22"/>
          <w:szCs w:val="22"/>
        </w:rPr>
        <w:t xml:space="preserve">de 2017 </w:t>
      </w:r>
      <w:r w:rsidRPr="0076281E">
        <w:rPr>
          <w:rFonts w:ascii="Palatino Linotype" w:eastAsia="MS Mincho" w:hAnsi="Palatino Linotype" w:cs="Arial"/>
          <w:sz w:val="22"/>
          <w:szCs w:val="22"/>
        </w:rPr>
        <w:t xml:space="preserve">y </w:t>
      </w:r>
      <w:r w:rsidR="00C649D7" w:rsidRPr="0076281E">
        <w:rPr>
          <w:rFonts w:ascii="Palatino Linotype" w:eastAsia="MS Mincho" w:hAnsi="Palatino Linotype" w:cs="Arial"/>
          <w:sz w:val="22"/>
          <w:szCs w:val="22"/>
        </w:rPr>
        <w:t>12</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927B50" w:rsidRDefault="00927B50" w:rsidP="00F61B37">
      <w:pPr>
        <w:pStyle w:val="Textosinformato"/>
        <w:jc w:val="center"/>
        <w:rPr>
          <w:rFonts w:ascii="Palatino Linotype" w:eastAsia="MS Mincho" w:hAnsi="Palatino Linotype" w:cs="Arial"/>
          <w:sz w:val="22"/>
          <w:szCs w:val="22"/>
        </w:rPr>
      </w:pPr>
    </w:p>
    <w:p w:rsidR="00304149" w:rsidRPr="0076281E" w:rsidRDefault="00304149"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Default="000D0BB5" w:rsidP="00F61B37">
      <w:pPr>
        <w:pStyle w:val="Textosinformato"/>
        <w:jc w:val="center"/>
        <w:rPr>
          <w:rFonts w:ascii="Palatino Linotype" w:eastAsia="MS Mincho" w:hAnsi="Palatino Linotype" w:cs="Arial"/>
          <w:b/>
          <w:bCs/>
          <w:sz w:val="22"/>
          <w:szCs w:val="22"/>
        </w:rPr>
      </w:pPr>
    </w:p>
    <w:p w:rsidR="00304149" w:rsidRDefault="00304149" w:rsidP="00F61B37">
      <w:pPr>
        <w:pStyle w:val="Textosinformato"/>
        <w:jc w:val="center"/>
        <w:rPr>
          <w:rFonts w:ascii="Palatino Linotype" w:eastAsia="MS Mincho" w:hAnsi="Palatino Linotype" w:cs="Arial"/>
          <w:b/>
          <w:bCs/>
          <w:sz w:val="22"/>
          <w:szCs w:val="22"/>
        </w:rPr>
      </w:pPr>
    </w:p>
    <w:p w:rsidR="00182091" w:rsidRDefault="00182091" w:rsidP="00F61B37">
      <w:pPr>
        <w:pStyle w:val="Textosinformato"/>
        <w:jc w:val="center"/>
        <w:rPr>
          <w:rFonts w:ascii="Palatino Linotype" w:eastAsia="MS Mincho" w:hAnsi="Palatino Linotype" w:cs="Arial"/>
          <w:b/>
          <w:bCs/>
          <w:sz w:val="22"/>
          <w:szCs w:val="22"/>
        </w:rPr>
      </w:pPr>
    </w:p>
    <w:p w:rsidR="00182091" w:rsidRDefault="00182091" w:rsidP="00F61B37">
      <w:pPr>
        <w:pStyle w:val="Textosinformato"/>
        <w:jc w:val="center"/>
        <w:rPr>
          <w:rFonts w:ascii="Palatino Linotype" w:eastAsia="MS Mincho" w:hAnsi="Palatino Linotype" w:cs="Arial"/>
          <w:b/>
          <w:bCs/>
          <w:sz w:val="22"/>
          <w:szCs w:val="22"/>
        </w:rPr>
      </w:pPr>
    </w:p>
    <w:p w:rsidR="00182091" w:rsidRDefault="00182091" w:rsidP="00F61B37">
      <w:pPr>
        <w:pStyle w:val="Textosinformato"/>
        <w:jc w:val="center"/>
        <w:rPr>
          <w:rFonts w:ascii="Palatino Linotype" w:eastAsia="MS Mincho" w:hAnsi="Palatino Linotype" w:cs="Arial"/>
          <w:b/>
          <w:bCs/>
          <w:sz w:val="22"/>
          <w:szCs w:val="22"/>
        </w:rPr>
      </w:pPr>
    </w:p>
    <w:p w:rsidR="00304149" w:rsidRPr="0076281E" w:rsidRDefault="00304149"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lastRenderedPageBreak/>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91" w:rsidRDefault="00711B91">
      <w:r>
        <w:separator/>
      </w:r>
    </w:p>
  </w:endnote>
  <w:endnote w:type="continuationSeparator" w:id="0">
    <w:p w:rsidR="00711B91" w:rsidRDefault="0071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4418E">
      <w:rPr>
        <w:b/>
        <w:noProof/>
      </w:rPr>
      <w:t>18</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24418E">
      <w:rPr>
        <w:rFonts w:ascii="Palatino Linotype" w:hAnsi="Palatino Linotype"/>
        <w:b/>
        <w:noProof/>
        <w:sz w:val="22"/>
        <w:szCs w:val="22"/>
      </w:rPr>
      <w:t>15</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16</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24418E">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304149">
      <w:rPr>
        <w:rFonts w:ascii="Palatino Linotype" w:hAnsi="Palatino Linotype"/>
        <w:b/>
        <w:sz w:val="22"/>
        <w:szCs w:val="22"/>
      </w:rPr>
      <w:t>6</w:t>
    </w:r>
  </w:p>
  <w:p w:rsidR="007A1F48" w:rsidRDefault="007A1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91" w:rsidRDefault="00711B91">
      <w:r>
        <w:separator/>
      </w:r>
    </w:p>
  </w:footnote>
  <w:footnote w:type="continuationSeparator" w:id="0">
    <w:p w:rsidR="00711B91" w:rsidRDefault="0071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40220"/>
    <w:rsid w:val="00153CFF"/>
    <w:rsid w:val="00163CDA"/>
    <w:rsid w:val="00182091"/>
    <w:rsid w:val="0018659D"/>
    <w:rsid w:val="001928C9"/>
    <w:rsid w:val="001B4C55"/>
    <w:rsid w:val="001C2217"/>
    <w:rsid w:val="001C525E"/>
    <w:rsid w:val="001C55D3"/>
    <w:rsid w:val="001C75F4"/>
    <w:rsid w:val="001E6BF8"/>
    <w:rsid w:val="00201283"/>
    <w:rsid w:val="002132FE"/>
    <w:rsid w:val="0021780A"/>
    <w:rsid w:val="002305D7"/>
    <w:rsid w:val="0024418E"/>
    <w:rsid w:val="00255362"/>
    <w:rsid w:val="00255F86"/>
    <w:rsid w:val="002776A8"/>
    <w:rsid w:val="00280287"/>
    <w:rsid w:val="0029274C"/>
    <w:rsid w:val="002C365A"/>
    <w:rsid w:val="002C61E0"/>
    <w:rsid w:val="002E561C"/>
    <w:rsid w:val="002E637E"/>
    <w:rsid w:val="002E6B27"/>
    <w:rsid w:val="00304149"/>
    <w:rsid w:val="003402D5"/>
    <w:rsid w:val="00342AED"/>
    <w:rsid w:val="00361728"/>
    <w:rsid w:val="00370CC4"/>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96B51"/>
    <w:rsid w:val="004D35A7"/>
    <w:rsid w:val="004F6F68"/>
    <w:rsid w:val="00506B01"/>
    <w:rsid w:val="00511A9B"/>
    <w:rsid w:val="00520E1B"/>
    <w:rsid w:val="00526191"/>
    <w:rsid w:val="00546F26"/>
    <w:rsid w:val="005475EE"/>
    <w:rsid w:val="00555C0E"/>
    <w:rsid w:val="00557A57"/>
    <w:rsid w:val="00591ED3"/>
    <w:rsid w:val="005D2B94"/>
    <w:rsid w:val="005D708A"/>
    <w:rsid w:val="005E2686"/>
    <w:rsid w:val="00606113"/>
    <w:rsid w:val="0061407B"/>
    <w:rsid w:val="006274AF"/>
    <w:rsid w:val="00644DB8"/>
    <w:rsid w:val="00660847"/>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70D4"/>
    <w:rsid w:val="008D4A2E"/>
    <w:rsid w:val="008D5942"/>
    <w:rsid w:val="008F5FD6"/>
    <w:rsid w:val="00914E9C"/>
    <w:rsid w:val="00924901"/>
    <w:rsid w:val="00927B50"/>
    <w:rsid w:val="00930448"/>
    <w:rsid w:val="00936A45"/>
    <w:rsid w:val="009750C0"/>
    <w:rsid w:val="009D2B5B"/>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D0E3C"/>
    <w:rsid w:val="00BE31B4"/>
    <w:rsid w:val="00BF342B"/>
    <w:rsid w:val="00C15F19"/>
    <w:rsid w:val="00C4546C"/>
    <w:rsid w:val="00C472C7"/>
    <w:rsid w:val="00C649D7"/>
    <w:rsid w:val="00C76887"/>
    <w:rsid w:val="00C8272A"/>
    <w:rsid w:val="00CB2F61"/>
    <w:rsid w:val="00CC1416"/>
    <w:rsid w:val="00CD710B"/>
    <w:rsid w:val="00CE3557"/>
    <w:rsid w:val="00D25F6E"/>
    <w:rsid w:val="00D30211"/>
    <w:rsid w:val="00D35034"/>
    <w:rsid w:val="00DA4B8C"/>
    <w:rsid w:val="00DB3496"/>
    <w:rsid w:val="00DD744F"/>
    <w:rsid w:val="00DE01FF"/>
    <w:rsid w:val="00DE3C84"/>
    <w:rsid w:val="00DE447D"/>
    <w:rsid w:val="00DF66B4"/>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8693-B739-49EF-A9F7-2E2E66E6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5173</Words>
  <Characters>28456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2018-07-12T19:37:00Z</cp:lastPrinted>
  <dcterms:created xsi:type="dcterms:W3CDTF">2018-07-12T19:14:00Z</dcterms:created>
  <dcterms:modified xsi:type="dcterms:W3CDTF">2018-07-12T19:44:00Z</dcterms:modified>
</cp:coreProperties>
</file>