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C01526" w:rsidRDefault="0096645E" w:rsidP="00C01526">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F6463" w:rsidRPr="000136BC" w:rsidRDefault="00EF6463" w:rsidP="00EF6463">
      <w:pPr>
        <w:spacing w:after="120" w:line="276" w:lineRule="auto"/>
        <w:ind w:firstLine="708"/>
        <w:jc w:val="both"/>
        <w:rPr>
          <w:rFonts w:ascii="Palatino Linotype" w:hAnsi="Palatino Linotype"/>
          <w:sz w:val="22"/>
          <w:szCs w:val="22"/>
        </w:rPr>
      </w:pPr>
      <w:r w:rsidRPr="000136BC">
        <w:rPr>
          <w:rFonts w:ascii="Palatino Linotype" w:hAnsi="Palatino Linotype"/>
          <w:sz w:val="22"/>
          <w:szCs w:val="22"/>
        </w:rPr>
        <w:t>El Asentamiento Humano de Hecho y Consolidado de Interés Social denominado Comité Pro Mejoras del Barrio ¨</w:t>
      </w:r>
      <w:proofErr w:type="spellStart"/>
      <w:r w:rsidRPr="000136BC">
        <w:rPr>
          <w:rFonts w:ascii="Palatino Linotype" w:hAnsi="Palatino Linotype"/>
          <w:sz w:val="22"/>
          <w:szCs w:val="22"/>
        </w:rPr>
        <w:t>Catzuqui</w:t>
      </w:r>
      <w:proofErr w:type="spellEnd"/>
      <w:r w:rsidRPr="000136BC">
        <w:rPr>
          <w:rFonts w:ascii="Palatino Linotype" w:hAnsi="Palatino Linotype"/>
          <w:sz w:val="22"/>
          <w:szCs w:val="22"/>
        </w:rPr>
        <w:t xml:space="preserve"> de Moncayo¨ Etapa II, ubicado en la parroquia El Condado (antes </w:t>
      </w:r>
      <w:proofErr w:type="spellStart"/>
      <w:r w:rsidRPr="000136BC">
        <w:rPr>
          <w:rFonts w:ascii="Palatino Linotype" w:hAnsi="Palatino Linotype"/>
          <w:sz w:val="22"/>
          <w:szCs w:val="22"/>
        </w:rPr>
        <w:t>Cotocollao</w:t>
      </w:r>
      <w:proofErr w:type="spellEnd"/>
      <w:r w:rsidRPr="000136BC">
        <w:rPr>
          <w:rFonts w:ascii="Palatino Linotype" w:hAnsi="Palatino Linotype"/>
          <w:sz w:val="22"/>
          <w:szCs w:val="22"/>
        </w:rPr>
        <w:t>) tiene una consolidación de 46,15%, al inicio del proceso de regularización contaba con 25 años de existencia, sin embargo</w:t>
      </w:r>
      <w:r>
        <w:rPr>
          <w:rFonts w:ascii="Palatino Linotype" w:hAnsi="Palatino Linotype"/>
          <w:sz w:val="22"/>
          <w:szCs w:val="22"/>
        </w:rPr>
        <w:t>,</w:t>
      </w:r>
      <w:r w:rsidRPr="000136BC">
        <w:rPr>
          <w:rFonts w:ascii="Palatino Linotype" w:hAnsi="Palatino Linotype"/>
          <w:sz w:val="22"/>
          <w:szCs w:val="22"/>
        </w:rPr>
        <w:t xml:space="preserve"> al momento de la sanción de la presente ordenanza el Asentamiento cuenta con </w:t>
      </w:r>
      <w:r>
        <w:rPr>
          <w:rFonts w:ascii="Palatino Linotype" w:hAnsi="Palatino Linotype"/>
          <w:sz w:val="22"/>
          <w:szCs w:val="22"/>
        </w:rPr>
        <w:t>27</w:t>
      </w:r>
      <w:r w:rsidRPr="000136BC">
        <w:rPr>
          <w:rFonts w:ascii="Palatino Linotype" w:hAnsi="Palatino Linotype"/>
          <w:sz w:val="22"/>
          <w:szCs w:val="22"/>
        </w:rPr>
        <w:t xml:space="preserve"> años de asentamiento y 52 habitantes. </w:t>
      </w:r>
    </w:p>
    <w:p w:rsidR="00EF6463" w:rsidRPr="000136BC" w:rsidRDefault="00EF6463" w:rsidP="00EF6463">
      <w:pPr>
        <w:spacing w:after="120" w:line="276" w:lineRule="auto"/>
        <w:ind w:firstLine="708"/>
        <w:jc w:val="both"/>
        <w:rPr>
          <w:rFonts w:ascii="Palatino Linotype" w:hAnsi="Palatino Linotype"/>
          <w:sz w:val="22"/>
          <w:szCs w:val="22"/>
        </w:rPr>
      </w:pPr>
      <w:r w:rsidRPr="000136BC">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7750DE" w:rsidRPr="00DE5712" w:rsidRDefault="00EF6463" w:rsidP="00EF6463">
      <w:pPr>
        <w:spacing w:after="120" w:line="276" w:lineRule="auto"/>
        <w:ind w:firstLine="708"/>
        <w:jc w:val="both"/>
        <w:rPr>
          <w:rFonts w:ascii="Palatino Linotype" w:hAnsi="Palatino Linotype"/>
          <w:sz w:val="22"/>
          <w:szCs w:val="22"/>
        </w:rPr>
      </w:pPr>
      <w:r w:rsidRPr="000136BC">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Pro Mejoras del Barrio ¨</w:t>
      </w:r>
      <w:proofErr w:type="spellStart"/>
      <w:r w:rsidRPr="000136BC">
        <w:rPr>
          <w:rFonts w:ascii="Palatino Linotype" w:hAnsi="Palatino Linotype"/>
          <w:sz w:val="22"/>
          <w:szCs w:val="22"/>
        </w:rPr>
        <w:t>Catzuqui</w:t>
      </w:r>
      <w:proofErr w:type="spellEnd"/>
      <w:r w:rsidRPr="000136BC">
        <w:rPr>
          <w:rFonts w:ascii="Palatino Linotype" w:hAnsi="Palatino Linotype"/>
          <w:sz w:val="22"/>
          <w:szCs w:val="22"/>
        </w:rPr>
        <w:t xml:space="preserve"> de Moncayo¨ Etapa II, a fin de garantizar a los beneficiarios el ejercicio de su derecho a la vivienda y el acceso a servicios básicos de calidad</w:t>
      </w:r>
      <w:r w:rsidR="007750DE" w:rsidRPr="00DE5712">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C01526">
        <w:rPr>
          <w:rFonts w:ascii="Palatino Linotype" w:hAnsi="Palatino Linotype"/>
          <w:sz w:val="22"/>
          <w:szCs w:val="22"/>
        </w:rPr>
        <w:t>9</w:t>
      </w:r>
      <w:r w:rsidR="00236471" w:rsidRPr="00091622">
        <w:rPr>
          <w:rFonts w:ascii="Palatino Linotype" w:hAnsi="Palatino Linotype"/>
          <w:sz w:val="22"/>
          <w:szCs w:val="22"/>
        </w:rPr>
        <w:t>-</w:t>
      </w:r>
      <w:r w:rsidR="00C01526">
        <w:rPr>
          <w:rFonts w:ascii="Palatino Linotype" w:hAnsi="Palatino Linotype"/>
          <w:sz w:val="22"/>
          <w:szCs w:val="22"/>
        </w:rPr>
        <w:t>0</w:t>
      </w:r>
      <w:r w:rsidR="00EF6463">
        <w:rPr>
          <w:rFonts w:ascii="Palatino Linotype" w:hAnsi="Palatino Linotype"/>
          <w:sz w:val="22"/>
          <w:szCs w:val="22"/>
        </w:rPr>
        <w:t>64</w:t>
      </w:r>
      <w:r w:rsidR="007359A3" w:rsidRPr="00091622">
        <w:rPr>
          <w:rFonts w:ascii="Palatino Linotype" w:hAnsi="Palatino Linotype"/>
          <w:sz w:val="22"/>
          <w:szCs w:val="22"/>
        </w:rPr>
        <w:t xml:space="preserve">, de </w:t>
      </w:r>
      <w:r w:rsidR="00EF6463">
        <w:rPr>
          <w:rFonts w:ascii="Palatino Linotype" w:hAnsi="Palatino Linotype"/>
          <w:sz w:val="22"/>
          <w:szCs w:val="22"/>
        </w:rPr>
        <w:t>28</w:t>
      </w:r>
      <w:r w:rsidR="00C01526">
        <w:rPr>
          <w:rFonts w:ascii="Palatino Linotype" w:hAnsi="Palatino Linotype"/>
          <w:sz w:val="22"/>
          <w:szCs w:val="22"/>
        </w:rPr>
        <w:t xml:space="preserve"> </w:t>
      </w:r>
      <w:r w:rsidR="00195FBA">
        <w:rPr>
          <w:rFonts w:ascii="Palatino Linotype" w:hAnsi="Palatino Linotype"/>
          <w:sz w:val="22"/>
          <w:szCs w:val="22"/>
        </w:rPr>
        <w:t xml:space="preserve">de </w:t>
      </w:r>
      <w:r w:rsidR="00EF6463">
        <w:rPr>
          <w:rFonts w:ascii="Palatino Linotype" w:hAnsi="Palatino Linotype"/>
          <w:sz w:val="22"/>
          <w:szCs w:val="22"/>
        </w:rPr>
        <w:t xml:space="preserve">febrero </w:t>
      </w:r>
      <w:r w:rsidR="00C01526">
        <w:rPr>
          <w:rFonts w:ascii="Palatino Linotype" w:hAnsi="Palatino Linotype"/>
          <w:sz w:val="22"/>
          <w:szCs w:val="22"/>
        </w:rPr>
        <w:t>de 2019</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387B4A" w:rsidRDefault="00F112F0" w:rsidP="00387B4A">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387B4A" w:rsidRDefault="00387B4A" w:rsidP="00387B4A">
      <w:pPr>
        <w:pStyle w:val="Sinespaciado"/>
        <w:spacing w:after="120" w:line="276" w:lineRule="auto"/>
        <w:ind w:left="709" w:hanging="709"/>
        <w:jc w:val="both"/>
        <w:rPr>
          <w:rFonts w:ascii="Palatino Linotype" w:hAnsi="Palatino Linotype"/>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7B4A" w:rsidRPr="00387B4A" w:rsidRDefault="00387B4A" w:rsidP="00387B4A">
      <w:pPr>
        <w:pStyle w:val="Sinespaciado"/>
        <w:spacing w:after="120" w:line="276" w:lineRule="auto"/>
        <w:ind w:left="709" w:hanging="709"/>
        <w:jc w:val="both"/>
        <w:rPr>
          <w:rFonts w:ascii="Palatino Linotype" w:hAnsi="Palatino Linotype"/>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7CDC" w:rsidRDefault="00683507"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FF7CDC">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EF6463" w:rsidRPr="000136BC">
        <w:rPr>
          <w:rFonts w:ascii="Palatino Linotype" w:hAnsi="Palatino Linotype"/>
          <w:bCs/>
          <w:sz w:val="22"/>
          <w:szCs w:val="22"/>
        </w:rPr>
        <w:t xml:space="preserve">la </w:t>
      </w:r>
      <w:r w:rsidR="00EF6463">
        <w:rPr>
          <w:rFonts w:ascii="Palatino Linotype" w:hAnsi="Palatino Linotype"/>
          <w:bCs/>
          <w:sz w:val="22"/>
          <w:szCs w:val="22"/>
        </w:rPr>
        <w:t xml:space="preserve">Mesa Institucional, reunida el </w:t>
      </w:r>
      <w:r w:rsidR="00EF6463" w:rsidRPr="000136BC">
        <w:rPr>
          <w:rFonts w:ascii="Palatino Linotype" w:hAnsi="Palatino Linotype"/>
          <w:bCs/>
          <w:sz w:val="22"/>
          <w:szCs w:val="22"/>
        </w:rPr>
        <w:t>7 de diciembre de 2017</w:t>
      </w:r>
      <w:r w:rsidR="00EF6463">
        <w:rPr>
          <w:rFonts w:ascii="Palatino Linotype" w:hAnsi="Palatino Linotype"/>
          <w:bCs/>
          <w:sz w:val="22"/>
          <w:szCs w:val="22"/>
        </w:rPr>
        <w:t>,</w:t>
      </w:r>
      <w:r w:rsidR="00EF6463" w:rsidRPr="000136BC">
        <w:rPr>
          <w:rFonts w:ascii="Palatino Linotype" w:hAnsi="Palatino Linotype"/>
          <w:bCs/>
          <w:sz w:val="22"/>
          <w:szCs w:val="22"/>
        </w:rPr>
        <w:t xml:space="preserve"> en la Administración Zonal La Delicia, integrada por: Arq. Juan Carlos Echeverría, Coordinador UERB-AZLD; Ab. Lucia Jurado Orna, Responsable Legal UERB-AZLD; Gabriel </w:t>
      </w:r>
      <w:proofErr w:type="spellStart"/>
      <w:r w:rsidR="00EF6463" w:rsidRPr="000136BC">
        <w:rPr>
          <w:rFonts w:ascii="Palatino Linotype" w:hAnsi="Palatino Linotype"/>
          <w:bCs/>
          <w:sz w:val="22"/>
          <w:szCs w:val="22"/>
        </w:rPr>
        <w:t>Bedón</w:t>
      </w:r>
      <w:proofErr w:type="spellEnd"/>
      <w:r w:rsidR="00EF6463" w:rsidRPr="000136BC">
        <w:rPr>
          <w:rFonts w:ascii="Palatino Linotype" w:hAnsi="Palatino Linotype"/>
          <w:bCs/>
          <w:sz w:val="22"/>
          <w:szCs w:val="22"/>
        </w:rPr>
        <w:t xml:space="preserve"> Álvarez, Responsable Socio Organizativo UERB-AZLD; Ab. Fernanda Durán, Delegada de la AZLD; Ab. Karla Naranjo, Directora Jurídica AZLD; Ing. Elizabeth Carrión, Delegada de la Dirección Metropolitana de Gestión de Riesgos; Arq. María Belén Cueva, Delegada de la Dirección Metropolitana de Catastro; Arq. Elizabeth Ortiz, Delegada de la Secretaría de Territorio Hábitat y Vivienda, aprobaron  el Informe Socio</w:t>
      </w:r>
      <w:r w:rsidR="00EF6463">
        <w:rPr>
          <w:rFonts w:ascii="Palatino Linotype" w:hAnsi="Palatino Linotype"/>
          <w:bCs/>
        </w:rPr>
        <w:t xml:space="preserve"> Organizativo Legal y Técnico No</w:t>
      </w:r>
      <w:r w:rsidR="00EF6463" w:rsidRPr="000136BC">
        <w:rPr>
          <w:rFonts w:ascii="Palatino Linotype" w:hAnsi="Palatino Linotype"/>
          <w:bCs/>
          <w:sz w:val="22"/>
          <w:szCs w:val="22"/>
        </w:rPr>
        <w:t>. 010</w:t>
      </w:r>
      <w:r w:rsidR="00EF6463">
        <w:rPr>
          <w:rFonts w:ascii="Palatino Linotype" w:hAnsi="Palatino Linotype"/>
          <w:bCs/>
          <w:sz w:val="22"/>
          <w:szCs w:val="22"/>
        </w:rPr>
        <w:t xml:space="preserve">-UERB-AZLD-SOLT-2017, de fecha </w:t>
      </w:r>
      <w:r w:rsidR="00EF6463" w:rsidRPr="000136BC">
        <w:rPr>
          <w:rFonts w:ascii="Palatino Linotype" w:hAnsi="Palatino Linotype"/>
          <w:bCs/>
          <w:sz w:val="22"/>
          <w:szCs w:val="22"/>
        </w:rPr>
        <w:t>4 de diciembre de 2017, habilitante de la Ordenanza de reconocimiento del Asentamiento Humano de Hecho y Consolidado de Interés Social denominado Barrio ¨</w:t>
      </w:r>
      <w:proofErr w:type="spellStart"/>
      <w:r w:rsidR="00EF6463" w:rsidRPr="000136BC">
        <w:rPr>
          <w:rFonts w:ascii="Palatino Linotype" w:hAnsi="Palatino Linotype"/>
          <w:bCs/>
          <w:sz w:val="22"/>
          <w:szCs w:val="22"/>
        </w:rPr>
        <w:t>Catzuqui</w:t>
      </w:r>
      <w:proofErr w:type="spellEnd"/>
      <w:r w:rsidR="00EF6463" w:rsidRPr="000136BC">
        <w:rPr>
          <w:rFonts w:ascii="Palatino Linotype" w:hAnsi="Palatino Linotype"/>
          <w:bCs/>
          <w:sz w:val="22"/>
          <w:szCs w:val="22"/>
        </w:rPr>
        <w:t xml:space="preserve"> de Moncayo¨ Etapa II, ubicado en la Parroquia El Condado (antes </w:t>
      </w:r>
      <w:proofErr w:type="spellStart"/>
      <w:r w:rsidR="00EF6463" w:rsidRPr="000136BC">
        <w:rPr>
          <w:rFonts w:ascii="Palatino Linotype" w:hAnsi="Palatino Linotype"/>
          <w:bCs/>
          <w:sz w:val="22"/>
          <w:szCs w:val="22"/>
        </w:rPr>
        <w:t>Cotocollao</w:t>
      </w:r>
      <w:proofErr w:type="spellEnd"/>
      <w:r w:rsidR="00EF6463" w:rsidRPr="000136BC">
        <w:rPr>
          <w:rFonts w:ascii="Palatino Linotype" w:hAnsi="Palatino Linotype"/>
          <w:bCs/>
          <w:sz w:val="22"/>
          <w:szCs w:val="22"/>
        </w:rPr>
        <w:t>), 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E44D15" w:rsidRDefault="00495C11" w:rsidP="00E44D15">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EF6463" w:rsidRPr="000136BC">
        <w:rPr>
          <w:rFonts w:ascii="Palatino Linotype" w:hAnsi="Palatino Linotype"/>
          <w:b/>
          <w:color w:val="000000"/>
          <w:sz w:val="22"/>
          <w:szCs w:val="22"/>
          <w:shd w:val="clear" w:color="auto" w:fill="FFFFFF"/>
        </w:rPr>
        <w:t>QUE RECONOCE Y APRUEBA EL FRACCIONAMIENTO DEL PREDIO No. 5190925</w:t>
      </w:r>
      <w:r w:rsidR="00EF6463">
        <w:rPr>
          <w:rFonts w:ascii="Palatino Linotype" w:hAnsi="Palatino Linotype"/>
          <w:b/>
          <w:color w:val="000000"/>
          <w:sz w:val="22"/>
          <w:szCs w:val="22"/>
          <w:shd w:val="clear" w:color="auto" w:fill="FFFFFF"/>
        </w:rPr>
        <w:t>,</w:t>
      </w:r>
      <w:r w:rsidR="00EF6463" w:rsidRPr="000136BC">
        <w:rPr>
          <w:rFonts w:ascii="Palatino Linotype" w:hAnsi="Palatino Linotype"/>
          <w:b/>
          <w:color w:val="000000"/>
          <w:sz w:val="22"/>
          <w:szCs w:val="22"/>
          <w:shd w:val="clear" w:color="auto" w:fill="FFFFFF"/>
        </w:rPr>
        <w:t xml:space="preserve"> SOBRE EL QUE SE ENCUENTRA EL ASENTAMIENTO HUMANO DE HECHO Y CONSOLIDADO DE INTERÉS SOCIAL DENOMINADO </w:t>
      </w:r>
      <w:r w:rsidR="00EF6463" w:rsidRPr="000136BC">
        <w:rPr>
          <w:rFonts w:ascii="Palatino Linotype" w:hAnsi="Palatino Linotype"/>
          <w:b/>
          <w:bCs/>
          <w:color w:val="000000" w:themeColor="text1"/>
          <w:sz w:val="22"/>
          <w:szCs w:val="22"/>
        </w:rPr>
        <w:lastRenderedPageBreak/>
        <w:t>COMITÉ PRO MEJORAS DEL BARRIO ¨CATZUQUI DE MONCAYO¨ ETAPA II,</w:t>
      </w:r>
      <w:r w:rsidR="00EF6463" w:rsidRPr="000136BC">
        <w:rPr>
          <w:rFonts w:ascii="Palatino Linotype" w:hAnsi="Palatino Linotype"/>
          <w:b/>
          <w:sz w:val="22"/>
          <w:szCs w:val="22"/>
        </w:rPr>
        <w:t xml:space="preserve"> A FAVOR DE SUS COPROPIETARIOS</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b/>
          <w:bCs/>
          <w:sz w:val="22"/>
          <w:szCs w:val="22"/>
        </w:rPr>
        <w:t xml:space="preserve">Artículo 1.- De los planos y documentos </w:t>
      </w:r>
      <w:proofErr w:type="gramStart"/>
      <w:r w:rsidRPr="000136BC">
        <w:rPr>
          <w:rFonts w:ascii="Palatino Linotype" w:hAnsi="Palatino Linotype"/>
          <w:b/>
          <w:bCs/>
          <w:sz w:val="22"/>
          <w:szCs w:val="22"/>
        </w:rPr>
        <w:t>presentados.-</w:t>
      </w:r>
      <w:proofErr w:type="gramEnd"/>
      <w:r w:rsidRPr="000136BC">
        <w:rPr>
          <w:rFonts w:ascii="Palatino Linotype" w:hAnsi="Palatino Linotype"/>
          <w:b/>
          <w:bCs/>
          <w:sz w:val="22"/>
          <w:szCs w:val="22"/>
        </w:rPr>
        <w:t xml:space="preserve"> </w:t>
      </w:r>
      <w:r w:rsidRPr="000136BC">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Pr="000136BC">
        <w:rPr>
          <w:rFonts w:ascii="Palatino Linotype" w:hAnsi="Palatino Linotype"/>
          <w:bCs/>
          <w:sz w:val="22"/>
          <w:szCs w:val="22"/>
        </w:rPr>
        <w:t>Comité Pro Mejoras del Barrio ¨</w:t>
      </w:r>
      <w:proofErr w:type="spellStart"/>
      <w:r w:rsidRPr="000136BC">
        <w:rPr>
          <w:rFonts w:ascii="Palatino Linotype" w:hAnsi="Palatino Linotype"/>
          <w:bCs/>
          <w:sz w:val="22"/>
          <w:szCs w:val="22"/>
        </w:rPr>
        <w:t>Catzuqui</w:t>
      </w:r>
      <w:proofErr w:type="spellEnd"/>
      <w:r w:rsidRPr="000136BC">
        <w:rPr>
          <w:rFonts w:ascii="Palatino Linotype" w:hAnsi="Palatino Linotype"/>
          <w:bCs/>
          <w:sz w:val="22"/>
          <w:szCs w:val="22"/>
        </w:rPr>
        <w:t xml:space="preserve"> de Moncayo¨ Etapa II</w:t>
      </w:r>
      <w:r w:rsidRPr="000136BC">
        <w:rPr>
          <w:rFonts w:ascii="Palatino Linotype" w:hAnsi="Palatino Linotype"/>
          <w:sz w:val="22"/>
          <w:szCs w:val="22"/>
        </w:rPr>
        <w:t xml:space="preserve">, ubicado en la parroquia El Condado (antes </w:t>
      </w:r>
      <w:proofErr w:type="spellStart"/>
      <w:r w:rsidRPr="000136BC">
        <w:rPr>
          <w:rFonts w:ascii="Palatino Linotype" w:hAnsi="Palatino Linotype"/>
          <w:sz w:val="22"/>
          <w:szCs w:val="22"/>
        </w:rPr>
        <w:t>Cotocollao</w:t>
      </w:r>
      <w:proofErr w:type="spellEnd"/>
      <w:r w:rsidRPr="000136BC">
        <w:rPr>
          <w:rFonts w:ascii="Palatino Linotype" w:hAnsi="Palatino Linotype"/>
          <w:sz w:val="22"/>
          <w:szCs w:val="22"/>
        </w:rPr>
        <w:t>)</w:t>
      </w:r>
      <w:r>
        <w:rPr>
          <w:rFonts w:ascii="Palatino Linotype" w:hAnsi="Palatino Linotype"/>
        </w:rPr>
        <w:t>,</w:t>
      </w:r>
      <w:r w:rsidRPr="000136BC">
        <w:rPr>
          <w:rFonts w:ascii="Palatino Linotype" w:hAnsi="Palatino Linotype"/>
          <w:sz w:val="22"/>
          <w:szCs w:val="22"/>
        </w:rPr>
        <w:t xml:space="preserve"> </w:t>
      </w:r>
      <w:r w:rsidRPr="000136BC">
        <w:rPr>
          <w:rFonts w:ascii="Palatino Linotype" w:hAnsi="Palatino Linotype"/>
          <w:bCs/>
          <w:sz w:val="22"/>
          <w:szCs w:val="22"/>
        </w:rPr>
        <w:t xml:space="preserve">sin </w:t>
      </w:r>
      <w:r w:rsidRPr="000136BC">
        <w:rPr>
          <w:rFonts w:ascii="Palatino Linotype" w:hAnsi="Palatino Linotype"/>
          <w:sz w:val="22"/>
          <w:szCs w:val="22"/>
        </w:rPr>
        <w:t>perjuicio de la responsabilidad de quienes revisaron los planos y los documentos legales, excepto que hayan sido inducidos a engaño.</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rPr>
        <w:t>o</w:t>
      </w:r>
      <w:r w:rsidRPr="000136BC">
        <w:rPr>
          <w:rFonts w:ascii="Palatino Linotype" w:hAnsi="Palatino Linotype"/>
          <w:sz w:val="22"/>
          <w:szCs w:val="22"/>
        </w:rPr>
        <w:t xml:space="preserve">rdenanza. </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sz w:val="22"/>
          <w:szCs w:val="22"/>
        </w:rPr>
        <w:t xml:space="preserve">Los copropietarios del Asentamiento Humano de Hecho y Consolidado de Interés Social denominado </w:t>
      </w:r>
      <w:r w:rsidRPr="000136BC">
        <w:rPr>
          <w:rFonts w:ascii="Palatino Linotype" w:hAnsi="Palatino Linotype"/>
          <w:bCs/>
          <w:sz w:val="22"/>
          <w:szCs w:val="22"/>
        </w:rPr>
        <w:t>Comité Pro Mejoras del Barrio ¨</w:t>
      </w:r>
      <w:proofErr w:type="spellStart"/>
      <w:r w:rsidRPr="000136BC">
        <w:rPr>
          <w:rFonts w:ascii="Palatino Linotype" w:hAnsi="Palatino Linotype"/>
          <w:bCs/>
          <w:sz w:val="22"/>
          <w:szCs w:val="22"/>
        </w:rPr>
        <w:t>Catzuqui</w:t>
      </w:r>
      <w:proofErr w:type="spellEnd"/>
      <w:r w:rsidRPr="000136BC">
        <w:rPr>
          <w:rFonts w:ascii="Palatino Linotype" w:hAnsi="Palatino Linotype"/>
          <w:bCs/>
          <w:sz w:val="22"/>
          <w:szCs w:val="22"/>
        </w:rPr>
        <w:t xml:space="preserve"> de Moncayo¨ Etapa II</w:t>
      </w:r>
      <w:r w:rsidRPr="000136BC">
        <w:rPr>
          <w:rFonts w:ascii="Palatino Linotype" w:hAnsi="Palatino Linotype"/>
          <w:sz w:val="22"/>
          <w:szCs w:val="22"/>
        </w:rPr>
        <w:t xml:space="preserve">, se comprometen a respetar las características de los lotes establecidas en el Plano y en este instrumento; por tanto, no podrán fraccionarlos o dividirlos. </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sz w:val="22"/>
          <w:szCs w:val="22"/>
        </w:rPr>
        <w:t>El incumplimiento de los dispuesto en la pr</w:t>
      </w:r>
      <w:r>
        <w:rPr>
          <w:rFonts w:ascii="Palatino Linotype" w:hAnsi="Palatino Linotype"/>
        </w:rPr>
        <w:t>esente o</w:t>
      </w:r>
      <w:r w:rsidRPr="000136BC">
        <w:rPr>
          <w:rFonts w:ascii="Palatino Linotype" w:hAnsi="Palatino Linotype"/>
          <w:sz w:val="22"/>
          <w:szCs w:val="22"/>
        </w:rPr>
        <w:t>rdenanza y en la normativa metropolitana y nacional vigente al respecto, dará lugar a la imposición de las sanciones correspondientes.</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sz w:val="22"/>
          <w:szCs w:val="22"/>
        </w:rPr>
        <w:t xml:space="preserve">Por las condiciones del asentamiento humano de hecho y consolidado, se lo aprueba considerándolo </w:t>
      </w:r>
      <w:r w:rsidRPr="000136BC">
        <w:rPr>
          <w:rFonts w:ascii="Palatino Linotype" w:hAnsi="Palatino Linotype"/>
        </w:rPr>
        <w:t>de interés social.</w:t>
      </w:r>
    </w:p>
    <w:p w:rsidR="00353364" w:rsidRPr="000136BC" w:rsidRDefault="00353364" w:rsidP="00353364">
      <w:pPr>
        <w:spacing w:after="120" w:line="276" w:lineRule="auto"/>
        <w:jc w:val="both"/>
        <w:rPr>
          <w:rFonts w:ascii="Palatino Linotype" w:hAnsi="Palatino Linotype"/>
          <w:b/>
          <w:bCs/>
          <w:sz w:val="22"/>
          <w:szCs w:val="22"/>
        </w:rPr>
      </w:pPr>
      <w:r w:rsidRPr="000136BC">
        <w:rPr>
          <w:rFonts w:ascii="Palatino Linotype" w:hAnsi="Palatino Linotype"/>
          <w:b/>
          <w:bCs/>
          <w:sz w:val="22"/>
          <w:szCs w:val="22"/>
        </w:rPr>
        <w:t xml:space="preserve">Artículo 2.- Especificaciones </w:t>
      </w:r>
      <w:proofErr w:type="gramStart"/>
      <w:r w:rsidRPr="000136BC">
        <w:rPr>
          <w:rFonts w:ascii="Palatino Linotype" w:hAnsi="Palatino Linotype"/>
          <w:b/>
          <w:bCs/>
          <w:sz w:val="22"/>
          <w:szCs w:val="22"/>
        </w:rPr>
        <w:t>técnicas.-</w:t>
      </w:r>
      <w:proofErr w:type="gramEnd"/>
    </w:p>
    <w:tbl>
      <w:tblPr>
        <w:tblStyle w:val="Tablaconcuadrcula"/>
        <w:tblW w:w="8080" w:type="dxa"/>
        <w:tblInd w:w="-5" w:type="dxa"/>
        <w:tblLook w:val="04A0" w:firstRow="1" w:lastRow="0" w:firstColumn="1" w:lastColumn="0" w:noHBand="0" w:noVBand="1"/>
      </w:tblPr>
      <w:tblGrid>
        <w:gridCol w:w="3544"/>
        <w:gridCol w:w="4536"/>
      </w:tblGrid>
      <w:tr w:rsidR="00353364" w:rsidRPr="000136BC" w:rsidTr="00293270">
        <w:trPr>
          <w:trHeight w:val="218"/>
        </w:trPr>
        <w:tc>
          <w:tcPr>
            <w:tcW w:w="3544" w:type="dxa"/>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Predio:</w:t>
            </w:r>
          </w:p>
        </w:tc>
        <w:tc>
          <w:tcPr>
            <w:tcW w:w="4536" w:type="dxa"/>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5190925</w:t>
            </w:r>
          </w:p>
        </w:tc>
      </w:tr>
      <w:tr w:rsidR="00353364" w:rsidRPr="000136BC" w:rsidTr="00293270">
        <w:trPr>
          <w:trHeight w:val="218"/>
        </w:trPr>
        <w:tc>
          <w:tcPr>
            <w:tcW w:w="3544" w:type="dxa"/>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Zonificación</w:t>
            </w:r>
            <w:r>
              <w:rPr>
                <w:rFonts w:ascii="Palatino Linotype" w:hAnsi="Palatino Linotype"/>
                <w:b/>
              </w:rPr>
              <w:t>:</w:t>
            </w:r>
          </w:p>
        </w:tc>
        <w:tc>
          <w:tcPr>
            <w:tcW w:w="4536" w:type="dxa"/>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A7 (A50002-1)/A31 (PQ)</w:t>
            </w:r>
          </w:p>
        </w:tc>
      </w:tr>
      <w:tr w:rsidR="00353364" w:rsidRPr="000136BC" w:rsidTr="00293270">
        <w:trPr>
          <w:trHeight w:val="282"/>
        </w:trPr>
        <w:tc>
          <w:tcPr>
            <w:tcW w:w="3544" w:type="dxa"/>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 xml:space="preserve">Lote </w:t>
            </w:r>
            <w:r>
              <w:rPr>
                <w:rFonts w:ascii="Palatino Linotype" w:hAnsi="Palatino Linotype"/>
                <w:b/>
              </w:rPr>
              <w:t>m</w:t>
            </w:r>
            <w:r w:rsidRPr="000136BC">
              <w:rPr>
                <w:rFonts w:ascii="Palatino Linotype" w:hAnsi="Palatino Linotype"/>
                <w:b/>
                <w:sz w:val="22"/>
                <w:szCs w:val="22"/>
              </w:rPr>
              <w:t>ínimo</w:t>
            </w:r>
            <w:r>
              <w:rPr>
                <w:rFonts w:ascii="Palatino Linotype" w:hAnsi="Palatino Linotype"/>
                <w:b/>
              </w:rPr>
              <w:t>:</w:t>
            </w:r>
          </w:p>
        </w:tc>
        <w:tc>
          <w:tcPr>
            <w:tcW w:w="4536" w:type="dxa"/>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50</w:t>
            </w:r>
            <w:r>
              <w:rPr>
                <w:rFonts w:ascii="Palatino Linotype" w:hAnsi="Palatino Linotype"/>
              </w:rPr>
              <w:t>.</w:t>
            </w:r>
            <w:r w:rsidRPr="000136BC">
              <w:rPr>
                <w:rFonts w:ascii="Palatino Linotype" w:hAnsi="Palatino Linotype"/>
                <w:sz w:val="22"/>
                <w:szCs w:val="22"/>
              </w:rPr>
              <w:t>000</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r w:rsidR="00353364" w:rsidRPr="000136BC" w:rsidTr="00293270">
        <w:trPr>
          <w:trHeight w:val="226"/>
        </w:trPr>
        <w:tc>
          <w:tcPr>
            <w:tcW w:w="3544" w:type="dxa"/>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 xml:space="preserve">Forma de </w:t>
            </w:r>
            <w:r>
              <w:rPr>
                <w:rFonts w:ascii="Palatino Linotype" w:hAnsi="Palatino Linotype"/>
                <w:b/>
              </w:rPr>
              <w:t>o</w:t>
            </w:r>
            <w:r w:rsidRPr="000136BC">
              <w:rPr>
                <w:rFonts w:ascii="Palatino Linotype" w:hAnsi="Palatino Linotype"/>
                <w:b/>
                <w:sz w:val="22"/>
                <w:szCs w:val="22"/>
              </w:rPr>
              <w:t>cupación del suelo:</w:t>
            </w:r>
          </w:p>
        </w:tc>
        <w:tc>
          <w:tcPr>
            <w:tcW w:w="4536" w:type="dxa"/>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(A) Aislada</w:t>
            </w:r>
          </w:p>
        </w:tc>
      </w:tr>
      <w:tr w:rsidR="00353364" w:rsidRPr="000136BC" w:rsidTr="00293270">
        <w:trPr>
          <w:trHeight w:val="126"/>
        </w:trPr>
        <w:tc>
          <w:tcPr>
            <w:tcW w:w="3544" w:type="dxa"/>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Uso principal del suelo:</w:t>
            </w:r>
          </w:p>
        </w:tc>
        <w:tc>
          <w:tcPr>
            <w:tcW w:w="4536" w:type="dxa"/>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(PE/CPN) Protección ecológica/ Conservación del patrimonio natural</w:t>
            </w:r>
          </w:p>
        </w:tc>
      </w:tr>
      <w:tr w:rsidR="00353364" w:rsidRPr="000136BC" w:rsidTr="00293270">
        <w:trPr>
          <w:trHeight w:val="863"/>
        </w:trPr>
        <w:tc>
          <w:tcPr>
            <w:tcW w:w="3544" w:type="dxa"/>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Clasificación del suelo:</w:t>
            </w:r>
          </w:p>
        </w:tc>
        <w:tc>
          <w:tcPr>
            <w:tcW w:w="4536" w:type="dxa"/>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(SU) Suelo Urbano/ (SRU) Suelo Rural</w:t>
            </w:r>
          </w:p>
        </w:tc>
      </w:tr>
      <w:tr w:rsidR="00353364" w:rsidRPr="000136BC" w:rsidTr="00293270">
        <w:trPr>
          <w:trHeight w:val="381"/>
        </w:trPr>
        <w:tc>
          <w:tcPr>
            <w:tcW w:w="3544" w:type="dxa"/>
            <w:tcBorders>
              <w:bottom w:val="single" w:sz="4" w:space="0" w:color="auto"/>
            </w:tcBorders>
          </w:tcPr>
          <w:p w:rsidR="00353364" w:rsidRPr="000136BC" w:rsidRDefault="00353364" w:rsidP="00293270">
            <w:pPr>
              <w:spacing w:after="120" w:line="276" w:lineRule="auto"/>
              <w:jc w:val="both"/>
              <w:rPr>
                <w:rFonts w:ascii="Palatino Linotype" w:hAnsi="Palatino Linotype"/>
                <w:b/>
                <w:bCs/>
                <w:sz w:val="22"/>
                <w:szCs w:val="22"/>
              </w:rPr>
            </w:pPr>
            <w:r w:rsidRPr="000136BC">
              <w:rPr>
                <w:rFonts w:ascii="Palatino Linotype" w:hAnsi="Palatino Linotype"/>
                <w:b/>
                <w:sz w:val="22"/>
                <w:szCs w:val="22"/>
              </w:rPr>
              <w:lastRenderedPageBreak/>
              <w:t xml:space="preserve">Clasificación del </w:t>
            </w:r>
            <w:r>
              <w:rPr>
                <w:rFonts w:ascii="Palatino Linotype" w:hAnsi="Palatino Linotype"/>
                <w:b/>
              </w:rPr>
              <w:t>s</w:t>
            </w:r>
            <w:r w:rsidRPr="000136BC">
              <w:rPr>
                <w:rFonts w:ascii="Palatino Linotype" w:hAnsi="Palatino Linotype"/>
                <w:b/>
                <w:sz w:val="22"/>
                <w:szCs w:val="22"/>
              </w:rPr>
              <w:t>uelo</w:t>
            </w:r>
            <w:r>
              <w:rPr>
                <w:rFonts w:ascii="Palatino Linotype" w:hAnsi="Palatino Linotype"/>
                <w:b/>
              </w:rPr>
              <w:t>:</w:t>
            </w:r>
          </w:p>
        </w:tc>
        <w:tc>
          <w:tcPr>
            <w:tcW w:w="4536" w:type="dxa"/>
            <w:tcBorders>
              <w:bottom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 xml:space="preserve">(SRU) Suelo Rural </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Número de lotes:</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13</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Área útil de lotes:</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34.731,49</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 xml:space="preserve">Área de franja de protección </w:t>
            </w:r>
          </w:p>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alta tensión en lotes:</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1.675,64</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 xml:space="preserve">Área </w:t>
            </w:r>
            <w:r w:rsidRPr="000136BC">
              <w:rPr>
                <w:rFonts w:ascii="Palatino Linotype" w:hAnsi="Palatino Linotype"/>
                <w:b/>
              </w:rPr>
              <w:t xml:space="preserve">franja de protección </w:t>
            </w:r>
          </w:p>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B.S.Q. en lotes:</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6.768,86</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 xml:space="preserve">Área de vías y </w:t>
            </w:r>
            <w:r>
              <w:rPr>
                <w:rFonts w:ascii="Palatino Linotype" w:hAnsi="Palatino Linotype"/>
                <w:b/>
              </w:rPr>
              <w:t>e</w:t>
            </w:r>
            <w:r w:rsidRPr="000136BC">
              <w:rPr>
                <w:rFonts w:ascii="Palatino Linotype" w:hAnsi="Palatino Linotype"/>
                <w:b/>
                <w:sz w:val="22"/>
                <w:szCs w:val="22"/>
              </w:rPr>
              <w:t>scalinata:</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3.624,74</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 xml:space="preserve">Área </w:t>
            </w:r>
            <w:r>
              <w:rPr>
                <w:rFonts w:ascii="Palatino Linotype" w:hAnsi="Palatino Linotype"/>
                <w:b/>
              </w:rPr>
              <w:t>m</w:t>
            </w:r>
            <w:r w:rsidRPr="000136BC">
              <w:rPr>
                <w:rFonts w:ascii="Palatino Linotype" w:hAnsi="Palatino Linotype"/>
                <w:b/>
                <w:sz w:val="22"/>
                <w:szCs w:val="22"/>
              </w:rPr>
              <w:t>unicipal:</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23.133,03</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r w:rsidR="00353364" w:rsidRPr="000136BC" w:rsidTr="0029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3544"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b/>
                <w:sz w:val="22"/>
                <w:szCs w:val="22"/>
              </w:rPr>
            </w:pPr>
            <w:r w:rsidRPr="000136BC">
              <w:rPr>
                <w:rFonts w:ascii="Palatino Linotype" w:hAnsi="Palatino Linotype"/>
                <w:b/>
                <w:sz w:val="22"/>
                <w:szCs w:val="22"/>
              </w:rPr>
              <w:t>Área total de lote:</w:t>
            </w:r>
          </w:p>
        </w:tc>
        <w:tc>
          <w:tcPr>
            <w:tcW w:w="4536" w:type="dxa"/>
            <w:tcBorders>
              <w:top w:val="single" w:sz="4" w:space="0" w:color="auto"/>
              <w:left w:val="single" w:sz="4" w:space="0" w:color="auto"/>
              <w:bottom w:val="single" w:sz="4" w:space="0" w:color="auto"/>
              <w:right w:val="single" w:sz="4" w:space="0" w:color="auto"/>
            </w:tcBorders>
          </w:tcPr>
          <w:p w:rsidR="00353364" w:rsidRPr="000136BC" w:rsidRDefault="00353364" w:rsidP="00293270">
            <w:pPr>
              <w:spacing w:after="120" w:line="276" w:lineRule="auto"/>
              <w:jc w:val="both"/>
              <w:rPr>
                <w:rFonts w:ascii="Palatino Linotype" w:hAnsi="Palatino Linotype"/>
                <w:sz w:val="22"/>
                <w:szCs w:val="22"/>
              </w:rPr>
            </w:pPr>
            <w:r w:rsidRPr="000136BC">
              <w:rPr>
                <w:rFonts w:ascii="Palatino Linotype" w:hAnsi="Palatino Linotype"/>
                <w:sz w:val="22"/>
                <w:szCs w:val="22"/>
              </w:rPr>
              <w:t>69.933,76</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p>
        </w:tc>
      </w:tr>
    </w:tbl>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sz w:val="22"/>
          <w:szCs w:val="22"/>
        </w:rPr>
        <w:t xml:space="preserve">El número total de lotes es de 13, signados del uno (1) al trece (13), cuyo detalle es el que consta en los planos aprobatorios que forman parte de la presente </w:t>
      </w:r>
      <w:r>
        <w:rPr>
          <w:rFonts w:ascii="Palatino Linotype" w:hAnsi="Palatino Linotype"/>
        </w:rPr>
        <w:t>o</w:t>
      </w:r>
      <w:r w:rsidRPr="000136BC">
        <w:rPr>
          <w:rFonts w:ascii="Palatino Linotype" w:hAnsi="Palatino Linotype"/>
          <w:sz w:val="22"/>
          <w:szCs w:val="22"/>
        </w:rPr>
        <w:t>rdenanza.</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b/>
          <w:sz w:val="22"/>
          <w:szCs w:val="22"/>
        </w:rPr>
        <w:t xml:space="preserve">Artículo 3.- Zonificación de los </w:t>
      </w:r>
      <w:proofErr w:type="gramStart"/>
      <w:r w:rsidRPr="000136BC">
        <w:rPr>
          <w:rFonts w:ascii="Palatino Linotype" w:hAnsi="Palatino Linotype"/>
          <w:b/>
          <w:sz w:val="22"/>
          <w:szCs w:val="22"/>
        </w:rPr>
        <w:t>lotes</w:t>
      </w:r>
      <w:r w:rsidRPr="000136BC">
        <w:rPr>
          <w:rFonts w:ascii="Palatino Linotype" w:hAnsi="Palatino Linotype"/>
          <w:sz w:val="22"/>
          <w:szCs w:val="22"/>
        </w:rPr>
        <w:t>.-</w:t>
      </w:r>
      <w:proofErr w:type="gramEnd"/>
      <w:r w:rsidRPr="000136BC">
        <w:rPr>
          <w:rFonts w:ascii="Palatino Linotype" w:hAnsi="Palatino Linotype"/>
          <w:sz w:val="22"/>
          <w:szCs w:val="22"/>
        </w:rPr>
        <w:t xml:space="preserve"> Los lotes fraccionados modificarán la zonificación para los 13 lotes conforme se detalla a continuación: A2 (A1002-35) y se mantiene A31 (PQ), forma de ocupación: (A) Aislada, Lote mínimo: 1</w:t>
      </w:r>
      <w:r>
        <w:rPr>
          <w:rFonts w:ascii="Palatino Linotype" w:hAnsi="Palatino Linotype"/>
        </w:rPr>
        <w:t>.</w:t>
      </w:r>
      <w:r w:rsidRPr="000136BC">
        <w:rPr>
          <w:rFonts w:ascii="Palatino Linotype" w:hAnsi="Palatino Linotype"/>
          <w:sz w:val="22"/>
          <w:szCs w:val="22"/>
        </w:rPr>
        <w:t>000 m</w:t>
      </w:r>
      <w:r w:rsidRPr="000136BC">
        <w:rPr>
          <w:rFonts w:ascii="Palatino Linotype" w:hAnsi="Palatino Linotype"/>
          <w:sz w:val="22"/>
          <w:szCs w:val="22"/>
          <w:vertAlign w:val="superscript"/>
        </w:rPr>
        <w:t>2</w:t>
      </w:r>
      <w:r w:rsidRPr="000136BC">
        <w:rPr>
          <w:rFonts w:ascii="Palatino Linotype" w:hAnsi="Palatino Linotype"/>
          <w:sz w:val="22"/>
          <w:szCs w:val="22"/>
        </w:rPr>
        <w:t>, Número de pisos 2, COS planta baja: 35%, COS total: 70%, Uso principal: (RR1) Residencial Rural 1 y se mantiene (PE/CPN) Protección Ecológica / Conservación del Patrimonio.</w:t>
      </w:r>
    </w:p>
    <w:p w:rsidR="00353364" w:rsidRPr="000136BC" w:rsidRDefault="00353364" w:rsidP="00353364">
      <w:pPr>
        <w:spacing w:after="120" w:line="276" w:lineRule="auto"/>
        <w:jc w:val="both"/>
        <w:rPr>
          <w:rFonts w:ascii="Palatino Linotype" w:hAnsi="Palatino Linotype"/>
          <w:sz w:val="22"/>
          <w:szCs w:val="22"/>
        </w:rPr>
      </w:pPr>
      <w:r w:rsidRPr="000136BC">
        <w:rPr>
          <w:rFonts w:ascii="Palatino Linotype" w:hAnsi="Palatino Linotype"/>
          <w:b/>
          <w:sz w:val="22"/>
          <w:szCs w:val="22"/>
        </w:rPr>
        <w:t xml:space="preserve">Artículo 4.- Clasificación del </w:t>
      </w:r>
      <w:proofErr w:type="gramStart"/>
      <w:r>
        <w:rPr>
          <w:rFonts w:ascii="Palatino Linotype" w:hAnsi="Palatino Linotype"/>
          <w:b/>
        </w:rPr>
        <w:t>s</w:t>
      </w:r>
      <w:r w:rsidRPr="000136BC">
        <w:rPr>
          <w:rFonts w:ascii="Palatino Linotype" w:hAnsi="Palatino Linotype"/>
          <w:b/>
          <w:sz w:val="22"/>
          <w:szCs w:val="22"/>
        </w:rPr>
        <w:t>uelo.-</w:t>
      </w:r>
      <w:proofErr w:type="gramEnd"/>
      <w:r w:rsidRPr="000136BC">
        <w:rPr>
          <w:rFonts w:ascii="Palatino Linotype" w:hAnsi="Palatino Linotype"/>
          <w:sz w:val="22"/>
          <w:szCs w:val="22"/>
        </w:rPr>
        <w:t xml:space="preserve"> Los lotes fraccionados mantendrán la clasificación vigente</w:t>
      </w:r>
      <w:r>
        <w:rPr>
          <w:rFonts w:ascii="Palatino Linotype" w:hAnsi="Palatino Linotype"/>
        </w:rPr>
        <w:t>,</w:t>
      </w:r>
      <w:r w:rsidRPr="000136BC">
        <w:rPr>
          <w:rFonts w:ascii="Palatino Linotype" w:hAnsi="Palatino Linotype"/>
          <w:sz w:val="22"/>
          <w:szCs w:val="22"/>
        </w:rPr>
        <w:t xml:space="preserve"> esto es</w:t>
      </w:r>
      <w:r>
        <w:rPr>
          <w:rFonts w:ascii="Palatino Linotype" w:hAnsi="Palatino Linotype"/>
        </w:rPr>
        <w:t>,</w:t>
      </w:r>
      <w:r w:rsidRPr="000136BC">
        <w:rPr>
          <w:rFonts w:ascii="Palatino Linotype" w:hAnsi="Palatino Linotype"/>
          <w:sz w:val="22"/>
          <w:szCs w:val="22"/>
        </w:rPr>
        <w:t xml:space="preserve"> (SRU) Suelo Rural / (SU) Suelo Urbano.</w:t>
      </w:r>
    </w:p>
    <w:p w:rsidR="00353364" w:rsidRDefault="00353364" w:rsidP="00353364">
      <w:pPr>
        <w:spacing w:after="120" w:line="276" w:lineRule="auto"/>
        <w:jc w:val="both"/>
        <w:rPr>
          <w:rFonts w:ascii="Palatino Linotype" w:hAnsi="Palatino Linotype"/>
        </w:rPr>
      </w:pPr>
      <w:r w:rsidRPr="000136BC">
        <w:rPr>
          <w:rFonts w:ascii="Palatino Linotype" w:hAnsi="Palatino Linotype"/>
          <w:b/>
          <w:color w:val="000000" w:themeColor="text1"/>
          <w:sz w:val="22"/>
          <w:szCs w:val="22"/>
        </w:rPr>
        <w:t xml:space="preserve">Articulo </w:t>
      </w:r>
      <w:r w:rsidRPr="000136BC">
        <w:rPr>
          <w:rFonts w:ascii="Palatino Linotype" w:hAnsi="Palatino Linotype"/>
          <w:b/>
          <w:sz w:val="22"/>
          <w:szCs w:val="22"/>
        </w:rPr>
        <w:t xml:space="preserve">5.- Del </w:t>
      </w:r>
      <w:r w:rsidRPr="000136BC">
        <w:rPr>
          <w:rFonts w:ascii="Palatino Linotype" w:hAnsi="Palatino Linotype"/>
          <w:b/>
        </w:rPr>
        <w:t>área bajo borde superior de quebrada (área municipal</w:t>
      </w:r>
      <w:proofErr w:type="gramStart"/>
      <w:r w:rsidRPr="000136BC">
        <w:rPr>
          <w:rFonts w:ascii="Palatino Linotype" w:hAnsi="Palatino Linotype"/>
          <w:b/>
          <w:sz w:val="22"/>
          <w:szCs w:val="22"/>
        </w:rPr>
        <w:t>).-</w:t>
      </w:r>
      <w:proofErr w:type="gramEnd"/>
      <w:r w:rsidRPr="000136BC">
        <w:rPr>
          <w:rFonts w:ascii="Palatino Linotype" w:hAnsi="Palatino Linotype"/>
          <w:bCs/>
          <w:sz w:val="22"/>
          <w:szCs w:val="22"/>
        </w:rPr>
        <w:t xml:space="preserve"> </w:t>
      </w:r>
      <w:r w:rsidRPr="000136BC">
        <w:rPr>
          <w:rFonts w:ascii="Palatino Linotype" w:hAnsi="Palatino Linotype"/>
          <w:sz w:val="22"/>
          <w:szCs w:val="22"/>
        </w:rPr>
        <w:t>El Asentamiento Humano de Hecho y Consolidado de Interés Social denominado Comité Pro Mejoras del Barrio ¨</w:t>
      </w:r>
      <w:proofErr w:type="spellStart"/>
      <w:r w:rsidRPr="000136BC">
        <w:rPr>
          <w:rFonts w:ascii="Palatino Linotype" w:hAnsi="Palatino Linotype"/>
          <w:sz w:val="22"/>
          <w:szCs w:val="22"/>
        </w:rPr>
        <w:t>Catzuqui</w:t>
      </w:r>
      <w:proofErr w:type="spellEnd"/>
      <w:r w:rsidRPr="000136BC">
        <w:rPr>
          <w:rFonts w:ascii="Palatino Linotype" w:hAnsi="Palatino Linotype"/>
          <w:sz w:val="22"/>
          <w:szCs w:val="22"/>
        </w:rPr>
        <w:t xml:space="preserve"> de Moncayo¨ Etapa II, ubicado en la </w:t>
      </w:r>
      <w:r>
        <w:rPr>
          <w:rFonts w:ascii="Palatino Linotype" w:hAnsi="Palatino Linotype"/>
        </w:rPr>
        <w:t>p</w:t>
      </w:r>
      <w:r w:rsidRPr="000136BC">
        <w:rPr>
          <w:rFonts w:ascii="Palatino Linotype" w:hAnsi="Palatino Linotype"/>
          <w:sz w:val="22"/>
          <w:szCs w:val="22"/>
        </w:rPr>
        <w:t xml:space="preserve">arroquia El Condado (antes </w:t>
      </w:r>
      <w:proofErr w:type="spellStart"/>
      <w:r w:rsidRPr="000136BC">
        <w:rPr>
          <w:rFonts w:ascii="Palatino Linotype" w:hAnsi="Palatino Linotype"/>
          <w:sz w:val="22"/>
          <w:szCs w:val="22"/>
        </w:rPr>
        <w:t>Cotocollao</w:t>
      </w:r>
      <w:proofErr w:type="spellEnd"/>
      <w:r w:rsidRPr="000136BC">
        <w:rPr>
          <w:rFonts w:ascii="Palatino Linotype" w:hAnsi="Palatino Linotype"/>
          <w:sz w:val="22"/>
          <w:szCs w:val="22"/>
        </w:rPr>
        <w:t>), transfiere al Municipio del Distrito Metropolitano de Quito como contribución por Área Bajo Borde Superior de Quebrada (Área Municipal), un área total de 23.133,03</w:t>
      </w:r>
      <w:r>
        <w:rPr>
          <w:rFonts w:ascii="Palatino Linotype" w:hAnsi="Palatino Linotype"/>
        </w:rPr>
        <w:t xml:space="preserve"> </w:t>
      </w:r>
      <w:r w:rsidRPr="000136BC">
        <w:rPr>
          <w:rFonts w:ascii="Palatino Linotype" w:hAnsi="Palatino Linotype"/>
          <w:sz w:val="22"/>
          <w:szCs w:val="22"/>
        </w:rPr>
        <w:t>m</w:t>
      </w:r>
      <w:r w:rsidRPr="000136BC">
        <w:rPr>
          <w:rFonts w:ascii="Palatino Linotype" w:hAnsi="Palatino Linotype"/>
          <w:sz w:val="22"/>
          <w:szCs w:val="22"/>
          <w:vertAlign w:val="superscript"/>
        </w:rPr>
        <w:t>2</w:t>
      </w:r>
      <w:r w:rsidRPr="000136BC">
        <w:rPr>
          <w:rFonts w:ascii="Palatino Linotype" w:hAnsi="Palatino Linotype"/>
          <w:sz w:val="22"/>
          <w:szCs w:val="22"/>
        </w:rPr>
        <w:t>, de conformidad al siguiente detalle:</w:t>
      </w:r>
    </w:p>
    <w:tbl>
      <w:tblPr>
        <w:tblW w:w="5022" w:type="pct"/>
        <w:tblInd w:w="-34" w:type="dxa"/>
        <w:tblLayout w:type="fixed"/>
        <w:tblCellMar>
          <w:left w:w="70" w:type="dxa"/>
          <w:right w:w="70" w:type="dxa"/>
        </w:tblCellMar>
        <w:tblLook w:val="04A0" w:firstRow="1" w:lastRow="0" w:firstColumn="1" w:lastColumn="0" w:noHBand="0" w:noVBand="1"/>
      </w:tblPr>
      <w:tblGrid>
        <w:gridCol w:w="1444"/>
        <w:gridCol w:w="993"/>
        <w:gridCol w:w="2270"/>
        <w:gridCol w:w="1559"/>
        <w:gridCol w:w="1134"/>
        <w:gridCol w:w="1418"/>
      </w:tblGrid>
      <w:tr w:rsidR="00353364" w:rsidRPr="000136BC" w:rsidTr="00293270">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353364" w:rsidRPr="000136BC" w:rsidRDefault="00353364" w:rsidP="00293270">
            <w:pPr>
              <w:spacing w:after="120" w:line="276" w:lineRule="auto"/>
              <w:jc w:val="center"/>
              <w:rPr>
                <w:rFonts w:ascii="Palatino Linotype" w:hAnsi="Palatino Linotype"/>
                <w:b/>
                <w:bCs/>
                <w:sz w:val="22"/>
                <w:szCs w:val="22"/>
                <w:lang w:eastAsia="es-EC"/>
              </w:rPr>
            </w:pPr>
            <w:r w:rsidRPr="000136BC">
              <w:rPr>
                <w:rFonts w:ascii="Palatino Linotype" w:hAnsi="Palatino Linotype"/>
                <w:b/>
                <w:bCs/>
                <w:lang w:eastAsia="es-EC"/>
              </w:rPr>
              <w:t xml:space="preserve">Área municipal  </w:t>
            </w:r>
          </w:p>
        </w:tc>
      </w:tr>
      <w:tr w:rsidR="00353364" w:rsidRPr="000136BC" w:rsidTr="00293270">
        <w:trPr>
          <w:trHeight w:val="300"/>
        </w:trPr>
        <w:tc>
          <w:tcPr>
            <w:tcW w:w="819" w:type="pct"/>
            <w:vMerge w:val="restart"/>
            <w:tcBorders>
              <w:top w:val="single" w:sz="4" w:space="0" w:color="auto"/>
              <w:left w:val="single" w:sz="4" w:space="0" w:color="auto"/>
              <w:right w:val="single" w:sz="4" w:space="0" w:color="auto"/>
            </w:tcBorders>
            <w:shd w:val="clear" w:color="auto" w:fill="auto"/>
            <w:vAlign w:val="center"/>
            <w:hideMark/>
          </w:tcPr>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 </w:t>
            </w:r>
          </w:p>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b/>
                <w:bCs/>
                <w:sz w:val="22"/>
                <w:szCs w:val="22"/>
                <w:lang w:eastAsia="es-EC"/>
              </w:rPr>
              <w:t xml:space="preserve">Área </w:t>
            </w:r>
            <w:r w:rsidRPr="000136BC">
              <w:rPr>
                <w:rFonts w:ascii="Palatino Linotype" w:hAnsi="Palatino Linotype"/>
                <w:b/>
                <w:bCs/>
                <w:lang w:eastAsia="es-EC"/>
              </w:rPr>
              <w:t xml:space="preserve">bajo borde </w:t>
            </w:r>
            <w:r w:rsidRPr="000136BC">
              <w:rPr>
                <w:rFonts w:ascii="Palatino Linotype" w:hAnsi="Palatino Linotype"/>
                <w:b/>
                <w:bCs/>
                <w:lang w:eastAsia="es-EC"/>
              </w:rPr>
              <w:lastRenderedPageBreak/>
              <w:t>superior de quebrada</w:t>
            </w:r>
          </w:p>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 </w:t>
            </w:r>
          </w:p>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 </w:t>
            </w:r>
          </w:p>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 </w:t>
            </w:r>
          </w:p>
        </w:tc>
        <w:tc>
          <w:tcPr>
            <w:tcW w:w="563" w:type="pct"/>
            <w:tcBorders>
              <w:top w:val="nil"/>
              <w:left w:val="nil"/>
              <w:bottom w:val="nil"/>
              <w:right w:val="single" w:sz="4" w:space="0" w:color="auto"/>
            </w:tcBorders>
            <w:shd w:val="clear" w:color="auto" w:fill="auto"/>
            <w:hideMark/>
          </w:tcPr>
          <w:p w:rsidR="00353364" w:rsidRPr="000136BC" w:rsidRDefault="00353364" w:rsidP="00293270">
            <w:pPr>
              <w:spacing w:after="120" w:line="276" w:lineRule="auto"/>
              <w:rPr>
                <w:rFonts w:ascii="Palatino Linotype" w:hAnsi="Palatino Linotype"/>
                <w:b/>
                <w:bCs/>
                <w:sz w:val="22"/>
                <w:szCs w:val="22"/>
                <w:lang w:eastAsia="es-EC"/>
              </w:rPr>
            </w:pPr>
            <w:r w:rsidRPr="000136BC">
              <w:rPr>
                <w:rFonts w:ascii="Palatino Linotype" w:hAnsi="Palatino Linotype"/>
                <w:b/>
                <w:bCs/>
                <w:sz w:val="22"/>
                <w:szCs w:val="22"/>
                <w:lang w:eastAsia="es-EC"/>
              </w:rPr>
              <w:lastRenderedPageBreak/>
              <w:t> </w:t>
            </w:r>
          </w:p>
        </w:tc>
        <w:tc>
          <w:tcPr>
            <w:tcW w:w="1287" w:type="pct"/>
            <w:tcBorders>
              <w:top w:val="nil"/>
              <w:left w:val="nil"/>
              <w:bottom w:val="single" w:sz="4" w:space="0" w:color="auto"/>
              <w:right w:val="single" w:sz="4" w:space="0" w:color="auto"/>
            </w:tcBorders>
            <w:shd w:val="clear" w:color="auto" w:fill="auto"/>
            <w:hideMark/>
          </w:tcPr>
          <w:p w:rsidR="00353364" w:rsidRPr="000136BC" w:rsidRDefault="00353364" w:rsidP="00293270">
            <w:pPr>
              <w:spacing w:after="120" w:line="276" w:lineRule="auto"/>
              <w:jc w:val="center"/>
              <w:rPr>
                <w:rFonts w:ascii="Palatino Linotype" w:hAnsi="Palatino Linotype"/>
                <w:b/>
                <w:bCs/>
                <w:sz w:val="22"/>
                <w:szCs w:val="22"/>
                <w:lang w:eastAsia="es-EC"/>
              </w:rPr>
            </w:pPr>
            <w:r w:rsidRPr="000136BC">
              <w:rPr>
                <w:rFonts w:ascii="Palatino Linotype" w:hAnsi="Palatino Linotype"/>
                <w:b/>
                <w:bCs/>
                <w:lang w:eastAsia="es-EC"/>
              </w:rPr>
              <w:t>Lindero</w:t>
            </w:r>
          </w:p>
        </w:tc>
        <w:tc>
          <w:tcPr>
            <w:tcW w:w="884" w:type="pct"/>
            <w:tcBorders>
              <w:top w:val="nil"/>
              <w:left w:val="nil"/>
              <w:bottom w:val="single" w:sz="4" w:space="0" w:color="auto"/>
              <w:right w:val="single" w:sz="4" w:space="0" w:color="auto"/>
            </w:tcBorders>
            <w:shd w:val="clear" w:color="auto" w:fill="auto"/>
            <w:vAlign w:val="bottom"/>
            <w:hideMark/>
          </w:tcPr>
          <w:p w:rsidR="00353364" w:rsidRPr="000136BC" w:rsidRDefault="00353364" w:rsidP="00293270">
            <w:pPr>
              <w:spacing w:after="120" w:line="276" w:lineRule="auto"/>
              <w:jc w:val="center"/>
              <w:rPr>
                <w:rFonts w:ascii="Palatino Linotype" w:hAnsi="Palatino Linotype"/>
                <w:b/>
                <w:bCs/>
                <w:sz w:val="22"/>
                <w:szCs w:val="22"/>
                <w:lang w:eastAsia="es-EC"/>
              </w:rPr>
            </w:pPr>
            <w:r w:rsidRPr="000136BC">
              <w:rPr>
                <w:rFonts w:ascii="Palatino Linotype" w:hAnsi="Palatino Linotype"/>
                <w:b/>
                <w:bCs/>
                <w:sz w:val="22"/>
                <w:szCs w:val="22"/>
                <w:lang w:eastAsia="es-EC"/>
              </w:rPr>
              <w:t>En parte</w:t>
            </w:r>
          </w:p>
        </w:tc>
        <w:tc>
          <w:tcPr>
            <w:tcW w:w="643" w:type="pct"/>
            <w:tcBorders>
              <w:top w:val="nil"/>
              <w:left w:val="nil"/>
              <w:bottom w:val="nil"/>
              <w:right w:val="single" w:sz="4" w:space="0" w:color="auto"/>
            </w:tcBorders>
            <w:shd w:val="clear" w:color="auto" w:fill="auto"/>
            <w:vAlign w:val="bottom"/>
            <w:hideMark/>
          </w:tcPr>
          <w:p w:rsidR="00353364" w:rsidRPr="000136BC" w:rsidRDefault="00353364" w:rsidP="00293270">
            <w:pPr>
              <w:spacing w:after="120" w:line="276" w:lineRule="auto"/>
              <w:jc w:val="center"/>
              <w:rPr>
                <w:rFonts w:ascii="Palatino Linotype" w:hAnsi="Palatino Linotype"/>
                <w:b/>
                <w:bCs/>
                <w:sz w:val="22"/>
                <w:szCs w:val="22"/>
                <w:lang w:eastAsia="es-EC"/>
              </w:rPr>
            </w:pPr>
            <w:r w:rsidRPr="000136BC">
              <w:rPr>
                <w:rFonts w:ascii="Palatino Linotype" w:hAnsi="Palatino Linotype"/>
                <w:b/>
                <w:bCs/>
                <w:sz w:val="22"/>
                <w:szCs w:val="22"/>
                <w:lang w:eastAsia="es-EC"/>
              </w:rPr>
              <w:t>Total</w:t>
            </w:r>
          </w:p>
        </w:tc>
        <w:tc>
          <w:tcPr>
            <w:tcW w:w="804" w:type="pct"/>
            <w:tcBorders>
              <w:top w:val="nil"/>
              <w:left w:val="nil"/>
              <w:bottom w:val="nil"/>
              <w:right w:val="single" w:sz="4" w:space="0" w:color="auto"/>
            </w:tcBorders>
            <w:shd w:val="clear" w:color="auto" w:fill="auto"/>
            <w:vAlign w:val="bottom"/>
            <w:hideMark/>
          </w:tcPr>
          <w:p w:rsidR="00353364" w:rsidRPr="000136BC" w:rsidRDefault="00353364" w:rsidP="00293270">
            <w:pPr>
              <w:spacing w:after="120" w:line="276" w:lineRule="auto"/>
              <w:jc w:val="center"/>
              <w:rPr>
                <w:rFonts w:ascii="Palatino Linotype" w:hAnsi="Palatino Linotype"/>
                <w:b/>
                <w:bCs/>
                <w:sz w:val="22"/>
                <w:szCs w:val="22"/>
                <w:lang w:eastAsia="es-EC"/>
              </w:rPr>
            </w:pPr>
            <w:r w:rsidRPr="000136BC">
              <w:rPr>
                <w:rFonts w:ascii="Palatino Linotype" w:hAnsi="Palatino Linotype"/>
                <w:b/>
                <w:bCs/>
                <w:lang w:eastAsia="es-EC"/>
              </w:rPr>
              <w:t>Superficie</w:t>
            </w:r>
          </w:p>
        </w:tc>
      </w:tr>
      <w:tr w:rsidR="00353364" w:rsidRPr="000136BC" w:rsidTr="00293270">
        <w:trPr>
          <w:trHeight w:val="315"/>
        </w:trPr>
        <w:tc>
          <w:tcPr>
            <w:tcW w:w="819" w:type="pct"/>
            <w:vMerge/>
            <w:tcBorders>
              <w:left w:val="single" w:sz="4" w:space="0" w:color="auto"/>
              <w:right w:val="single" w:sz="4" w:space="0" w:color="auto"/>
            </w:tcBorders>
            <w:shd w:val="clear" w:color="auto" w:fill="auto"/>
            <w:vAlign w:val="center"/>
          </w:tcPr>
          <w:p w:rsidR="00353364" w:rsidRPr="000136BC" w:rsidRDefault="00353364" w:rsidP="00293270">
            <w:pPr>
              <w:spacing w:after="120" w:line="276" w:lineRule="auto"/>
              <w:jc w:val="center"/>
              <w:rPr>
                <w:rFonts w:ascii="Palatino Linotype" w:hAnsi="Palatino Linotype"/>
                <w:sz w:val="22"/>
                <w:szCs w:val="22"/>
                <w:lang w:eastAsia="es-EC"/>
              </w:rPr>
            </w:pPr>
          </w:p>
        </w:tc>
        <w:tc>
          <w:tcPr>
            <w:tcW w:w="563" w:type="pct"/>
            <w:tcBorders>
              <w:top w:val="single" w:sz="4" w:space="0" w:color="auto"/>
              <w:left w:val="nil"/>
              <w:bottom w:val="nil"/>
              <w:right w:val="single" w:sz="4" w:space="0" w:color="auto"/>
            </w:tcBorders>
            <w:shd w:val="clear" w:color="auto" w:fill="auto"/>
            <w:vAlign w:val="center"/>
            <w:hideMark/>
          </w:tcPr>
          <w:p w:rsidR="00353364" w:rsidRPr="000136BC" w:rsidRDefault="00353364" w:rsidP="00293270">
            <w:pPr>
              <w:spacing w:after="120" w:line="276" w:lineRule="auto"/>
              <w:rPr>
                <w:rFonts w:ascii="Palatino Linotype" w:hAnsi="Palatino Linotype"/>
                <w:b/>
                <w:bCs/>
                <w:sz w:val="22"/>
                <w:szCs w:val="22"/>
                <w:lang w:eastAsia="es-EC"/>
              </w:rPr>
            </w:pPr>
            <w:r w:rsidRPr="000136BC">
              <w:rPr>
                <w:rFonts w:ascii="Palatino Linotype" w:hAnsi="Palatino Linotype"/>
                <w:b/>
                <w:bCs/>
                <w:sz w:val="22"/>
                <w:szCs w:val="22"/>
                <w:lang w:eastAsia="es-EC"/>
              </w:rPr>
              <w:t>Norte:</w:t>
            </w:r>
          </w:p>
        </w:tc>
        <w:tc>
          <w:tcPr>
            <w:tcW w:w="1287" w:type="pct"/>
            <w:tcBorders>
              <w:top w:val="nil"/>
              <w:left w:val="nil"/>
              <w:bottom w:val="single" w:sz="4" w:space="0" w:color="auto"/>
              <w:right w:val="single" w:sz="4" w:space="0" w:color="auto"/>
            </w:tcBorders>
            <w:shd w:val="clear" w:color="auto" w:fill="auto"/>
            <w:hideMark/>
          </w:tcPr>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13</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11</w:t>
            </w:r>
          </w:p>
          <w:p w:rsidR="00353364" w:rsidRPr="000136BC" w:rsidRDefault="00353364" w:rsidP="00293270">
            <w:pPr>
              <w:spacing w:after="120" w:line="276" w:lineRule="auto"/>
              <w:jc w:val="both"/>
              <w:rPr>
                <w:rFonts w:ascii="Palatino Linotype" w:hAnsi="Palatino Linotype"/>
                <w:sz w:val="22"/>
                <w:szCs w:val="22"/>
                <w:lang w:val="en-US" w:eastAsia="es-EC"/>
              </w:rPr>
            </w:pPr>
            <w:r w:rsidRPr="000136BC">
              <w:rPr>
                <w:rFonts w:ascii="Palatino Linotype" w:hAnsi="Palatino Linotype"/>
                <w:sz w:val="22"/>
                <w:szCs w:val="22"/>
                <w:lang w:val="en-US" w:eastAsia="es-EC"/>
              </w:rPr>
              <w:lastRenderedPageBreak/>
              <w:t xml:space="preserve"> </w:t>
            </w: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10</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9</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8</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7</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6</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5</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4</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3</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2</w:t>
            </w:r>
          </w:p>
          <w:p w:rsidR="00353364" w:rsidRPr="000136BC" w:rsidRDefault="00353364" w:rsidP="00293270">
            <w:pPr>
              <w:spacing w:after="120" w:line="276" w:lineRule="auto"/>
              <w:jc w:val="both"/>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Lote</w:t>
            </w:r>
            <w:proofErr w:type="spellEnd"/>
            <w:r w:rsidRPr="000136BC">
              <w:rPr>
                <w:rFonts w:ascii="Palatino Linotype" w:hAnsi="Palatino Linotype"/>
                <w:sz w:val="22"/>
                <w:szCs w:val="22"/>
                <w:lang w:val="en-US" w:eastAsia="es-EC"/>
              </w:rPr>
              <w:t xml:space="preserve"> 1</w:t>
            </w:r>
          </w:p>
        </w:tc>
        <w:tc>
          <w:tcPr>
            <w:tcW w:w="884" w:type="pct"/>
            <w:tcBorders>
              <w:top w:val="nil"/>
              <w:left w:val="nil"/>
              <w:bottom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lastRenderedPageBreak/>
              <w:t>Ld</w:t>
            </w:r>
            <w:proofErr w:type="spellEnd"/>
            <w:r w:rsidRPr="000136BC">
              <w:rPr>
                <w:rFonts w:ascii="Palatino Linotype" w:hAnsi="Palatino Linotype"/>
                <w:sz w:val="22"/>
                <w:szCs w:val="22"/>
                <w:lang w:val="en-US" w:eastAsia="es-EC"/>
              </w:rPr>
              <w:t>=163,97m</w:t>
            </w:r>
          </w:p>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t>29,64</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lastRenderedPageBreak/>
              <w:t>28,19</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Ld</w:t>
            </w:r>
            <w:proofErr w:type="spellEnd"/>
            <w:r w:rsidRPr="000136BC">
              <w:rPr>
                <w:rFonts w:ascii="Palatino Linotype" w:hAnsi="Palatino Linotype"/>
                <w:sz w:val="22"/>
                <w:szCs w:val="22"/>
                <w:lang w:val="en-US" w:eastAsia="es-EC"/>
              </w:rPr>
              <w:t>=35,52</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Ld</w:t>
            </w:r>
            <w:proofErr w:type="spellEnd"/>
            <w:r w:rsidRPr="000136BC">
              <w:rPr>
                <w:rFonts w:ascii="Palatino Linotype" w:hAnsi="Palatino Linotype"/>
                <w:sz w:val="22"/>
                <w:szCs w:val="22"/>
                <w:lang w:val="en-US" w:eastAsia="es-EC"/>
              </w:rPr>
              <w:t>=53,50</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Ld</w:t>
            </w:r>
            <w:proofErr w:type="spellEnd"/>
            <w:r w:rsidRPr="000136BC">
              <w:rPr>
                <w:rFonts w:ascii="Palatino Linotype" w:hAnsi="Palatino Linotype"/>
                <w:sz w:val="22"/>
                <w:szCs w:val="22"/>
                <w:lang w:val="en-US" w:eastAsia="es-EC"/>
              </w:rPr>
              <w:t>=27,84</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t>27,69</w:t>
            </w:r>
            <w:r>
              <w:rPr>
                <w:rFonts w:ascii="Palatino Linotype" w:hAnsi="Palatino Linotype"/>
                <w:lang w:val="en-US" w:eastAsia="es-EC"/>
              </w:rPr>
              <w:t xml:space="preserve"> </w:t>
            </w:r>
            <w:r w:rsidRPr="000136BC">
              <w:rPr>
                <w:rFonts w:ascii="Palatino Linotype" w:hAnsi="Palatino Linotype"/>
                <w:sz w:val="22"/>
                <w:szCs w:val="22"/>
                <w:lang w:val="en-US" w:eastAsia="es-EC"/>
              </w:rPr>
              <w:t>m</w:t>
            </w:r>
            <w:r>
              <w:rPr>
                <w:rFonts w:ascii="Palatino Linotype" w:hAnsi="Palatino Linotype"/>
                <w:lang w:val="en-US" w:eastAsia="es-EC"/>
              </w:rPr>
              <w:t xml:space="preserve"> </w:t>
            </w:r>
          </w:p>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t>30,94</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Ld</w:t>
            </w:r>
            <w:proofErr w:type="spellEnd"/>
            <w:r w:rsidRPr="000136BC">
              <w:rPr>
                <w:rFonts w:ascii="Palatino Linotype" w:hAnsi="Palatino Linotype"/>
                <w:sz w:val="22"/>
                <w:szCs w:val="22"/>
                <w:lang w:val="en-US" w:eastAsia="es-EC"/>
              </w:rPr>
              <w:t>=33,29</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t>29,30</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t>36,97</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p w:rsidR="00353364" w:rsidRPr="000136BC" w:rsidRDefault="00353364" w:rsidP="00293270">
            <w:pPr>
              <w:spacing w:after="120" w:line="276" w:lineRule="auto"/>
              <w:jc w:val="center"/>
              <w:rPr>
                <w:rFonts w:ascii="Palatino Linotype" w:hAnsi="Palatino Linotype"/>
                <w:sz w:val="22"/>
                <w:szCs w:val="22"/>
                <w:lang w:val="en-US" w:eastAsia="es-EC"/>
              </w:rPr>
            </w:pPr>
            <w:proofErr w:type="spellStart"/>
            <w:r w:rsidRPr="000136BC">
              <w:rPr>
                <w:rFonts w:ascii="Palatino Linotype" w:hAnsi="Palatino Linotype"/>
                <w:sz w:val="22"/>
                <w:szCs w:val="22"/>
                <w:lang w:val="en-US" w:eastAsia="es-EC"/>
              </w:rPr>
              <w:t>Ld</w:t>
            </w:r>
            <w:proofErr w:type="spellEnd"/>
            <w:r w:rsidRPr="000136BC">
              <w:rPr>
                <w:rFonts w:ascii="Palatino Linotype" w:hAnsi="Palatino Linotype"/>
                <w:sz w:val="22"/>
                <w:szCs w:val="22"/>
                <w:lang w:val="en-US" w:eastAsia="es-EC"/>
              </w:rPr>
              <w:t>=209,03</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tc>
        <w:tc>
          <w:tcPr>
            <w:tcW w:w="643" w:type="pct"/>
            <w:tcBorders>
              <w:top w:val="single" w:sz="4" w:space="0" w:color="auto"/>
              <w:left w:val="nil"/>
              <w:bottom w:val="nil"/>
              <w:right w:val="nil"/>
            </w:tcBorders>
            <w:shd w:val="clear" w:color="auto" w:fill="auto"/>
            <w:noWrap/>
            <w:vAlign w:val="center"/>
            <w:hideMark/>
          </w:tcPr>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lastRenderedPageBreak/>
              <w:t>705,88</w:t>
            </w:r>
            <w:r>
              <w:rPr>
                <w:rFonts w:ascii="Palatino Linotype" w:hAnsi="Palatino Linotype"/>
                <w:lang w:val="en-US" w:eastAsia="es-EC"/>
              </w:rPr>
              <w:t xml:space="preserve"> </w:t>
            </w:r>
            <w:r w:rsidRPr="000136BC">
              <w:rPr>
                <w:rFonts w:ascii="Palatino Linotype" w:hAnsi="Palatino Linotype"/>
                <w:sz w:val="22"/>
                <w:szCs w:val="22"/>
                <w:lang w:val="en-US" w:eastAsia="es-EC"/>
              </w:rPr>
              <w:t>m</w:t>
            </w:r>
          </w:p>
        </w:tc>
        <w:tc>
          <w:tcPr>
            <w:tcW w:w="804" w:type="pct"/>
            <w:vMerge w:val="restart"/>
            <w:tcBorders>
              <w:top w:val="single" w:sz="4" w:space="0" w:color="auto"/>
              <w:left w:val="single" w:sz="4" w:space="0" w:color="auto"/>
              <w:right w:val="single" w:sz="4" w:space="0" w:color="auto"/>
            </w:tcBorders>
            <w:shd w:val="clear" w:color="auto" w:fill="auto"/>
            <w:vAlign w:val="center"/>
            <w:hideMark/>
          </w:tcPr>
          <w:p w:rsidR="00353364" w:rsidRPr="000136BC" w:rsidRDefault="00353364" w:rsidP="00293270">
            <w:pPr>
              <w:spacing w:after="120" w:line="276" w:lineRule="auto"/>
              <w:jc w:val="center"/>
              <w:rPr>
                <w:rFonts w:ascii="Palatino Linotype" w:hAnsi="Palatino Linotype"/>
                <w:b/>
                <w:sz w:val="22"/>
                <w:szCs w:val="22"/>
              </w:rPr>
            </w:pPr>
          </w:p>
          <w:p w:rsidR="00353364" w:rsidRPr="000136BC" w:rsidRDefault="00353364" w:rsidP="00293270">
            <w:pPr>
              <w:spacing w:after="120" w:line="276" w:lineRule="auto"/>
              <w:jc w:val="center"/>
              <w:rPr>
                <w:rFonts w:ascii="Palatino Linotype" w:hAnsi="Palatino Linotype"/>
                <w:b/>
                <w:sz w:val="22"/>
                <w:szCs w:val="22"/>
              </w:rPr>
            </w:pPr>
          </w:p>
          <w:p w:rsidR="00353364" w:rsidRPr="000136BC" w:rsidRDefault="00353364" w:rsidP="00293270">
            <w:pPr>
              <w:spacing w:after="120" w:line="276" w:lineRule="auto"/>
              <w:jc w:val="center"/>
              <w:rPr>
                <w:rFonts w:ascii="Palatino Linotype" w:hAnsi="Palatino Linotype"/>
                <w:b/>
                <w:sz w:val="22"/>
                <w:szCs w:val="22"/>
              </w:rPr>
            </w:pPr>
          </w:p>
          <w:p w:rsidR="00353364" w:rsidRPr="000136BC" w:rsidRDefault="00353364" w:rsidP="00293270">
            <w:pPr>
              <w:spacing w:after="120" w:line="276" w:lineRule="auto"/>
              <w:jc w:val="center"/>
              <w:rPr>
                <w:rFonts w:ascii="Palatino Linotype" w:hAnsi="Palatino Linotype"/>
                <w:sz w:val="22"/>
                <w:szCs w:val="22"/>
              </w:rPr>
            </w:pPr>
            <w:r w:rsidRPr="000136BC">
              <w:rPr>
                <w:rFonts w:ascii="Palatino Linotype" w:hAnsi="Palatino Linotype"/>
                <w:sz w:val="22"/>
                <w:szCs w:val="22"/>
              </w:rPr>
              <w:t>23.133,03 m</w:t>
            </w:r>
            <w:r w:rsidRPr="000136BC">
              <w:rPr>
                <w:rFonts w:ascii="Palatino Linotype" w:hAnsi="Palatino Linotype"/>
                <w:sz w:val="22"/>
                <w:szCs w:val="22"/>
                <w:vertAlign w:val="superscript"/>
              </w:rPr>
              <w:t>2</w:t>
            </w:r>
          </w:p>
          <w:p w:rsidR="00353364" w:rsidRPr="000136BC" w:rsidRDefault="00353364" w:rsidP="00293270">
            <w:pPr>
              <w:spacing w:after="120" w:line="276" w:lineRule="auto"/>
              <w:rPr>
                <w:rFonts w:ascii="Palatino Linotype" w:hAnsi="Palatino Linotype"/>
                <w:sz w:val="22"/>
                <w:szCs w:val="22"/>
                <w:lang w:eastAsia="es-EC"/>
              </w:rPr>
            </w:pPr>
            <w:r w:rsidRPr="000136BC">
              <w:rPr>
                <w:rFonts w:ascii="Palatino Linotype" w:hAnsi="Palatino Linotype"/>
                <w:sz w:val="22"/>
                <w:szCs w:val="22"/>
                <w:lang w:eastAsia="es-EC"/>
              </w:rPr>
              <w:t> </w:t>
            </w:r>
          </w:p>
          <w:p w:rsidR="00353364" w:rsidRPr="000136BC" w:rsidRDefault="00353364" w:rsidP="00293270">
            <w:pPr>
              <w:spacing w:after="120" w:line="276" w:lineRule="auto"/>
              <w:rPr>
                <w:rFonts w:ascii="Palatino Linotype" w:hAnsi="Palatino Linotype"/>
                <w:sz w:val="22"/>
                <w:szCs w:val="22"/>
                <w:lang w:eastAsia="es-EC"/>
              </w:rPr>
            </w:pPr>
            <w:r w:rsidRPr="000136BC">
              <w:rPr>
                <w:rFonts w:ascii="Palatino Linotype" w:hAnsi="Palatino Linotype"/>
                <w:sz w:val="22"/>
                <w:szCs w:val="22"/>
                <w:lang w:eastAsia="es-EC"/>
              </w:rPr>
              <w:t> </w:t>
            </w:r>
          </w:p>
          <w:p w:rsidR="00353364" w:rsidRPr="000136BC" w:rsidRDefault="00353364" w:rsidP="00293270">
            <w:pPr>
              <w:spacing w:after="120" w:line="276" w:lineRule="auto"/>
              <w:rPr>
                <w:rFonts w:ascii="Palatino Linotype" w:hAnsi="Palatino Linotype"/>
                <w:b/>
                <w:bCs/>
                <w:sz w:val="22"/>
                <w:szCs w:val="22"/>
                <w:lang w:eastAsia="es-EC"/>
              </w:rPr>
            </w:pPr>
            <w:r w:rsidRPr="000136BC">
              <w:rPr>
                <w:rFonts w:ascii="Palatino Linotype" w:hAnsi="Palatino Linotype"/>
                <w:sz w:val="22"/>
                <w:szCs w:val="22"/>
                <w:lang w:eastAsia="es-EC"/>
              </w:rPr>
              <w:t> </w:t>
            </w:r>
          </w:p>
        </w:tc>
      </w:tr>
      <w:tr w:rsidR="00353364" w:rsidRPr="000136BC" w:rsidTr="00293270">
        <w:trPr>
          <w:trHeight w:val="351"/>
        </w:trPr>
        <w:tc>
          <w:tcPr>
            <w:tcW w:w="819" w:type="pct"/>
            <w:vMerge/>
            <w:tcBorders>
              <w:left w:val="single" w:sz="4" w:space="0" w:color="auto"/>
              <w:right w:val="single" w:sz="4" w:space="0" w:color="auto"/>
            </w:tcBorders>
            <w:shd w:val="clear" w:color="auto" w:fill="auto"/>
            <w:vAlign w:val="center"/>
            <w:hideMark/>
          </w:tcPr>
          <w:p w:rsidR="00353364" w:rsidRPr="000136BC" w:rsidRDefault="00353364" w:rsidP="00293270">
            <w:pPr>
              <w:spacing w:after="120" w:line="276" w:lineRule="auto"/>
              <w:jc w:val="center"/>
              <w:rPr>
                <w:rFonts w:ascii="Palatino Linotype" w:hAnsi="Palatino Linotype"/>
                <w:sz w:val="22"/>
                <w:szCs w:val="22"/>
                <w:lang w:val="en-US" w:eastAsia="es-EC"/>
              </w:rPr>
            </w:pPr>
          </w:p>
        </w:tc>
        <w:tc>
          <w:tcPr>
            <w:tcW w:w="563" w:type="pct"/>
            <w:tcBorders>
              <w:top w:val="single" w:sz="4" w:space="0" w:color="auto"/>
              <w:left w:val="nil"/>
              <w:bottom w:val="nil"/>
              <w:right w:val="single" w:sz="4" w:space="0" w:color="auto"/>
            </w:tcBorders>
            <w:shd w:val="clear" w:color="auto" w:fill="auto"/>
            <w:vAlign w:val="bottom"/>
            <w:hideMark/>
          </w:tcPr>
          <w:p w:rsidR="00353364" w:rsidRPr="000136BC" w:rsidRDefault="00353364" w:rsidP="00293270">
            <w:pPr>
              <w:spacing w:after="120" w:line="276" w:lineRule="auto"/>
              <w:rPr>
                <w:rFonts w:ascii="Palatino Linotype" w:hAnsi="Palatino Linotype"/>
                <w:b/>
                <w:bCs/>
                <w:sz w:val="22"/>
                <w:szCs w:val="22"/>
                <w:lang w:eastAsia="es-EC"/>
              </w:rPr>
            </w:pPr>
            <w:r w:rsidRPr="000136BC">
              <w:rPr>
                <w:rFonts w:ascii="Palatino Linotype" w:hAnsi="Palatino Linotype"/>
                <w:b/>
                <w:bCs/>
                <w:sz w:val="22"/>
                <w:szCs w:val="22"/>
                <w:lang w:eastAsia="es-EC"/>
              </w:rPr>
              <w:t>Sur:</w:t>
            </w:r>
          </w:p>
        </w:tc>
        <w:tc>
          <w:tcPr>
            <w:tcW w:w="1287" w:type="pct"/>
            <w:tcBorders>
              <w:top w:val="nil"/>
              <w:left w:val="nil"/>
              <w:bottom w:val="single" w:sz="4" w:space="0" w:color="auto"/>
              <w:right w:val="single" w:sz="4" w:space="0" w:color="auto"/>
            </w:tcBorders>
            <w:shd w:val="clear" w:color="auto" w:fill="auto"/>
            <w:vAlign w:val="bottom"/>
            <w:hideMark/>
          </w:tcPr>
          <w:p w:rsidR="00353364" w:rsidRPr="000136BC" w:rsidRDefault="00353364" w:rsidP="00293270">
            <w:pPr>
              <w:spacing w:after="120" w:line="276" w:lineRule="auto"/>
              <w:jc w:val="both"/>
              <w:rPr>
                <w:rFonts w:ascii="Palatino Linotype" w:hAnsi="Palatino Linotype"/>
                <w:sz w:val="22"/>
                <w:szCs w:val="22"/>
                <w:lang w:eastAsia="es-EC"/>
              </w:rPr>
            </w:pPr>
            <w:r w:rsidRPr="000136BC">
              <w:rPr>
                <w:rFonts w:ascii="Palatino Linotype" w:hAnsi="Palatino Linotype"/>
                <w:sz w:val="22"/>
                <w:szCs w:val="22"/>
                <w:lang w:eastAsia="es-EC"/>
              </w:rPr>
              <w:t>Quebrada Cucho Hacienda</w:t>
            </w:r>
          </w:p>
        </w:tc>
        <w:tc>
          <w:tcPr>
            <w:tcW w:w="884" w:type="pct"/>
            <w:tcBorders>
              <w:top w:val="nil"/>
              <w:left w:val="nil"/>
              <w:bottom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w:t>
            </w:r>
          </w:p>
        </w:tc>
        <w:tc>
          <w:tcPr>
            <w:tcW w:w="643" w:type="pct"/>
            <w:tcBorders>
              <w:top w:val="single" w:sz="4" w:space="0" w:color="auto"/>
              <w:left w:val="nil"/>
              <w:bottom w:val="nil"/>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eastAsia="es-EC"/>
              </w:rPr>
            </w:pPr>
            <w:proofErr w:type="spellStart"/>
            <w:r w:rsidRPr="000136BC">
              <w:rPr>
                <w:rFonts w:ascii="Palatino Linotype" w:hAnsi="Palatino Linotype"/>
                <w:sz w:val="22"/>
                <w:szCs w:val="22"/>
                <w:lang w:eastAsia="es-EC"/>
              </w:rPr>
              <w:t>Ld</w:t>
            </w:r>
            <w:proofErr w:type="spellEnd"/>
            <w:r w:rsidRPr="000136BC">
              <w:rPr>
                <w:rFonts w:ascii="Palatino Linotype" w:hAnsi="Palatino Linotype"/>
                <w:sz w:val="22"/>
                <w:szCs w:val="22"/>
                <w:lang w:eastAsia="es-EC"/>
              </w:rPr>
              <w:t>=710.63m</w:t>
            </w:r>
          </w:p>
        </w:tc>
        <w:tc>
          <w:tcPr>
            <w:tcW w:w="804" w:type="pct"/>
            <w:vMerge/>
            <w:tcBorders>
              <w:left w:val="single" w:sz="4" w:space="0" w:color="auto"/>
              <w:right w:val="single" w:sz="4" w:space="0" w:color="auto"/>
            </w:tcBorders>
            <w:shd w:val="clear" w:color="auto" w:fill="auto"/>
            <w:vAlign w:val="center"/>
            <w:hideMark/>
          </w:tcPr>
          <w:p w:rsidR="00353364" w:rsidRPr="000136BC" w:rsidRDefault="00353364" w:rsidP="00293270">
            <w:pPr>
              <w:spacing w:after="120" w:line="276" w:lineRule="auto"/>
              <w:rPr>
                <w:rFonts w:ascii="Palatino Linotype" w:hAnsi="Palatino Linotype"/>
                <w:b/>
                <w:sz w:val="22"/>
                <w:szCs w:val="22"/>
              </w:rPr>
            </w:pPr>
          </w:p>
        </w:tc>
      </w:tr>
      <w:tr w:rsidR="00353364" w:rsidRPr="000136BC" w:rsidTr="00293270">
        <w:trPr>
          <w:trHeight w:val="300"/>
        </w:trPr>
        <w:tc>
          <w:tcPr>
            <w:tcW w:w="819" w:type="pct"/>
            <w:vMerge/>
            <w:tcBorders>
              <w:left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val="en-US" w:eastAsia="es-EC"/>
              </w:rPr>
            </w:pPr>
          </w:p>
        </w:tc>
        <w:tc>
          <w:tcPr>
            <w:tcW w:w="563" w:type="pct"/>
            <w:tcBorders>
              <w:top w:val="single" w:sz="4" w:space="0" w:color="auto"/>
              <w:left w:val="single" w:sz="4" w:space="0" w:color="auto"/>
              <w:bottom w:val="nil"/>
              <w:right w:val="single" w:sz="4" w:space="0" w:color="auto"/>
            </w:tcBorders>
            <w:shd w:val="clear" w:color="auto" w:fill="auto"/>
            <w:hideMark/>
          </w:tcPr>
          <w:p w:rsidR="00353364" w:rsidRPr="000136BC" w:rsidRDefault="00353364" w:rsidP="00293270">
            <w:pPr>
              <w:spacing w:after="120" w:line="276" w:lineRule="auto"/>
              <w:rPr>
                <w:rFonts w:ascii="Palatino Linotype" w:hAnsi="Palatino Linotype"/>
                <w:b/>
                <w:bCs/>
                <w:sz w:val="22"/>
                <w:szCs w:val="22"/>
                <w:lang w:eastAsia="es-EC"/>
              </w:rPr>
            </w:pPr>
          </w:p>
        </w:tc>
        <w:tc>
          <w:tcPr>
            <w:tcW w:w="1287" w:type="pct"/>
            <w:vMerge w:val="restart"/>
            <w:tcBorders>
              <w:top w:val="nil"/>
              <w:left w:val="nil"/>
              <w:bottom w:val="single" w:sz="4" w:space="0" w:color="auto"/>
              <w:right w:val="single" w:sz="4" w:space="0" w:color="auto"/>
            </w:tcBorders>
            <w:shd w:val="clear" w:color="auto" w:fill="auto"/>
            <w:vAlign w:val="bottom"/>
            <w:hideMark/>
          </w:tcPr>
          <w:p w:rsidR="00353364" w:rsidRPr="000136BC" w:rsidRDefault="00353364" w:rsidP="00293270">
            <w:pPr>
              <w:spacing w:after="120" w:line="276" w:lineRule="auto"/>
              <w:jc w:val="both"/>
              <w:rPr>
                <w:rFonts w:ascii="Palatino Linotype" w:hAnsi="Palatino Linotype"/>
                <w:sz w:val="22"/>
                <w:szCs w:val="22"/>
                <w:lang w:eastAsia="es-EC"/>
              </w:rPr>
            </w:pPr>
            <w:r w:rsidRPr="000136BC">
              <w:rPr>
                <w:rFonts w:ascii="Palatino Linotype" w:hAnsi="Palatino Linotype"/>
                <w:sz w:val="22"/>
                <w:szCs w:val="22"/>
                <w:lang w:eastAsia="es-EC"/>
              </w:rPr>
              <w:t xml:space="preserve">Propiedad </w:t>
            </w:r>
            <w:r>
              <w:rPr>
                <w:rFonts w:ascii="Palatino Linotype" w:hAnsi="Palatino Linotype"/>
                <w:lang w:eastAsia="es-EC"/>
              </w:rPr>
              <w:t>p</w:t>
            </w:r>
            <w:r w:rsidRPr="000136BC">
              <w:rPr>
                <w:rFonts w:ascii="Palatino Linotype" w:hAnsi="Palatino Linotype"/>
                <w:sz w:val="22"/>
                <w:szCs w:val="22"/>
                <w:lang w:eastAsia="es-EC"/>
              </w:rPr>
              <w:t>rivada</w:t>
            </w:r>
          </w:p>
        </w:tc>
        <w:tc>
          <w:tcPr>
            <w:tcW w:w="884" w:type="pct"/>
            <w:vMerge w:val="restart"/>
            <w:tcBorders>
              <w:top w:val="nil"/>
              <w:left w:val="nil"/>
              <w:bottom w:val="single" w:sz="4" w:space="0" w:color="auto"/>
              <w:right w:val="nil"/>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eastAsia="es-EC"/>
              </w:rPr>
            </w:pPr>
            <w:r w:rsidRPr="000136BC">
              <w:rPr>
                <w:rFonts w:ascii="Palatino Linotype" w:hAnsi="Palatino Linotype"/>
                <w:sz w:val="22"/>
                <w:szCs w:val="22"/>
                <w:lang w:eastAsia="es-EC"/>
              </w:rPr>
              <w:t>17,53 m</w:t>
            </w:r>
          </w:p>
        </w:tc>
        <w:tc>
          <w:tcPr>
            <w:tcW w:w="804" w:type="pct"/>
            <w:vMerge/>
            <w:tcBorders>
              <w:left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rPr>
                <w:rFonts w:ascii="Palatino Linotype" w:hAnsi="Palatino Linotype"/>
                <w:sz w:val="22"/>
                <w:szCs w:val="22"/>
                <w:lang w:eastAsia="es-EC"/>
              </w:rPr>
            </w:pPr>
          </w:p>
        </w:tc>
      </w:tr>
      <w:tr w:rsidR="00353364" w:rsidRPr="000136BC" w:rsidTr="00293270">
        <w:trPr>
          <w:trHeight w:val="70"/>
        </w:trPr>
        <w:tc>
          <w:tcPr>
            <w:tcW w:w="819" w:type="pct"/>
            <w:vMerge/>
            <w:tcBorders>
              <w:left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val="en-US" w:eastAsia="es-EC"/>
              </w:rPr>
            </w:pPr>
          </w:p>
        </w:tc>
        <w:tc>
          <w:tcPr>
            <w:tcW w:w="563" w:type="pct"/>
            <w:tcBorders>
              <w:top w:val="nil"/>
              <w:left w:val="single" w:sz="4" w:space="0" w:color="auto"/>
              <w:bottom w:val="single" w:sz="4" w:space="0" w:color="auto"/>
              <w:right w:val="single" w:sz="4" w:space="0" w:color="auto"/>
            </w:tcBorders>
            <w:shd w:val="clear" w:color="auto" w:fill="auto"/>
            <w:vAlign w:val="bottom"/>
            <w:hideMark/>
          </w:tcPr>
          <w:p w:rsidR="00353364" w:rsidRPr="000136BC" w:rsidRDefault="00353364" w:rsidP="00293270">
            <w:pPr>
              <w:spacing w:after="120" w:line="276" w:lineRule="auto"/>
              <w:rPr>
                <w:rFonts w:ascii="Palatino Linotype" w:hAnsi="Palatino Linotype"/>
                <w:b/>
                <w:bCs/>
                <w:sz w:val="22"/>
                <w:szCs w:val="22"/>
                <w:lang w:eastAsia="es-EC"/>
              </w:rPr>
            </w:pPr>
            <w:r w:rsidRPr="000136BC">
              <w:rPr>
                <w:rFonts w:ascii="Palatino Linotype" w:hAnsi="Palatino Linotype"/>
                <w:b/>
                <w:bCs/>
                <w:sz w:val="22"/>
                <w:szCs w:val="22"/>
                <w:lang w:eastAsia="es-EC"/>
              </w:rPr>
              <w:t>Este:</w:t>
            </w:r>
          </w:p>
        </w:tc>
        <w:tc>
          <w:tcPr>
            <w:tcW w:w="1287" w:type="pct"/>
            <w:vMerge/>
            <w:tcBorders>
              <w:top w:val="nil"/>
              <w:left w:val="nil"/>
              <w:bottom w:val="single" w:sz="4" w:space="0" w:color="auto"/>
              <w:right w:val="single" w:sz="4" w:space="0" w:color="auto"/>
            </w:tcBorders>
            <w:shd w:val="clear" w:color="auto" w:fill="auto"/>
            <w:vAlign w:val="center"/>
            <w:hideMark/>
          </w:tcPr>
          <w:p w:rsidR="00353364" w:rsidRPr="000136BC" w:rsidRDefault="00353364" w:rsidP="00293270">
            <w:pPr>
              <w:spacing w:after="120" w:line="276" w:lineRule="auto"/>
              <w:jc w:val="both"/>
              <w:rPr>
                <w:rFonts w:ascii="Palatino Linotype" w:hAnsi="Palatino Linotype"/>
                <w:sz w:val="22"/>
                <w:szCs w:val="22"/>
                <w:lang w:eastAsia="es-EC"/>
              </w:rPr>
            </w:pPr>
          </w:p>
        </w:tc>
        <w:tc>
          <w:tcPr>
            <w:tcW w:w="884" w:type="pct"/>
            <w:vMerge/>
            <w:tcBorders>
              <w:top w:val="nil"/>
              <w:left w:val="nil"/>
              <w:bottom w:val="single" w:sz="4" w:space="0" w:color="auto"/>
              <w:right w:val="nil"/>
            </w:tcBorders>
            <w:shd w:val="clear" w:color="auto" w:fill="auto"/>
            <w:vAlign w:val="center"/>
            <w:hideMark/>
          </w:tcPr>
          <w:p w:rsidR="00353364" w:rsidRPr="000136BC" w:rsidRDefault="00353364" w:rsidP="00293270">
            <w:pPr>
              <w:spacing w:after="120" w:line="276" w:lineRule="auto"/>
              <w:rPr>
                <w:rFonts w:ascii="Palatino Linotype" w:hAnsi="Palatino Linotype"/>
                <w:sz w:val="22"/>
                <w:szCs w:val="22"/>
                <w:lang w:eastAsia="es-EC"/>
              </w:rPr>
            </w:pPr>
          </w:p>
        </w:tc>
        <w:tc>
          <w:tcPr>
            <w:tcW w:w="6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3364" w:rsidRPr="000136BC" w:rsidRDefault="00353364" w:rsidP="00293270">
            <w:pPr>
              <w:spacing w:after="120" w:line="276" w:lineRule="auto"/>
              <w:rPr>
                <w:rFonts w:ascii="Palatino Linotype" w:hAnsi="Palatino Linotype"/>
                <w:sz w:val="22"/>
                <w:szCs w:val="22"/>
                <w:lang w:eastAsia="es-EC"/>
              </w:rPr>
            </w:pPr>
          </w:p>
        </w:tc>
        <w:tc>
          <w:tcPr>
            <w:tcW w:w="804" w:type="pct"/>
            <w:vMerge/>
            <w:tcBorders>
              <w:left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rPr>
                <w:rFonts w:ascii="Palatino Linotype" w:hAnsi="Palatino Linotype"/>
                <w:sz w:val="22"/>
                <w:szCs w:val="22"/>
                <w:lang w:eastAsia="es-EC"/>
              </w:rPr>
            </w:pPr>
          </w:p>
        </w:tc>
      </w:tr>
      <w:tr w:rsidR="00353364" w:rsidRPr="000136BC" w:rsidTr="00293270">
        <w:trPr>
          <w:trHeight w:val="495"/>
        </w:trPr>
        <w:tc>
          <w:tcPr>
            <w:tcW w:w="819" w:type="pct"/>
            <w:vMerge/>
            <w:tcBorders>
              <w:left w:val="single" w:sz="4" w:space="0" w:color="auto"/>
              <w:bottom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val="en-US" w:eastAsia="es-EC"/>
              </w:rPr>
            </w:pPr>
          </w:p>
        </w:tc>
        <w:tc>
          <w:tcPr>
            <w:tcW w:w="563" w:type="pct"/>
            <w:tcBorders>
              <w:top w:val="nil"/>
              <w:left w:val="nil"/>
              <w:bottom w:val="single" w:sz="4" w:space="0" w:color="auto"/>
              <w:right w:val="single" w:sz="4" w:space="0" w:color="auto"/>
            </w:tcBorders>
            <w:shd w:val="clear" w:color="auto" w:fill="auto"/>
            <w:vAlign w:val="bottom"/>
            <w:hideMark/>
          </w:tcPr>
          <w:p w:rsidR="00353364" w:rsidRPr="000136BC" w:rsidRDefault="00353364" w:rsidP="00293270">
            <w:pPr>
              <w:spacing w:after="120" w:line="276" w:lineRule="auto"/>
              <w:rPr>
                <w:rFonts w:ascii="Palatino Linotype" w:hAnsi="Palatino Linotype"/>
                <w:b/>
                <w:bCs/>
                <w:sz w:val="22"/>
                <w:szCs w:val="22"/>
                <w:lang w:eastAsia="es-EC"/>
              </w:rPr>
            </w:pPr>
            <w:r w:rsidRPr="000136BC">
              <w:rPr>
                <w:rFonts w:ascii="Palatino Linotype" w:hAnsi="Palatino Linotype"/>
                <w:b/>
                <w:bCs/>
                <w:sz w:val="22"/>
                <w:szCs w:val="22"/>
                <w:lang w:eastAsia="es-EC"/>
              </w:rPr>
              <w:t>Oeste:</w:t>
            </w:r>
          </w:p>
        </w:tc>
        <w:tc>
          <w:tcPr>
            <w:tcW w:w="1287" w:type="pct"/>
            <w:tcBorders>
              <w:top w:val="nil"/>
              <w:left w:val="nil"/>
              <w:bottom w:val="single" w:sz="4" w:space="0" w:color="auto"/>
              <w:right w:val="single" w:sz="4" w:space="0" w:color="auto"/>
            </w:tcBorders>
            <w:shd w:val="clear" w:color="auto" w:fill="auto"/>
            <w:vAlign w:val="bottom"/>
            <w:hideMark/>
          </w:tcPr>
          <w:p w:rsidR="00353364" w:rsidRPr="000136BC" w:rsidRDefault="00353364" w:rsidP="00293270">
            <w:pPr>
              <w:spacing w:after="120" w:line="276" w:lineRule="auto"/>
              <w:jc w:val="both"/>
              <w:rPr>
                <w:rFonts w:ascii="Palatino Linotype" w:hAnsi="Palatino Linotype"/>
                <w:sz w:val="22"/>
                <w:szCs w:val="22"/>
                <w:lang w:eastAsia="es-EC"/>
              </w:rPr>
            </w:pPr>
            <w:r w:rsidRPr="000136BC">
              <w:rPr>
                <w:rFonts w:ascii="Palatino Linotype" w:hAnsi="Palatino Linotype"/>
                <w:sz w:val="22"/>
                <w:szCs w:val="22"/>
                <w:lang w:eastAsia="es-EC"/>
              </w:rPr>
              <w:t>Calle Yambo</w:t>
            </w:r>
          </w:p>
        </w:tc>
        <w:tc>
          <w:tcPr>
            <w:tcW w:w="884" w:type="pct"/>
            <w:tcBorders>
              <w:top w:val="nil"/>
              <w:left w:val="nil"/>
              <w:bottom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jc w:val="center"/>
              <w:rPr>
                <w:rFonts w:ascii="Palatino Linotype" w:hAnsi="Palatino Linotype"/>
                <w:sz w:val="22"/>
                <w:szCs w:val="22"/>
                <w:lang w:val="en-US" w:eastAsia="es-EC"/>
              </w:rPr>
            </w:pPr>
            <w:r w:rsidRPr="000136BC">
              <w:rPr>
                <w:rFonts w:ascii="Palatino Linotype" w:hAnsi="Palatino Linotype"/>
                <w:sz w:val="22"/>
                <w:szCs w:val="22"/>
                <w:lang w:val="en-US" w:eastAsia="es-EC"/>
              </w:rPr>
              <w:t>-</w:t>
            </w:r>
          </w:p>
          <w:p w:rsidR="00353364" w:rsidRPr="000136BC" w:rsidRDefault="00353364" w:rsidP="00293270">
            <w:pPr>
              <w:spacing w:after="120" w:line="276" w:lineRule="auto"/>
              <w:jc w:val="center"/>
              <w:rPr>
                <w:rFonts w:ascii="Palatino Linotype" w:hAnsi="Palatino Linotype"/>
                <w:sz w:val="22"/>
                <w:szCs w:val="22"/>
                <w:lang w:val="en-US" w:eastAsia="es-EC"/>
              </w:rPr>
            </w:pPr>
          </w:p>
        </w:tc>
        <w:tc>
          <w:tcPr>
            <w:tcW w:w="643" w:type="pct"/>
            <w:tcBorders>
              <w:top w:val="nil"/>
              <w:left w:val="nil"/>
              <w:bottom w:val="single" w:sz="4" w:space="0" w:color="auto"/>
              <w:right w:val="nil"/>
            </w:tcBorders>
            <w:shd w:val="clear" w:color="auto" w:fill="auto"/>
          </w:tcPr>
          <w:p w:rsidR="00353364" w:rsidRPr="000136BC" w:rsidRDefault="00353364" w:rsidP="00293270">
            <w:pPr>
              <w:spacing w:after="120" w:line="276" w:lineRule="auto"/>
              <w:jc w:val="center"/>
              <w:rPr>
                <w:rFonts w:ascii="Palatino Linotype" w:hAnsi="Palatino Linotype"/>
                <w:sz w:val="22"/>
                <w:szCs w:val="22"/>
                <w:lang w:eastAsia="es-EC"/>
              </w:rPr>
            </w:pPr>
          </w:p>
          <w:p w:rsidR="00353364" w:rsidRPr="000136BC" w:rsidRDefault="00353364" w:rsidP="00293270">
            <w:pPr>
              <w:spacing w:after="120" w:line="276" w:lineRule="auto"/>
              <w:jc w:val="center"/>
              <w:rPr>
                <w:rFonts w:ascii="Palatino Linotype" w:hAnsi="Palatino Linotype"/>
                <w:sz w:val="22"/>
                <w:szCs w:val="22"/>
                <w:lang w:eastAsia="es-EC"/>
              </w:rPr>
            </w:pPr>
            <w:proofErr w:type="spellStart"/>
            <w:r w:rsidRPr="000136BC">
              <w:rPr>
                <w:rFonts w:ascii="Palatino Linotype" w:hAnsi="Palatino Linotype"/>
                <w:sz w:val="22"/>
                <w:szCs w:val="22"/>
                <w:lang w:eastAsia="es-EC"/>
              </w:rPr>
              <w:t>Ld</w:t>
            </w:r>
            <w:proofErr w:type="spellEnd"/>
            <w:r w:rsidRPr="000136BC">
              <w:rPr>
                <w:rFonts w:ascii="Palatino Linotype" w:hAnsi="Palatino Linotype"/>
                <w:sz w:val="22"/>
                <w:szCs w:val="22"/>
                <w:lang w:eastAsia="es-EC"/>
              </w:rPr>
              <w:t>=50.64 m</w:t>
            </w:r>
          </w:p>
        </w:tc>
        <w:tc>
          <w:tcPr>
            <w:tcW w:w="804" w:type="pct"/>
            <w:vMerge/>
            <w:tcBorders>
              <w:left w:val="single" w:sz="4" w:space="0" w:color="auto"/>
              <w:bottom w:val="single" w:sz="4" w:space="0" w:color="auto"/>
              <w:right w:val="single" w:sz="4" w:space="0" w:color="auto"/>
            </w:tcBorders>
            <w:shd w:val="clear" w:color="auto" w:fill="auto"/>
            <w:noWrap/>
            <w:vAlign w:val="bottom"/>
            <w:hideMark/>
          </w:tcPr>
          <w:p w:rsidR="00353364" w:rsidRPr="000136BC" w:rsidRDefault="00353364" w:rsidP="00293270">
            <w:pPr>
              <w:spacing w:after="120" w:line="276" w:lineRule="auto"/>
              <w:rPr>
                <w:rFonts w:ascii="Palatino Linotype" w:hAnsi="Palatino Linotype"/>
                <w:sz w:val="22"/>
                <w:szCs w:val="22"/>
                <w:lang w:eastAsia="es-EC"/>
              </w:rPr>
            </w:pPr>
          </w:p>
        </w:tc>
      </w:tr>
    </w:tbl>
    <w:p w:rsidR="00353364" w:rsidRPr="000136BC" w:rsidRDefault="00353364" w:rsidP="00353364">
      <w:pPr>
        <w:spacing w:after="120" w:line="276" w:lineRule="auto"/>
        <w:contextualSpacing/>
        <w:rPr>
          <w:rFonts w:ascii="Palatino Linotype" w:hAnsi="Palatino Linotype" w:cs="Arial"/>
          <w:color w:val="000000" w:themeColor="text1"/>
          <w:sz w:val="22"/>
          <w:szCs w:val="22"/>
        </w:rPr>
      </w:pPr>
    </w:p>
    <w:p w:rsidR="00353364" w:rsidRPr="000136BC" w:rsidRDefault="00353364" w:rsidP="00353364">
      <w:pPr>
        <w:spacing w:after="120" w:line="276" w:lineRule="auto"/>
        <w:jc w:val="both"/>
        <w:rPr>
          <w:rFonts w:ascii="Palatino Linotype" w:hAnsi="Palatino Linotype"/>
          <w:bCs/>
          <w:color w:val="000000"/>
          <w:sz w:val="22"/>
          <w:szCs w:val="22"/>
        </w:rPr>
      </w:pPr>
      <w:r w:rsidRPr="000136BC">
        <w:rPr>
          <w:rFonts w:ascii="Palatino Linotype" w:hAnsi="Palatino Linotype"/>
          <w:b/>
          <w:color w:val="000000" w:themeColor="text1"/>
          <w:sz w:val="22"/>
          <w:szCs w:val="22"/>
        </w:rPr>
        <w:t>Artículo 6</w:t>
      </w:r>
      <w:r>
        <w:rPr>
          <w:rFonts w:ascii="Palatino Linotype" w:hAnsi="Palatino Linotype"/>
          <w:b/>
          <w:color w:val="000000" w:themeColor="text1"/>
        </w:rPr>
        <w:t>.</w:t>
      </w:r>
      <w:r w:rsidRPr="000136BC">
        <w:rPr>
          <w:rFonts w:ascii="Palatino Linotype" w:hAnsi="Palatino Linotype"/>
          <w:b/>
          <w:color w:val="000000" w:themeColor="text1"/>
          <w:sz w:val="22"/>
          <w:szCs w:val="22"/>
        </w:rPr>
        <w:t xml:space="preserve">- </w:t>
      </w:r>
      <w:r w:rsidRPr="000136BC">
        <w:rPr>
          <w:rFonts w:ascii="Palatino Linotype" w:hAnsi="Palatino Linotype"/>
          <w:b/>
          <w:bCs/>
          <w:sz w:val="22"/>
          <w:szCs w:val="22"/>
        </w:rPr>
        <w:t xml:space="preserve">Informe Técnico de Evaluación de Riesgos de la Secretaría General de Seguridad y Gobernabilidad.- </w:t>
      </w:r>
      <w:r w:rsidRPr="000136BC">
        <w:rPr>
          <w:rFonts w:ascii="Palatino Linotype" w:hAnsi="Palatino Linotype"/>
          <w:bCs/>
          <w:color w:val="000000"/>
          <w:sz w:val="22"/>
          <w:szCs w:val="22"/>
        </w:rPr>
        <w:t xml:space="preserve">Los copropietarios </w:t>
      </w:r>
      <w:r w:rsidRPr="000136BC">
        <w:rPr>
          <w:rFonts w:ascii="Palatino Linotype" w:hAnsi="Palatino Linotype"/>
          <w:sz w:val="22"/>
          <w:szCs w:val="22"/>
        </w:rPr>
        <w:t xml:space="preserve">del Asentamiento Humano de Hecho y Consolidado de Interés Social denominado </w:t>
      </w:r>
      <w:r w:rsidRPr="000136BC">
        <w:rPr>
          <w:rFonts w:ascii="Palatino Linotype" w:hAnsi="Palatino Linotype"/>
          <w:bCs/>
          <w:sz w:val="22"/>
          <w:szCs w:val="22"/>
        </w:rPr>
        <w:t>Comité Pro Mejoras del Barrio ¨</w:t>
      </w:r>
      <w:proofErr w:type="spellStart"/>
      <w:r w:rsidRPr="000136BC">
        <w:rPr>
          <w:rFonts w:ascii="Palatino Linotype" w:hAnsi="Palatino Linotype"/>
          <w:bCs/>
          <w:sz w:val="22"/>
          <w:szCs w:val="22"/>
        </w:rPr>
        <w:t>Catzuqui</w:t>
      </w:r>
      <w:proofErr w:type="spellEnd"/>
      <w:r w:rsidRPr="000136BC">
        <w:rPr>
          <w:rFonts w:ascii="Palatino Linotype" w:hAnsi="Palatino Linotype"/>
          <w:bCs/>
          <w:sz w:val="22"/>
          <w:szCs w:val="22"/>
        </w:rPr>
        <w:t xml:space="preserve"> de Moncayo¨ Etapa II</w:t>
      </w:r>
      <w:r w:rsidRPr="000136BC">
        <w:rPr>
          <w:rFonts w:ascii="Palatino Linotype" w:hAnsi="Palatino Linotype"/>
          <w:bCs/>
          <w:color w:val="000000"/>
          <w:sz w:val="22"/>
          <w:szCs w:val="22"/>
        </w:rPr>
        <w:t>,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353364" w:rsidRPr="000136BC" w:rsidRDefault="00353364" w:rsidP="00353364">
      <w:pPr>
        <w:spacing w:after="120" w:line="276" w:lineRule="auto"/>
        <w:jc w:val="both"/>
        <w:rPr>
          <w:rFonts w:ascii="Palatino Linotype" w:hAnsi="Palatino Linotype"/>
          <w:bCs/>
          <w:color w:val="000000"/>
          <w:sz w:val="22"/>
          <w:szCs w:val="22"/>
        </w:rPr>
      </w:pPr>
      <w:r w:rsidRPr="000136BC">
        <w:rPr>
          <w:rFonts w:ascii="Palatino Linotype" w:hAnsi="Palatino Linotype"/>
          <w:bCs/>
          <w:color w:val="000000"/>
          <w:sz w:val="22"/>
          <w:szCs w:val="22"/>
        </w:rPr>
        <w:t xml:space="preserve">La Agencia Metropolitana de Control realizará el seguimiento en la ejecución y avance de las obras de mitigación hasta la terminación de las mismas. </w:t>
      </w:r>
    </w:p>
    <w:p w:rsidR="00353364" w:rsidRPr="000136BC" w:rsidRDefault="00353364" w:rsidP="00353364">
      <w:pPr>
        <w:spacing w:after="120" w:line="276" w:lineRule="auto"/>
        <w:jc w:val="both"/>
        <w:rPr>
          <w:rFonts w:ascii="Palatino Linotype" w:hAnsi="Palatino Linotype"/>
          <w:bCs/>
          <w:color w:val="000000"/>
          <w:sz w:val="22"/>
          <w:szCs w:val="22"/>
        </w:rPr>
      </w:pPr>
      <w:r w:rsidRPr="000136BC">
        <w:rPr>
          <w:rFonts w:ascii="Palatino Linotype" w:hAnsi="Palatino Linotype"/>
          <w:bCs/>
          <w:color w:val="000000"/>
          <w:sz w:val="22"/>
          <w:szCs w:val="22"/>
        </w:rPr>
        <w:lastRenderedPageBreak/>
        <w:t xml:space="preserve">Los copropietarios </w:t>
      </w:r>
      <w:r w:rsidRPr="000136BC">
        <w:rPr>
          <w:rFonts w:ascii="Palatino Linotype" w:hAnsi="Palatino Linotype"/>
          <w:sz w:val="22"/>
          <w:szCs w:val="22"/>
        </w:rPr>
        <w:t xml:space="preserve">del Asentamiento Humano de Hecho y Consolidado de Interés Social denominado </w:t>
      </w:r>
      <w:r w:rsidRPr="000136BC">
        <w:rPr>
          <w:rFonts w:ascii="Palatino Linotype" w:hAnsi="Palatino Linotype"/>
          <w:bCs/>
          <w:sz w:val="22"/>
          <w:szCs w:val="22"/>
        </w:rPr>
        <w:t>Comité Pro Mejoras del Barrio ¨</w:t>
      </w:r>
      <w:proofErr w:type="spellStart"/>
      <w:r w:rsidRPr="000136BC">
        <w:rPr>
          <w:rFonts w:ascii="Palatino Linotype" w:hAnsi="Palatino Linotype"/>
          <w:bCs/>
          <w:sz w:val="22"/>
          <w:szCs w:val="22"/>
        </w:rPr>
        <w:t>Catzuqui</w:t>
      </w:r>
      <w:proofErr w:type="spellEnd"/>
      <w:r w:rsidRPr="000136BC">
        <w:rPr>
          <w:rFonts w:ascii="Palatino Linotype" w:hAnsi="Palatino Linotype"/>
          <w:bCs/>
          <w:sz w:val="22"/>
          <w:szCs w:val="22"/>
        </w:rPr>
        <w:t xml:space="preserve"> de Moncayo¨ Etapa II</w:t>
      </w:r>
      <w:r w:rsidRPr="000136BC">
        <w:rPr>
          <w:rFonts w:ascii="Palatino Linotype" w:hAnsi="Palatino Linotype"/>
          <w:bCs/>
          <w:color w:val="000000"/>
          <w:sz w:val="22"/>
          <w:szCs w:val="22"/>
        </w:rPr>
        <w:t xml:space="preserve"> deberán cumplir con lo establecido dentro de la calificación del riesgo y acatar las recomendaciones que se encuentran determinadas en el informe de la Dirección Metropolitana de Gestión de Riesgos No. 271-AT-DMGR-2017, de 7 de diciembre de 2017</w:t>
      </w:r>
      <w:r>
        <w:rPr>
          <w:rFonts w:ascii="Palatino Linotype" w:hAnsi="Palatino Linotype"/>
          <w:bCs/>
          <w:color w:val="000000"/>
        </w:rPr>
        <w:t>,</w:t>
      </w:r>
      <w:r w:rsidRPr="000136BC">
        <w:rPr>
          <w:rFonts w:ascii="Palatino Linotype" w:hAnsi="Palatino Linotype"/>
          <w:bCs/>
          <w:color w:val="000000"/>
          <w:sz w:val="22"/>
          <w:szCs w:val="22"/>
        </w:rPr>
        <w:t xml:space="preserve"> el mismo establece que:</w:t>
      </w:r>
    </w:p>
    <w:p w:rsidR="00353364" w:rsidRPr="000136BC" w:rsidRDefault="00353364" w:rsidP="00353364">
      <w:pPr>
        <w:spacing w:after="120" w:line="276" w:lineRule="auto"/>
        <w:jc w:val="both"/>
        <w:rPr>
          <w:rFonts w:ascii="Palatino Linotype" w:hAnsi="Palatino Linotype"/>
          <w:b/>
          <w:i/>
          <w:sz w:val="22"/>
          <w:szCs w:val="22"/>
        </w:rPr>
      </w:pPr>
      <w:r w:rsidRPr="000136BC">
        <w:rPr>
          <w:rFonts w:ascii="Palatino Linotype" w:hAnsi="Palatino Linotype"/>
          <w:b/>
          <w:i/>
          <w:sz w:val="22"/>
          <w:szCs w:val="22"/>
        </w:rPr>
        <w:t>“6 CALIFICACION DEL RIESGO</w:t>
      </w:r>
    </w:p>
    <w:p w:rsidR="00353364" w:rsidRPr="000136BC" w:rsidRDefault="00353364" w:rsidP="00353364">
      <w:pPr>
        <w:spacing w:after="120" w:line="276" w:lineRule="auto"/>
        <w:jc w:val="both"/>
        <w:rPr>
          <w:rFonts w:ascii="Palatino Linotype" w:hAnsi="Palatino Linotype"/>
          <w:i/>
          <w:sz w:val="22"/>
          <w:szCs w:val="22"/>
        </w:rPr>
      </w:pPr>
      <w:r w:rsidRPr="000136BC">
        <w:rPr>
          <w:rFonts w:ascii="Palatino Linotype" w:hAnsi="Palatino Linotype"/>
          <w:i/>
          <w:sz w:val="22"/>
          <w:szCs w:val="22"/>
        </w:rPr>
        <w:t>La zona en estudio, una vez realizada la inspección técnica al “</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considerando las amenazas, elementos expuestos y vulnerabilidades se determina que:</w:t>
      </w:r>
    </w:p>
    <w:p w:rsidR="00353364" w:rsidRPr="000136BC" w:rsidRDefault="00353364" w:rsidP="00353364">
      <w:pPr>
        <w:numPr>
          <w:ilvl w:val="0"/>
          <w:numId w:val="10"/>
        </w:numPr>
        <w:spacing w:after="120" w:line="276" w:lineRule="auto"/>
        <w:ind w:left="720"/>
        <w:jc w:val="both"/>
        <w:rPr>
          <w:rFonts w:ascii="Palatino Linotype" w:hAnsi="Palatino Linotype"/>
          <w:i/>
          <w:sz w:val="22"/>
          <w:szCs w:val="22"/>
        </w:rPr>
      </w:pPr>
      <w:r w:rsidRPr="000136BC">
        <w:rPr>
          <w:rFonts w:ascii="Palatino Linotype" w:hAnsi="Palatino Linotype"/>
          <w:b/>
          <w:i/>
          <w:sz w:val="22"/>
          <w:szCs w:val="22"/>
        </w:rPr>
        <w:t xml:space="preserve">Riesgo por movimientos en masa: </w:t>
      </w:r>
      <w:r w:rsidRPr="000136BC">
        <w:rPr>
          <w:rFonts w:ascii="Palatino Linotype" w:hAnsi="Palatino Linotype"/>
          <w:i/>
          <w:sz w:val="22"/>
          <w:szCs w:val="22"/>
        </w:rPr>
        <w:t>el AHHYC “</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en general presenta un </w:t>
      </w:r>
      <w:r w:rsidRPr="000136BC">
        <w:rPr>
          <w:rFonts w:ascii="Palatino Linotype" w:hAnsi="Palatino Linotype"/>
          <w:i/>
          <w:sz w:val="22"/>
          <w:szCs w:val="22"/>
          <w:u w:val="single"/>
        </w:rPr>
        <w:t>Riesgo Moderado Mitigable</w:t>
      </w:r>
      <w:r w:rsidRPr="000136BC">
        <w:rPr>
          <w:rFonts w:ascii="Palatino Linotype" w:hAnsi="Palatino Linotype"/>
          <w:i/>
          <w:sz w:val="22"/>
          <w:szCs w:val="22"/>
        </w:rPr>
        <w:t>,</w:t>
      </w:r>
      <w:r w:rsidRPr="000136BC">
        <w:rPr>
          <w:rFonts w:ascii="Palatino Linotype" w:hAnsi="Palatino Linotype"/>
          <w:b/>
          <w:i/>
          <w:sz w:val="22"/>
          <w:szCs w:val="22"/>
        </w:rPr>
        <w:t xml:space="preserve"> </w:t>
      </w:r>
      <w:r w:rsidRPr="000136BC">
        <w:rPr>
          <w:rFonts w:ascii="Palatino Linotype" w:hAnsi="Palatino Linotype"/>
          <w:i/>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rsidR="00353364" w:rsidRPr="000136BC" w:rsidRDefault="00353364" w:rsidP="00353364">
      <w:pPr>
        <w:numPr>
          <w:ilvl w:val="0"/>
          <w:numId w:val="10"/>
        </w:numPr>
        <w:spacing w:after="120" w:line="276" w:lineRule="auto"/>
        <w:ind w:left="720"/>
        <w:jc w:val="both"/>
        <w:rPr>
          <w:rFonts w:ascii="Palatino Linotype" w:hAnsi="Palatino Linotype"/>
          <w:i/>
          <w:sz w:val="22"/>
          <w:szCs w:val="22"/>
        </w:rPr>
      </w:pPr>
      <w:r w:rsidRPr="000136BC">
        <w:rPr>
          <w:rFonts w:ascii="Palatino Linotype" w:hAnsi="Palatino Linotype"/>
          <w:b/>
          <w:i/>
          <w:sz w:val="22"/>
          <w:szCs w:val="22"/>
        </w:rPr>
        <w:t>Riesgo por eventos sísmicos:</w:t>
      </w:r>
      <w:r w:rsidRPr="000136BC">
        <w:rPr>
          <w:rFonts w:ascii="Palatino Linotype" w:hAnsi="Palatino Linotype"/>
          <w:i/>
          <w:sz w:val="22"/>
          <w:szCs w:val="22"/>
        </w:rPr>
        <w:t xml:space="preserve"> de manera general, todo el AHHYC “</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presenta condiciones de </w:t>
      </w:r>
      <w:r w:rsidRPr="000136BC">
        <w:rPr>
          <w:rFonts w:ascii="Palatino Linotype" w:hAnsi="Palatino Linotype"/>
          <w:i/>
          <w:sz w:val="22"/>
          <w:szCs w:val="22"/>
          <w:u w:val="single"/>
        </w:rPr>
        <w:t>Riesgo Moderado Mitigable</w:t>
      </w:r>
      <w:r w:rsidRPr="000136BC">
        <w:rPr>
          <w:rFonts w:ascii="Palatino Linotype" w:hAnsi="Palatino Linotype"/>
          <w:i/>
          <w:sz w:val="22"/>
          <w:szCs w:val="22"/>
        </w:rPr>
        <w:t>, debido a la vulnerabilidad de sus construcciones, el tipo de suelo y distancia con fuentes sísmicas.</w:t>
      </w:r>
    </w:p>
    <w:p w:rsidR="00353364" w:rsidRPr="000136BC" w:rsidRDefault="00353364" w:rsidP="00353364">
      <w:pPr>
        <w:numPr>
          <w:ilvl w:val="0"/>
          <w:numId w:val="10"/>
        </w:numPr>
        <w:spacing w:after="120" w:line="276" w:lineRule="auto"/>
        <w:ind w:left="720"/>
        <w:jc w:val="both"/>
        <w:rPr>
          <w:rFonts w:ascii="Palatino Linotype" w:hAnsi="Palatino Linotype"/>
          <w:i/>
          <w:sz w:val="22"/>
          <w:szCs w:val="22"/>
        </w:rPr>
      </w:pPr>
      <w:r w:rsidRPr="000136BC">
        <w:rPr>
          <w:rFonts w:ascii="Palatino Linotype" w:hAnsi="Palatino Linotype"/>
          <w:b/>
          <w:i/>
          <w:sz w:val="22"/>
          <w:szCs w:val="22"/>
        </w:rPr>
        <w:t>Riesgo por fenómenos volcánicos:</w:t>
      </w:r>
      <w:r w:rsidRPr="000136BC">
        <w:rPr>
          <w:rFonts w:ascii="Palatino Linotype" w:hAnsi="Palatino Linotype"/>
          <w:i/>
          <w:sz w:val="22"/>
          <w:szCs w:val="22"/>
        </w:rPr>
        <w:t xml:space="preserve"> el principal fenómeno volcánico al que está expuesto el AHHYC “</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así como la región norte del DMQ, es la potencial caída </w:t>
      </w:r>
      <w:proofErr w:type="spellStart"/>
      <w:r w:rsidRPr="000136BC">
        <w:rPr>
          <w:rFonts w:ascii="Palatino Linotype" w:hAnsi="Palatino Linotype"/>
          <w:i/>
          <w:sz w:val="22"/>
          <w:szCs w:val="22"/>
        </w:rPr>
        <w:t>piroclastos</w:t>
      </w:r>
      <w:proofErr w:type="spellEnd"/>
      <w:r w:rsidRPr="000136BC">
        <w:rPr>
          <w:rFonts w:ascii="Palatino Linotype" w:hAnsi="Palatino Linotype"/>
          <w:i/>
          <w:sz w:val="22"/>
          <w:szCs w:val="22"/>
        </w:rPr>
        <w:t xml:space="preserve"> (material sólido de tamaño ceniza y/o lapilli) de los volcanes Guagua Pichincha, Cotopaxi, Reventador y </w:t>
      </w:r>
      <w:proofErr w:type="spellStart"/>
      <w:r w:rsidRPr="000136BC">
        <w:rPr>
          <w:rFonts w:ascii="Palatino Linotype" w:hAnsi="Palatino Linotype"/>
          <w:i/>
          <w:sz w:val="22"/>
          <w:szCs w:val="22"/>
        </w:rPr>
        <w:t>Pululahua</w:t>
      </w:r>
      <w:proofErr w:type="spellEnd"/>
      <w:r w:rsidRPr="000136BC">
        <w:rPr>
          <w:rFonts w:ascii="Palatino Linotype" w:hAnsi="Palatino Linotype"/>
          <w:i/>
          <w:sz w:val="22"/>
          <w:szCs w:val="22"/>
        </w:rPr>
        <w:t xml:space="preserve">; ante esta amenaza se presenta un </w:t>
      </w:r>
      <w:r w:rsidRPr="000136BC">
        <w:rPr>
          <w:rFonts w:ascii="Palatino Linotype" w:hAnsi="Palatino Linotype"/>
          <w:i/>
          <w:sz w:val="22"/>
          <w:szCs w:val="22"/>
          <w:u w:val="single"/>
        </w:rPr>
        <w:t>Riesgo Bajo Mitigable</w:t>
      </w:r>
      <w:r w:rsidRPr="000136BC">
        <w:rPr>
          <w:rFonts w:ascii="Palatino Linotype" w:hAnsi="Palatino Linotype"/>
          <w:i/>
          <w:sz w:val="22"/>
          <w:szCs w:val="22"/>
        </w:rPr>
        <w:t>.</w:t>
      </w:r>
    </w:p>
    <w:p w:rsidR="00353364" w:rsidRPr="000136BC" w:rsidRDefault="00353364" w:rsidP="00353364">
      <w:pPr>
        <w:spacing w:after="120" w:line="276" w:lineRule="auto"/>
        <w:jc w:val="both"/>
        <w:rPr>
          <w:rFonts w:ascii="Palatino Linotype" w:hAnsi="Palatino Linotype"/>
          <w:i/>
          <w:sz w:val="22"/>
          <w:szCs w:val="22"/>
        </w:rPr>
      </w:pPr>
      <w:r w:rsidRPr="000136BC">
        <w:rPr>
          <w:rFonts w:ascii="Palatino Linotype" w:hAnsi="Palatino Linotype"/>
          <w:i/>
          <w:sz w:val="22"/>
          <w:szCs w:val="22"/>
        </w:rPr>
        <w:t xml:space="preserve">Por lo tanto, la DMGR sugiere que es </w:t>
      </w:r>
      <w:r w:rsidRPr="000136BC">
        <w:rPr>
          <w:rFonts w:ascii="Palatino Linotype" w:hAnsi="Palatino Linotype"/>
          <w:b/>
          <w:i/>
          <w:sz w:val="22"/>
          <w:szCs w:val="22"/>
        </w:rPr>
        <w:t>Factible</w:t>
      </w:r>
      <w:r w:rsidRPr="000136BC">
        <w:rPr>
          <w:rFonts w:ascii="Palatino Linotype" w:hAnsi="Palatino Linotype"/>
          <w:i/>
          <w:sz w:val="22"/>
          <w:szCs w:val="22"/>
        </w:rPr>
        <w:t xml:space="preserve"> continuar con el proceso de regularización del AHHYC “</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ya que siguiendo </w:t>
      </w:r>
      <w:r w:rsidRPr="000136BC">
        <w:rPr>
          <w:rFonts w:ascii="Palatino Linotype" w:hAnsi="Palatino Linotype"/>
          <w:bCs/>
          <w:i/>
          <w:sz w:val="22"/>
          <w:szCs w:val="22"/>
        </w:rPr>
        <w:t xml:space="preserve">las recomendaciones que se describen en este informe, contribuirá a garantizar la reducción del riesgo en la zona en análisis.  </w:t>
      </w:r>
      <w:r w:rsidRPr="000136BC">
        <w:rPr>
          <w:rFonts w:ascii="Palatino Linotype" w:hAnsi="Palatino Linotype"/>
          <w:i/>
          <w:sz w:val="22"/>
          <w:szCs w:val="22"/>
        </w:rPr>
        <w:softHyphen/>
      </w:r>
    </w:p>
    <w:p w:rsidR="00353364" w:rsidRPr="000136BC" w:rsidRDefault="00353364" w:rsidP="00353364">
      <w:p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353364" w:rsidRPr="000136BC" w:rsidRDefault="00353364" w:rsidP="00353364">
      <w:pPr>
        <w:spacing w:after="120" w:line="276" w:lineRule="auto"/>
        <w:jc w:val="both"/>
        <w:rPr>
          <w:rFonts w:ascii="Palatino Linotype" w:hAnsi="Palatino Linotype"/>
          <w:bCs/>
          <w:i/>
          <w:sz w:val="22"/>
          <w:szCs w:val="22"/>
        </w:rPr>
      </w:pPr>
      <w:r w:rsidRPr="000136BC">
        <w:rPr>
          <w:rFonts w:ascii="Palatino Linotype" w:hAnsi="Palatino Linotype"/>
          <w:b/>
          <w:bCs/>
          <w:i/>
          <w:sz w:val="22"/>
          <w:szCs w:val="22"/>
        </w:rPr>
        <w:t>Medidas Estructurales:</w:t>
      </w:r>
      <w:r w:rsidRPr="000136BC">
        <w:rPr>
          <w:rFonts w:ascii="Palatino Linotype" w:hAnsi="Palatino Linotype"/>
          <w:bCs/>
          <w:i/>
          <w:sz w:val="22"/>
          <w:szCs w:val="22"/>
        </w:rPr>
        <w:t xml:space="preserve"> Acciones de ingeniería para reducir impactos de las amenazas como:</w:t>
      </w:r>
    </w:p>
    <w:p w:rsidR="00353364" w:rsidRPr="000136BC" w:rsidRDefault="00353364" w:rsidP="00353364">
      <w:pPr>
        <w:numPr>
          <w:ilvl w:val="0"/>
          <w:numId w:val="9"/>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Protección y control: Intervención directa de la amenaza (Diques, muros de contención, canalización de aguas.)</w:t>
      </w:r>
    </w:p>
    <w:p w:rsidR="00353364" w:rsidRPr="000136BC" w:rsidRDefault="00353364" w:rsidP="00353364">
      <w:pPr>
        <w:numPr>
          <w:ilvl w:val="0"/>
          <w:numId w:val="9"/>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lastRenderedPageBreak/>
        <w:t>Modificar las condiciones de vulnerabilidad física de los elementos expuestos (refuerzo de infraestructura de líneas vitales, códigos de construcción, reubicación de viviendas.)</w:t>
      </w:r>
    </w:p>
    <w:p w:rsidR="00353364" w:rsidRPr="000136BC" w:rsidRDefault="00353364" w:rsidP="00353364">
      <w:pPr>
        <w:spacing w:after="120" w:line="276" w:lineRule="auto"/>
        <w:jc w:val="both"/>
        <w:rPr>
          <w:rFonts w:ascii="Palatino Linotype" w:hAnsi="Palatino Linotype"/>
          <w:bCs/>
          <w:i/>
          <w:sz w:val="22"/>
          <w:szCs w:val="22"/>
        </w:rPr>
      </w:pPr>
      <w:r w:rsidRPr="000136BC">
        <w:rPr>
          <w:rFonts w:ascii="Palatino Linotype" w:hAnsi="Palatino Linotype"/>
          <w:b/>
          <w:bCs/>
          <w:i/>
          <w:sz w:val="22"/>
          <w:szCs w:val="22"/>
        </w:rPr>
        <w:t>Medidas No estructurales:</w:t>
      </w:r>
      <w:r w:rsidRPr="000136BC">
        <w:rPr>
          <w:rFonts w:ascii="Palatino Linotype" w:hAnsi="Palatino Linotype"/>
          <w:bCs/>
          <w:i/>
          <w:sz w:val="22"/>
          <w:szCs w:val="22"/>
        </w:rPr>
        <w:t xml:space="preserve"> Desarrollo del conocimiento, políticas, leyes y mecanismos participativos.</w:t>
      </w:r>
    </w:p>
    <w:p w:rsidR="00353364" w:rsidRPr="000136BC" w:rsidRDefault="00353364" w:rsidP="00353364">
      <w:pPr>
        <w:numPr>
          <w:ilvl w:val="0"/>
          <w:numId w:val="9"/>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353364" w:rsidRPr="000136BC" w:rsidRDefault="00353364" w:rsidP="00353364">
      <w:pPr>
        <w:numPr>
          <w:ilvl w:val="0"/>
          <w:numId w:val="9"/>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Acciones Pasivas: Relacionadas con legislación y planificación (normas de construcción, uso del suelo y ordenamiento territorial, etc.)</w:t>
      </w:r>
    </w:p>
    <w:p w:rsidR="00353364" w:rsidRPr="000136BC" w:rsidRDefault="00353364" w:rsidP="00353364">
      <w:pPr>
        <w:spacing w:after="120" w:line="276" w:lineRule="auto"/>
        <w:jc w:val="both"/>
        <w:rPr>
          <w:rFonts w:ascii="Palatino Linotype" w:hAnsi="Palatino Linotype"/>
          <w:b/>
          <w:i/>
          <w:sz w:val="22"/>
          <w:szCs w:val="22"/>
        </w:rPr>
      </w:pPr>
      <w:r w:rsidRPr="000136BC">
        <w:rPr>
          <w:rFonts w:ascii="Palatino Linotype" w:hAnsi="Palatino Linotype"/>
          <w:b/>
          <w:i/>
          <w:sz w:val="22"/>
          <w:szCs w:val="22"/>
        </w:rPr>
        <w:t>7 RECOMENDACIONES</w:t>
      </w:r>
    </w:p>
    <w:p w:rsidR="00353364" w:rsidRPr="000136BC" w:rsidRDefault="00353364" w:rsidP="00353364">
      <w:pPr>
        <w:spacing w:after="120" w:line="276" w:lineRule="auto"/>
        <w:jc w:val="both"/>
        <w:rPr>
          <w:rFonts w:ascii="Palatino Linotype" w:hAnsi="Palatino Linotype"/>
          <w:i/>
          <w:sz w:val="22"/>
          <w:szCs w:val="22"/>
        </w:rPr>
      </w:pPr>
      <w:r w:rsidRPr="000136BC">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353364" w:rsidRPr="000136BC" w:rsidRDefault="00353364" w:rsidP="00353364">
      <w:pPr>
        <w:spacing w:after="120" w:line="276" w:lineRule="auto"/>
        <w:jc w:val="both"/>
        <w:rPr>
          <w:rFonts w:ascii="Palatino Linotype" w:hAnsi="Palatino Linotype"/>
          <w:b/>
          <w:bCs/>
          <w:i/>
          <w:sz w:val="22"/>
          <w:szCs w:val="22"/>
        </w:rPr>
      </w:pPr>
      <w:r w:rsidRPr="000136BC">
        <w:rPr>
          <w:rFonts w:ascii="Palatino Linotype" w:hAnsi="Palatino Linotype"/>
          <w:b/>
          <w:bCs/>
          <w:i/>
          <w:sz w:val="22"/>
          <w:szCs w:val="22"/>
        </w:rPr>
        <w:t>Para el riesgo por movimientos en masa:</w:t>
      </w:r>
    </w:p>
    <w:p w:rsidR="00353364" w:rsidRPr="000136BC" w:rsidRDefault="00353364" w:rsidP="00353364">
      <w:pPr>
        <w:numPr>
          <w:ilvl w:val="0"/>
          <w:numId w:val="8"/>
        </w:numPr>
        <w:spacing w:after="120" w:line="276" w:lineRule="auto"/>
        <w:jc w:val="both"/>
        <w:rPr>
          <w:rFonts w:ascii="Palatino Linotype" w:hAnsi="Palatino Linotype"/>
          <w:i/>
          <w:sz w:val="22"/>
          <w:szCs w:val="22"/>
        </w:rPr>
      </w:pPr>
      <w:r w:rsidRPr="000136BC">
        <w:rPr>
          <w:rFonts w:ascii="Palatino Linotype" w:hAnsi="Palatino Linotype"/>
          <w:bCs/>
          <w:i/>
          <w:sz w:val="22"/>
          <w:szCs w:val="22"/>
        </w:rPr>
        <w:t xml:space="preserve">Se recomienda que mediante mingas comunitarias se implemente sistemas de conducción de escorrentía (agua lluvia) en las calles de tierra afirmada para prevenir la erosión del suelo y arrastre de material que pueda afectar a viviendas y asentamientos humanos ubicados en cotas inferiores. </w:t>
      </w:r>
    </w:p>
    <w:p w:rsidR="00353364" w:rsidRPr="000136BC" w:rsidRDefault="00353364" w:rsidP="00353364">
      <w:pPr>
        <w:spacing w:after="120" w:line="276" w:lineRule="auto"/>
        <w:jc w:val="both"/>
        <w:rPr>
          <w:rFonts w:ascii="Palatino Linotype" w:hAnsi="Palatino Linotype"/>
          <w:b/>
          <w:bCs/>
          <w:i/>
          <w:sz w:val="22"/>
          <w:szCs w:val="22"/>
        </w:rPr>
      </w:pPr>
      <w:r w:rsidRPr="000136BC">
        <w:rPr>
          <w:rFonts w:ascii="Palatino Linotype" w:hAnsi="Palatino Linotype"/>
          <w:b/>
          <w:bCs/>
          <w:i/>
          <w:sz w:val="22"/>
          <w:szCs w:val="22"/>
        </w:rPr>
        <w:t>Para el riesgo sísmico:</w:t>
      </w:r>
    </w:p>
    <w:p w:rsidR="00353364" w:rsidRPr="000136BC" w:rsidRDefault="00353364" w:rsidP="00353364">
      <w:pPr>
        <w:numPr>
          <w:ilvl w:val="0"/>
          <w:numId w:val="8"/>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 xml:space="preserve">Se recomienda que los propietarios y/o posesionarios actuales no construyan más viviendas en el </w:t>
      </w:r>
      <w:proofErr w:type="spellStart"/>
      <w:r w:rsidRPr="000136BC">
        <w:rPr>
          <w:rFonts w:ascii="Palatino Linotype" w:hAnsi="Palatino Linotype"/>
          <w:bCs/>
          <w:i/>
          <w:sz w:val="22"/>
          <w:szCs w:val="22"/>
        </w:rPr>
        <w:t>macrolote</w:t>
      </w:r>
      <w:proofErr w:type="spellEnd"/>
      <w:r w:rsidRPr="000136BC">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0136BC">
        <w:rPr>
          <w:rFonts w:ascii="Palatino Linotype" w:hAnsi="Palatino Linotype"/>
          <w:i/>
          <w:sz w:val="22"/>
          <w:szCs w:val="22"/>
        </w:rPr>
        <w:t>“</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w:t>
      </w:r>
      <w:r w:rsidRPr="000136BC">
        <w:rPr>
          <w:rFonts w:ascii="Palatino Linotype" w:hAnsi="Palatino Linotype"/>
          <w:bCs/>
          <w:i/>
          <w:sz w:val="22"/>
          <w:szCs w:val="22"/>
        </w:rPr>
        <w:t>se deberá contratar un estudio geotécnico del suelo para conocer parámetros mecánicos que permitan diseñar y construir las futuras viviendas según la Norma Ecuatoriana de Construcción vigente.</w:t>
      </w:r>
    </w:p>
    <w:p w:rsidR="00353364" w:rsidRPr="000136BC" w:rsidRDefault="00353364" w:rsidP="00353364">
      <w:pPr>
        <w:numPr>
          <w:ilvl w:val="0"/>
          <w:numId w:val="8"/>
        </w:numPr>
        <w:spacing w:after="120" w:line="276" w:lineRule="auto"/>
        <w:jc w:val="both"/>
        <w:rPr>
          <w:rFonts w:ascii="Palatino Linotype" w:hAnsi="Palatino Linotype"/>
          <w:i/>
          <w:sz w:val="22"/>
          <w:szCs w:val="22"/>
        </w:rPr>
      </w:pPr>
      <w:r w:rsidRPr="000136BC">
        <w:rPr>
          <w:rFonts w:ascii="Palatino Linotype" w:hAnsi="Palatino Linotype"/>
          <w:bCs/>
          <w:i/>
          <w:sz w:val="22"/>
          <w:szCs w:val="22"/>
        </w:rPr>
        <w:t xml:space="preserve">Posterior a la regularización del AHHYC </w:t>
      </w:r>
      <w:r w:rsidRPr="000136BC">
        <w:rPr>
          <w:rFonts w:ascii="Palatino Linotype" w:hAnsi="Palatino Linotype"/>
          <w:i/>
          <w:sz w:val="22"/>
          <w:szCs w:val="22"/>
        </w:rPr>
        <w:t>“</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 de la Parroquia El Condado, </w:t>
      </w:r>
      <w:r w:rsidRPr="000136BC">
        <w:rPr>
          <w:rFonts w:ascii="Palatino Linotype" w:hAnsi="Palatino Linotype"/>
          <w:bCs/>
          <w:i/>
          <w:sz w:val="22"/>
          <w:szCs w:val="22"/>
        </w:rPr>
        <w:t xml:space="preserve">las </w:t>
      </w:r>
      <w:r w:rsidRPr="000136BC">
        <w:rPr>
          <w:rFonts w:ascii="Palatino Linotype" w:hAnsi="Palatino Linotype"/>
          <w:i/>
          <w:sz w:val="22"/>
          <w:szCs w:val="22"/>
        </w:rPr>
        <w:t xml:space="preserve">edificaciones en proceso de construcción, aumento en planta o elevación y demás edificaciones dentro del área en análisis, que no </w:t>
      </w:r>
      <w:r w:rsidRPr="000136BC">
        <w:rPr>
          <w:rFonts w:ascii="Palatino Linotype" w:hAnsi="Palatino Linotype"/>
          <w:bCs/>
          <w:i/>
          <w:sz w:val="22"/>
          <w:szCs w:val="22"/>
        </w:rPr>
        <w:t>dispongan</w:t>
      </w:r>
      <w:r w:rsidRPr="000136BC">
        <w:rPr>
          <w:rFonts w:ascii="Palatino Linotype" w:hAnsi="Palatino Linotype"/>
          <w:i/>
          <w:sz w:val="22"/>
          <w:szCs w:val="22"/>
        </w:rPr>
        <w:t xml:space="preserve"> de un diseño estructural o algún tipo de asesoría técnica, los propietarios deberán </w:t>
      </w:r>
      <w:r w:rsidRPr="000136BC">
        <w:rPr>
          <w:rFonts w:ascii="Palatino Linotype" w:hAnsi="Palatino Linotype"/>
          <w:bCs/>
          <w:i/>
          <w:sz w:val="22"/>
          <w:szCs w:val="22"/>
        </w:rPr>
        <w:t xml:space="preserve">contratar a un especialista </w:t>
      </w:r>
      <w:r w:rsidRPr="000136BC">
        <w:rPr>
          <w:rFonts w:ascii="Palatino Linotype" w:hAnsi="Palatino Linotype"/>
          <w:bCs/>
          <w:i/>
          <w:sz w:val="22"/>
          <w:szCs w:val="22"/>
        </w:rPr>
        <w:lastRenderedPageBreak/>
        <w:t>(</w:t>
      </w:r>
      <w:r w:rsidRPr="000136BC">
        <w:rPr>
          <w:rFonts w:ascii="Palatino Linotype" w:hAnsi="Palatino Linotype"/>
          <w:i/>
          <w:sz w:val="22"/>
          <w:szCs w:val="22"/>
        </w:rPr>
        <w:t xml:space="preserve">Ingeniero/a Civil), para que realice evaluaciones estructurales de las viviendas y </w:t>
      </w:r>
      <w:r w:rsidRPr="000136BC">
        <w:rPr>
          <w:rFonts w:ascii="Palatino Linotype" w:hAnsi="Palatino Linotype"/>
          <w:bCs/>
          <w:i/>
          <w:sz w:val="22"/>
          <w:szCs w:val="22"/>
        </w:rPr>
        <w:t>proponga alternativas de reparación y/o reforzamiento estructural en caso de ameritarlo.</w:t>
      </w:r>
    </w:p>
    <w:p w:rsidR="00353364" w:rsidRPr="000136BC" w:rsidRDefault="00353364" w:rsidP="00353364">
      <w:pPr>
        <w:numPr>
          <w:ilvl w:val="0"/>
          <w:numId w:val="8"/>
        </w:numPr>
        <w:spacing w:after="120" w:line="276" w:lineRule="auto"/>
        <w:jc w:val="both"/>
        <w:rPr>
          <w:rFonts w:ascii="Palatino Linotype" w:hAnsi="Palatino Linotype"/>
          <w:i/>
          <w:sz w:val="22"/>
          <w:szCs w:val="22"/>
        </w:rPr>
      </w:pPr>
      <w:r w:rsidRPr="000136BC">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353364" w:rsidRPr="000136BC" w:rsidRDefault="00353364" w:rsidP="00353364">
      <w:pPr>
        <w:spacing w:after="120" w:line="276" w:lineRule="auto"/>
        <w:jc w:val="both"/>
        <w:rPr>
          <w:rFonts w:ascii="Palatino Linotype" w:hAnsi="Palatino Linotype"/>
          <w:b/>
          <w:bCs/>
          <w:i/>
          <w:sz w:val="22"/>
          <w:szCs w:val="22"/>
        </w:rPr>
      </w:pPr>
      <w:r w:rsidRPr="000136BC">
        <w:rPr>
          <w:rFonts w:ascii="Palatino Linotype" w:hAnsi="Palatino Linotype"/>
          <w:b/>
          <w:bCs/>
          <w:i/>
          <w:sz w:val="22"/>
          <w:szCs w:val="22"/>
        </w:rPr>
        <w:t xml:space="preserve">Para el riesgo </w:t>
      </w:r>
      <w:r>
        <w:rPr>
          <w:rFonts w:ascii="Palatino Linotype" w:hAnsi="Palatino Linotype"/>
          <w:b/>
          <w:bCs/>
          <w:i/>
        </w:rPr>
        <w:t>v</w:t>
      </w:r>
      <w:r w:rsidRPr="000136BC">
        <w:rPr>
          <w:rFonts w:ascii="Palatino Linotype" w:hAnsi="Palatino Linotype"/>
          <w:b/>
          <w:bCs/>
          <w:i/>
          <w:sz w:val="22"/>
          <w:szCs w:val="22"/>
        </w:rPr>
        <w:t>olcánico (caída de ceniza):</w:t>
      </w:r>
    </w:p>
    <w:p w:rsidR="00353364" w:rsidRPr="000136BC" w:rsidRDefault="00353364" w:rsidP="00353364">
      <w:pPr>
        <w:numPr>
          <w:ilvl w:val="0"/>
          <w:numId w:val="8"/>
        </w:numPr>
        <w:spacing w:after="120" w:line="276" w:lineRule="auto"/>
        <w:jc w:val="both"/>
        <w:rPr>
          <w:rFonts w:ascii="Palatino Linotype" w:hAnsi="Palatino Linotype"/>
          <w:b/>
          <w:bCs/>
          <w:i/>
          <w:sz w:val="22"/>
          <w:szCs w:val="22"/>
        </w:rPr>
      </w:pPr>
      <w:r w:rsidRPr="000136BC">
        <w:rPr>
          <w:rFonts w:ascii="Palatino Linotype" w:hAnsi="Palatino Linotype"/>
          <w:bCs/>
          <w:i/>
          <w:sz w:val="22"/>
          <w:szCs w:val="22"/>
        </w:rPr>
        <w:t xml:space="preserve">Las afectaciones que podría ocasionar la caída de </w:t>
      </w:r>
      <w:proofErr w:type="spellStart"/>
      <w:r w:rsidRPr="000136BC">
        <w:rPr>
          <w:rFonts w:ascii="Palatino Linotype" w:hAnsi="Palatino Linotype"/>
          <w:bCs/>
          <w:i/>
          <w:sz w:val="22"/>
          <w:szCs w:val="22"/>
        </w:rPr>
        <w:t>piroclastos</w:t>
      </w:r>
      <w:proofErr w:type="spellEnd"/>
      <w:r w:rsidRPr="000136BC">
        <w:rPr>
          <w:rFonts w:ascii="Palatino Linotype" w:hAnsi="Palatino Linotype"/>
          <w:bCs/>
          <w:i/>
          <w:sz w:val="22"/>
          <w:szCs w:val="22"/>
        </w:rPr>
        <w:t xml:space="preserve"> (ceniza y lapilli) se </w:t>
      </w:r>
      <w:r w:rsidRPr="000136BC">
        <w:rPr>
          <w:rFonts w:ascii="Palatino Linotype" w:hAnsi="Palatino Linotype"/>
          <w:i/>
          <w:sz w:val="22"/>
          <w:szCs w:val="22"/>
        </w:rPr>
        <w:t>mitiga</w:t>
      </w:r>
      <w:r w:rsidRPr="000136BC">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353364" w:rsidRPr="000136BC" w:rsidRDefault="00353364" w:rsidP="00353364">
      <w:pPr>
        <w:spacing w:after="120" w:line="276" w:lineRule="auto"/>
        <w:jc w:val="both"/>
        <w:rPr>
          <w:rFonts w:ascii="Palatino Linotype" w:hAnsi="Palatino Linotype"/>
          <w:b/>
          <w:bCs/>
          <w:i/>
          <w:sz w:val="22"/>
          <w:szCs w:val="22"/>
        </w:rPr>
      </w:pPr>
      <w:r w:rsidRPr="000136BC">
        <w:rPr>
          <w:rFonts w:ascii="Palatino Linotype" w:hAnsi="Palatino Linotype"/>
          <w:b/>
          <w:bCs/>
          <w:i/>
          <w:sz w:val="22"/>
          <w:szCs w:val="22"/>
        </w:rPr>
        <w:t>Cumplimiento de la normativa vigente:</w:t>
      </w:r>
    </w:p>
    <w:p w:rsidR="00353364" w:rsidRPr="000136BC" w:rsidRDefault="00353364" w:rsidP="00353364">
      <w:pPr>
        <w:numPr>
          <w:ilvl w:val="0"/>
          <w:numId w:val="8"/>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 xml:space="preserve">De acuerdo a la Constitución de la República del Ecuador donde establecen las </w:t>
      </w:r>
      <w:r w:rsidRPr="000136BC">
        <w:rPr>
          <w:rFonts w:ascii="Palatino Linotype" w:hAnsi="Palatino Linotype"/>
          <w:i/>
          <w:sz w:val="22"/>
          <w:szCs w:val="22"/>
        </w:rPr>
        <w:t xml:space="preserve">competencias exclusivas a </w:t>
      </w:r>
      <w:r w:rsidRPr="000136BC">
        <w:rPr>
          <w:rFonts w:ascii="Palatino Linotype" w:hAnsi="Palatino Linotype"/>
          <w:bCs/>
          <w:i/>
          <w:sz w:val="22"/>
          <w:szCs w:val="22"/>
        </w:rPr>
        <w:t>los</w:t>
      </w:r>
      <w:r w:rsidRPr="000136BC">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136BC">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353364" w:rsidRPr="000136BC" w:rsidRDefault="00353364" w:rsidP="00353364">
      <w:pPr>
        <w:numPr>
          <w:ilvl w:val="0"/>
          <w:numId w:val="8"/>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En el proyecto de regularización se debe respetar la normativa vigente de las Ordenanzas Metropolitanas de: aprobación de los Planes Metropolitanos de Desarrollo y Ord</w:t>
      </w:r>
      <w:r>
        <w:rPr>
          <w:rFonts w:ascii="Palatino Linotype" w:hAnsi="Palatino Linotype"/>
          <w:bCs/>
          <w:i/>
        </w:rPr>
        <w:t xml:space="preserve">enamiento Territorial, (PMOT), </w:t>
      </w:r>
      <w:r w:rsidRPr="000136BC">
        <w:rPr>
          <w:rFonts w:ascii="Palatino Linotype" w:hAnsi="Palatino Linotype"/>
          <w:bCs/>
          <w:i/>
          <w:sz w:val="22"/>
          <w:szCs w:val="22"/>
        </w:rPr>
        <w:t xml:space="preserve">Uso y Ocupación del Suelo, (PUOS) y Régimen Administrativo del Suelo en el D.M.Q. </w:t>
      </w:r>
    </w:p>
    <w:p w:rsidR="00353364" w:rsidRPr="000136BC" w:rsidRDefault="00353364" w:rsidP="00353364">
      <w:pPr>
        <w:numPr>
          <w:ilvl w:val="0"/>
          <w:numId w:val="8"/>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353364" w:rsidRPr="000136BC" w:rsidRDefault="00353364" w:rsidP="00353364">
      <w:pPr>
        <w:numPr>
          <w:ilvl w:val="0"/>
          <w:numId w:val="8"/>
        </w:numPr>
        <w:spacing w:after="120" w:line="276" w:lineRule="auto"/>
        <w:jc w:val="both"/>
        <w:rPr>
          <w:rFonts w:ascii="Palatino Linotype" w:hAnsi="Palatino Linotype"/>
          <w:bCs/>
          <w:i/>
          <w:sz w:val="22"/>
          <w:szCs w:val="22"/>
        </w:rPr>
      </w:pPr>
      <w:r w:rsidRPr="000136BC">
        <w:rPr>
          <w:rFonts w:ascii="Palatino Linotype" w:hAnsi="Palatino Linotype"/>
          <w:bCs/>
          <w:i/>
          <w:sz w:val="22"/>
          <w:szCs w:val="22"/>
        </w:rPr>
        <w:t>La Unidad Especial Regula Tu Barrio deberá comunicar a la comunidad del AHHYC “</w:t>
      </w:r>
      <w:proofErr w:type="spellStart"/>
      <w:r w:rsidRPr="000136BC">
        <w:rPr>
          <w:rFonts w:ascii="Palatino Linotype" w:hAnsi="Palatino Linotype"/>
          <w:i/>
          <w:sz w:val="22"/>
          <w:szCs w:val="22"/>
        </w:rPr>
        <w:t>Catzuquí</w:t>
      </w:r>
      <w:proofErr w:type="spellEnd"/>
      <w:r w:rsidRPr="000136BC">
        <w:rPr>
          <w:rFonts w:ascii="Palatino Linotype" w:hAnsi="Palatino Linotype"/>
          <w:i/>
          <w:sz w:val="22"/>
          <w:szCs w:val="22"/>
        </w:rPr>
        <w:t xml:space="preserve"> de Moncayo II</w:t>
      </w:r>
      <w:r w:rsidRPr="000136BC">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353364" w:rsidRPr="000136BC" w:rsidRDefault="00353364" w:rsidP="00353364">
      <w:pPr>
        <w:spacing w:after="120" w:line="276" w:lineRule="auto"/>
        <w:jc w:val="both"/>
        <w:rPr>
          <w:rFonts w:ascii="Palatino Linotype" w:hAnsi="Palatino Linotype"/>
          <w:bCs/>
        </w:rPr>
      </w:pPr>
      <w:r w:rsidRPr="000136BC">
        <w:rPr>
          <w:rFonts w:ascii="Palatino Linotype" w:hAnsi="Palatino Linotype"/>
          <w:bCs/>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w:t>
      </w:r>
      <w:r w:rsidRPr="000136BC">
        <w:rPr>
          <w:rFonts w:ascii="Palatino Linotype" w:hAnsi="Palatino Linotype"/>
          <w:bCs/>
        </w:rPr>
        <w:lastRenderedPageBreak/>
        <w:t xml:space="preserve">Evaluación de Riesgos de la Secretaría General de Seguridad y Gobernabilidad, </w:t>
      </w:r>
      <w:r w:rsidRPr="000136BC">
        <w:rPr>
          <w:rFonts w:ascii="Palatino Linotype" w:hAnsi="Palatino Linotype"/>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0136BC">
        <w:rPr>
          <w:rFonts w:ascii="Palatino Linotype" w:hAnsi="Palatino Linotype"/>
          <w:bCs/>
        </w:rPr>
        <w:t>.</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b/>
          <w:color w:val="000000" w:themeColor="text1"/>
          <w:sz w:val="22"/>
          <w:szCs w:val="22"/>
        </w:rPr>
        <w:t>Articulo 7.-</w:t>
      </w:r>
      <w:r>
        <w:rPr>
          <w:rFonts w:ascii="Palatino Linotype" w:hAnsi="Palatino Linotype"/>
          <w:b/>
          <w:color w:val="000000" w:themeColor="text1"/>
        </w:rPr>
        <w:t xml:space="preserve"> </w:t>
      </w:r>
      <w:r w:rsidRPr="000136BC">
        <w:rPr>
          <w:rFonts w:ascii="Palatino Linotype" w:hAnsi="Palatino Linotype"/>
          <w:b/>
          <w:bCs/>
          <w:color w:val="000000" w:themeColor="text1"/>
          <w:sz w:val="22"/>
          <w:szCs w:val="22"/>
        </w:rPr>
        <w:t xml:space="preserve">De las </w:t>
      </w:r>
      <w:r>
        <w:rPr>
          <w:rFonts w:ascii="Palatino Linotype" w:hAnsi="Palatino Linotype"/>
          <w:b/>
          <w:bCs/>
          <w:color w:val="000000" w:themeColor="text1"/>
        </w:rPr>
        <w:t>vías</w:t>
      </w:r>
      <w:r w:rsidRPr="000136BC">
        <w:rPr>
          <w:rFonts w:ascii="Palatino Linotype" w:hAnsi="Palatino Linotype"/>
          <w:b/>
          <w:bCs/>
          <w:color w:val="000000" w:themeColor="text1"/>
          <w:sz w:val="22"/>
          <w:szCs w:val="22"/>
        </w:rPr>
        <w:t xml:space="preserve">.- </w:t>
      </w:r>
      <w:r w:rsidRPr="000136BC">
        <w:rPr>
          <w:rFonts w:ascii="Palatino Linotype" w:hAnsi="Palatino Linotype"/>
          <w:color w:val="000000" w:themeColor="text1"/>
          <w:sz w:val="22"/>
          <w:szCs w:val="22"/>
        </w:rPr>
        <w:t xml:space="preserve">El Asentamiento </w:t>
      </w:r>
      <w:r w:rsidRPr="000136BC">
        <w:rPr>
          <w:rFonts w:ascii="Palatino Linotype" w:hAnsi="Palatino Linotype"/>
          <w:bCs/>
          <w:iCs/>
          <w:color w:val="000000" w:themeColor="text1"/>
          <w:sz w:val="22"/>
          <w:szCs w:val="22"/>
        </w:rPr>
        <w:t xml:space="preserve">Humano de Hecho y Consolidado de Interés Social denominado </w:t>
      </w:r>
      <w:r w:rsidRPr="000136BC">
        <w:rPr>
          <w:rFonts w:ascii="Palatino Linotype" w:hAnsi="Palatino Linotype"/>
          <w:color w:val="000000" w:themeColor="text1"/>
          <w:sz w:val="22"/>
          <w:szCs w:val="22"/>
        </w:rPr>
        <w:t>Comité Pro Mejoras del Barrio ¨</w:t>
      </w:r>
      <w:proofErr w:type="spellStart"/>
      <w:r w:rsidRPr="000136BC">
        <w:rPr>
          <w:rFonts w:ascii="Palatino Linotype" w:hAnsi="Palatino Linotype"/>
          <w:color w:val="000000" w:themeColor="text1"/>
          <w:sz w:val="22"/>
          <w:szCs w:val="22"/>
        </w:rPr>
        <w:t>Catzuqui</w:t>
      </w:r>
      <w:proofErr w:type="spellEnd"/>
      <w:r w:rsidRPr="000136BC">
        <w:rPr>
          <w:rFonts w:ascii="Palatino Linotype" w:hAnsi="Palatino Linotype"/>
          <w:color w:val="000000" w:themeColor="text1"/>
          <w:sz w:val="22"/>
          <w:szCs w:val="22"/>
        </w:rPr>
        <w:t xml:space="preserve"> de Moncayo¨ Etapa II contempla un sistema vial de uso público, debido a que éste es un asentamiento humano de hecho y consolidado de interés social de </w:t>
      </w:r>
      <w:r>
        <w:rPr>
          <w:rFonts w:ascii="Palatino Linotype" w:hAnsi="Palatino Linotype"/>
          <w:color w:val="000000" w:themeColor="text1"/>
        </w:rPr>
        <w:t xml:space="preserve">25 </w:t>
      </w:r>
      <w:r w:rsidRPr="000136BC">
        <w:rPr>
          <w:rFonts w:ascii="Palatino Linotype" w:hAnsi="Palatino Linotype"/>
          <w:color w:val="000000" w:themeColor="text1"/>
          <w:sz w:val="22"/>
          <w:szCs w:val="22"/>
        </w:rPr>
        <w:t xml:space="preserve">años de existencia, con 46,15% de consolidación de viviendas y se encuentra ejecutando obras de infraestructura, razón por la cual los anchos viales se sujetarán al plano adjunto a la presente ordenanza. </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color w:val="000000" w:themeColor="text1"/>
          <w:sz w:val="22"/>
          <w:szCs w:val="22"/>
        </w:rPr>
        <w:t>Se aprueban la siguiente calle:</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color w:val="000000" w:themeColor="text1"/>
          <w:sz w:val="22"/>
          <w:szCs w:val="22"/>
        </w:rPr>
        <w:t>C</w:t>
      </w:r>
      <w:r>
        <w:rPr>
          <w:rFonts w:ascii="Palatino Linotype" w:hAnsi="Palatino Linotype"/>
          <w:color w:val="000000" w:themeColor="text1"/>
        </w:rPr>
        <w:t>alle N81C</w:t>
      </w:r>
      <w:r>
        <w:rPr>
          <w:rFonts w:ascii="Palatino Linotype" w:hAnsi="Palatino Linotype"/>
          <w:color w:val="000000" w:themeColor="text1"/>
        </w:rPr>
        <w:tab/>
      </w:r>
      <w:r w:rsidRPr="000136BC">
        <w:rPr>
          <w:rFonts w:ascii="Palatino Linotype" w:hAnsi="Palatino Linotype"/>
          <w:color w:val="000000" w:themeColor="text1"/>
          <w:sz w:val="22"/>
          <w:szCs w:val="22"/>
        </w:rPr>
        <w:t>6,00</w:t>
      </w:r>
      <w:r>
        <w:rPr>
          <w:rFonts w:ascii="Palatino Linotype" w:hAnsi="Palatino Linotype"/>
          <w:color w:val="000000" w:themeColor="text1"/>
        </w:rPr>
        <w:t xml:space="preserve"> </w:t>
      </w:r>
      <w:r w:rsidRPr="000136BC">
        <w:rPr>
          <w:rFonts w:ascii="Palatino Linotype" w:hAnsi="Palatino Linotype"/>
          <w:color w:val="000000" w:themeColor="text1"/>
          <w:sz w:val="22"/>
          <w:szCs w:val="22"/>
        </w:rPr>
        <w:t>m</w:t>
      </w:r>
      <w:r>
        <w:rPr>
          <w:rFonts w:ascii="Palatino Linotype" w:hAnsi="Palatino Linotype"/>
          <w:color w:val="000000" w:themeColor="text1"/>
        </w:rPr>
        <w:t>.</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b/>
          <w:bCs/>
          <w:color w:val="000000" w:themeColor="text1"/>
          <w:sz w:val="22"/>
          <w:szCs w:val="22"/>
        </w:rPr>
        <w:t xml:space="preserve">Artículo 8.- De las obras a </w:t>
      </w:r>
      <w:proofErr w:type="gramStart"/>
      <w:r w:rsidRPr="000136BC">
        <w:rPr>
          <w:rFonts w:ascii="Palatino Linotype" w:hAnsi="Palatino Linotype"/>
          <w:b/>
          <w:bCs/>
          <w:color w:val="000000" w:themeColor="text1"/>
          <w:sz w:val="22"/>
          <w:szCs w:val="22"/>
        </w:rPr>
        <w:t>ejecutarse.-</w:t>
      </w:r>
      <w:proofErr w:type="gramEnd"/>
      <w:r w:rsidRPr="000136BC">
        <w:rPr>
          <w:rFonts w:ascii="Palatino Linotype" w:hAnsi="Palatino Linotype"/>
          <w:b/>
          <w:bCs/>
          <w:color w:val="000000" w:themeColor="text1"/>
          <w:sz w:val="22"/>
          <w:szCs w:val="22"/>
        </w:rPr>
        <w:t xml:space="preserve"> </w:t>
      </w:r>
      <w:r w:rsidRPr="000136BC">
        <w:rPr>
          <w:rFonts w:ascii="Palatino Linotype" w:hAnsi="Palatino Linotype"/>
          <w:color w:val="000000" w:themeColor="text1"/>
          <w:sz w:val="22"/>
          <w:szCs w:val="22"/>
        </w:rPr>
        <w:t xml:space="preserve">Las obras a ejecutarse en el asentamiento humano de hecho y consolidado de interés social, son las siguientes: </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color w:val="000000" w:themeColor="text1"/>
          <w:sz w:val="22"/>
          <w:szCs w:val="22"/>
        </w:rPr>
        <w:t xml:space="preserve">Bordillos </w:t>
      </w:r>
      <w:r w:rsidRPr="000136BC">
        <w:rPr>
          <w:rFonts w:ascii="Palatino Linotype" w:hAnsi="Palatino Linotype"/>
          <w:color w:val="000000" w:themeColor="text1"/>
          <w:sz w:val="22"/>
          <w:szCs w:val="22"/>
        </w:rPr>
        <w:tab/>
      </w:r>
      <w:r w:rsidRPr="000136BC">
        <w:rPr>
          <w:rFonts w:ascii="Palatino Linotype" w:hAnsi="Palatino Linotype"/>
          <w:color w:val="000000" w:themeColor="text1"/>
          <w:sz w:val="22"/>
          <w:szCs w:val="22"/>
        </w:rPr>
        <w:tab/>
        <w:t>100%</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r w:rsidRPr="000136BC">
        <w:rPr>
          <w:rFonts w:ascii="Palatino Linotype" w:hAnsi="Palatino Linotype"/>
          <w:color w:val="000000" w:themeColor="text1"/>
          <w:sz w:val="22"/>
          <w:szCs w:val="22"/>
        </w:rPr>
        <w:t xml:space="preserve">Calzadas                     </w:t>
      </w:r>
      <w:r w:rsidRPr="000136BC">
        <w:rPr>
          <w:rFonts w:ascii="Palatino Linotype" w:hAnsi="Palatino Linotype"/>
          <w:color w:val="000000" w:themeColor="text1"/>
          <w:sz w:val="22"/>
          <w:szCs w:val="22"/>
        </w:rPr>
        <w:tab/>
        <w:t>100%</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color w:val="000000" w:themeColor="text1"/>
          <w:sz w:val="22"/>
          <w:szCs w:val="22"/>
        </w:rPr>
        <w:t xml:space="preserve">Agua </w:t>
      </w:r>
      <w:r>
        <w:rPr>
          <w:rFonts w:ascii="Palatino Linotype" w:hAnsi="Palatino Linotype"/>
          <w:color w:val="000000" w:themeColor="text1"/>
        </w:rPr>
        <w:t>p</w:t>
      </w:r>
      <w:r w:rsidRPr="000136BC">
        <w:rPr>
          <w:rFonts w:ascii="Palatino Linotype" w:hAnsi="Palatino Linotype"/>
          <w:color w:val="000000" w:themeColor="text1"/>
          <w:sz w:val="22"/>
          <w:szCs w:val="22"/>
        </w:rPr>
        <w:t xml:space="preserve">otable </w:t>
      </w:r>
      <w:r w:rsidRPr="000136BC">
        <w:rPr>
          <w:rFonts w:ascii="Palatino Linotype" w:hAnsi="Palatino Linotype"/>
          <w:color w:val="000000" w:themeColor="text1"/>
          <w:sz w:val="22"/>
          <w:szCs w:val="22"/>
        </w:rPr>
        <w:tab/>
      </w:r>
      <w:r w:rsidRPr="000136BC">
        <w:rPr>
          <w:rFonts w:ascii="Palatino Linotype" w:hAnsi="Palatino Linotype"/>
          <w:color w:val="000000" w:themeColor="text1"/>
          <w:sz w:val="22"/>
          <w:szCs w:val="22"/>
        </w:rPr>
        <w:tab/>
        <w:t>100%</w:t>
      </w:r>
      <w:r>
        <w:rPr>
          <w:rFonts w:ascii="Palatino Linotype" w:hAnsi="Palatino Linotype"/>
          <w:color w:val="000000" w:themeColor="text1"/>
        </w:rPr>
        <w:tab/>
      </w:r>
      <w:r>
        <w:rPr>
          <w:rFonts w:ascii="Palatino Linotype" w:hAnsi="Palatino Linotype"/>
          <w:color w:val="000000" w:themeColor="text1"/>
        </w:rPr>
        <w:tab/>
      </w:r>
      <w:r>
        <w:rPr>
          <w:rFonts w:ascii="Palatino Linotype" w:hAnsi="Palatino Linotype"/>
          <w:color w:val="000000" w:themeColor="text1"/>
        </w:rPr>
        <w:tab/>
      </w:r>
      <w:r w:rsidRPr="000136BC">
        <w:rPr>
          <w:rFonts w:ascii="Palatino Linotype" w:hAnsi="Palatino Linotype"/>
          <w:color w:val="000000" w:themeColor="text1"/>
          <w:sz w:val="22"/>
          <w:szCs w:val="22"/>
        </w:rPr>
        <w:t>Alcantarillado</w:t>
      </w:r>
      <w:r w:rsidRPr="000136BC">
        <w:rPr>
          <w:rFonts w:ascii="Palatino Linotype" w:hAnsi="Palatino Linotype"/>
          <w:color w:val="000000" w:themeColor="text1"/>
          <w:sz w:val="22"/>
          <w:szCs w:val="22"/>
        </w:rPr>
        <w:tab/>
      </w:r>
      <w:r w:rsidRPr="000136BC">
        <w:rPr>
          <w:rFonts w:ascii="Palatino Linotype" w:hAnsi="Palatino Linotype"/>
          <w:color w:val="000000" w:themeColor="text1"/>
          <w:sz w:val="22"/>
          <w:szCs w:val="22"/>
        </w:rPr>
        <w:tab/>
        <w:t>100%</w:t>
      </w:r>
    </w:p>
    <w:p w:rsidR="00353364" w:rsidRPr="000136BC" w:rsidRDefault="00353364" w:rsidP="00353364">
      <w:pPr>
        <w:spacing w:after="120" w:line="276" w:lineRule="auto"/>
        <w:jc w:val="both"/>
        <w:rPr>
          <w:rFonts w:ascii="Palatino Linotype" w:hAnsi="Palatino Linotype"/>
          <w:color w:val="000000" w:themeColor="text1"/>
          <w:sz w:val="22"/>
          <w:szCs w:val="22"/>
        </w:rPr>
      </w:pPr>
      <w:r w:rsidRPr="000136BC">
        <w:rPr>
          <w:rFonts w:ascii="Palatino Linotype" w:hAnsi="Palatino Linotype"/>
          <w:color w:val="000000" w:themeColor="text1"/>
          <w:sz w:val="22"/>
          <w:szCs w:val="22"/>
        </w:rPr>
        <w:t xml:space="preserve">Energía </w:t>
      </w:r>
      <w:r>
        <w:rPr>
          <w:rFonts w:ascii="Palatino Linotype" w:hAnsi="Palatino Linotype"/>
          <w:color w:val="000000" w:themeColor="text1"/>
        </w:rPr>
        <w:t>e</w:t>
      </w:r>
      <w:r w:rsidRPr="000136BC">
        <w:rPr>
          <w:rFonts w:ascii="Palatino Linotype" w:hAnsi="Palatino Linotype"/>
          <w:color w:val="000000" w:themeColor="text1"/>
          <w:sz w:val="22"/>
          <w:szCs w:val="22"/>
        </w:rPr>
        <w:t>léctrica</w:t>
      </w:r>
      <w:r>
        <w:rPr>
          <w:rFonts w:ascii="Palatino Linotype" w:hAnsi="Palatino Linotype"/>
          <w:color w:val="000000" w:themeColor="text1"/>
        </w:rPr>
        <w:tab/>
      </w:r>
      <w:r w:rsidRPr="000136BC">
        <w:rPr>
          <w:rFonts w:ascii="Palatino Linotype" w:hAnsi="Palatino Linotype"/>
          <w:color w:val="000000" w:themeColor="text1"/>
          <w:sz w:val="22"/>
          <w:szCs w:val="22"/>
        </w:rPr>
        <w:t>100%</w:t>
      </w:r>
    </w:p>
    <w:p w:rsidR="00353364" w:rsidRPr="000136BC" w:rsidRDefault="00353364" w:rsidP="00353364">
      <w:pPr>
        <w:spacing w:after="120" w:line="276" w:lineRule="auto"/>
        <w:jc w:val="both"/>
        <w:rPr>
          <w:rFonts w:ascii="Palatino Linotype" w:hAnsi="Palatino Linotype"/>
          <w:iCs/>
          <w:sz w:val="22"/>
          <w:szCs w:val="22"/>
        </w:rPr>
      </w:pPr>
      <w:r w:rsidRPr="000136BC">
        <w:rPr>
          <w:rFonts w:ascii="Palatino Linotype" w:hAnsi="Palatino Linotype"/>
          <w:b/>
          <w:bCs/>
          <w:sz w:val="22"/>
          <w:szCs w:val="22"/>
        </w:rPr>
        <w:t xml:space="preserve">Artículo 9.- Del plazo de ejecución de las </w:t>
      </w:r>
      <w:proofErr w:type="gramStart"/>
      <w:r w:rsidRPr="000136BC">
        <w:rPr>
          <w:rFonts w:ascii="Palatino Linotype" w:hAnsi="Palatino Linotype"/>
          <w:b/>
          <w:bCs/>
          <w:sz w:val="22"/>
          <w:szCs w:val="22"/>
        </w:rPr>
        <w:t>obras.-</w:t>
      </w:r>
      <w:proofErr w:type="gramEnd"/>
      <w:r w:rsidRPr="000136BC">
        <w:rPr>
          <w:rFonts w:ascii="Palatino Linotype" w:hAnsi="Palatino Linotype"/>
          <w:sz w:val="22"/>
          <w:szCs w:val="22"/>
        </w:rPr>
        <w:t xml:space="preserve">El plazo de ejecución de la totalidad de las obras civiles y de infraestructura, será de </w:t>
      </w:r>
      <w:r w:rsidRPr="000136BC">
        <w:rPr>
          <w:rFonts w:ascii="Palatino Linotype" w:hAnsi="Palatino Linotype"/>
          <w:color w:val="000000" w:themeColor="text1"/>
          <w:sz w:val="22"/>
          <w:szCs w:val="22"/>
        </w:rPr>
        <w:t xml:space="preserve">cinco (5) años, </w:t>
      </w:r>
      <w:r w:rsidRPr="000136BC">
        <w:rPr>
          <w:rFonts w:ascii="Palatino Linotype" w:hAnsi="Palatino Linotype"/>
          <w:iCs/>
          <w:sz w:val="22"/>
          <w:szCs w:val="22"/>
        </w:rPr>
        <w:t xml:space="preserve">de conformidad al cronograma de obras presentado por </w:t>
      </w:r>
      <w:r w:rsidRPr="000136BC">
        <w:rPr>
          <w:rFonts w:ascii="Palatino Linotype" w:hAnsi="Palatino Linotype"/>
          <w:color w:val="0D0D0D"/>
          <w:sz w:val="22"/>
          <w:szCs w:val="22"/>
        </w:rPr>
        <w:t xml:space="preserve">los copropietarios del inmueble donde se ubica </w:t>
      </w:r>
      <w:r w:rsidRPr="000136BC">
        <w:rPr>
          <w:rFonts w:ascii="Palatino Linotype" w:hAnsi="Palatino Linotype"/>
          <w:sz w:val="22"/>
          <w:szCs w:val="22"/>
        </w:rPr>
        <w:t>el asentamiento humano de hecho y consolidado de interés social</w:t>
      </w:r>
      <w:r w:rsidRPr="000136BC">
        <w:rPr>
          <w:rFonts w:ascii="Palatino Linotype" w:hAnsi="Palatino Linotype"/>
          <w:b/>
          <w:sz w:val="22"/>
          <w:szCs w:val="22"/>
        </w:rPr>
        <w:t xml:space="preserve">, </w:t>
      </w:r>
      <w:r w:rsidRPr="000136BC">
        <w:rPr>
          <w:rFonts w:ascii="Palatino Linotype" w:hAnsi="Palatino Linotype"/>
          <w:iCs/>
          <w:sz w:val="22"/>
          <w:szCs w:val="22"/>
        </w:rPr>
        <w:t>plazo que se contará a partir de la fecha de inscripción de la presente Ordenanza en el Registro de la Propiedad del Distrito Metropolitano de Quito.</w:t>
      </w:r>
    </w:p>
    <w:p w:rsidR="00353364" w:rsidRPr="000136BC" w:rsidRDefault="00353364" w:rsidP="00353364">
      <w:pPr>
        <w:spacing w:after="120" w:line="276" w:lineRule="auto"/>
        <w:jc w:val="both"/>
        <w:rPr>
          <w:rFonts w:ascii="Palatino Linotype" w:hAnsi="Palatino Linotype"/>
          <w:iCs/>
          <w:sz w:val="22"/>
          <w:szCs w:val="22"/>
        </w:rPr>
      </w:pPr>
      <w:r w:rsidRPr="000136BC">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353364" w:rsidRPr="000136BC" w:rsidRDefault="00353364" w:rsidP="00353364">
      <w:pPr>
        <w:spacing w:after="120" w:line="276" w:lineRule="auto"/>
        <w:jc w:val="both"/>
        <w:rPr>
          <w:rFonts w:ascii="Palatino Linotype" w:hAnsi="Palatino Linotype"/>
          <w:color w:val="2A2A2A"/>
          <w:sz w:val="22"/>
          <w:szCs w:val="22"/>
        </w:rPr>
      </w:pPr>
      <w:r w:rsidRPr="000136BC">
        <w:rPr>
          <w:rFonts w:ascii="Palatino Linotype" w:hAnsi="Palatino Linotype"/>
          <w:b/>
          <w:bCs/>
          <w:sz w:val="22"/>
          <w:szCs w:val="22"/>
        </w:rPr>
        <w:t>Artículo 1</w:t>
      </w:r>
      <w:r>
        <w:rPr>
          <w:rFonts w:ascii="Palatino Linotype" w:hAnsi="Palatino Linotype"/>
          <w:b/>
          <w:bCs/>
        </w:rPr>
        <w:t>0</w:t>
      </w:r>
      <w:r w:rsidRPr="000136BC">
        <w:rPr>
          <w:rFonts w:ascii="Palatino Linotype" w:hAnsi="Palatino Linotype"/>
          <w:b/>
          <w:bCs/>
          <w:sz w:val="22"/>
          <w:szCs w:val="22"/>
          <w:lang w:val="es-ES_tradnl"/>
        </w:rPr>
        <w:t xml:space="preserve">.- Del control de ejecución de las </w:t>
      </w:r>
      <w:proofErr w:type="gramStart"/>
      <w:r w:rsidRPr="000136BC">
        <w:rPr>
          <w:rFonts w:ascii="Palatino Linotype" w:hAnsi="Palatino Linotype"/>
          <w:b/>
          <w:bCs/>
          <w:sz w:val="22"/>
          <w:szCs w:val="22"/>
          <w:lang w:val="es-ES_tradnl"/>
        </w:rPr>
        <w:t>obras.-</w:t>
      </w:r>
      <w:proofErr w:type="gramEnd"/>
      <w:r w:rsidRPr="000136BC">
        <w:rPr>
          <w:rFonts w:ascii="Palatino Linotype" w:hAnsi="Palatino Linotype"/>
          <w:b/>
          <w:bCs/>
          <w:sz w:val="22"/>
          <w:szCs w:val="22"/>
          <w:lang w:val="es-ES_tradnl"/>
        </w:rPr>
        <w:t xml:space="preserve"> </w:t>
      </w:r>
      <w:r w:rsidRPr="000136BC">
        <w:rPr>
          <w:rFonts w:ascii="Palatino Linotype" w:hAnsi="Palatino Linotype"/>
          <w:sz w:val="22"/>
          <w:szCs w:val="22"/>
        </w:rPr>
        <w:t>La Administración La Delicia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r w:rsidRPr="000136BC">
        <w:rPr>
          <w:rFonts w:ascii="Palatino Linotype" w:hAnsi="Palatino Linotype"/>
          <w:color w:val="2A2A2A"/>
          <w:sz w:val="22"/>
          <w:szCs w:val="22"/>
        </w:rPr>
        <w:t>.</w:t>
      </w:r>
    </w:p>
    <w:p w:rsidR="00353364" w:rsidRPr="000136BC" w:rsidRDefault="00353364" w:rsidP="00353364">
      <w:pPr>
        <w:shd w:val="clear" w:color="auto" w:fill="FFFFFF"/>
        <w:spacing w:after="120" w:line="276" w:lineRule="auto"/>
        <w:jc w:val="both"/>
        <w:rPr>
          <w:rFonts w:ascii="Palatino Linotype" w:hAnsi="Palatino Linotype"/>
          <w:sz w:val="22"/>
          <w:szCs w:val="22"/>
        </w:rPr>
      </w:pPr>
      <w:r w:rsidRPr="000136BC">
        <w:rPr>
          <w:rFonts w:ascii="Palatino Linotype" w:hAnsi="Palatino Linotype"/>
          <w:b/>
          <w:bCs/>
          <w:sz w:val="22"/>
          <w:szCs w:val="22"/>
        </w:rPr>
        <w:lastRenderedPageBreak/>
        <w:t>Artículo</w:t>
      </w:r>
      <w:r w:rsidRPr="000136BC">
        <w:rPr>
          <w:rFonts w:ascii="Palatino Linotype" w:hAnsi="Palatino Linotype"/>
          <w:b/>
          <w:bCs/>
          <w:sz w:val="22"/>
          <w:szCs w:val="22"/>
          <w:lang w:val="es-ES_tradnl"/>
        </w:rPr>
        <w:t xml:space="preserve"> </w:t>
      </w:r>
      <w:r>
        <w:rPr>
          <w:rFonts w:ascii="Palatino Linotype" w:hAnsi="Palatino Linotype"/>
          <w:b/>
          <w:bCs/>
          <w:lang w:val="es-ES_tradnl"/>
        </w:rPr>
        <w:t>11</w:t>
      </w:r>
      <w:r w:rsidRPr="000136BC">
        <w:rPr>
          <w:rFonts w:ascii="Palatino Linotype" w:hAnsi="Palatino Linotype"/>
          <w:b/>
          <w:bCs/>
          <w:sz w:val="22"/>
          <w:szCs w:val="22"/>
          <w:lang w:val="es-ES_tradnl"/>
        </w:rPr>
        <w:t xml:space="preserve">.- De la multa por retraso en ejecución de </w:t>
      </w:r>
      <w:proofErr w:type="gramStart"/>
      <w:r w:rsidRPr="000136BC">
        <w:rPr>
          <w:rFonts w:ascii="Palatino Linotype" w:hAnsi="Palatino Linotype"/>
          <w:b/>
          <w:bCs/>
          <w:sz w:val="22"/>
          <w:szCs w:val="22"/>
          <w:lang w:val="es-ES_tradnl"/>
        </w:rPr>
        <w:t>obras.-</w:t>
      </w:r>
      <w:proofErr w:type="gramEnd"/>
      <w:r w:rsidRPr="000136BC">
        <w:rPr>
          <w:rFonts w:ascii="Palatino Linotype" w:hAnsi="Palatino Linotype"/>
          <w:b/>
          <w:bCs/>
          <w:sz w:val="22"/>
          <w:szCs w:val="22"/>
          <w:lang w:val="es-ES_tradnl"/>
        </w:rPr>
        <w:t xml:space="preserve"> </w:t>
      </w:r>
      <w:r w:rsidRPr="000136BC">
        <w:rPr>
          <w:rFonts w:ascii="Palatino Linotype" w:hAnsi="Palatino Linotype"/>
          <w:sz w:val="22"/>
          <w:szCs w:val="22"/>
          <w:lang w:val="es-ES_tradnl"/>
        </w:rPr>
        <w:t xml:space="preserve">En caso de retraso en la ejecución de las obras </w:t>
      </w:r>
      <w:r w:rsidRPr="000136BC">
        <w:rPr>
          <w:rFonts w:ascii="Palatino Linotype" w:hAnsi="Palatino Linotype"/>
          <w:sz w:val="22"/>
          <w:szCs w:val="22"/>
        </w:rPr>
        <w:t>obras civiles y de infraestructura</w:t>
      </w:r>
      <w:r w:rsidRPr="000136BC">
        <w:rPr>
          <w:rFonts w:ascii="Palatino Linotype" w:hAnsi="Palatino Linotype"/>
          <w:sz w:val="22"/>
          <w:szCs w:val="22"/>
          <w:lang w:val="es-ES_tradnl"/>
        </w:rPr>
        <w:t>,</w:t>
      </w:r>
      <w:r w:rsidRPr="000136BC">
        <w:rPr>
          <w:rFonts w:ascii="Palatino Linotype" w:hAnsi="Palatino Linotype"/>
          <w:color w:val="0D0D0D"/>
          <w:sz w:val="22"/>
          <w:szCs w:val="22"/>
        </w:rPr>
        <w:t xml:space="preserve"> los copropietarios del inmueble sobre el cual se ubica </w:t>
      </w:r>
      <w:r w:rsidRPr="000136BC">
        <w:rPr>
          <w:rFonts w:ascii="Palatino Linotype" w:hAnsi="Palatino Linotype"/>
          <w:sz w:val="22"/>
          <w:szCs w:val="22"/>
        </w:rPr>
        <w:t>el Asentamiento Humano de hecho y Consolidado de Interés Social denominado Comité Pro Mejoras del Barrio ¨</w:t>
      </w:r>
      <w:proofErr w:type="spellStart"/>
      <w:r w:rsidRPr="000136BC">
        <w:rPr>
          <w:rFonts w:ascii="Palatino Linotype" w:hAnsi="Palatino Linotype"/>
          <w:sz w:val="22"/>
          <w:szCs w:val="22"/>
        </w:rPr>
        <w:t>Catzuqui</w:t>
      </w:r>
      <w:proofErr w:type="spellEnd"/>
      <w:r w:rsidRPr="000136BC">
        <w:rPr>
          <w:rFonts w:ascii="Palatino Linotype" w:hAnsi="Palatino Linotype"/>
          <w:sz w:val="22"/>
          <w:szCs w:val="22"/>
        </w:rPr>
        <w:t xml:space="preserve"> de Moncayo¨ Etapa II </w:t>
      </w:r>
      <w:r w:rsidRPr="000136BC">
        <w:rPr>
          <w:rFonts w:ascii="Palatino Linotype" w:hAnsi="Palatino Linotype"/>
          <w:bCs/>
          <w:color w:val="000000"/>
          <w:sz w:val="22"/>
          <w:szCs w:val="22"/>
        </w:rPr>
        <w:t xml:space="preserve">se sujetará a las sanciones contempladas en </w:t>
      </w:r>
      <w:r w:rsidRPr="000136BC">
        <w:rPr>
          <w:rFonts w:ascii="Palatino Linotype" w:hAnsi="Palatino Linotype"/>
          <w:bCs/>
          <w:color w:val="000000"/>
        </w:rPr>
        <w:t>el ordenamiento jurídico nacional y metropolitano.</w:t>
      </w:r>
    </w:p>
    <w:p w:rsidR="00353364" w:rsidRPr="000136BC" w:rsidRDefault="00353364" w:rsidP="00353364">
      <w:pPr>
        <w:tabs>
          <w:tab w:val="left" w:pos="1306"/>
        </w:tabs>
        <w:spacing w:after="120" w:line="276" w:lineRule="auto"/>
        <w:jc w:val="both"/>
        <w:rPr>
          <w:rFonts w:ascii="Palatino Linotype" w:hAnsi="Palatino Linotype"/>
          <w:b/>
          <w:bCs/>
          <w:sz w:val="22"/>
          <w:szCs w:val="22"/>
        </w:rPr>
      </w:pPr>
      <w:r w:rsidRPr="000136BC">
        <w:rPr>
          <w:rFonts w:ascii="Palatino Linotype" w:hAnsi="Palatino Linotype"/>
          <w:b/>
          <w:bCs/>
          <w:iCs/>
          <w:sz w:val="22"/>
          <w:szCs w:val="22"/>
        </w:rPr>
        <w:t>Artículo 1</w:t>
      </w:r>
      <w:r>
        <w:rPr>
          <w:rFonts w:ascii="Palatino Linotype" w:hAnsi="Palatino Linotype"/>
          <w:b/>
          <w:bCs/>
          <w:iCs/>
        </w:rPr>
        <w:t>2</w:t>
      </w:r>
      <w:r w:rsidRPr="000136BC">
        <w:rPr>
          <w:rFonts w:ascii="Palatino Linotype" w:hAnsi="Palatino Linotype"/>
          <w:b/>
          <w:bCs/>
          <w:iCs/>
          <w:sz w:val="22"/>
          <w:szCs w:val="22"/>
        </w:rPr>
        <w:t xml:space="preserve">.- De la garantía de ejecución de las obras.- </w:t>
      </w:r>
      <w:r w:rsidRPr="000136BC">
        <w:rPr>
          <w:rFonts w:ascii="Palatino Linotype" w:hAnsi="Palatino Linotype"/>
          <w:sz w:val="22"/>
          <w:szCs w:val="22"/>
        </w:rPr>
        <w:t>Los lotes producto de fraccionamiento donde se encuentra ubicado el asentamiento humano de hecho y consolidado de interés social denominado Comité Pro Mejoras del Barrio ¨</w:t>
      </w:r>
      <w:proofErr w:type="spellStart"/>
      <w:r w:rsidRPr="000136BC">
        <w:rPr>
          <w:rFonts w:ascii="Palatino Linotype" w:hAnsi="Palatino Linotype"/>
          <w:sz w:val="22"/>
          <w:szCs w:val="22"/>
        </w:rPr>
        <w:t>Catzuqui</w:t>
      </w:r>
      <w:proofErr w:type="spellEnd"/>
      <w:r w:rsidRPr="000136BC">
        <w:rPr>
          <w:rFonts w:ascii="Palatino Linotype" w:hAnsi="Palatino Linotype"/>
          <w:sz w:val="22"/>
          <w:szCs w:val="22"/>
        </w:rPr>
        <w:t xml:space="preserve"> de Moncayo¨ Etapa II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353364" w:rsidRPr="000136BC" w:rsidRDefault="00353364" w:rsidP="00353364">
      <w:pPr>
        <w:tabs>
          <w:tab w:val="left" w:pos="1306"/>
        </w:tabs>
        <w:spacing w:after="120" w:line="276" w:lineRule="auto"/>
        <w:jc w:val="both"/>
        <w:rPr>
          <w:rFonts w:ascii="Palatino Linotype" w:hAnsi="Palatino Linotype"/>
          <w:sz w:val="22"/>
          <w:szCs w:val="22"/>
          <w:lang w:val="es-ES_tradnl"/>
        </w:rPr>
      </w:pPr>
      <w:r w:rsidRPr="000136BC">
        <w:rPr>
          <w:rFonts w:ascii="Palatino Linotype" w:hAnsi="Palatino Linotype"/>
          <w:b/>
          <w:bCs/>
          <w:sz w:val="22"/>
          <w:szCs w:val="22"/>
        </w:rPr>
        <w:t>Artículo</w:t>
      </w:r>
      <w:r w:rsidRPr="000136BC">
        <w:rPr>
          <w:rFonts w:ascii="Palatino Linotype" w:hAnsi="Palatino Linotype"/>
          <w:b/>
          <w:bCs/>
          <w:sz w:val="22"/>
          <w:szCs w:val="22"/>
          <w:lang w:val="es-ES_tradnl"/>
        </w:rPr>
        <w:t xml:space="preserve"> 1</w:t>
      </w:r>
      <w:r>
        <w:rPr>
          <w:rFonts w:ascii="Palatino Linotype" w:hAnsi="Palatino Linotype"/>
          <w:b/>
          <w:bCs/>
          <w:lang w:val="es-ES_tradnl"/>
        </w:rPr>
        <w:t>3</w:t>
      </w:r>
      <w:r w:rsidRPr="000136BC">
        <w:rPr>
          <w:rFonts w:ascii="Palatino Linotype" w:hAnsi="Palatino Linotype"/>
          <w:b/>
          <w:bCs/>
          <w:sz w:val="22"/>
          <w:szCs w:val="22"/>
          <w:lang w:val="es-ES_tradnl"/>
        </w:rPr>
        <w:t xml:space="preserve">.- De la </w:t>
      </w:r>
      <w:r w:rsidRPr="000136BC">
        <w:rPr>
          <w:rFonts w:ascii="Palatino Linotype" w:hAnsi="Palatino Linotype"/>
          <w:b/>
          <w:bCs/>
          <w:lang w:val="es-ES_tradnl"/>
        </w:rPr>
        <w:t xml:space="preserve">protocolización e inscripción de la </w:t>
      </w:r>
      <w:proofErr w:type="gramStart"/>
      <w:r w:rsidRPr="000136BC">
        <w:rPr>
          <w:rFonts w:ascii="Palatino Linotype" w:hAnsi="Palatino Linotype"/>
          <w:b/>
          <w:bCs/>
          <w:lang w:val="es-ES_tradnl"/>
        </w:rPr>
        <w:t>ordenanza</w:t>
      </w:r>
      <w:r w:rsidRPr="000136BC">
        <w:rPr>
          <w:rFonts w:ascii="Palatino Linotype" w:hAnsi="Palatino Linotype"/>
          <w:b/>
          <w:bCs/>
          <w:sz w:val="22"/>
          <w:szCs w:val="22"/>
          <w:lang w:val="es-ES_tradnl"/>
        </w:rPr>
        <w:t>.-</w:t>
      </w:r>
      <w:proofErr w:type="gramEnd"/>
      <w:r w:rsidRPr="000136BC">
        <w:rPr>
          <w:rFonts w:ascii="Palatino Linotype" w:hAnsi="Palatino Linotype"/>
          <w:b/>
          <w:bCs/>
          <w:sz w:val="22"/>
          <w:szCs w:val="22"/>
          <w:lang w:val="es-ES_tradnl"/>
        </w:rPr>
        <w:t xml:space="preserve"> </w:t>
      </w:r>
      <w:r w:rsidRPr="000136BC">
        <w:rPr>
          <w:rFonts w:ascii="Palatino Linotype" w:hAnsi="Palatino Linotype"/>
          <w:sz w:val="22"/>
          <w:szCs w:val="22"/>
        </w:rPr>
        <w:t>Los copropietarios del predio del Asentamiento Humano de Hecho y Consolidado de Interés Social denominado Comité Pro Mejoras del Barrio ¨</w:t>
      </w:r>
      <w:proofErr w:type="spellStart"/>
      <w:r w:rsidRPr="000136BC">
        <w:rPr>
          <w:rFonts w:ascii="Palatino Linotype" w:hAnsi="Palatino Linotype"/>
          <w:sz w:val="22"/>
          <w:szCs w:val="22"/>
        </w:rPr>
        <w:t>Catzuqui</w:t>
      </w:r>
      <w:proofErr w:type="spellEnd"/>
      <w:r w:rsidRPr="000136BC">
        <w:rPr>
          <w:rFonts w:ascii="Palatino Linotype" w:hAnsi="Palatino Linotype"/>
          <w:sz w:val="22"/>
          <w:szCs w:val="22"/>
        </w:rPr>
        <w:t xml:space="preserve"> de Moncayo¨ Etapa II, deberán protocolizar la presente Ordenanza ante Notario Público e inscribirla en el Registro de la Propiedad del Distrito Metropolitano de Quito, </w:t>
      </w:r>
      <w:r w:rsidRPr="000136BC">
        <w:rPr>
          <w:rFonts w:ascii="Palatino Linotype" w:hAnsi="Palatino Linotype"/>
          <w:sz w:val="22"/>
          <w:szCs w:val="22"/>
          <w:lang w:val="es-ES_tradnl"/>
        </w:rPr>
        <w:t>con todos sus documentos habilitantes</w:t>
      </w:r>
      <w:r w:rsidRPr="000136BC">
        <w:rPr>
          <w:rFonts w:ascii="Palatino Linotype" w:hAnsi="Palatino Linotype"/>
          <w:sz w:val="22"/>
          <w:szCs w:val="22"/>
        </w:rPr>
        <w:t>.</w:t>
      </w:r>
    </w:p>
    <w:p w:rsidR="00353364" w:rsidRPr="000136BC" w:rsidRDefault="00353364" w:rsidP="00353364">
      <w:pPr>
        <w:spacing w:after="120" w:line="276" w:lineRule="auto"/>
        <w:ind w:left="1"/>
        <w:jc w:val="both"/>
        <w:rPr>
          <w:rFonts w:ascii="Palatino Linotype" w:hAnsi="Palatino Linotype"/>
          <w:bCs/>
          <w:sz w:val="22"/>
          <w:szCs w:val="22"/>
          <w:lang w:val="es-ES_tradnl"/>
        </w:rPr>
      </w:pPr>
      <w:r w:rsidRPr="000136BC">
        <w:rPr>
          <w:rFonts w:ascii="Palatino Linotype" w:hAnsi="Palatino Linotype"/>
          <w:bCs/>
          <w:sz w:val="22"/>
          <w:szCs w:val="22"/>
          <w:lang w:val="es-ES_tradnl"/>
        </w:rPr>
        <w:t>En caso no legalizar la presente ordenanza, ésta caducará conforme lo determinado en la normativa nacional vigente.</w:t>
      </w:r>
    </w:p>
    <w:p w:rsidR="00353364" w:rsidRPr="000136BC" w:rsidRDefault="00353364" w:rsidP="00353364">
      <w:pPr>
        <w:tabs>
          <w:tab w:val="left" w:pos="1306"/>
        </w:tabs>
        <w:spacing w:after="120" w:line="276" w:lineRule="auto"/>
        <w:jc w:val="both"/>
        <w:rPr>
          <w:rFonts w:ascii="Palatino Linotype" w:hAnsi="Palatino Linotype"/>
          <w:sz w:val="22"/>
          <w:szCs w:val="22"/>
        </w:rPr>
      </w:pPr>
      <w:r w:rsidRPr="000136BC">
        <w:rPr>
          <w:rFonts w:ascii="Palatino Linotype" w:hAnsi="Palatino Linotype"/>
          <w:b/>
          <w:bCs/>
          <w:sz w:val="22"/>
          <w:szCs w:val="22"/>
          <w:lang w:val="es-ES_tradnl"/>
        </w:rPr>
        <w:t>Artículo 1</w:t>
      </w:r>
      <w:r>
        <w:rPr>
          <w:rFonts w:ascii="Palatino Linotype" w:hAnsi="Palatino Linotype"/>
          <w:b/>
          <w:bCs/>
          <w:lang w:val="es-ES_tradnl"/>
        </w:rPr>
        <w:t>4</w:t>
      </w:r>
      <w:r w:rsidRPr="000136BC">
        <w:rPr>
          <w:rFonts w:ascii="Palatino Linotype" w:hAnsi="Palatino Linotype"/>
          <w:b/>
          <w:bCs/>
          <w:sz w:val="22"/>
          <w:szCs w:val="22"/>
          <w:lang w:val="es-ES_tradnl"/>
        </w:rPr>
        <w:t xml:space="preserve">.- De la partición y </w:t>
      </w:r>
      <w:proofErr w:type="gramStart"/>
      <w:r w:rsidRPr="000136BC">
        <w:rPr>
          <w:rFonts w:ascii="Palatino Linotype" w:hAnsi="Palatino Linotype"/>
          <w:b/>
          <w:bCs/>
          <w:sz w:val="22"/>
          <w:szCs w:val="22"/>
          <w:lang w:val="es-ES_tradnl"/>
        </w:rPr>
        <w:t>adjudicación.-</w:t>
      </w:r>
      <w:proofErr w:type="gramEnd"/>
      <w:r w:rsidRPr="000136BC">
        <w:rPr>
          <w:rFonts w:ascii="Palatino Linotype" w:hAnsi="Palatino Linotype" w:cs="Arial"/>
          <w:b/>
          <w:bCs/>
          <w:color w:val="000000" w:themeColor="text1"/>
          <w:sz w:val="22"/>
          <w:szCs w:val="22"/>
          <w:lang w:val="es-ES_tradnl"/>
        </w:rPr>
        <w:t xml:space="preserve"> </w:t>
      </w:r>
      <w:r w:rsidRPr="000136BC">
        <w:rPr>
          <w:rFonts w:ascii="Palatino Linotype" w:hAnsi="Palatino Linotype"/>
          <w:sz w:val="22"/>
          <w:szCs w:val="22"/>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353364" w:rsidRPr="000136BC" w:rsidRDefault="00353364" w:rsidP="00353364">
      <w:pPr>
        <w:spacing w:after="120" w:line="276" w:lineRule="auto"/>
        <w:jc w:val="both"/>
        <w:rPr>
          <w:rFonts w:ascii="Palatino Linotype" w:hAnsi="Palatino Linotype"/>
          <w:sz w:val="22"/>
          <w:szCs w:val="22"/>
          <w:lang w:val="es-ES_tradnl"/>
        </w:rPr>
      </w:pPr>
      <w:r w:rsidRPr="000136BC">
        <w:rPr>
          <w:rFonts w:ascii="Palatino Linotype" w:hAnsi="Palatino Linotype"/>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353364" w:rsidRPr="000136BC" w:rsidRDefault="00353364" w:rsidP="00353364">
      <w:pPr>
        <w:spacing w:after="120" w:line="276" w:lineRule="auto"/>
        <w:jc w:val="both"/>
        <w:rPr>
          <w:rFonts w:ascii="Palatino Linotype" w:hAnsi="Palatino Linotype"/>
          <w:bCs/>
          <w:sz w:val="22"/>
          <w:szCs w:val="22"/>
          <w:lang w:val="es-ES_tradnl"/>
        </w:rPr>
      </w:pPr>
      <w:r w:rsidRPr="000136BC">
        <w:rPr>
          <w:rFonts w:ascii="Palatino Linotype" w:hAnsi="Palatino Linotype"/>
          <w:b/>
          <w:bCs/>
          <w:sz w:val="22"/>
          <w:szCs w:val="22"/>
          <w:lang w:val="es-ES_tradnl"/>
        </w:rPr>
        <w:t>Artículo 1</w:t>
      </w:r>
      <w:r>
        <w:rPr>
          <w:rFonts w:ascii="Palatino Linotype" w:hAnsi="Palatino Linotype"/>
          <w:b/>
          <w:bCs/>
          <w:lang w:val="es-ES_tradnl"/>
        </w:rPr>
        <w:t>5</w:t>
      </w:r>
      <w:r w:rsidRPr="000136BC">
        <w:rPr>
          <w:rFonts w:ascii="Palatino Linotype" w:hAnsi="Palatino Linotype"/>
          <w:b/>
          <w:bCs/>
          <w:sz w:val="22"/>
          <w:szCs w:val="22"/>
          <w:lang w:val="es-ES_tradnl"/>
        </w:rPr>
        <w:t xml:space="preserve">.- Solicitudes de ampliación de </w:t>
      </w:r>
      <w:proofErr w:type="gramStart"/>
      <w:r w:rsidRPr="000136BC">
        <w:rPr>
          <w:rFonts w:ascii="Palatino Linotype" w:hAnsi="Palatino Linotype"/>
          <w:b/>
          <w:bCs/>
          <w:sz w:val="22"/>
          <w:szCs w:val="22"/>
          <w:lang w:val="es-ES_tradnl"/>
        </w:rPr>
        <w:t>plazo.-</w:t>
      </w:r>
      <w:proofErr w:type="gramEnd"/>
      <w:r w:rsidRPr="000136BC">
        <w:rPr>
          <w:rFonts w:ascii="Palatino Linotype" w:hAnsi="Palatino Linotype"/>
          <w:b/>
          <w:bCs/>
          <w:sz w:val="22"/>
          <w:szCs w:val="22"/>
          <w:lang w:val="es-ES_tradnl"/>
        </w:rPr>
        <w:t xml:space="preserve"> </w:t>
      </w:r>
      <w:r w:rsidRPr="000136BC">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353364" w:rsidRPr="000136BC" w:rsidRDefault="00353364" w:rsidP="00353364">
      <w:pPr>
        <w:spacing w:after="120" w:line="276" w:lineRule="auto"/>
        <w:jc w:val="both"/>
        <w:rPr>
          <w:rFonts w:ascii="Palatino Linotype" w:hAnsi="Palatino Linotype"/>
          <w:bCs/>
          <w:sz w:val="22"/>
          <w:szCs w:val="22"/>
          <w:lang w:val="es-ES_tradnl"/>
        </w:rPr>
      </w:pPr>
      <w:r w:rsidRPr="000136BC">
        <w:rPr>
          <w:rFonts w:ascii="Palatino Linotype" w:hAnsi="Palatino Linotype"/>
          <w:b/>
          <w:bCs/>
          <w:sz w:val="22"/>
          <w:szCs w:val="22"/>
          <w:lang w:val="es-ES_tradnl"/>
        </w:rPr>
        <w:lastRenderedPageBreak/>
        <w:t>Artículo 1</w:t>
      </w:r>
      <w:r>
        <w:rPr>
          <w:rFonts w:ascii="Palatino Linotype" w:hAnsi="Palatino Linotype"/>
          <w:b/>
          <w:bCs/>
          <w:lang w:val="es-ES_tradnl"/>
        </w:rPr>
        <w:t>6</w:t>
      </w:r>
      <w:r w:rsidRPr="000136BC">
        <w:rPr>
          <w:rFonts w:ascii="Palatino Linotype" w:hAnsi="Palatino Linotype"/>
          <w:b/>
          <w:bCs/>
          <w:sz w:val="22"/>
          <w:szCs w:val="22"/>
          <w:lang w:val="es-ES_tradnl"/>
        </w:rPr>
        <w:t xml:space="preserve">.- Potestad de </w:t>
      </w:r>
      <w:proofErr w:type="gramStart"/>
      <w:r w:rsidRPr="000136BC">
        <w:rPr>
          <w:rFonts w:ascii="Palatino Linotype" w:hAnsi="Palatino Linotype"/>
          <w:b/>
          <w:bCs/>
          <w:sz w:val="22"/>
          <w:szCs w:val="22"/>
          <w:lang w:val="es-ES_tradnl"/>
        </w:rPr>
        <w:t>ejecución.-</w:t>
      </w:r>
      <w:proofErr w:type="gramEnd"/>
      <w:r w:rsidRPr="000136B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4E095E" w:rsidRDefault="00683507" w:rsidP="004E095E">
      <w:pPr>
        <w:spacing w:after="120" w:line="276" w:lineRule="auto"/>
        <w:ind w:left="-76"/>
        <w:jc w:val="both"/>
        <w:rPr>
          <w:rFonts w:ascii="Palatino Linotype" w:hAnsi="Palatino Linotype"/>
          <w:b/>
          <w:bCs/>
          <w:sz w:val="22"/>
          <w:szCs w:val="22"/>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4E095E" w:rsidRDefault="00AF343E" w:rsidP="004E095E">
      <w:pPr>
        <w:spacing w:after="120" w:line="276" w:lineRule="auto"/>
        <w:ind w:left="-76"/>
        <w:jc w:val="both"/>
        <w:rPr>
          <w:rFonts w:ascii="Palatino Linotype" w:hAnsi="Palatino Linotype"/>
          <w:b/>
          <w:b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92596C" w:rsidRPr="00091622" w:rsidRDefault="0092596C"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B46194">
        <w:rPr>
          <w:rFonts w:ascii="Palatino Linotype" w:eastAsia="MS Mincho" w:hAnsi="Palatino Linotype"/>
          <w:sz w:val="22"/>
          <w:szCs w:val="22"/>
          <w:lang w:val="es-EC"/>
        </w:rPr>
        <w:t>10</w:t>
      </w:r>
      <w:r w:rsidR="00D427EA" w:rsidRPr="00091622">
        <w:rPr>
          <w:rFonts w:ascii="Palatino Linotype" w:eastAsia="MS Mincho" w:hAnsi="Palatino Linotype"/>
          <w:sz w:val="22"/>
          <w:szCs w:val="22"/>
          <w:lang w:val="es-EC"/>
        </w:rPr>
        <w:t xml:space="preserve"> de </w:t>
      </w:r>
      <w:r w:rsidR="00B46194">
        <w:rPr>
          <w:rFonts w:ascii="Palatino Linotype" w:eastAsia="MS Mincho" w:hAnsi="Palatino Linotype"/>
          <w:sz w:val="22"/>
          <w:szCs w:val="22"/>
          <w:lang w:val="es-EC"/>
        </w:rPr>
        <w:t xml:space="preserve">octubre de 2018 </w:t>
      </w:r>
      <w:bookmarkStart w:id="0" w:name="_GoBack"/>
      <w:bookmarkEnd w:id="0"/>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Default="00532CEB" w:rsidP="00F112F0">
      <w:pPr>
        <w:pStyle w:val="Textosinformato"/>
        <w:jc w:val="center"/>
        <w:rPr>
          <w:rFonts w:ascii="Palatino Linotype" w:eastAsia="MS Mincho" w:hAnsi="Palatino Linotype"/>
          <w:b/>
          <w:bCs/>
          <w:sz w:val="22"/>
          <w:szCs w:val="22"/>
          <w:lang w:val="es-EC"/>
        </w:rPr>
      </w:pPr>
    </w:p>
    <w:p w:rsidR="00353364" w:rsidRDefault="00353364" w:rsidP="00F112F0">
      <w:pPr>
        <w:pStyle w:val="Textosinformato"/>
        <w:jc w:val="center"/>
        <w:rPr>
          <w:rFonts w:ascii="Palatino Linotype" w:eastAsia="MS Mincho" w:hAnsi="Palatino Linotype"/>
          <w:b/>
          <w:bCs/>
          <w:sz w:val="22"/>
          <w:szCs w:val="22"/>
          <w:lang w:val="es-EC"/>
        </w:rPr>
      </w:pPr>
    </w:p>
    <w:p w:rsidR="00353364" w:rsidRDefault="00353364" w:rsidP="00F112F0">
      <w:pPr>
        <w:pStyle w:val="Textosinformato"/>
        <w:jc w:val="center"/>
        <w:rPr>
          <w:rFonts w:ascii="Palatino Linotype" w:eastAsia="MS Mincho" w:hAnsi="Palatino Linotype"/>
          <w:b/>
          <w:bCs/>
          <w:sz w:val="22"/>
          <w:szCs w:val="22"/>
          <w:lang w:val="es-EC"/>
        </w:rPr>
      </w:pPr>
    </w:p>
    <w:p w:rsidR="00353364" w:rsidRDefault="00353364" w:rsidP="00F112F0">
      <w:pPr>
        <w:pStyle w:val="Textosinformato"/>
        <w:jc w:val="center"/>
        <w:rPr>
          <w:rFonts w:ascii="Palatino Linotype" w:eastAsia="MS Mincho" w:hAnsi="Palatino Linotype"/>
          <w:b/>
          <w:bCs/>
          <w:sz w:val="22"/>
          <w:szCs w:val="22"/>
          <w:lang w:val="es-EC"/>
        </w:rPr>
      </w:pPr>
    </w:p>
    <w:p w:rsidR="00353364" w:rsidRPr="00091622" w:rsidRDefault="00353364"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lastRenderedPageBreak/>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06" w:rsidRDefault="00083406">
      <w:r>
        <w:separator/>
      </w:r>
    </w:p>
  </w:endnote>
  <w:endnote w:type="continuationSeparator" w:id="0">
    <w:p w:rsidR="00083406" w:rsidRDefault="000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B46194">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4E095E">
              <w:rPr>
                <w:rFonts w:ascii="Palatino Linotype" w:hAnsi="Palatino Linotype"/>
                <w:b/>
                <w:bCs/>
                <w:sz w:val="22"/>
                <w:szCs w:val="22"/>
              </w:rPr>
              <w:t>3</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353364">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4E095E">
              <w:rPr>
                <w:rFonts w:ascii="Palatino Linotype" w:hAnsi="Palatino Linotype"/>
                <w:b/>
                <w:bCs/>
                <w:sz w:val="22"/>
                <w:szCs w:val="22"/>
              </w:rPr>
              <w:t>3</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06" w:rsidRDefault="00083406">
      <w:r>
        <w:separator/>
      </w:r>
    </w:p>
  </w:footnote>
  <w:footnote w:type="continuationSeparator" w:id="0">
    <w:p w:rsidR="00083406" w:rsidRDefault="0008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7ED4C6A"/>
    <w:multiLevelType w:val="hybridMultilevel"/>
    <w:tmpl w:val="43DA623E"/>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4"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6"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E20052C"/>
    <w:multiLevelType w:val="hybridMultilevel"/>
    <w:tmpl w:val="53B832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2"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1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21" w15:restartNumberingAfterBreak="0">
    <w:nsid w:val="2D5313E1"/>
    <w:multiLevelType w:val="hybridMultilevel"/>
    <w:tmpl w:val="B7EA26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3"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2E5822E9"/>
    <w:multiLevelType w:val="hybridMultilevel"/>
    <w:tmpl w:val="E2CC3E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64C4EE3"/>
    <w:multiLevelType w:val="hybridMultilevel"/>
    <w:tmpl w:val="D7B4B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1" w15:restartNumberingAfterBreak="0">
    <w:nsid w:val="77925DB4"/>
    <w:multiLevelType w:val="hybridMultilevel"/>
    <w:tmpl w:val="FAAEB200"/>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4"/>
  </w:num>
  <w:num w:numId="2">
    <w:abstractNumId w:val="0"/>
  </w:num>
  <w:num w:numId="3">
    <w:abstractNumId w:val="33"/>
  </w:num>
  <w:num w:numId="4">
    <w:abstractNumId w:val="27"/>
  </w:num>
  <w:num w:numId="5">
    <w:abstractNumId w:val="38"/>
  </w:num>
  <w:num w:numId="6">
    <w:abstractNumId w:val="28"/>
  </w:num>
  <w:num w:numId="7">
    <w:abstractNumId w:val="39"/>
  </w:num>
  <w:num w:numId="8">
    <w:abstractNumId w:val="29"/>
  </w:num>
  <w:num w:numId="9">
    <w:abstractNumId w:val="22"/>
  </w:num>
  <w:num w:numId="10">
    <w:abstractNumId w:val="19"/>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0"/>
  </w:num>
  <w:num w:numId="15">
    <w:abstractNumId w:val="15"/>
  </w:num>
  <w:num w:numId="16">
    <w:abstractNumId w:val="2"/>
  </w:num>
  <w:num w:numId="17">
    <w:abstractNumId w:val="35"/>
  </w:num>
  <w:num w:numId="18">
    <w:abstractNumId w:val="31"/>
  </w:num>
  <w:num w:numId="19">
    <w:abstractNumId w:val="18"/>
  </w:num>
  <w:num w:numId="20">
    <w:abstractNumId w:val="26"/>
  </w:num>
  <w:num w:numId="21">
    <w:abstractNumId w:val="13"/>
  </w:num>
  <w:num w:numId="22">
    <w:abstractNumId w:val="42"/>
  </w:num>
  <w:num w:numId="23">
    <w:abstractNumId w:val="40"/>
  </w:num>
  <w:num w:numId="24">
    <w:abstractNumId w:val="20"/>
  </w:num>
  <w:num w:numId="25">
    <w:abstractNumId w:val="12"/>
  </w:num>
  <w:num w:numId="26">
    <w:abstractNumId w:val="30"/>
  </w:num>
  <w:num w:numId="27">
    <w:abstractNumId w:val="16"/>
  </w:num>
  <w:num w:numId="28">
    <w:abstractNumId w:val="17"/>
  </w:num>
  <w:num w:numId="29">
    <w:abstractNumId w:val="11"/>
  </w:num>
  <w:num w:numId="30">
    <w:abstractNumId w:val="4"/>
  </w:num>
  <w:num w:numId="31">
    <w:abstractNumId w:val="36"/>
  </w:num>
  <w:num w:numId="32">
    <w:abstractNumId w:val="25"/>
  </w:num>
  <w:num w:numId="33">
    <w:abstractNumId w:val="32"/>
  </w:num>
  <w:num w:numId="34">
    <w:abstractNumId w:val="1"/>
  </w:num>
  <w:num w:numId="35">
    <w:abstractNumId w:val="7"/>
  </w:num>
  <w:num w:numId="36">
    <w:abstractNumId w:val="9"/>
  </w:num>
  <w:num w:numId="37">
    <w:abstractNumId w:val="41"/>
  </w:num>
  <w:num w:numId="38">
    <w:abstractNumId w:val="5"/>
  </w:num>
  <w:num w:numId="39">
    <w:abstractNumId w:val="37"/>
  </w:num>
  <w:num w:numId="40">
    <w:abstractNumId w:val="24"/>
  </w:num>
  <w:num w:numId="4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1"/>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3406"/>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93832"/>
    <w:rsid w:val="00195FBA"/>
    <w:rsid w:val="001A5E4F"/>
    <w:rsid w:val="001A60FB"/>
    <w:rsid w:val="001A646F"/>
    <w:rsid w:val="001B3F1F"/>
    <w:rsid w:val="001B50BD"/>
    <w:rsid w:val="001B5C35"/>
    <w:rsid w:val="001B7625"/>
    <w:rsid w:val="001C0B43"/>
    <w:rsid w:val="001C18BB"/>
    <w:rsid w:val="001C4F66"/>
    <w:rsid w:val="001C562E"/>
    <w:rsid w:val="001C7554"/>
    <w:rsid w:val="001D38BE"/>
    <w:rsid w:val="001D6DAA"/>
    <w:rsid w:val="001D7068"/>
    <w:rsid w:val="001E3366"/>
    <w:rsid w:val="001E6302"/>
    <w:rsid w:val="001E74B5"/>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196D"/>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06C33"/>
    <w:rsid w:val="00324F28"/>
    <w:rsid w:val="00335588"/>
    <w:rsid w:val="00342AED"/>
    <w:rsid w:val="00353364"/>
    <w:rsid w:val="00356DE9"/>
    <w:rsid w:val="0036107B"/>
    <w:rsid w:val="00361728"/>
    <w:rsid w:val="00365574"/>
    <w:rsid w:val="00367FAA"/>
    <w:rsid w:val="00371551"/>
    <w:rsid w:val="00374C76"/>
    <w:rsid w:val="0038547F"/>
    <w:rsid w:val="00386397"/>
    <w:rsid w:val="00387B4A"/>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2288"/>
    <w:rsid w:val="00494DA4"/>
    <w:rsid w:val="00495C11"/>
    <w:rsid w:val="00495CE4"/>
    <w:rsid w:val="004A0A42"/>
    <w:rsid w:val="004A0B78"/>
    <w:rsid w:val="004A2C96"/>
    <w:rsid w:val="004A518A"/>
    <w:rsid w:val="004A5216"/>
    <w:rsid w:val="004A6045"/>
    <w:rsid w:val="004B15F7"/>
    <w:rsid w:val="004B2F36"/>
    <w:rsid w:val="004C13B8"/>
    <w:rsid w:val="004C2D2F"/>
    <w:rsid w:val="004C3D11"/>
    <w:rsid w:val="004C4BFA"/>
    <w:rsid w:val="004D35A7"/>
    <w:rsid w:val="004D44DB"/>
    <w:rsid w:val="004E0373"/>
    <w:rsid w:val="004E095E"/>
    <w:rsid w:val="004E186B"/>
    <w:rsid w:val="004E362F"/>
    <w:rsid w:val="004E38DE"/>
    <w:rsid w:val="004F1F3B"/>
    <w:rsid w:val="004F2BC9"/>
    <w:rsid w:val="004F333D"/>
    <w:rsid w:val="004F3B7E"/>
    <w:rsid w:val="004F529C"/>
    <w:rsid w:val="004F597E"/>
    <w:rsid w:val="004F74B2"/>
    <w:rsid w:val="005046F9"/>
    <w:rsid w:val="00506B01"/>
    <w:rsid w:val="005103AC"/>
    <w:rsid w:val="005159BA"/>
    <w:rsid w:val="0051606E"/>
    <w:rsid w:val="0051624D"/>
    <w:rsid w:val="00517D13"/>
    <w:rsid w:val="00525A91"/>
    <w:rsid w:val="00527DB8"/>
    <w:rsid w:val="00532CEB"/>
    <w:rsid w:val="00540D68"/>
    <w:rsid w:val="00541117"/>
    <w:rsid w:val="00542C2E"/>
    <w:rsid w:val="00543455"/>
    <w:rsid w:val="00543798"/>
    <w:rsid w:val="00543D2D"/>
    <w:rsid w:val="00545777"/>
    <w:rsid w:val="00546F26"/>
    <w:rsid w:val="00547E5B"/>
    <w:rsid w:val="0055517B"/>
    <w:rsid w:val="0056347D"/>
    <w:rsid w:val="0057093C"/>
    <w:rsid w:val="005719B6"/>
    <w:rsid w:val="005738F5"/>
    <w:rsid w:val="00574769"/>
    <w:rsid w:val="005752B0"/>
    <w:rsid w:val="0058023A"/>
    <w:rsid w:val="005906F1"/>
    <w:rsid w:val="00590A7F"/>
    <w:rsid w:val="00592C7E"/>
    <w:rsid w:val="005949B7"/>
    <w:rsid w:val="00597AAE"/>
    <w:rsid w:val="005A0C0A"/>
    <w:rsid w:val="005A1B82"/>
    <w:rsid w:val="005A3ADC"/>
    <w:rsid w:val="005A4E6A"/>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4E4"/>
    <w:rsid w:val="006B1565"/>
    <w:rsid w:val="006B3C7E"/>
    <w:rsid w:val="006B417D"/>
    <w:rsid w:val="006B625F"/>
    <w:rsid w:val="006B68BA"/>
    <w:rsid w:val="006B68D0"/>
    <w:rsid w:val="006B7B40"/>
    <w:rsid w:val="006C0309"/>
    <w:rsid w:val="006C1106"/>
    <w:rsid w:val="006C1935"/>
    <w:rsid w:val="006C3F46"/>
    <w:rsid w:val="006C417C"/>
    <w:rsid w:val="006C4F59"/>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465E"/>
    <w:rsid w:val="007458C1"/>
    <w:rsid w:val="00750082"/>
    <w:rsid w:val="007555EE"/>
    <w:rsid w:val="0075666E"/>
    <w:rsid w:val="0076432C"/>
    <w:rsid w:val="00764B6C"/>
    <w:rsid w:val="00765431"/>
    <w:rsid w:val="007730B0"/>
    <w:rsid w:val="007750DE"/>
    <w:rsid w:val="00780297"/>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31D1"/>
    <w:rsid w:val="007E5FCB"/>
    <w:rsid w:val="007E7D33"/>
    <w:rsid w:val="007F2761"/>
    <w:rsid w:val="007F46C0"/>
    <w:rsid w:val="007F6391"/>
    <w:rsid w:val="007F72E6"/>
    <w:rsid w:val="00802641"/>
    <w:rsid w:val="00804857"/>
    <w:rsid w:val="00806F9C"/>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5AA5"/>
    <w:rsid w:val="00856DB0"/>
    <w:rsid w:val="00857903"/>
    <w:rsid w:val="00860836"/>
    <w:rsid w:val="00865BDD"/>
    <w:rsid w:val="00874F69"/>
    <w:rsid w:val="00875EF6"/>
    <w:rsid w:val="008865E1"/>
    <w:rsid w:val="00887AA2"/>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00B"/>
    <w:rsid w:val="008F37A1"/>
    <w:rsid w:val="00905AAC"/>
    <w:rsid w:val="00907ED5"/>
    <w:rsid w:val="00917AF0"/>
    <w:rsid w:val="00917D16"/>
    <w:rsid w:val="00920038"/>
    <w:rsid w:val="0092596C"/>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6D96"/>
    <w:rsid w:val="009B7BDE"/>
    <w:rsid w:val="009C6867"/>
    <w:rsid w:val="009D2C97"/>
    <w:rsid w:val="009E2994"/>
    <w:rsid w:val="009E3F50"/>
    <w:rsid w:val="009E46C0"/>
    <w:rsid w:val="009E5817"/>
    <w:rsid w:val="009F52E9"/>
    <w:rsid w:val="00A0106D"/>
    <w:rsid w:val="00A0291B"/>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1FA"/>
    <w:rsid w:val="00B11E27"/>
    <w:rsid w:val="00B1679F"/>
    <w:rsid w:val="00B1770E"/>
    <w:rsid w:val="00B17CDD"/>
    <w:rsid w:val="00B2386D"/>
    <w:rsid w:val="00B26D35"/>
    <w:rsid w:val="00B27045"/>
    <w:rsid w:val="00B273CE"/>
    <w:rsid w:val="00B34886"/>
    <w:rsid w:val="00B35016"/>
    <w:rsid w:val="00B405E8"/>
    <w:rsid w:val="00B42B86"/>
    <w:rsid w:val="00B44E39"/>
    <w:rsid w:val="00B46194"/>
    <w:rsid w:val="00B474AB"/>
    <w:rsid w:val="00B47ADE"/>
    <w:rsid w:val="00B531CF"/>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1526"/>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B7C7C"/>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23F5"/>
    <w:rsid w:val="00D15879"/>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0062"/>
    <w:rsid w:val="00D61311"/>
    <w:rsid w:val="00D621C0"/>
    <w:rsid w:val="00D70153"/>
    <w:rsid w:val="00D707BE"/>
    <w:rsid w:val="00D717DC"/>
    <w:rsid w:val="00D72902"/>
    <w:rsid w:val="00D746A3"/>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712"/>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4D15"/>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B5054"/>
    <w:rsid w:val="00EC0DB0"/>
    <w:rsid w:val="00EC1415"/>
    <w:rsid w:val="00EC1823"/>
    <w:rsid w:val="00ED4F82"/>
    <w:rsid w:val="00ED5D2C"/>
    <w:rsid w:val="00EE2B78"/>
    <w:rsid w:val="00EE2FEB"/>
    <w:rsid w:val="00EE3533"/>
    <w:rsid w:val="00EF4A0A"/>
    <w:rsid w:val="00EF4A1B"/>
    <w:rsid w:val="00EF53F9"/>
    <w:rsid w:val="00EF5BDA"/>
    <w:rsid w:val="00EF6463"/>
    <w:rsid w:val="00EF6BAD"/>
    <w:rsid w:val="00F00DBC"/>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0BF8"/>
    <w:rsid w:val="00F777FF"/>
    <w:rsid w:val="00F9008F"/>
    <w:rsid w:val="00F974EC"/>
    <w:rsid w:val="00FA0EAF"/>
    <w:rsid w:val="00FA264E"/>
    <w:rsid w:val="00FA2919"/>
    <w:rsid w:val="00FA3D45"/>
    <w:rsid w:val="00FA7B32"/>
    <w:rsid w:val="00FB0CB1"/>
    <w:rsid w:val="00FB2176"/>
    <w:rsid w:val="00FB2364"/>
    <w:rsid w:val="00FB29DD"/>
    <w:rsid w:val="00FC0670"/>
    <w:rsid w:val="00FC29F6"/>
    <w:rsid w:val="00FC3E54"/>
    <w:rsid w:val="00FC413B"/>
    <w:rsid w:val="00FC572F"/>
    <w:rsid w:val="00FC7853"/>
    <w:rsid w:val="00FC79C1"/>
    <w:rsid w:val="00FD56C4"/>
    <w:rsid w:val="00FE0EDA"/>
    <w:rsid w:val="00FE2036"/>
    <w:rsid w:val="00FE37F4"/>
    <w:rsid w:val="00FF0651"/>
    <w:rsid w:val="00FF2621"/>
    <w:rsid w:val="00FF333C"/>
    <w:rsid w:val="00FF3CDC"/>
    <w:rsid w:val="00FF4FF8"/>
    <w:rsid w:val="00FF6098"/>
    <w:rsid w:val="00FF6996"/>
    <w:rsid w:val="00FF72F8"/>
    <w:rsid w:val="00FF775C"/>
    <w:rsid w:val="00FF7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71A5"/>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 w:type="paragraph" w:customStyle="1" w:styleId="ecxmsonormal">
    <w:name w:val="ecxmsonormal"/>
    <w:basedOn w:val="Normal"/>
    <w:rsid w:val="00CB7C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43271-B14D-486B-AAFF-53CFFCF4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4437</Words>
  <Characters>24406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4</cp:revision>
  <cp:lastPrinted>2019-04-29T15:22:00Z</cp:lastPrinted>
  <dcterms:created xsi:type="dcterms:W3CDTF">2019-04-29T20:03:00Z</dcterms:created>
  <dcterms:modified xsi:type="dcterms:W3CDTF">2019-04-29T20:27:00Z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