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35" w:rsidRPr="008C2A35" w:rsidRDefault="008C2A35" w:rsidP="008C2A35">
      <w:pPr>
        <w:shd w:val="clear" w:color="auto" w:fill="FFFFFF"/>
        <w:spacing w:after="120"/>
        <w:jc w:val="center"/>
        <w:rPr>
          <w:rFonts w:ascii="Palatino Linotype" w:eastAsia="Times New Roman" w:hAnsi="Palatino Linotype" w:cs="Times New Roman"/>
          <w:b/>
          <w:bCs/>
          <w:lang w:val="es-EC" w:eastAsia="es-ES"/>
        </w:rPr>
      </w:pPr>
      <w:r w:rsidRPr="008C2A35">
        <w:rPr>
          <w:rFonts w:ascii="Palatino Linotype" w:eastAsia="Times New Roman" w:hAnsi="Palatino Linotype" w:cs="Times New Roman"/>
          <w:b/>
          <w:bCs/>
          <w:lang w:val="es-EC" w:eastAsia="es-ES"/>
        </w:rPr>
        <w:t xml:space="preserve">EXPOSICIÓN DE MOTIVOS </w:t>
      </w:r>
    </w:p>
    <w:p w:rsidR="00C14955" w:rsidRPr="008C2A35" w:rsidRDefault="00C14955" w:rsidP="008C2A35">
      <w:pPr>
        <w:shd w:val="clear" w:color="auto" w:fill="FFFFFF"/>
        <w:spacing w:after="120"/>
        <w:ind w:firstLine="708"/>
        <w:jc w:val="both"/>
        <w:rPr>
          <w:rFonts w:ascii="Palatino Linotype" w:eastAsia="Times New Roman" w:hAnsi="Palatino Linotype" w:cs="Times New Roman"/>
          <w:bCs/>
          <w:lang w:val="es-EC" w:eastAsia="es-ES"/>
        </w:rPr>
      </w:pPr>
      <w:r w:rsidRPr="008C2A35">
        <w:rPr>
          <w:rFonts w:ascii="Palatino Linotype" w:eastAsia="Times New Roman" w:hAnsi="Palatino Linotype" w:cs="Times New Roman"/>
          <w:bCs/>
          <w:lang w:val="es-EC" w:eastAsia="es-ES"/>
        </w:rPr>
        <w:t>La Constitución de la República del Ecuador establece que los Gobiernos Autónomos Descentralizados Municipales tienen la competencia exclusiva para planificar el desarrollo cantonal, así como para ejercer el control del uso y ocupación del suelo en el cantón (artículo 264 numeral 1 y 2).</w:t>
      </w:r>
    </w:p>
    <w:p w:rsidR="00C4397F" w:rsidRPr="008C2A35" w:rsidRDefault="00B40B4F" w:rsidP="008C2A35">
      <w:pPr>
        <w:shd w:val="clear" w:color="auto" w:fill="FFFFFF"/>
        <w:spacing w:after="120"/>
        <w:ind w:firstLine="708"/>
        <w:jc w:val="both"/>
        <w:rPr>
          <w:rFonts w:ascii="Palatino Linotype" w:eastAsia="Times New Roman" w:hAnsi="Palatino Linotype" w:cs="Times New Roman"/>
          <w:bCs/>
          <w:lang w:val="es-EC" w:eastAsia="es-ES"/>
        </w:rPr>
      </w:pPr>
      <w:r w:rsidRPr="008C2A35">
        <w:rPr>
          <w:rFonts w:ascii="Palatino Linotype" w:eastAsia="Times New Roman" w:hAnsi="Palatino Linotype" w:cs="Times New Roman"/>
          <w:bCs/>
          <w:lang w:val="es-EC" w:eastAsia="es-ES"/>
        </w:rPr>
        <w:t>L</w:t>
      </w:r>
      <w:r w:rsidR="00C4397F" w:rsidRPr="008C2A35">
        <w:rPr>
          <w:rFonts w:ascii="Palatino Linotype" w:eastAsia="Times New Roman" w:hAnsi="Palatino Linotype" w:cs="Times New Roman"/>
          <w:bCs/>
          <w:lang w:val="es-EC" w:eastAsia="es-ES"/>
        </w:rPr>
        <w:t xml:space="preserve">a Agencia de Coordinación Distrital del Comercio </w:t>
      </w:r>
      <w:r w:rsidRPr="008C2A35">
        <w:rPr>
          <w:rFonts w:ascii="Palatino Linotype" w:eastAsia="Times New Roman" w:hAnsi="Palatino Linotype" w:cs="Times New Roman"/>
          <w:bCs/>
          <w:lang w:val="es-EC" w:eastAsia="es-ES"/>
        </w:rPr>
        <w:t xml:space="preserve">es </w:t>
      </w:r>
      <w:r w:rsidR="00C4397F" w:rsidRPr="008C2A35">
        <w:rPr>
          <w:rFonts w:ascii="Palatino Linotype" w:eastAsia="Times New Roman" w:hAnsi="Palatino Linotype" w:cs="Times New Roman"/>
          <w:bCs/>
          <w:lang w:val="es-EC" w:eastAsia="es-ES"/>
        </w:rPr>
        <w:t xml:space="preserve">el órgano competente para regular el sistema de parqueaderos en los Mercados, Ferias y Plataformas del Distrito Metropolitano de Quito, según lo señalado en la Ordenanza Metropolitano No. 170, </w:t>
      </w:r>
      <w:r w:rsidR="00D25D5F" w:rsidRPr="008C2A35">
        <w:rPr>
          <w:rFonts w:ascii="Palatino Linotype" w:eastAsia="Times New Roman" w:hAnsi="Palatino Linotype" w:cs="Times New Roman"/>
          <w:bCs/>
          <w:lang w:val="es-EC" w:eastAsia="es-ES"/>
        </w:rPr>
        <w:t>por lo que</w:t>
      </w:r>
      <w:r w:rsidRPr="008C2A35">
        <w:rPr>
          <w:rFonts w:ascii="Palatino Linotype" w:eastAsia="Times New Roman" w:hAnsi="Palatino Linotype" w:cs="Times New Roman"/>
          <w:bCs/>
          <w:lang w:val="es-EC" w:eastAsia="es-ES"/>
        </w:rPr>
        <w:t xml:space="preserve"> solicitó</w:t>
      </w:r>
      <w:r w:rsidR="00C4397F" w:rsidRPr="008C2A35">
        <w:rPr>
          <w:rFonts w:ascii="Palatino Linotype" w:eastAsia="Times New Roman" w:hAnsi="Palatino Linotype" w:cs="Times New Roman"/>
          <w:bCs/>
          <w:lang w:val="es-EC" w:eastAsia="es-ES"/>
        </w:rPr>
        <w:t xml:space="preserve"> a la Corporación Financiera Nacional la suscripción de un Fideicomiso, la misma que </w:t>
      </w:r>
      <w:r w:rsidR="00EB24EC" w:rsidRPr="008C2A35">
        <w:rPr>
          <w:rFonts w:ascii="Palatino Linotype" w:eastAsia="Times New Roman" w:hAnsi="Palatino Linotype" w:cs="Times New Roman"/>
          <w:bCs/>
          <w:lang w:val="es-EC" w:eastAsia="es-ES"/>
        </w:rPr>
        <w:t>manifestó</w:t>
      </w:r>
      <w:r w:rsidR="00C4397F" w:rsidRPr="008C2A35">
        <w:rPr>
          <w:rFonts w:ascii="Palatino Linotype" w:eastAsia="Times New Roman" w:hAnsi="Palatino Linotype" w:cs="Times New Roman"/>
          <w:bCs/>
          <w:lang w:val="es-EC" w:eastAsia="es-ES"/>
        </w:rPr>
        <w:t xml:space="preserve"> “</w:t>
      </w:r>
      <w:r w:rsidR="00C4397F" w:rsidRPr="008C2A35">
        <w:rPr>
          <w:rFonts w:ascii="Palatino Linotype" w:eastAsia="Times New Roman" w:hAnsi="Palatino Linotype" w:cs="Times New Roman"/>
          <w:bCs/>
          <w:i/>
          <w:lang w:val="es-EC" w:eastAsia="es-ES"/>
        </w:rPr>
        <w:t>(…) que previo a la constitución del Fideicomiso deberán obtener la autorización emitida por el ente rector de las finanzas públicas, autorización que se concede en casos excepcionales. Y para efectos de obtenerla deberán justificar ante el ente rector que la gestión administrativa financiera regular de la ACDC, no puede realizar la operación que se solicite realizar al Fideicomiso, es decir administrar los valores obtenidos por concepto de recaudación de los parqueaderos que se encuentran ubicados en los mercados, ferias y plataformas municipales, e invertirlos posteriormente en la ejecución de obras en los diferentes mercados del Distrito Metropolitano de Quito. Será importante que tengan presente realizar el análisis necesario para llegar a la conclusión que, según la norma, les permitiría construir el Fideicomiso, si esa actividad ya la han realizado en algún momento o no. De haberla realizado con anterioridad, su análisis debería contemplar también los motivos por los cuales actualmente no se lo puede realizar</w:t>
      </w:r>
      <w:r w:rsidR="00C4397F" w:rsidRPr="008C2A35">
        <w:rPr>
          <w:rFonts w:ascii="Palatino Linotype" w:eastAsia="Times New Roman" w:hAnsi="Palatino Linotype" w:cs="Times New Roman"/>
          <w:bCs/>
          <w:lang w:val="es-EC" w:eastAsia="es-ES"/>
        </w:rPr>
        <w:t>”, por lo que la ACDC se ha tomado la iniciativa de plantear una reforma al Art. 12 de la mencionado Ordenanza.</w:t>
      </w:r>
    </w:p>
    <w:p w:rsidR="00B40B4F" w:rsidRPr="008C2A35" w:rsidRDefault="00B40B4F" w:rsidP="008C2A35">
      <w:pPr>
        <w:shd w:val="clear" w:color="auto" w:fill="FFFFFF"/>
        <w:spacing w:after="120"/>
        <w:ind w:firstLine="708"/>
        <w:jc w:val="both"/>
        <w:rPr>
          <w:rFonts w:ascii="Palatino Linotype" w:hAnsi="Palatino Linotype"/>
        </w:rPr>
      </w:pPr>
      <w:r w:rsidRPr="008C2A35">
        <w:rPr>
          <w:rFonts w:ascii="Palatino Linotype" w:eastAsia="Times New Roman" w:hAnsi="Palatino Linotype" w:cs="Times New Roman"/>
          <w:bCs/>
          <w:lang w:val="es-EC" w:eastAsia="es-ES"/>
        </w:rPr>
        <w:t>Así mismo, la Corporación Financiera Nacional, quien mediante oficio No. GDAF-16930, de fecha 18 de julio del 2017, suscrito p</w:t>
      </w:r>
      <w:r w:rsidR="00337C6A">
        <w:rPr>
          <w:rFonts w:ascii="Palatino Linotype" w:eastAsia="Times New Roman" w:hAnsi="Palatino Linotype" w:cs="Times New Roman"/>
          <w:bCs/>
          <w:lang w:val="es-EC" w:eastAsia="es-ES"/>
        </w:rPr>
        <w:t>or la Ing. Alexandra Castillo, G</w:t>
      </w:r>
      <w:r w:rsidRPr="008C2A35">
        <w:rPr>
          <w:rFonts w:ascii="Palatino Linotype" w:eastAsia="Times New Roman" w:hAnsi="Palatino Linotype" w:cs="Times New Roman"/>
          <w:bCs/>
          <w:lang w:val="es-EC" w:eastAsia="es-ES"/>
        </w:rPr>
        <w:t>erente de División de Administración Fiduciaria de la Corporación Financiera Nacional, estableció entre los problemas más agudos la forma de contar con los recursos necesarios para cubrir el costo de la concesión y la restricción legal para contar con la autorización del Ministerio de Finanzas para la suscrición del fideicomiso.</w:t>
      </w:r>
      <w:r w:rsidRPr="008C2A35">
        <w:rPr>
          <w:rFonts w:ascii="Palatino Linotype" w:hAnsi="Palatino Linotype"/>
        </w:rPr>
        <w:t xml:space="preserve"> </w:t>
      </w:r>
    </w:p>
    <w:p w:rsidR="00C4397F" w:rsidRPr="008C2A35" w:rsidRDefault="00C4397F" w:rsidP="008C2A35">
      <w:pPr>
        <w:shd w:val="clear" w:color="auto" w:fill="FFFFFF"/>
        <w:spacing w:after="120"/>
        <w:ind w:firstLine="708"/>
        <w:jc w:val="both"/>
        <w:rPr>
          <w:rFonts w:ascii="Palatino Linotype" w:eastAsia="Times New Roman" w:hAnsi="Palatino Linotype" w:cs="Times New Roman"/>
          <w:bCs/>
          <w:lang w:val="es-EC" w:eastAsia="es-ES"/>
        </w:rPr>
      </w:pPr>
      <w:r w:rsidRPr="008C2A35">
        <w:rPr>
          <w:rFonts w:ascii="Palatino Linotype" w:eastAsia="Times New Roman" w:hAnsi="Palatino Linotype" w:cs="Times New Roman"/>
          <w:bCs/>
          <w:lang w:val="es-EC" w:eastAsia="es-ES"/>
        </w:rPr>
        <w:t>El objetivo de pla</w:t>
      </w:r>
      <w:r w:rsidR="00337C6A">
        <w:rPr>
          <w:rFonts w:ascii="Palatino Linotype" w:eastAsia="Times New Roman" w:hAnsi="Palatino Linotype" w:cs="Times New Roman"/>
          <w:bCs/>
          <w:lang w:val="es-EC" w:eastAsia="es-ES"/>
        </w:rPr>
        <w:t>n</w:t>
      </w:r>
      <w:r w:rsidRPr="008C2A35">
        <w:rPr>
          <w:rFonts w:ascii="Palatino Linotype" w:eastAsia="Times New Roman" w:hAnsi="Palatino Linotype" w:cs="Times New Roman"/>
          <w:bCs/>
          <w:lang w:val="es-EC" w:eastAsia="es-ES"/>
        </w:rPr>
        <w:t xml:space="preserve">tear esta Ordenanza </w:t>
      </w:r>
      <w:r w:rsidR="00337C6A">
        <w:rPr>
          <w:rFonts w:ascii="Palatino Linotype" w:eastAsia="Times New Roman" w:hAnsi="Palatino Linotype" w:cs="Times New Roman"/>
          <w:bCs/>
          <w:lang w:val="es-EC" w:eastAsia="es-ES"/>
        </w:rPr>
        <w:t>R</w:t>
      </w:r>
      <w:r w:rsidRPr="008C2A35">
        <w:rPr>
          <w:rFonts w:ascii="Palatino Linotype" w:eastAsia="Times New Roman" w:hAnsi="Palatino Linotype" w:cs="Times New Roman"/>
          <w:bCs/>
          <w:lang w:val="es-EC" w:eastAsia="es-ES"/>
        </w:rPr>
        <w:t xml:space="preserve">eformatoria, </w:t>
      </w:r>
      <w:r w:rsidR="00B40B4F" w:rsidRPr="008C2A35">
        <w:rPr>
          <w:rFonts w:ascii="Palatino Linotype" w:eastAsia="Times New Roman" w:hAnsi="Palatino Linotype" w:cs="Times New Roman"/>
          <w:bCs/>
          <w:lang w:val="es-EC" w:eastAsia="es-ES"/>
        </w:rPr>
        <w:t xml:space="preserve">es poder dar una aplicabilidad y </w:t>
      </w:r>
      <w:r w:rsidRPr="008C2A35">
        <w:rPr>
          <w:rFonts w:ascii="Palatino Linotype" w:eastAsia="Times New Roman" w:hAnsi="Palatino Linotype" w:cs="Times New Roman"/>
          <w:bCs/>
          <w:lang w:val="es-EC" w:eastAsia="es-ES"/>
        </w:rPr>
        <w:t xml:space="preserve">constituir para la ciudadanía y para los funcionarios encargados de su implementación, una Norma Técnico Jurídica, que facilite su comprensión y correcta aplicación, relativas al Sistema de Estacionamientos y Terminales del Municipio del Distrito Metropolitano de Quito, </w:t>
      </w:r>
      <w:r w:rsidR="00B40B4F" w:rsidRPr="008C2A35">
        <w:rPr>
          <w:rFonts w:ascii="Palatino Linotype" w:eastAsia="Times New Roman" w:hAnsi="Palatino Linotype" w:cs="Times New Roman"/>
          <w:bCs/>
          <w:lang w:val="es-EC" w:eastAsia="es-ES"/>
        </w:rPr>
        <w:t xml:space="preserve">por lo que la Dirección de Mercados, Ferias y Plataformas de la ACDC, ha emitido </w:t>
      </w:r>
      <w:r w:rsidR="00512157" w:rsidRPr="008C2A35">
        <w:rPr>
          <w:rFonts w:ascii="Palatino Linotype" w:eastAsia="Times New Roman" w:hAnsi="Palatino Linotype" w:cs="Times New Roman"/>
          <w:bCs/>
          <w:lang w:val="es-EC" w:eastAsia="es-ES"/>
        </w:rPr>
        <w:t xml:space="preserve">el Informe No. 003-DMFP-2018, </w:t>
      </w:r>
      <w:r w:rsidR="00B40B4F" w:rsidRPr="008C2A35">
        <w:rPr>
          <w:rFonts w:ascii="Palatino Linotype" w:eastAsia="Times New Roman" w:hAnsi="Palatino Linotype" w:cs="Times New Roman"/>
          <w:bCs/>
          <w:lang w:val="es-EC" w:eastAsia="es-ES"/>
        </w:rPr>
        <w:t xml:space="preserve">sobre la </w:t>
      </w:r>
      <w:r w:rsidR="00B40B4F" w:rsidRPr="008C2A35">
        <w:rPr>
          <w:rFonts w:ascii="Palatino Linotype" w:hAnsi="Palatino Linotype" w:cs="Times New Roman"/>
          <w:color w:val="000000"/>
          <w:shd w:val="clear" w:color="auto" w:fill="FFFFFF"/>
        </w:rPr>
        <w:t xml:space="preserve">situación </w:t>
      </w:r>
      <w:r w:rsidR="00B40B4F" w:rsidRPr="008C2A35">
        <w:rPr>
          <w:rFonts w:ascii="Palatino Linotype" w:hAnsi="Palatino Linotype" w:cs="Times New Roman"/>
          <w:color w:val="000000"/>
          <w:shd w:val="clear" w:color="auto" w:fill="FFFFFF"/>
        </w:rPr>
        <w:lastRenderedPageBreak/>
        <w:t xml:space="preserve">real de los parqueaderos de los Mercados, Ferias y Plataformas, el mismo que </w:t>
      </w:r>
      <w:r w:rsidR="00337C6A">
        <w:rPr>
          <w:rFonts w:ascii="Palatino Linotype" w:hAnsi="Palatino Linotype" w:cs="Times New Roman"/>
          <w:color w:val="000000"/>
          <w:shd w:val="clear" w:color="auto" w:fill="FFFFFF"/>
        </w:rPr>
        <w:t xml:space="preserve">se </w:t>
      </w:r>
      <w:r w:rsidR="00B40B4F" w:rsidRPr="008C2A35">
        <w:rPr>
          <w:rFonts w:ascii="Palatino Linotype" w:hAnsi="Palatino Linotype" w:cs="Times New Roman"/>
          <w:color w:val="000000"/>
          <w:shd w:val="clear" w:color="auto" w:fill="FFFFFF"/>
        </w:rPr>
        <w:t>detall</w:t>
      </w:r>
      <w:r w:rsidR="00337C6A">
        <w:rPr>
          <w:rFonts w:ascii="Palatino Linotype" w:hAnsi="Palatino Linotype" w:cs="Times New Roman"/>
          <w:color w:val="000000"/>
          <w:shd w:val="clear" w:color="auto" w:fill="FFFFFF"/>
        </w:rPr>
        <w:t>a</w:t>
      </w:r>
      <w:r w:rsidR="00B40B4F" w:rsidRPr="008C2A35">
        <w:rPr>
          <w:rFonts w:ascii="Palatino Linotype" w:hAnsi="Palatino Linotype" w:cs="Times New Roman"/>
          <w:color w:val="000000"/>
          <w:shd w:val="clear" w:color="auto" w:fill="FFFFFF"/>
        </w:rPr>
        <w:t xml:space="preserve"> a continuación</w:t>
      </w:r>
      <w:r w:rsidRPr="008C2A35">
        <w:rPr>
          <w:rFonts w:ascii="Palatino Linotype" w:eastAsia="Times New Roman" w:hAnsi="Palatino Linotype" w:cs="Times New Roman"/>
          <w:bCs/>
          <w:lang w:val="es-EC" w:eastAsia="es-ES"/>
        </w:rPr>
        <w:t>.</w:t>
      </w:r>
    </w:p>
    <w:tbl>
      <w:tblPr>
        <w:tblStyle w:val="Cuadrculadetablaclara1"/>
        <w:tblW w:w="0" w:type="auto"/>
        <w:tblLook w:val="04A0" w:firstRow="1" w:lastRow="0" w:firstColumn="1" w:lastColumn="0" w:noHBand="0" w:noVBand="1"/>
      </w:tblPr>
      <w:tblGrid>
        <w:gridCol w:w="8494"/>
      </w:tblGrid>
      <w:tr w:rsidR="00B40B4F" w:rsidRPr="008C2A35" w:rsidTr="00337C6A">
        <w:tc>
          <w:tcPr>
            <w:tcW w:w="8494" w:type="dxa"/>
          </w:tcPr>
          <w:p w:rsidR="00B40B4F" w:rsidRPr="008C2A35" w:rsidRDefault="00337C6A" w:rsidP="00337C6A">
            <w:pPr>
              <w:tabs>
                <w:tab w:val="left" w:pos="1457"/>
              </w:tabs>
              <w:spacing w:after="120"/>
              <w:jc w:val="both"/>
              <w:rPr>
                <w:rFonts w:ascii="Palatino Linotype" w:hAnsi="Palatino Linotype" w:cs="Times New Roman"/>
                <w:b/>
                <w:lang w:eastAsia="es-EC"/>
              </w:rPr>
            </w:pPr>
            <w:r>
              <w:rPr>
                <w:rFonts w:ascii="Palatino Linotype" w:hAnsi="Palatino Linotype" w:cs="Times New Roman"/>
                <w:b/>
                <w:lang w:eastAsia="es-EC"/>
              </w:rPr>
              <w:t>ANÁ</w:t>
            </w:r>
            <w:r w:rsidR="00B40B4F" w:rsidRPr="008C2A35">
              <w:rPr>
                <w:rFonts w:ascii="Palatino Linotype" w:hAnsi="Palatino Linotype" w:cs="Times New Roman"/>
                <w:b/>
                <w:lang w:eastAsia="es-EC"/>
              </w:rPr>
              <w:t>LISIS ECON</w:t>
            </w:r>
            <w:r>
              <w:rPr>
                <w:rFonts w:ascii="Palatino Linotype" w:hAnsi="Palatino Linotype" w:cs="Times New Roman"/>
                <w:b/>
                <w:lang w:eastAsia="es-EC"/>
              </w:rPr>
              <w:t>Ó</w:t>
            </w:r>
            <w:r w:rsidR="00B40B4F" w:rsidRPr="008C2A35">
              <w:rPr>
                <w:rFonts w:ascii="Palatino Linotype" w:hAnsi="Palatino Linotype" w:cs="Times New Roman"/>
                <w:b/>
                <w:lang w:eastAsia="es-EC"/>
              </w:rPr>
              <w:t>MICO - SITUACIONAL</w:t>
            </w:r>
          </w:p>
        </w:tc>
      </w:tr>
      <w:tr w:rsidR="00B40B4F" w:rsidRPr="008C2A35" w:rsidTr="00337C6A">
        <w:tblPrEx>
          <w:tblCellMar>
            <w:left w:w="70" w:type="dxa"/>
            <w:right w:w="70" w:type="dxa"/>
          </w:tblCellMar>
        </w:tblPrEx>
        <w:tc>
          <w:tcPr>
            <w:tcW w:w="8494" w:type="dxa"/>
          </w:tcPr>
          <w:p w:rsidR="00B40B4F" w:rsidRDefault="00B40B4F" w:rsidP="008C2A35">
            <w:pPr>
              <w:numPr>
                <w:ilvl w:val="0"/>
                <w:numId w:val="26"/>
              </w:numPr>
              <w:spacing w:after="120"/>
              <w:contextualSpacing/>
              <w:rPr>
                <w:rFonts w:ascii="Palatino Linotype" w:hAnsi="Palatino Linotype" w:cs="Times New Roman"/>
                <w:lang w:val="es-ES_tradnl" w:eastAsia="es-EC"/>
              </w:rPr>
            </w:pPr>
            <w:r w:rsidRPr="008C2A35">
              <w:rPr>
                <w:rFonts w:ascii="Palatino Linotype" w:hAnsi="Palatino Linotype" w:cs="Times New Roman"/>
                <w:lang w:val="es-ES_tradnl" w:eastAsia="es-EC"/>
              </w:rPr>
              <w:t>En el grafico determinamos los mercados que poseen parqueaderos.</w:t>
            </w:r>
          </w:p>
          <w:p w:rsidR="00337C6A" w:rsidRPr="008C2A35" w:rsidRDefault="00337C6A" w:rsidP="00337C6A">
            <w:pPr>
              <w:spacing w:after="120"/>
              <w:ind w:left="720"/>
              <w:contextualSpacing/>
              <w:rPr>
                <w:rFonts w:ascii="Palatino Linotype" w:hAnsi="Palatino Linotype" w:cs="Times New Roman"/>
                <w:lang w:val="es-ES_tradnl" w:eastAsia="es-EC"/>
              </w:rPr>
            </w:pPr>
          </w:p>
          <w:tbl>
            <w:tblPr>
              <w:tblW w:w="3974" w:type="dxa"/>
              <w:jc w:val="center"/>
              <w:tblCellMar>
                <w:left w:w="70" w:type="dxa"/>
                <w:right w:w="70" w:type="dxa"/>
              </w:tblCellMar>
              <w:tblLook w:val="04A0" w:firstRow="1" w:lastRow="0" w:firstColumn="1" w:lastColumn="0" w:noHBand="0" w:noVBand="1"/>
            </w:tblPr>
            <w:tblGrid>
              <w:gridCol w:w="3008"/>
              <w:gridCol w:w="985"/>
            </w:tblGrid>
            <w:tr w:rsidR="00B40B4F" w:rsidRPr="00337C6A" w:rsidTr="00337C6A">
              <w:trPr>
                <w:trHeight w:val="276"/>
                <w:jc w:val="center"/>
              </w:trPr>
              <w:tc>
                <w:tcPr>
                  <w:tcW w:w="3974" w:type="dxa"/>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40B4F" w:rsidRPr="00337C6A" w:rsidRDefault="00B40B4F" w:rsidP="00337C6A">
                  <w:pPr>
                    <w:spacing w:after="120"/>
                    <w:jc w:val="center"/>
                    <w:rPr>
                      <w:rFonts w:ascii="Palatino Linotype" w:eastAsia="Times New Roman" w:hAnsi="Palatino Linotype" w:cs="Times New Roman"/>
                      <w:b/>
                      <w:color w:val="FFFFFF" w:themeColor="background1"/>
                      <w:sz w:val="20"/>
                      <w:szCs w:val="20"/>
                      <w:lang w:val="es-EC" w:eastAsia="es-EC"/>
                    </w:rPr>
                  </w:pPr>
                  <w:r w:rsidRPr="00337C6A">
                    <w:rPr>
                      <w:rFonts w:ascii="Palatino Linotype" w:eastAsia="Times New Roman" w:hAnsi="Palatino Linotype" w:cs="Times New Roman"/>
                      <w:b/>
                      <w:color w:val="FFFFFF" w:themeColor="background1"/>
                      <w:sz w:val="20"/>
                      <w:szCs w:val="20"/>
                      <w:lang w:val="es-EC" w:eastAsia="es-EC"/>
                    </w:rPr>
                    <w:t xml:space="preserve">Mercados de Quito - </w:t>
                  </w:r>
                  <w:r w:rsidR="00337C6A" w:rsidRPr="00337C6A">
                    <w:rPr>
                      <w:rFonts w:ascii="Palatino Linotype" w:eastAsia="Times New Roman" w:hAnsi="Palatino Linotype" w:cs="Times New Roman"/>
                      <w:b/>
                      <w:color w:val="FFFFFF" w:themeColor="background1"/>
                      <w:sz w:val="20"/>
                      <w:szCs w:val="20"/>
                      <w:lang w:val="es-EC" w:eastAsia="es-EC"/>
                    </w:rPr>
                    <w:t>E</w:t>
                  </w:r>
                  <w:r w:rsidRPr="00337C6A">
                    <w:rPr>
                      <w:rFonts w:ascii="Palatino Linotype" w:eastAsia="Times New Roman" w:hAnsi="Palatino Linotype" w:cs="Times New Roman"/>
                      <w:b/>
                      <w:color w:val="FFFFFF" w:themeColor="background1"/>
                      <w:sz w:val="20"/>
                      <w:szCs w:val="20"/>
                      <w:lang w:val="es-EC" w:eastAsia="es-EC"/>
                    </w:rPr>
                    <w:t xml:space="preserve">stacionamientos </w:t>
                  </w:r>
                </w:p>
              </w:tc>
            </w:tr>
            <w:tr w:rsidR="00B40B4F" w:rsidRPr="00337C6A" w:rsidTr="00337C6A">
              <w:trPr>
                <w:trHeight w:val="276"/>
                <w:jc w:val="center"/>
              </w:trPr>
              <w:tc>
                <w:tcPr>
                  <w:tcW w:w="3008" w:type="dxa"/>
                  <w:tcBorders>
                    <w:top w:val="nil"/>
                    <w:left w:val="single" w:sz="4" w:space="0" w:color="auto"/>
                    <w:bottom w:val="single" w:sz="4" w:space="0" w:color="auto"/>
                    <w:right w:val="single" w:sz="4" w:space="0" w:color="auto"/>
                  </w:tcBorders>
                  <w:shd w:val="clear" w:color="auto" w:fill="0070C0"/>
                  <w:noWrap/>
                  <w:vAlign w:val="bottom"/>
                  <w:hideMark/>
                </w:tcPr>
                <w:p w:rsidR="00B40B4F" w:rsidRPr="00337C6A" w:rsidRDefault="00B40B4F" w:rsidP="008C2A35">
                  <w:pPr>
                    <w:spacing w:after="120"/>
                    <w:rPr>
                      <w:rFonts w:ascii="Palatino Linotype" w:eastAsia="Times New Roman" w:hAnsi="Palatino Linotype" w:cs="Times New Roman"/>
                      <w:b/>
                      <w:color w:val="FFFFFF" w:themeColor="background1"/>
                      <w:sz w:val="20"/>
                      <w:szCs w:val="20"/>
                      <w:lang w:val="es-EC" w:eastAsia="es-EC"/>
                    </w:rPr>
                  </w:pPr>
                  <w:r w:rsidRPr="00337C6A">
                    <w:rPr>
                      <w:rFonts w:ascii="Palatino Linotype" w:eastAsia="Times New Roman" w:hAnsi="Palatino Linotype" w:cs="Times New Roman"/>
                      <w:b/>
                      <w:color w:val="FFFFFF" w:themeColor="background1"/>
                      <w:sz w:val="20"/>
                      <w:szCs w:val="20"/>
                      <w:lang w:val="es-EC" w:eastAsia="es-EC"/>
                    </w:rPr>
                    <w:t>Descripción</w:t>
                  </w:r>
                </w:p>
              </w:tc>
              <w:tc>
                <w:tcPr>
                  <w:tcW w:w="966" w:type="dxa"/>
                  <w:tcBorders>
                    <w:top w:val="nil"/>
                    <w:left w:val="nil"/>
                    <w:bottom w:val="single" w:sz="4" w:space="0" w:color="auto"/>
                    <w:right w:val="single" w:sz="4" w:space="0" w:color="auto"/>
                  </w:tcBorders>
                  <w:shd w:val="clear" w:color="auto" w:fill="0070C0"/>
                  <w:noWrap/>
                  <w:vAlign w:val="bottom"/>
                  <w:hideMark/>
                </w:tcPr>
                <w:p w:rsidR="00B40B4F" w:rsidRPr="00337C6A" w:rsidRDefault="00B40B4F" w:rsidP="008C2A35">
                  <w:pPr>
                    <w:spacing w:after="120"/>
                    <w:jc w:val="center"/>
                    <w:rPr>
                      <w:rFonts w:ascii="Palatino Linotype" w:eastAsia="Times New Roman" w:hAnsi="Palatino Linotype" w:cs="Times New Roman"/>
                      <w:b/>
                      <w:color w:val="FFFFFF" w:themeColor="background1"/>
                      <w:sz w:val="20"/>
                      <w:szCs w:val="20"/>
                      <w:lang w:val="es-EC" w:eastAsia="es-EC"/>
                    </w:rPr>
                  </w:pPr>
                  <w:r w:rsidRPr="00337C6A">
                    <w:rPr>
                      <w:rFonts w:ascii="Palatino Linotype" w:eastAsia="Times New Roman" w:hAnsi="Palatino Linotype" w:cs="Times New Roman"/>
                      <w:b/>
                      <w:color w:val="FFFFFF" w:themeColor="background1"/>
                      <w:sz w:val="20"/>
                      <w:szCs w:val="20"/>
                      <w:lang w:val="es-EC" w:eastAsia="es-EC"/>
                    </w:rPr>
                    <w:t>Cantidad</w:t>
                  </w:r>
                </w:p>
              </w:tc>
            </w:tr>
            <w:tr w:rsidR="00B40B4F" w:rsidRPr="00337C6A" w:rsidTr="00337C6A">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Mercados sin Estacionamiento</w:t>
                  </w:r>
                </w:p>
              </w:tc>
              <w:tc>
                <w:tcPr>
                  <w:tcW w:w="966"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29</w:t>
                  </w:r>
                </w:p>
              </w:tc>
            </w:tr>
            <w:tr w:rsidR="00B40B4F" w:rsidRPr="00337C6A" w:rsidTr="00337C6A">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Mercados con Estacionamiento</w:t>
                  </w:r>
                </w:p>
              </w:tc>
              <w:tc>
                <w:tcPr>
                  <w:tcW w:w="966"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26</w:t>
                  </w:r>
                </w:p>
              </w:tc>
            </w:tr>
            <w:tr w:rsidR="00B40B4F" w:rsidRPr="00337C6A" w:rsidTr="00337C6A">
              <w:trPr>
                <w:trHeight w:val="276"/>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 xml:space="preserve">TOTAL DE  MERCADOS </w:t>
                  </w:r>
                </w:p>
              </w:tc>
              <w:tc>
                <w:tcPr>
                  <w:tcW w:w="966"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55</w:t>
                  </w:r>
                </w:p>
              </w:tc>
            </w:tr>
          </w:tbl>
          <w:p w:rsidR="00B40B4F" w:rsidRPr="008C2A35" w:rsidRDefault="00B40B4F" w:rsidP="008C2A35">
            <w:pPr>
              <w:spacing w:after="120"/>
              <w:contextualSpacing/>
              <w:rPr>
                <w:rFonts w:ascii="Palatino Linotype" w:hAnsi="Palatino Linotype" w:cs="Times New Roman"/>
                <w:lang w:val="es-ES_tradnl" w:eastAsia="es-EC"/>
              </w:rPr>
            </w:pPr>
          </w:p>
          <w:p w:rsidR="00B40B4F" w:rsidRPr="008C2A35" w:rsidRDefault="00B40B4F" w:rsidP="008C2A35">
            <w:pPr>
              <w:spacing w:after="120"/>
              <w:contextualSpacing/>
              <w:jc w:val="center"/>
              <w:rPr>
                <w:rFonts w:ascii="Palatino Linotype" w:hAnsi="Palatino Linotype" w:cs="Times New Roman"/>
                <w:lang w:val="es-ES_tradnl" w:eastAsia="es-EC"/>
              </w:rPr>
            </w:pPr>
            <w:r w:rsidRPr="008C2A35">
              <w:rPr>
                <w:rFonts w:ascii="Palatino Linotype" w:hAnsi="Palatino Linotype" w:cs="Times New Roman"/>
                <w:noProof/>
                <w:lang w:eastAsia="es-EC"/>
              </w:rPr>
              <w:drawing>
                <wp:inline distT="0" distB="0" distL="0" distR="0" wp14:anchorId="04020455" wp14:editId="5C6CF031">
                  <wp:extent cx="3343275" cy="22098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7C6A" w:rsidRDefault="00337C6A" w:rsidP="008C2A35">
            <w:pPr>
              <w:spacing w:after="120"/>
              <w:ind w:left="360"/>
              <w:contextualSpacing/>
              <w:jc w:val="both"/>
              <w:rPr>
                <w:rFonts w:ascii="Palatino Linotype" w:hAnsi="Palatino Linotype" w:cs="Times New Roman"/>
                <w:lang w:val="es-ES_tradnl" w:eastAsia="es-EC"/>
              </w:rPr>
            </w:pPr>
          </w:p>
          <w:p w:rsidR="00B40B4F" w:rsidRPr="008C2A35" w:rsidRDefault="00337C6A" w:rsidP="008C2A35">
            <w:pPr>
              <w:spacing w:after="120"/>
              <w:ind w:left="360"/>
              <w:contextualSpacing/>
              <w:jc w:val="both"/>
              <w:rPr>
                <w:rFonts w:ascii="Palatino Linotype" w:hAnsi="Palatino Linotype" w:cs="Times New Roman"/>
                <w:lang w:val="es-ES_tradnl" w:eastAsia="es-EC"/>
              </w:rPr>
            </w:pPr>
            <w:r>
              <w:rPr>
                <w:rFonts w:ascii="Palatino Linotype" w:hAnsi="Palatino Linotype" w:cs="Times New Roman"/>
                <w:lang w:val="es-ES_tradnl" w:eastAsia="es-EC"/>
              </w:rPr>
              <w:tab/>
            </w:r>
            <w:r w:rsidR="00B40B4F" w:rsidRPr="008C2A35">
              <w:rPr>
                <w:rFonts w:ascii="Palatino Linotype" w:hAnsi="Palatino Linotype" w:cs="Times New Roman"/>
                <w:lang w:val="es-ES_tradnl" w:eastAsia="es-EC"/>
              </w:rPr>
              <w:t>Dentro del análisis corresponde determinar que mercados con parqueadero efectúan el cobro por estacionamientos</w:t>
            </w:r>
          </w:p>
          <w:p w:rsidR="00B40B4F" w:rsidRPr="008C2A35" w:rsidRDefault="00B40B4F" w:rsidP="008C2A35">
            <w:pPr>
              <w:spacing w:after="120"/>
              <w:contextualSpacing/>
              <w:jc w:val="both"/>
              <w:rPr>
                <w:rFonts w:ascii="Palatino Linotype" w:hAnsi="Palatino Linotype" w:cs="Times New Roman"/>
                <w:lang w:val="es-ES_tradnl" w:eastAsia="es-EC"/>
              </w:rPr>
            </w:pPr>
          </w:p>
          <w:tbl>
            <w:tblPr>
              <w:tblW w:w="4264" w:type="dxa"/>
              <w:jc w:val="center"/>
              <w:tblCellMar>
                <w:left w:w="70" w:type="dxa"/>
                <w:right w:w="70" w:type="dxa"/>
              </w:tblCellMar>
              <w:tblLook w:val="04A0" w:firstRow="1" w:lastRow="0" w:firstColumn="1" w:lastColumn="0" w:noHBand="0" w:noVBand="1"/>
            </w:tblPr>
            <w:tblGrid>
              <w:gridCol w:w="3232"/>
              <w:gridCol w:w="1032"/>
            </w:tblGrid>
            <w:tr w:rsidR="00B40B4F" w:rsidRPr="00337C6A" w:rsidTr="00337C6A">
              <w:trPr>
                <w:trHeight w:val="261"/>
                <w:jc w:val="center"/>
              </w:trPr>
              <w:tc>
                <w:tcPr>
                  <w:tcW w:w="4264" w:type="dxa"/>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40B4F" w:rsidRPr="00337C6A" w:rsidRDefault="00337C6A" w:rsidP="00337C6A">
                  <w:pPr>
                    <w:spacing w:after="120"/>
                    <w:jc w:val="center"/>
                    <w:rPr>
                      <w:rFonts w:ascii="Palatino Linotype" w:eastAsia="Times New Roman" w:hAnsi="Palatino Linotype" w:cs="Times New Roman"/>
                      <w:b/>
                      <w:color w:val="FFFFFF" w:themeColor="background1"/>
                      <w:sz w:val="20"/>
                      <w:szCs w:val="20"/>
                      <w:lang w:val="es-EC" w:eastAsia="es-EC"/>
                    </w:rPr>
                  </w:pPr>
                  <w:r>
                    <w:rPr>
                      <w:rFonts w:ascii="Palatino Linotype" w:eastAsia="Times New Roman" w:hAnsi="Palatino Linotype" w:cs="Times New Roman"/>
                      <w:b/>
                      <w:color w:val="FFFFFF" w:themeColor="background1"/>
                      <w:sz w:val="20"/>
                      <w:szCs w:val="20"/>
                      <w:lang w:val="es-EC" w:eastAsia="es-EC"/>
                    </w:rPr>
                    <w:t>Mercados de Quito</w:t>
                  </w:r>
                  <w:r w:rsidR="00B40B4F" w:rsidRPr="00337C6A">
                    <w:rPr>
                      <w:rFonts w:ascii="Palatino Linotype" w:eastAsia="Times New Roman" w:hAnsi="Palatino Linotype" w:cs="Times New Roman"/>
                      <w:b/>
                      <w:color w:val="FFFFFF" w:themeColor="background1"/>
                      <w:sz w:val="20"/>
                      <w:szCs w:val="20"/>
                      <w:lang w:val="es-EC" w:eastAsia="es-EC"/>
                    </w:rPr>
                    <w:t xml:space="preserve"> con </w:t>
                  </w:r>
                  <w:r>
                    <w:rPr>
                      <w:rFonts w:ascii="Palatino Linotype" w:eastAsia="Times New Roman" w:hAnsi="Palatino Linotype" w:cs="Times New Roman"/>
                      <w:b/>
                      <w:color w:val="FFFFFF" w:themeColor="background1"/>
                      <w:sz w:val="20"/>
                      <w:szCs w:val="20"/>
                      <w:lang w:val="es-EC" w:eastAsia="es-EC"/>
                    </w:rPr>
                    <w:t>E</w:t>
                  </w:r>
                  <w:r w:rsidR="00B40B4F" w:rsidRPr="00337C6A">
                    <w:rPr>
                      <w:rFonts w:ascii="Palatino Linotype" w:eastAsia="Times New Roman" w:hAnsi="Palatino Linotype" w:cs="Times New Roman"/>
                      <w:b/>
                      <w:color w:val="FFFFFF" w:themeColor="background1"/>
                      <w:sz w:val="20"/>
                      <w:szCs w:val="20"/>
                      <w:lang w:val="es-EC" w:eastAsia="es-EC"/>
                    </w:rPr>
                    <w:t>stacionamiento</w:t>
                  </w:r>
                </w:p>
              </w:tc>
            </w:tr>
            <w:tr w:rsidR="00B40B4F" w:rsidRPr="00337C6A" w:rsidTr="00337C6A">
              <w:trPr>
                <w:trHeight w:val="261"/>
                <w:jc w:val="center"/>
              </w:trPr>
              <w:tc>
                <w:tcPr>
                  <w:tcW w:w="3232" w:type="dxa"/>
                  <w:tcBorders>
                    <w:top w:val="nil"/>
                    <w:left w:val="single" w:sz="4" w:space="0" w:color="auto"/>
                    <w:bottom w:val="single" w:sz="4" w:space="0" w:color="auto"/>
                    <w:right w:val="single" w:sz="4" w:space="0" w:color="auto"/>
                  </w:tcBorders>
                  <w:shd w:val="clear" w:color="auto" w:fill="0070C0"/>
                  <w:noWrap/>
                  <w:vAlign w:val="bottom"/>
                  <w:hideMark/>
                </w:tcPr>
                <w:p w:rsidR="00B40B4F" w:rsidRPr="00337C6A" w:rsidRDefault="00B40B4F" w:rsidP="008C2A35">
                  <w:pPr>
                    <w:spacing w:after="120"/>
                    <w:jc w:val="center"/>
                    <w:rPr>
                      <w:rFonts w:ascii="Palatino Linotype" w:eastAsia="Times New Roman" w:hAnsi="Palatino Linotype" w:cs="Times New Roman"/>
                      <w:b/>
                      <w:color w:val="FFFFFF" w:themeColor="background1"/>
                      <w:sz w:val="20"/>
                      <w:szCs w:val="20"/>
                      <w:lang w:val="es-EC" w:eastAsia="es-EC"/>
                    </w:rPr>
                  </w:pPr>
                  <w:r w:rsidRPr="00337C6A">
                    <w:rPr>
                      <w:rFonts w:ascii="Palatino Linotype" w:eastAsia="Times New Roman" w:hAnsi="Palatino Linotype" w:cs="Times New Roman"/>
                      <w:b/>
                      <w:color w:val="FFFFFF" w:themeColor="background1"/>
                      <w:sz w:val="20"/>
                      <w:szCs w:val="20"/>
                      <w:lang w:val="es-EC" w:eastAsia="es-EC"/>
                    </w:rPr>
                    <w:t>Descripción</w:t>
                  </w:r>
                </w:p>
              </w:tc>
              <w:tc>
                <w:tcPr>
                  <w:tcW w:w="1031" w:type="dxa"/>
                  <w:tcBorders>
                    <w:top w:val="nil"/>
                    <w:left w:val="nil"/>
                    <w:bottom w:val="single" w:sz="4" w:space="0" w:color="auto"/>
                    <w:right w:val="single" w:sz="4" w:space="0" w:color="auto"/>
                  </w:tcBorders>
                  <w:shd w:val="clear" w:color="auto" w:fill="0070C0"/>
                  <w:noWrap/>
                  <w:vAlign w:val="bottom"/>
                  <w:hideMark/>
                </w:tcPr>
                <w:p w:rsidR="00B40B4F" w:rsidRPr="00337C6A" w:rsidRDefault="00B40B4F" w:rsidP="008C2A35">
                  <w:pPr>
                    <w:spacing w:after="120"/>
                    <w:jc w:val="center"/>
                    <w:rPr>
                      <w:rFonts w:ascii="Palatino Linotype" w:eastAsia="Times New Roman" w:hAnsi="Palatino Linotype" w:cs="Times New Roman"/>
                      <w:b/>
                      <w:color w:val="FFFFFF" w:themeColor="background1"/>
                      <w:sz w:val="20"/>
                      <w:szCs w:val="20"/>
                      <w:lang w:val="es-EC" w:eastAsia="es-EC"/>
                    </w:rPr>
                  </w:pPr>
                  <w:r w:rsidRPr="00337C6A">
                    <w:rPr>
                      <w:rFonts w:ascii="Palatino Linotype" w:eastAsia="Times New Roman" w:hAnsi="Palatino Linotype" w:cs="Times New Roman"/>
                      <w:b/>
                      <w:color w:val="FFFFFF" w:themeColor="background1"/>
                      <w:sz w:val="20"/>
                      <w:szCs w:val="20"/>
                      <w:lang w:val="es-EC" w:eastAsia="es-EC"/>
                    </w:rPr>
                    <w:t>Cantidad</w:t>
                  </w:r>
                </w:p>
              </w:tc>
            </w:tr>
            <w:tr w:rsidR="00B40B4F" w:rsidRPr="00337C6A" w:rsidTr="00C144E8">
              <w:trPr>
                <w:trHeight w:val="261"/>
                <w:jc w:val="center"/>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Mercados que efectúa cobro</w:t>
                  </w:r>
                </w:p>
              </w:tc>
              <w:tc>
                <w:tcPr>
                  <w:tcW w:w="1031"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13</w:t>
                  </w:r>
                </w:p>
              </w:tc>
            </w:tr>
            <w:tr w:rsidR="00B40B4F" w:rsidRPr="00337C6A" w:rsidTr="00C144E8">
              <w:trPr>
                <w:trHeight w:val="261"/>
                <w:jc w:val="center"/>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Mercados que no cobran</w:t>
                  </w:r>
                </w:p>
              </w:tc>
              <w:tc>
                <w:tcPr>
                  <w:tcW w:w="1031"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13</w:t>
                  </w:r>
                </w:p>
              </w:tc>
            </w:tr>
            <w:tr w:rsidR="00B40B4F" w:rsidRPr="00337C6A" w:rsidTr="00C144E8">
              <w:trPr>
                <w:trHeight w:val="261"/>
                <w:jc w:val="center"/>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 xml:space="preserve">TOTAL DE  MERCADOS </w:t>
                  </w:r>
                </w:p>
              </w:tc>
              <w:tc>
                <w:tcPr>
                  <w:tcW w:w="1031"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26</w:t>
                  </w:r>
                </w:p>
              </w:tc>
            </w:tr>
          </w:tbl>
          <w:p w:rsidR="00B40B4F" w:rsidRPr="008C2A35" w:rsidRDefault="00B40B4F" w:rsidP="008C2A35">
            <w:pPr>
              <w:spacing w:after="120"/>
              <w:contextualSpacing/>
              <w:rPr>
                <w:rFonts w:ascii="Palatino Linotype" w:hAnsi="Palatino Linotype" w:cs="Times New Roman"/>
                <w:lang w:val="es-ES_tradnl" w:eastAsia="es-EC"/>
              </w:rPr>
            </w:pPr>
          </w:p>
          <w:p w:rsidR="00B40B4F" w:rsidRPr="008C2A35" w:rsidRDefault="00B40B4F" w:rsidP="008C2A35">
            <w:pPr>
              <w:spacing w:after="120"/>
              <w:contextualSpacing/>
              <w:jc w:val="center"/>
              <w:rPr>
                <w:rFonts w:ascii="Palatino Linotype" w:hAnsi="Palatino Linotype" w:cs="Times New Roman"/>
                <w:lang w:val="es-ES_tradnl" w:eastAsia="es-EC"/>
              </w:rPr>
            </w:pPr>
            <w:r w:rsidRPr="008C2A35">
              <w:rPr>
                <w:rFonts w:ascii="Palatino Linotype" w:hAnsi="Palatino Linotype" w:cs="Times New Roman"/>
                <w:noProof/>
                <w:lang w:eastAsia="es-EC"/>
              </w:rPr>
              <w:lastRenderedPageBreak/>
              <w:drawing>
                <wp:inline distT="0" distB="0" distL="0" distR="0" wp14:anchorId="5A47744C" wp14:editId="0245620D">
                  <wp:extent cx="3790950" cy="21240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0B4F" w:rsidRPr="008C2A35" w:rsidRDefault="00B40B4F" w:rsidP="008C2A35">
            <w:pPr>
              <w:spacing w:after="120"/>
              <w:contextualSpacing/>
              <w:jc w:val="center"/>
              <w:rPr>
                <w:rFonts w:ascii="Palatino Linotype" w:hAnsi="Palatino Linotype" w:cs="Times New Roman"/>
                <w:lang w:val="es-ES_tradnl" w:eastAsia="es-EC"/>
              </w:rPr>
            </w:pPr>
          </w:p>
          <w:tbl>
            <w:tblPr>
              <w:tblW w:w="8023" w:type="dxa"/>
              <w:jc w:val="center"/>
              <w:tblCellMar>
                <w:left w:w="70" w:type="dxa"/>
                <w:right w:w="70" w:type="dxa"/>
              </w:tblCellMar>
              <w:tblLook w:val="04A0" w:firstRow="1" w:lastRow="0" w:firstColumn="1" w:lastColumn="0" w:noHBand="0" w:noVBand="1"/>
            </w:tblPr>
            <w:tblGrid>
              <w:gridCol w:w="2466"/>
              <w:gridCol w:w="1449"/>
              <w:gridCol w:w="337"/>
              <w:gridCol w:w="2466"/>
              <w:gridCol w:w="1305"/>
            </w:tblGrid>
            <w:tr w:rsidR="00B40B4F" w:rsidRPr="00337C6A" w:rsidTr="00337C6A">
              <w:trPr>
                <w:trHeight w:val="465"/>
                <w:jc w:val="center"/>
              </w:trPr>
              <w:tc>
                <w:tcPr>
                  <w:tcW w:w="2466"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B40B4F" w:rsidRPr="00337C6A" w:rsidRDefault="00B40B4F" w:rsidP="008C2A35">
                  <w:pPr>
                    <w:spacing w:after="120"/>
                    <w:rPr>
                      <w:rFonts w:ascii="Palatino Linotype" w:eastAsia="Times New Roman" w:hAnsi="Palatino Linotype" w:cs="Times New Roman"/>
                      <w:b/>
                      <w:bCs/>
                      <w:color w:val="FFFFFF" w:themeColor="background1"/>
                      <w:sz w:val="20"/>
                      <w:szCs w:val="20"/>
                      <w:lang w:val="es-EC" w:eastAsia="es-EC"/>
                    </w:rPr>
                  </w:pPr>
                  <w:r w:rsidRPr="00337C6A">
                    <w:rPr>
                      <w:rFonts w:ascii="Palatino Linotype" w:eastAsia="Times New Roman" w:hAnsi="Palatino Linotype" w:cs="Times New Roman"/>
                      <w:b/>
                      <w:bCs/>
                      <w:color w:val="FFFFFF" w:themeColor="background1"/>
                      <w:sz w:val="20"/>
                      <w:szCs w:val="20"/>
                      <w:lang w:val="es-EC" w:eastAsia="es-EC"/>
                    </w:rPr>
                    <w:t>Mercados sin cobro de parqueadero</w:t>
                  </w:r>
                </w:p>
              </w:tc>
              <w:tc>
                <w:tcPr>
                  <w:tcW w:w="1449" w:type="dxa"/>
                  <w:tcBorders>
                    <w:top w:val="single" w:sz="4" w:space="0" w:color="auto"/>
                    <w:left w:val="nil"/>
                    <w:bottom w:val="single" w:sz="4" w:space="0" w:color="auto"/>
                    <w:right w:val="single" w:sz="4" w:space="0" w:color="auto"/>
                  </w:tcBorders>
                  <w:shd w:val="clear" w:color="auto" w:fill="0070C0"/>
                  <w:vAlign w:val="bottom"/>
                  <w:hideMark/>
                </w:tcPr>
                <w:p w:rsidR="00B40B4F" w:rsidRPr="00337C6A" w:rsidRDefault="00B40B4F" w:rsidP="008C2A35">
                  <w:pPr>
                    <w:spacing w:after="120"/>
                    <w:rPr>
                      <w:rFonts w:ascii="Palatino Linotype" w:eastAsia="Times New Roman" w:hAnsi="Palatino Linotype" w:cs="Times New Roman"/>
                      <w:b/>
                      <w:bCs/>
                      <w:color w:val="FFFFFF" w:themeColor="background1"/>
                      <w:sz w:val="20"/>
                      <w:szCs w:val="20"/>
                      <w:lang w:val="es-EC" w:eastAsia="es-EC"/>
                    </w:rPr>
                  </w:pPr>
                  <w:r w:rsidRPr="00337C6A">
                    <w:rPr>
                      <w:rFonts w:ascii="Palatino Linotype" w:eastAsia="Times New Roman" w:hAnsi="Palatino Linotype" w:cs="Times New Roman"/>
                      <w:b/>
                      <w:bCs/>
                      <w:color w:val="FFFFFF" w:themeColor="background1"/>
                      <w:sz w:val="20"/>
                      <w:szCs w:val="20"/>
                      <w:lang w:val="es-EC" w:eastAsia="es-EC"/>
                    </w:rPr>
                    <w:t xml:space="preserve">Puestos </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b/>
                      <w:bCs/>
                      <w:color w:val="000000"/>
                      <w:sz w:val="20"/>
                      <w:szCs w:val="20"/>
                      <w:lang w:val="es-EC" w:eastAsia="es-EC"/>
                    </w:rPr>
                  </w:pPr>
                </w:p>
              </w:tc>
              <w:tc>
                <w:tcPr>
                  <w:tcW w:w="2466"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B40B4F" w:rsidRPr="00337C6A" w:rsidRDefault="00B40B4F" w:rsidP="008C2A35">
                  <w:pPr>
                    <w:spacing w:after="120"/>
                    <w:rPr>
                      <w:rFonts w:ascii="Palatino Linotype" w:eastAsia="Times New Roman" w:hAnsi="Palatino Linotype" w:cs="Times New Roman"/>
                      <w:b/>
                      <w:bCs/>
                      <w:color w:val="FFFFFF" w:themeColor="background1"/>
                      <w:sz w:val="20"/>
                      <w:szCs w:val="20"/>
                      <w:lang w:val="es-EC" w:eastAsia="es-EC"/>
                    </w:rPr>
                  </w:pPr>
                  <w:r w:rsidRPr="00337C6A">
                    <w:rPr>
                      <w:rFonts w:ascii="Palatino Linotype" w:eastAsia="Times New Roman" w:hAnsi="Palatino Linotype" w:cs="Times New Roman"/>
                      <w:b/>
                      <w:bCs/>
                      <w:color w:val="FFFFFF" w:themeColor="background1"/>
                      <w:sz w:val="20"/>
                      <w:szCs w:val="20"/>
                      <w:lang w:val="es-EC" w:eastAsia="es-EC"/>
                    </w:rPr>
                    <w:t>Mercados con cobro de parqueadero</w:t>
                  </w:r>
                </w:p>
              </w:tc>
              <w:tc>
                <w:tcPr>
                  <w:tcW w:w="1305" w:type="dxa"/>
                  <w:tcBorders>
                    <w:top w:val="single" w:sz="4" w:space="0" w:color="auto"/>
                    <w:left w:val="nil"/>
                    <w:bottom w:val="single" w:sz="4" w:space="0" w:color="auto"/>
                    <w:right w:val="single" w:sz="4" w:space="0" w:color="auto"/>
                  </w:tcBorders>
                  <w:shd w:val="clear" w:color="auto" w:fill="0070C0"/>
                  <w:vAlign w:val="bottom"/>
                  <w:hideMark/>
                </w:tcPr>
                <w:p w:rsidR="00B40B4F" w:rsidRPr="00337C6A" w:rsidRDefault="00B40B4F" w:rsidP="008C2A35">
                  <w:pPr>
                    <w:spacing w:after="120"/>
                    <w:rPr>
                      <w:rFonts w:ascii="Palatino Linotype" w:eastAsia="Times New Roman" w:hAnsi="Palatino Linotype" w:cs="Times New Roman"/>
                      <w:b/>
                      <w:bCs/>
                      <w:color w:val="FFFFFF" w:themeColor="background1"/>
                      <w:sz w:val="20"/>
                      <w:szCs w:val="20"/>
                      <w:lang w:val="es-EC" w:eastAsia="es-EC"/>
                    </w:rPr>
                  </w:pPr>
                  <w:r w:rsidRPr="00337C6A">
                    <w:rPr>
                      <w:rFonts w:ascii="Palatino Linotype" w:eastAsia="Times New Roman" w:hAnsi="Palatino Linotype" w:cs="Times New Roman"/>
                      <w:b/>
                      <w:bCs/>
                      <w:color w:val="FFFFFF" w:themeColor="background1"/>
                      <w:sz w:val="20"/>
                      <w:szCs w:val="20"/>
                      <w:lang w:val="es-EC" w:eastAsia="es-EC"/>
                    </w:rPr>
                    <w:t>Puestos</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Carcelén</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34</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Calderón</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32</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Caupichu</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17</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Carapungo</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38</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Cdla</w:t>
                  </w:r>
                  <w:r w:rsidR="00337C6A" w:rsidRPr="00337C6A">
                    <w:rPr>
                      <w:rFonts w:ascii="Palatino Linotype" w:eastAsia="Times New Roman" w:hAnsi="Palatino Linotype" w:cs="Times New Roman"/>
                      <w:color w:val="000000"/>
                      <w:sz w:val="20"/>
                      <w:szCs w:val="20"/>
                      <w:lang w:val="es-EC" w:eastAsia="es-EC"/>
                    </w:rPr>
                    <w:t>.</w:t>
                  </w:r>
                  <w:r w:rsidRPr="00337C6A">
                    <w:rPr>
                      <w:rFonts w:ascii="Palatino Linotype" w:eastAsia="Times New Roman" w:hAnsi="Palatino Linotype" w:cs="Times New Roman"/>
                      <w:color w:val="000000"/>
                      <w:sz w:val="20"/>
                      <w:szCs w:val="20"/>
                      <w:lang w:val="es-EC" w:eastAsia="es-EC"/>
                    </w:rPr>
                    <w:t xml:space="preserve"> Ibarra</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60</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Carolina</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287</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Conocoto</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20</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Chiriyacu</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78</w:t>
                  </w:r>
                </w:p>
              </w:tc>
            </w:tr>
            <w:tr w:rsidR="00B40B4F" w:rsidRPr="00337C6A" w:rsidTr="00C144E8">
              <w:trPr>
                <w:trHeight w:val="309"/>
                <w:jc w:val="center"/>
              </w:trPr>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337C6A"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Cumbayá</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62</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Comité del Pueblo</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67</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El Arenal</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30</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Cotocollao</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104</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Guamaní</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60</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El Calzado</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30</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Kennedy</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63</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La Michelena</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30</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La Magdalena</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52</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Las Cuadras</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93</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337C6A" w:rsidP="008C2A35">
                  <w:pPr>
                    <w:spacing w:after="120"/>
                    <w:rPr>
                      <w:rFonts w:ascii="Palatino Linotype" w:eastAsia="Times New Roman" w:hAnsi="Palatino Linotype" w:cs="Times New Roman"/>
                      <w:color w:val="000000"/>
                      <w:sz w:val="20"/>
                      <w:szCs w:val="20"/>
                      <w:lang w:val="es-EC" w:eastAsia="es-EC"/>
                    </w:rPr>
                  </w:pPr>
                  <w:r>
                    <w:rPr>
                      <w:rFonts w:ascii="Palatino Linotype" w:eastAsia="Times New Roman" w:hAnsi="Palatino Linotype" w:cs="Times New Roman"/>
                      <w:color w:val="000000"/>
                      <w:sz w:val="20"/>
                      <w:szCs w:val="20"/>
                      <w:lang w:val="es-EC" w:eastAsia="es-EC"/>
                    </w:rPr>
                    <w:t>Mena D</w:t>
                  </w:r>
                  <w:r w:rsidR="00B40B4F" w:rsidRPr="00337C6A">
                    <w:rPr>
                      <w:rFonts w:ascii="Palatino Linotype" w:eastAsia="Times New Roman" w:hAnsi="Palatino Linotype" w:cs="Times New Roman"/>
                      <w:color w:val="000000"/>
                      <w:sz w:val="20"/>
                      <w:szCs w:val="20"/>
                      <w:lang w:val="es-EC" w:eastAsia="es-EC"/>
                    </w:rPr>
                    <w:t>os</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11</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San Francisco</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37</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San Antonio</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40</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San Roque</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50</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Sta. Martha</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20</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Santa Clara</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22</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8C2A35">
                  <w:pPr>
                    <w:spacing w:after="120"/>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Tumbaco</w:t>
                  </w:r>
                </w:p>
              </w:tc>
              <w:tc>
                <w:tcPr>
                  <w:tcW w:w="1449"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53</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Súper del Norte (Andalucía)</w:t>
                  </w:r>
                </w:p>
              </w:tc>
              <w:tc>
                <w:tcPr>
                  <w:tcW w:w="1305"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42</w:t>
                  </w:r>
                </w:p>
              </w:tc>
            </w:tr>
            <w:tr w:rsidR="00B40B4F" w:rsidRPr="00337C6A" w:rsidTr="00C144E8">
              <w:trPr>
                <w:trHeight w:val="154"/>
                <w:jc w:val="center"/>
              </w:trPr>
              <w:tc>
                <w:tcPr>
                  <w:tcW w:w="2466" w:type="dxa"/>
                  <w:tcBorders>
                    <w:top w:val="nil"/>
                    <w:left w:val="single" w:sz="4" w:space="0" w:color="auto"/>
                    <w:bottom w:val="single" w:sz="4" w:space="0" w:color="auto"/>
                    <w:right w:val="single" w:sz="4" w:space="0" w:color="auto"/>
                  </w:tcBorders>
                  <w:shd w:val="clear" w:color="000000" w:fill="00B0F0"/>
                  <w:vAlign w:val="bottom"/>
                  <w:hideMark/>
                </w:tcPr>
                <w:p w:rsidR="00B40B4F" w:rsidRPr="00337C6A" w:rsidRDefault="00B40B4F" w:rsidP="008C2A35">
                  <w:pPr>
                    <w:spacing w:after="120"/>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 xml:space="preserve">Total Puestos </w:t>
                  </w:r>
                </w:p>
              </w:tc>
              <w:tc>
                <w:tcPr>
                  <w:tcW w:w="1449" w:type="dxa"/>
                  <w:tcBorders>
                    <w:top w:val="nil"/>
                    <w:left w:val="nil"/>
                    <w:bottom w:val="single" w:sz="4" w:space="0" w:color="auto"/>
                    <w:right w:val="single" w:sz="4" w:space="0" w:color="auto"/>
                  </w:tcBorders>
                  <w:shd w:val="clear" w:color="000000" w:fill="00B0F0"/>
                  <w:vAlign w:val="bottom"/>
                  <w:hideMark/>
                </w:tcPr>
                <w:p w:rsidR="00B40B4F" w:rsidRPr="00337C6A" w:rsidRDefault="00B40B4F" w:rsidP="008C2A35">
                  <w:pPr>
                    <w:spacing w:after="120"/>
                    <w:jc w:val="right"/>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522</w:t>
                  </w:r>
                </w:p>
              </w:tc>
              <w:tc>
                <w:tcPr>
                  <w:tcW w:w="337" w:type="dxa"/>
                  <w:tcBorders>
                    <w:top w:val="nil"/>
                    <w:left w:val="nil"/>
                    <w:bottom w:val="nil"/>
                    <w:right w:val="nil"/>
                  </w:tcBorders>
                  <w:shd w:val="clear" w:color="auto" w:fill="auto"/>
                  <w:noWrap/>
                  <w:vAlign w:val="bottom"/>
                  <w:hideMark/>
                </w:tcPr>
                <w:p w:rsidR="00B40B4F" w:rsidRPr="00337C6A" w:rsidRDefault="00B40B4F" w:rsidP="008C2A35">
                  <w:pPr>
                    <w:spacing w:after="120"/>
                    <w:jc w:val="right"/>
                    <w:rPr>
                      <w:rFonts w:ascii="Palatino Linotype" w:eastAsia="Times New Roman" w:hAnsi="Palatino Linotype" w:cs="Times New Roman"/>
                      <w:b/>
                      <w:bCs/>
                      <w:color w:val="000000"/>
                      <w:sz w:val="20"/>
                      <w:szCs w:val="20"/>
                      <w:lang w:val="es-EC" w:eastAsia="es-EC"/>
                    </w:rPr>
                  </w:pPr>
                </w:p>
              </w:tc>
              <w:tc>
                <w:tcPr>
                  <w:tcW w:w="2466" w:type="dxa"/>
                  <w:tcBorders>
                    <w:top w:val="nil"/>
                    <w:left w:val="single" w:sz="4" w:space="0" w:color="auto"/>
                    <w:bottom w:val="single" w:sz="4" w:space="0" w:color="auto"/>
                    <w:right w:val="single" w:sz="4" w:space="0" w:color="auto"/>
                  </w:tcBorders>
                  <w:shd w:val="clear" w:color="000000" w:fill="00B0F0"/>
                  <w:vAlign w:val="bottom"/>
                  <w:hideMark/>
                </w:tcPr>
                <w:p w:rsidR="00B40B4F" w:rsidRPr="00337C6A" w:rsidRDefault="00B40B4F" w:rsidP="008C2A35">
                  <w:pPr>
                    <w:spacing w:after="120"/>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 xml:space="preserve">Total Puestos </w:t>
                  </w:r>
                </w:p>
              </w:tc>
              <w:tc>
                <w:tcPr>
                  <w:tcW w:w="1305" w:type="dxa"/>
                  <w:tcBorders>
                    <w:top w:val="nil"/>
                    <w:left w:val="nil"/>
                    <w:bottom w:val="single" w:sz="4" w:space="0" w:color="auto"/>
                    <w:right w:val="single" w:sz="4" w:space="0" w:color="auto"/>
                  </w:tcBorders>
                  <w:shd w:val="clear" w:color="000000" w:fill="00B0F0"/>
                  <w:vAlign w:val="bottom"/>
                  <w:hideMark/>
                </w:tcPr>
                <w:p w:rsidR="00B40B4F" w:rsidRPr="00337C6A" w:rsidRDefault="00B40B4F" w:rsidP="008C2A35">
                  <w:pPr>
                    <w:spacing w:after="120"/>
                    <w:jc w:val="right"/>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910</w:t>
                  </w:r>
                </w:p>
              </w:tc>
            </w:tr>
          </w:tbl>
          <w:p w:rsidR="00B40B4F" w:rsidRPr="008C2A35" w:rsidRDefault="00B40B4F" w:rsidP="008C2A35">
            <w:pPr>
              <w:spacing w:after="120"/>
              <w:contextualSpacing/>
              <w:jc w:val="center"/>
              <w:rPr>
                <w:rFonts w:ascii="Palatino Linotype" w:hAnsi="Palatino Linotype" w:cs="Times New Roman"/>
                <w:lang w:val="es-ES_tradnl" w:eastAsia="es-EC"/>
              </w:rPr>
            </w:pPr>
          </w:p>
          <w:p w:rsidR="00B40B4F" w:rsidRPr="008C2A35" w:rsidRDefault="00B40B4F" w:rsidP="008C2A35">
            <w:pPr>
              <w:numPr>
                <w:ilvl w:val="0"/>
                <w:numId w:val="26"/>
              </w:numPr>
              <w:spacing w:after="120"/>
              <w:contextualSpacing/>
              <w:jc w:val="both"/>
              <w:rPr>
                <w:rFonts w:ascii="Palatino Linotype" w:hAnsi="Palatino Linotype" w:cs="Times New Roman"/>
                <w:lang w:val="es-ES_tradnl" w:eastAsia="es-EC"/>
              </w:rPr>
            </w:pPr>
            <w:r w:rsidRPr="008C2A35">
              <w:rPr>
                <w:rFonts w:ascii="Palatino Linotype" w:hAnsi="Palatino Linotype" w:cs="Times New Roman"/>
                <w:lang w:val="es-ES_tradnl" w:eastAsia="es-EC"/>
              </w:rPr>
              <w:t xml:space="preserve">Debemos mencionar que las diferentes asociaciones de comerciantes que de manera informal recaudan valores por concepto de los parqueaderos, cubren varias necesidades operativas, las mencionamos a continuación </w:t>
            </w:r>
          </w:p>
          <w:p w:rsidR="00B40B4F" w:rsidRPr="008C2A35" w:rsidRDefault="00B40B4F" w:rsidP="008C2A35">
            <w:pPr>
              <w:numPr>
                <w:ilvl w:val="1"/>
                <w:numId w:val="26"/>
              </w:numPr>
              <w:spacing w:after="120"/>
              <w:contextualSpacing/>
              <w:rPr>
                <w:rFonts w:ascii="Palatino Linotype" w:hAnsi="Palatino Linotype" w:cs="Times New Roman"/>
                <w:lang w:val="es-ES_tradnl" w:eastAsia="es-EC"/>
              </w:rPr>
            </w:pPr>
            <w:r w:rsidRPr="008C2A35">
              <w:rPr>
                <w:rFonts w:ascii="Palatino Linotype" w:hAnsi="Palatino Linotype" w:cs="Times New Roman"/>
                <w:lang w:val="es-ES_tradnl" w:eastAsia="es-EC"/>
              </w:rPr>
              <w:lastRenderedPageBreak/>
              <w:t>Gastos de personal del parqueadero</w:t>
            </w:r>
            <w:r w:rsidR="00337C6A">
              <w:rPr>
                <w:rFonts w:ascii="Palatino Linotype" w:hAnsi="Palatino Linotype" w:cs="Times New Roman"/>
                <w:lang w:val="es-ES_tradnl" w:eastAsia="es-EC"/>
              </w:rPr>
              <w:t>.</w:t>
            </w:r>
            <w:r w:rsidRPr="008C2A35">
              <w:rPr>
                <w:rFonts w:ascii="Palatino Linotype" w:hAnsi="Palatino Linotype" w:cs="Times New Roman"/>
                <w:lang w:val="es-ES_tradnl" w:eastAsia="es-EC"/>
              </w:rPr>
              <w:t xml:space="preserve"> </w:t>
            </w:r>
          </w:p>
          <w:p w:rsidR="00B40B4F" w:rsidRPr="008C2A35" w:rsidRDefault="00B40B4F" w:rsidP="008C2A35">
            <w:pPr>
              <w:numPr>
                <w:ilvl w:val="1"/>
                <w:numId w:val="26"/>
              </w:numPr>
              <w:spacing w:after="120"/>
              <w:contextualSpacing/>
              <w:rPr>
                <w:rFonts w:ascii="Palatino Linotype" w:hAnsi="Palatino Linotype" w:cs="Times New Roman"/>
                <w:lang w:val="es-ES_tradnl" w:eastAsia="es-EC"/>
              </w:rPr>
            </w:pPr>
            <w:r w:rsidRPr="008C2A35">
              <w:rPr>
                <w:rFonts w:ascii="Palatino Linotype" w:hAnsi="Palatino Linotype" w:cs="Times New Roman"/>
                <w:lang w:val="es-ES_tradnl" w:eastAsia="es-EC"/>
              </w:rPr>
              <w:t>Gastos de suministros</w:t>
            </w:r>
            <w:r w:rsidR="00337C6A">
              <w:rPr>
                <w:rFonts w:ascii="Palatino Linotype" w:hAnsi="Palatino Linotype" w:cs="Times New Roman"/>
                <w:lang w:val="es-ES_tradnl" w:eastAsia="es-EC"/>
              </w:rPr>
              <w:t>.</w:t>
            </w:r>
            <w:r w:rsidRPr="008C2A35">
              <w:rPr>
                <w:rFonts w:ascii="Palatino Linotype" w:hAnsi="Palatino Linotype" w:cs="Times New Roman"/>
                <w:lang w:val="es-ES_tradnl" w:eastAsia="es-EC"/>
              </w:rPr>
              <w:t xml:space="preserve"> </w:t>
            </w:r>
          </w:p>
          <w:p w:rsidR="00B40B4F" w:rsidRPr="008C2A35" w:rsidRDefault="00B40B4F" w:rsidP="008C2A35">
            <w:pPr>
              <w:numPr>
                <w:ilvl w:val="1"/>
                <w:numId w:val="26"/>
              </w:numPr>
              <w:spacing w:after="120"/>
              <w:contextualSpacing/>
              <w:rPr>
                <w:rFonts w:ascii="Palatino Linotype" w:hAnsi="Palatino Linotype" w:cs="Times New Roman"/>
                <w:lang w:val="es-ES_tradnl" w:eastAsia="es-EC"/>
              </w:rPr>
            </w:pPr>
            <w:r w:rsidRPr="008C2A35">
              <w:rPr>
                <w:rFonts w:ascii="Palatino Linotype" w:hAnsi="Palatino Linotype" w:cs="Times New Roman"/>
                <w:lang w:val="es-ES_tradnl" w:eastAsia="es-EC"/>
              </w:rPr>
              <w:t>Servicios básicos</w:t>
            </w:r>
            <w:r w:rsidR="00337C6A">
              <w:rPr>
                <w:rFonts w:ascii="Palatino Linotype" w:hAnsi="Palatino Linotype" w:cs="Times New Roman"/>
                <w:lang w:val="es-ES_tradnl" w:eastAsia="es-EC"/>
              </w:rPr>
              <w:t>.</w:t>
            </w:r>
          </w:p>
          <w:p w:rsidR="00B40B4F" w:rsidRPr="008C2A35" w:rsidRDefault="00B40B4F" w:rsidP="008C2A35">
            <w:pPr>
              <w:numPr>
                <w:ilvl w:val="1"/>
                <w:numId w:val="26"/>
              </w:numPr>
              <w:spacing w:after="120"/>
              <w:contextualSpacing/>
              <w:rPr>
                <w:rFonts w:ascii="Palatino Linotype" w:hAnsi="Palatino Linotype" w:cs="Times New Roman"/>
                <w:lang w:val="es-ES_tradnl" w:eastAsia="es-EC"/>
              </w:rPr>
            </w:pPr>
            <w:r w:rsidRPr="008C2A35">
              <w:rPr>
                <w:rFonts w:ascii="Palatino Linotype" w:hAnsi="Palatino Linotype" w:cs="Times New Roman"/>
                <w:lang w:val="es-ES_tradnl" w:eastAsia="es-EC"/>
              </w:rPr>
              <w:t>Adecuaciones y mantenimiento</w:t>
            </w:r>
            <w:r w:rsidR="00337C6A">
              <w:rPr>
                <w:rFonts w:ascii="Palatino Linotype" w:hAnsi="Palatino Linotype" w:cs="Times New Roman"/>
                <w:lang w:val="es-ES_tradnl" w:eastAsia="es-EC"/>
              </w:rPr>
              <w:t>.</w:t>
            </w:r>
          </w:p>
          <w:p w:rsidR="00B40B4F" w:rsidRPr="008C2A35" w:rsidRDefault="00B40B4F" w:rsidP="008C2A35">
            <w:pPr>
              <w:numPr>
                <w:ilvl w:val="0"/>
                <w:numId w:val="26"/>
              </w:numPr>
              <w:spacing w:after="120"/>
              <w:contextualSpacing/>
              <w:jc w:val="both"/>
              <w:rPr>
                <w:rFonts w:ascii="Palatino Linotype" w:hAnsi="Palatino Linotype" w:cs="Times New Roman"/>
                <w:lang w:val="es-ES_tradnl" w:eastAsia="es-EC"/>
              </w:rPr>
            </w:pPr>
            <w:r w:rsidRPr="008C2A35">
              <w:rPr>
                <w:rFonts w:ascii="Palatino Linotype" w:hAnsi="Palatino Linotype" w:cs="Times New Roman"/>
                <w:lang w:val="es-ES_tradnl" w:eastAsia="es-EC"/>
              </w:rPr>
              <w:t xml:space="preserve">De la observación se puede evidenciar que influye de gran manera la ubicación geográfica del mercado, en el ingreso de los vehículos al estacionamiento y la rotación de los mismos. Como ejemplo tenemos el Mercado </w:t>
            </w:r>
            <w:r w:rsidR="00337C6A">
              <w:rPr>
                <w:rFonts w:ascii="Palatino Linotype" w:hAnsi="Palatino Linotype" w:cs="Times New Roman"/>
                <w:lang w:val="es-ES_tradnl" w:eastAsia="es-EC"/>
              </w:rPr>
              <w:t>L</w:t>
            </w:r>
            <w:r w:rsidRPr="008C2A35">
              <w:rPr>
                <w:rFonts w:ascii="Palatino Linotype" w:hAnsi="Palatino Linotype" w:cs="Times New Roman"/>
                <w:lang w:val="es-ES_tradnl" w:eastAsia="es-EC"/>
              </w:rPr>
              <w:t>a Carolina que cuenta con una rotación de visitantes considerables por consiguiente esto se ve reflejado en la recaudación de los valores parqueadero.</w:t>
            </w:r>
          </w:p>
          <w:p w:rsidR="00B40B4F" w:rsidRPr="008C2A35" w:rsidRDefault="00B40B4F" w:rsidP="008C2A35">
            <w:pPr>
              <w:numPr>
                <w:ilvl w:val="0"/>
                <w:numId w:val="26"/>
              </w:numPr>
              <w:spacing w:after="120"/>
              <w:contextualSpacing/>
              <w:jc w:val="both"/>
              <w:rPr>
                <w:rFonts w:ascii="Palatino Linotype" w:hAnsi="Palatino Linotype" w:cs="Times New Roman"/>
                <w:lang w:val="es-ES_tradnl" w:eastAsia="es-EC"/>
              </w:rPr>
            </w:pPr>
            <w:r w:rsidRPr="008C2A35">
              <w:rPr>
                <w:rFonts w:ascii="Palatino Linotype" w:hAnsi="Palatino Linotype" w:cs="Times New Roman"/>
                <w:lang w:val="es-ES_tradnl" w:eastAsia="es-EC"/>
              </w:rPr>
              <w:t>Otro parámetro que se evidencio es la variedad y modalidad de tarifas de cobro, que son implementadas en los diferentes mercados, mencionaremos algunos ejemplos con la finalidad de aclarar el panorama:</w:t>
            </w:r>
          </w:p>
          <w:p w:rsidR="00B40B4F" w:rsidRPr="008C2A35" w:rsidRDefault="00B40B4F" w:rsidP="008C2A35">
            <w:pPr>
              <w:spacing w:after="120"/>
              <w:contextualSpacing/>
              <w:jc w:val="both"/>
              <w:rPr>
                <w:rFonts w:ascii="Palatino Linotype" w:hAnsi="Palatino Linotype" w:cs="Times New Roman"/>
                <w:lang w:val="es-ES_tradnl" w:eastAsia="es-EC"/>
              </w:rPr>
            </w:pPr>
          </w:p>
          <w:tbl>
            <w:tblPr>
              <w:tblW w:w="7671" w:type="dxa"/>
              <w:jc w:val="center"/>
              <w:tblCellMar>
                <w:left w:w="70" w:type="dxa"/>
                <w:right w:w="70" w:type="dxa"/>
              </w:tblCellMar>
              <w:tblLook w:val="04A0" w:firstRow="1" w:lastRow="0" w:firstColumn="1" w:lastColumn="0" w:noHBand="0" w:noVBand="1"/>
            </w:tblPr>
            <w:tblGrid>
              <w:gridCol w:w="1548"/>
              <w:gridCol w:w="836"/>
              <w:gridCol w:w="5287"/>
            </w:tblGrid>
            <w:tr w:rsidR="00B40B4F" w:rsidRPr="00337C6A" w:rsidTr="00C144E8">
              <w:trPr>
                <w:trHeight w:val="303"/>
                <w:jc w:val="center"/>
              </w:trPr>
              <w:tc>
                <w:tcPr>
                  <w:tcW w:w="1548" w:type="dxa"/>
                  <w:tcBorders>
                    <w:top w:val="single" w:sz="4" w:space="0" w:color="auto"/>
                    <w:left w:val="single" w:sz="4" w:space="0" w:color="auto"/>
                    <w:bottom w:val="single" w:sz="4" w:space="0" w:color="auto"/>
                    <w:right w:val="single" w:sz="4" w:space="0" w:color="auto"/>
                  </w:tcBorders>
                  <w:shd w:val="clear" w:color="000000" w:fill="00B0F0"/>
                  <w:vAlign w:val="bottom"/>
                  <w:hideMark/>
                </w:tcPr>
                <w:p w:rsidR="00B40B4F" w:rsidRPr="00337C6A" w:rsidRDefault="00B40B4F" w:rsidP="008C2A35">
                  <w:pPr>
                    <w:spacing w:after="120"/>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Mercado</w:t>
                  </w:r>
                </w:p>
              </w:tc>
              <w:tc>
                <w:tcPr>
                  <w:tcW w:w="836" w:type="dxa"/>
                  <w:tcBorders>
                    <w:top w:val="single" w:sz="4" w:space="0" w:color="auto"/>
                    <w:left w:val="nil"/>
                    <w:bottom w:val="single" w:sz="4" w:space="0" w:color="auto"/>
                    <w:right w:val="single" w:sz="4" w:space="0" w:color="auto"/>
                  </w:tcBorders>
                  <w:shd w:val="clear" w:color="000000" w:fill="00B0F0"/>
                  <w:vAlign w:val="bottom"/>
                  <w:hideMark/>
                </w:tcPr>
                <w:p w:rsidR="00B40B4F" w:rsidRPr="00337C6A" w:rsidRDefault="00B40B4F" w:rsidP="008C2A35">
                  <w:pPr>
                    <w:spacing w:after="120"/>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 xml:space="preserve">Valor </w:t>
                  </w:r>
                </w:p>
              </w:tc>
              <w:tc>
                <w:tcPr>
                  <w:tcW w:w="5287" w:type="dxa"/>
                  <w:tcBorders>
                    <w:top w:val="single" w:sz="4" w:space="0" w:color="auto"/>
                    <w:left w:val="nil"/>
                    <w:bottom w:val="single" w:sz="4" w:space="0" w:color="auto"/>
                    <w:right w:val="single" w:sz="4" w:space="0" w:color="auto"/>
                  </w:tcBorders>
                  <w:shd w:val="clear" w:color="000000" w:fill="00B0F0"/>
                  <w:vAlign w:val="bottom"/>
                  <w:hideMark/>
                </w:tcPr>
                <w:p w:rsidR="00B40B4F" w:rsidRPr="00337C6A" w:rsidRDefault="00B40B4F" w:rsidP="008C2A35">
                  <w:pPr>
                    <w:spacing w:after="120"/>
                    <w:rPr>
                      <w:rFonts w:ascii="Palatino Linotype" w:eastAsia="Times New Roman" w:hAnsi="Palatino Linotype" w:cs="Times New Roman"/>
                      <w:b/>
                      <w:bCs/>
                      <w:color w:val="000000"/>
                      <w:sz w:val="20"/>
                      <w:szCs w:val="20"/>
                      <w:lang w:val="es-EC" w:eastAsia="es-EC"/>
                    </w:rPr>
                  </w:pPr>
                  <w:r w:rsidRPr="00337C6A">
                    <w:rPr>
                      <w:rFonts w:ascii="Palatino Linotype" w:eastAsia="Times New Roman" w:hAnsi="Palatino Linotype" w:cs="Times New Roman"/>
                      <w:b/>
                      <w:bCs/>
                      <w:color w:val="000000"/>
                      <w:sz w:val="20"/>
                      <w:szCs w:val="20"/>
                      <w:lang w:val="es-EC" w:eastAsia="es-EC"/>
                    </w:rPr>
                    <w:t>Observación</w:t>
                  </w:r>
                </w:p>
              </w:tc>
            </w:tr>
            <w:tr w:rsidR="00B40B4F" w:rsidRPr="00337C6A" w:rsidTr="00C144E8">
              <w:trPr>
                <w:trHeight w:val="356"/>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Santa Clara</w:t>
                  </w:r>
                </w:p>
              </w:tc>
              <w:tc>
                <w:tcPr>
                  <w:tcW w:w="836" w:type="dxa"/>
                  <w:tcBorders>
                    <w:top w:val="nil"/>
                    <w:left w:val="nil"/>
                    <w:bottom w:val="single" w:sz="4" w:space="0" w:color="auto"/>
                    <w:right w:val="single" w:sz="4" w:space="0" w:color="auto"/>
                  </w:tcBorders>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0,40</w:t>
                  </w:r>
                </w:p>
              </w:tc>
              <w:tc>
                <w:tcPr>
                  <w:tcW w:w="5287" w:type="dxa"/>
                  <w:tcBorders>
                    <w:top w:val="nil"/>
                    <w:left w:val="nil"/>
                    <w:bottom w:val="single" w:sz="4" w:space="0" w:color="auto"/>
                    <w:right w:val="single" w:sz="4" w:space="0" w:color="auto"/>
                  </w:tcBorders>
                  <w:shd w:val="clear" w:color="auto" w:fill="auto"/>
                  <w:vAlign w:val="bottom"/>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Valor de 0,40 la hora o fracción de hora; si un comprador efectúa un consumo y permanec</w:t>
                  </w:r>
                  <w:r w:rsidR="00337C6A">
                    <w:rPr>
                      <w:rFonts w:ascii="Palatino Linotype" w:eastAsia="Times New Roman" w:hAnsi="Palatino Linotype" w:cs="Times New Roman"/>
                      <w:color w:val="000000"/>
                      <w:sz w:val="20"/>
                      <w:szCs w:val="20"/>
                      <w:lang w:val="es-EC" w:eastAsia="es-EC"/>
                    </w:rPr>
                    <w:t>e menos de 30 minutos, es gratis.</w:t>
                  </w:r>
                </w:p>
              </w:tc>
            </w:tr>
            <w:tr w:rsidR="00B40B4F" w:rsidRPr="00337C6A" w:rsidTr="00C144E8">
              <w:trPr>
                <w:trHeight w:val="523"/>
                <w:jc w:val="center"/>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Carolina</w:t>
                  </w:r>
                </w:p>
              </w:tc>
              <w:tc>
                <w:tcPr>
                  <w:tcW w:w="836"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0,50</w:t>
                  </w:r>
                </w:p>
              </w:tc>
              <w:tc>
                <w:tcPr>
                  <w:tcW w:w="5287" w:type="dxa"/>
                  <w:tcBorders>
                    <w:top w:val="nil"/>
                    <w:left w:val="nil"/>
                    <w:bottom w:val="single" w:sz="4" w:space="0" w:color="auto"/>
                    <w:right w:val="single" w:sz="4" w:space="0" w:color="auto"/>
                  </w:tcBorders>
                  <w:shd w:val="clear" w:color="auto" w:fill="auto"/>
                  <w:vAlign w:val="bottom"/>
                  <w:hideMark/>
                </w:tcPr>
                <w:p w:rsidR="00B40B4F" w:rsidRPr="00337C6A" w:rsidRDefault="00337C6A" w:rsidP="00337C6A">
                  <w:pPr>
                    <w:spacing w:after="120"/>
                    <w:jc w:val="both"/>
                    <w:rPr>
                      <w:rFonts w:ascii="Palatino Linotype" w:eastAsia="Times New Roman" w:hAnsi="Palatino Linotype" w:cs="Times New Roman"/>
                      <w:color w:val="000000"/>
                      <w:sz w:val="20"/>
                      <w:szCs w:val="20"/>
                      <w:lang w:val="es-EC" w:eastAsia="es-EC"/>
                    </w:rPr>
                  </w:pPr>
                  <w:r>
                    <w:rPr>
                      <w:rFonts w:ascii="Palatino Linotype" w:eastAsia="Times New Roman" w:hAnsi="Palatino Linotype" w:cs="Times New Roman"/>
                      <w:color w:val="000000"/>
                      <w:sz w:val="20"/>
                      <w:szCs w:val="20"/>
                      <w:lang w:val="es-EC" w:eastAsia="es-EC"/>
                    </w:rPr>
                    <w:t xml:space="preserve">0,50 por 1 hora, </w:t>
                  </w:r>
                  <w:r w:rsidR="00B40B4F" w:rsidRPr="00337C6A">
                    <w:rPr>
                      <w:rFonts w:ascii="Palatino Linotype" w:eastAsia="Times New Roman" w:hAnsi="Palatino Linotype" w:cs="Times New Roman"/>
                      <w:color w:val="000000"/>
                      <w:sz w:val="20"/>
                      <w:szCs w:val="20"/>
                      <w:lang w:val="es-EC" w:eastAsia="es-EC"/>
                    </w:rPr>
                    <w:t>el valor se i</w:t>
                  </w:r>
                  <w:r>
                    <w:rPr>
                      <w:rFonts w:ascii="Palatino Linotype" w:eastAsia="Times New Roman" w:hAnsi="Palatino Linotype" w:cs="Times New Roman"/>
                      <w:color w:val="000000"/>
                      <w:sz w:val="20"/>
                      <w:szCs w:val="20"/>
                      <w:lang w:val="es-EC" w:eastAsia="es-EC"/>
                    </w:rPr>
                    <w:t xml:space="preserve">ncrementa paulatinamente, 2da. hora el valor es 1 dólar, </w:t>
                  </w:r>
                  <w:r w:rsidR="00B40B4F" w:rsidRPr="00337C6A">
                    <w:rPr>
                      <w:rFonts w:ascii="Palatino Linotype" w:eastAsia="Times New Roman" w:hAnsi="Palatino Linotype" w:cs="Times New Roman"/>
                      <w:color w:val="000000"/>
                      <w:sz w:val="20"/>
                      <w:szCs w:val="20"/>
                      <w:lang w:val="es-EC" w:eastAsia="es-EC"/>
                    </w:rPr>
                    <w:t>desde la 3er</w:t>
                  </w:r>
                  <w:r>
                    <w:rPr>
                      <w:rFonts w:ascii="Palatino Linotype" w:eastAsia="Times New Roman" w:hAnsi="Palatino Linotype" w:cs="Times New Roman"/>
                      <w:color w:val="000000"/>
                      <w:sz w:val="20"/>
                      <w:szCs w:val="20"/>
                      <w:lang w:val="es-EC" w:eastAsia="es-EC"/>
                    </w:rPr>
                    <w:t>a</w:t>
                  </w:r>
                  <w:r w:rsidR="00B40B4F" w:rsidRPr="00337C6A">
                    <w:rPr>
                      <w:rFonts w:ascii="Palatino Linotype" w:eastAsia="Times New Roman" w:hAnsi="Palatino Linotype" w:cs="Times New Roman"/>
                      <w:color w:val="000000"/>
                      <w:sz w:val="20"/>
                      <w:szCs w:val="20"/>
                      <w:lang w:val="es-EC" w:eastAsia="es-EC"/>
                    </w:rPr>
                    <w:t xml:space="preserve"> hora el valor se incrementa a 2,00 por hora</w:t>
                  </w:r>
                  <w:r>
                    <w:rPr>
                      <w:rFonts w:ascii="Palatino Linotype" w:eastAsia="Times New Roman" w:hAnsi="Palatino Linotype" w:cs="Times New Roman"/>
                      <w:color w:val="000000"/>
                      <w:sz w:val="20"/>
                      <w:szCs w:val="20"/>
                      <w:lang w:val="es-EC" w:eastAsia="es-EC"/>
                    </w:rPr>
                    <w:t>.</w:t>
                  </w:r>
                  <w:r w:rsidR="00B40B4F" w:rsidRPr="00337C6A">
                    <w:rPr>
                      <w:rFonts w:ascii="Palatino Linotype" w:eastAsia="Times New Roman" w:hAnsi="Palatino Linotype" w:cs="Times New Roman"/>
                      <w:color w:val="000000"/>
                      <w:sz w:val="20"/>
                      <w:szCs w:val="20"/>
                      <w:lang w:val="es-EC" w:eastAsia="es-EC"/>
                    </w:rPr>
                    <w:t xml:space="preserve"> </w:t>
                  </w:r>
                </w:p>
              </w:tc>
            </w:tr>
            <w:tr w:rsidR="00B40B4F" w:rsidRPr="00337C6A" w:rsidTr="00C144E8">
              <w:trPr>
                <w:trHeight w:val="462"/>
                <w:jc w:val="center"/>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San Francisco</w:t>
                  </w:r>
                </w:p>
              </w:tc>
              <w:tc>
                <w:tcPr>
                  <w:tcW w:w="836"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0,50</w:t>
                  </w:r>
                </w:p>
              </w:tc>
              <w:tc>
                <w:tcPr>
                  <w:tcW w:w="5287"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Valor único de cobro</w:t>
                  </w:r>
                  <w:r w:rsidR="00337C6A">
                    <w:rPr>
                      <w:rFonts w:ascii="Palatino Linotype" w:eastAsia="Times New Roman" w:hAnsi="Palatino Linotype" w:cs="Times New Roman"/>
                      <w:color w:val="000000"/>
                      <w:sz w:val="20"/>
                      <w:szCs w:val="20"/>
                      <w:lang w:val="es-EC" w:eastAsia="es-EC"/>
                    </w:rPr>
                    <w:t>.</w:t>
                  </w:r>
                </w:p>
              </w:tc>
            </w:tr>
            <w:tr w:rsidR="00B40B4F" w:rsidRPr="00337C6A" w:rsidTr="00C144E8">
              <w:trPr>
                <w:trHeight w:val="151"/>
                <w:jc w:val="center"/>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Cotocollao</w:t>
                  </w:r>
                </w:p>
              </w:tc>
              <w:tc>
                <w:tcPr>
                  <w:tcW w:w="836"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0,35</w:t>
                  </w:r>
                </w:p>
              </w:tc>
              <w:tc>
                <w:tcPr>
                  <w:tcW w:w="5287"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Por hora o fracción de hora</w:t>
                  </w:r>
                  <w:r w:rsidR="00337C6A">
                    <w:rPr>
                      <w:rFonts w:ascii="Palatino Linotype" w:eastAsia="Times New Roman" w:hAnsi="Palatino Linotype" w:cs="Times New Roman"/>
                      <w:color w:val="000000"/>
                      <w:sz w:val="20"/>
                      <w:szCs w:val="20"/>
                      <w:lang w:val="es-EC" w:eastAsia="es-EC"/>
                    </w:rPr>
                    <w:t>.</w:t>
                  </w:r>
                </w:p>
              </w:tc>
            </w:tr>
            <w:tr w:rsidR="00B40B4F" w:rsidRPr="00337C6A" w:rsidTr="00C144E8">
              <w:trPr>
                <w:trHeight w:val="151"/>
                <w:jc w:val="center"/>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B40B4F" w:rsidRPr="00337C6A" w:rsidRDefault="00B40B4F" w:rsidP="00337C6A">
                  <w:pPr>
                    <w:spacing w:after="120"/>
                    <w:jc w:val="both"/>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Magdalena</w:t>
                  </w:r>
                </w:p>
              </w:tc>
              <w:tc>
                <w:tcPr>
                  <w:tcW w:w="836" w:type="dxa"/>
                  <w:tcBorders>
                    <w:top w:val="nil"/>
                    <w:left w:val="nil"/>
                    <w:bottom w:val="single" w:sz="4" w:space="0" w:color="auto"/>
                    <w:right w:val="single" w:sz="4" w:space="0" w:color="auto"/>
                  </w:tcBorders>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20"/>
                      <w:szCs w:val="20"/>
                      <w:lang w:val="es-EC" w:eastAsia="es-EC"/>
                    </w:rPr>
                  </w:pPr>
                  <w:r w:rsidRPr="00337C6A">
                    <w:rPr>
                      <w:rFonts w:ascii="Palatino Linotype" w:eastAsia="Times New Roman" w:hAnsi="Palatino Linotype" w:cs="Times New Roman"/>
                      <w:color w:val="000000"/>
                      <w:sz w:val="20"/>
                      <w:szCs w:val="20"/>
                      <w:lang w:val="es-EC" w:eastAsia="es-EC"/>
                    </w:rPr>
                    <w:t>0,25</w:t>
                  </w:r>
                </w:p>
              </w:tc>
              <w:tc>
                <w:tcPr>
                  <w:tcW w:w="5287" w:type="dxa"/>
                  <w:tcBorders>
                    <w:top w:val="nil"/>
                    <w:left w:val="nil"/>
                    <w:bottom w:val="single" w:sz="4" w:space="0" w:color="auto"/>
                    <w:right w:val="single" w:sz="4" w:space="0" w:color="auto"/>
                  </w:tcBorders>
                  <w:shd w:val="clear" w:color="auto" w:fill="auto"/>
                  <w:noWrap/>
                  <w:vAlign w:val="bottom"/>
                  <w:hideMark/>
                </w:tcPr>
                <w:p w:rsidR="00B40B4F" w:rsidRPr="00337C6A" w:rsidRDefault="00337C6A" w:rsidP="00337C6A">
                  <w:pPr>
                    <w:spacing w:after="120"/>
                    <w:jc w:val="both"/>
                    <w:rPr>
                      <w:rFonts w:ascii="Palatino Linotype" w:eastAsia="Times New Roman" w:hAnsi="Palatino Linotype" w:cs="Times New Roman"/>
                      <w:color w:val="000000"/>
                      <w:sz w:val="20"/>
                      <w:szCs w:val="20"/>
                      <w:lang w:val="es-EC" w:eastAsia="es-EC"/>
                    </w:rPr>
                  </w:pPr>
                  <w:r>
                    <w:rPr>
                      <w:rFonts w:ascii="Palatino Linotype" w:eastAsia="Times New Roman" w:hAnsi="Palatino Linotype" w:cs="Times New Roman"/>
                      <w:color w:val="000000"/>
                      <w:sz w:val="20"/>
                      <w:szCs w:val="20"/>
                      <w:lang w:val="es-EC" w:eastAsia="es-EC"/>
                    </w:rPr>
                    <w:t>Por hora o fracción de hora.</w:t>
                  </w:r>
                </w:p>
              </w:tc>
            </w:tr>
          </w:tbl>
          <w:p w:rsidR="00B40B4F" w:rsidRPr="008C2A35" w:rsidRDefault="00B40B4F" w:rsidP="008C2A35">
            <w:pPr>
              <w:spacing w:after="120"/>
              <w:contextualSpacing/>
              <w:jc w:val="both"/>
              <w:rPr>
                <w:rFonts w:ascii="Palatino Linotype" w:hAnsi="Palatino Linotype" w:cs="Times New Roman"/>
                <w:lang w:eastAsia="es-EC"/>
              </w:rPr>
            </w:pPr>
          </w:p>
          <w:p w:rsidR="00B40B4F" w:rsidRPr="008C2A35" w:rsidRDefault="00B40B4F" w:rsidP="008C2A35">
            <w:pPr>
              <w:numPr>
                <w:ilvl w:val="0"/>
                <w:numId w:val="26"/>
              </w:numPr>
              <w:spacing w:after="120"/>
              <w:contextualSpacing/>
              <w:jc w:val="both"/>
              <w:rPr>
                <w:rFonts w:ascii="Palatino Linotype" w:hAnsi="Palatino Linotype" w:cs="Times New Roman"/>
                <w:lang w:val="es-ES_tradnl" w:eastAsia="es-EC"/>
              </w:rPr>
            </w:pPr>
            <w:r w:rsidRPr="008C2A35">
              <w:rPr>
                <w:rFonts w:ascii="Palatino Linotype" w:hAnsi="Palatino Linotype" w:cs="Times New Roman"/>
                <w:lang w:val="es-ES_tradnl" w:eastAsia="es-EC"/>
              </w:rPr>
              <w:t>Los estacionamientos de los mercados en su gran mayoría, no han sido concesionados a las asociaciones de una manera formal, con apego al ordenamiento municipal.</w:t>
            </w:r>
          </w:p>
          <w:p w:rsidR="00016B6B" w:rsidRPr="008C2A35" w:rsidRDefault="00016B6B" w:rsidP="008C2A35">
            <w:pPr>
              <w:spacing w:after="120"/>
              <w:ind w:left="720"/>
              <w:contextualSpacing/>
              <w:jc w:val="both"/>
              <w:rPr>
                <w:rFonts w:ascii="Palatino Linotype" w:hAnsi="Palatino Linotype" w:cs="Times New Roman"/>
                <w:lang w:val="es-ES_tradnl" w:eastAsia="es-EC"/>
              </w:rPr>
            </w:pP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7"/>
              <w:gridCol w:w="890"/>
              <w:gridCol w:w="1518"/>
              <w:gridCol w:w="977"/>
              <w:gridCol w:w="913"/>
              <w:gridCol w:w="913"/>
              <w:gridCol w:w="913"/>
              <w:gridCol w:w="1063"/>
            </w:tblGrid>
            <w:tr w:rsidR="00337C6A" w:rsidRPr="00337C6A" w:rsidTr="00337C6A">
              <w:trPr>
                <w:trHeight w:val="915"/>
              </w:trPr>
              <w:tc>
                <w:tcPr>
                  <w:tcW w:w="1157" w:type="dxa"/>
                  <w:shd w:val="clear" w:color="000000" w:fill="A9D08E"/>
                  <w:vAlign w:val="center"/>
                  <w:hideMark/>
                </w:tcPr>
                <w:p w:rsidR="00B40B4F" w:rsidRPr="00337C6A" w:rsidRDefault="00B40B4F" w:rsidP="008C2A35">
                  <w:pPr>
                    <w:spacing w:after="120"/>
                    <w:jc w:val="center"/>
                    <w:rPr>
                      <w:rFonts w:ascii="Palatino Linotype" w:eastAsia="Times New Roman" w:hAnsi="Palatino Linotype" w:cs="Times New Roman"/>
                      <w:b/>
                      <w:bCs/>
                      <w:color w:val="000000"/>
                      <w:sz w:val="19"/>
                      <w:szCs w:val="19"/>
                      <w:lang w:val="es-EC" w:eastAsia="es-EC"/>
                    </w:rPr>
                  </w:pPr>
                  <w:r w:rsidRPr="00337C6A">
                    <w:rPr>
                      <w:rFonts w:ascii="Palatino Linotype" w:eastAsia="Times New Roman" w:hAnsi="Palatino Linotype" w:cs="Times New Roman"/>
                      <w:b/>
                      <w:bCs/>
                      <w:color w:val="000000"/>
                      <w:sz w:val="19"/>
                      <w:szCs w:val="19"/>
                      <w:lang w:val="es-EC" w:eastAsia="es-EC"/>
                    </w:rPr>
                    <w:t>Mercado</w:t>
                  </w:r>
                </w:p>
              </w:tc>
              <w:tc>
                <w:tcPr>
                  <w:tcW w:w="890" w:type="dxa"/>
                  <w:shd w:val="clear" w:color="000000" w:fill="A9D08E"/>
                  <w:vAlign w:val="center"/>
                  <w:hideMark/>
                </w:tcPr>
                <w:p w:rsidR="00B40B4F" w:rsidRPr="00337C6A" w:rsidRDefault="00B40B4F" w:rsidP="008C2A35">
                  <w:pPr>
                    <w:spacing w:after="120"/>
                    <w:jc w:val="center"/>
                    <w:rPr>
                      <w:rFonts w:ascii="Palatino Linotype" w:eastAsia="Times New Roman" w:hAnsi="Palatino Linotype" w:cs="Times New Roman"/>
                      <w:b/>
                      <w:bCs/>
                      <w:color w:val="000000"/>
                      <w:sz w:val="19"/>
                      <w:szCs w:val="19"/>
                      <w:lang w:val="es-EC" w:eastAsia="es-EC"/>
                    </w:rPr>
                  </w:pPr>
                  <w:r w:rsidRPr="00337C6A">
                    <w:rPr>
                      <w:rFonts w:ascii="Palatino Linotype" w:eastAsia="Times New Roman" w:hAnsi="Palatino Linotype" w:cs="Times New Roman"/>
                      <w:b/>
                      <w:bCs/>
                      <w:color w:val="000000"/>
                      <w:sz w:val="19"/>
                      <w:szCs w:val="19"/>
                      <w:lang w:val="es-EC" w:eastAsia="es-EC"/>
                    </w:rPr>
                    <w:t>Puestos útiles</w:t>
                  </w:r>
                </w:p>
              </w:tc>
              <w:tc>
                <w:tcPr>
                  <w:tcW w:w="1518" w:type="dxa"/>
                  <w:shd w:val="clear" w:color="000000" w:fill="A9D08E"/>
                  <w:vAlign w:val="center"/>
                  <w:hideMark/>
                </w:tcPr>
                <w:p w:rsidR="00B40B4F" w:rsidRPr="00337C6A" w:rsidRDefault="00B40B4F" w:rsidP="00337C6A">
                  <w:pPr>
                    <w:spacing w:after="120"/>
                    <w:jc w:val="center"/>
                    <w:rPr>
                      <w:rFonts w:ascii="Palatino Linotype" w:eastAsia="Times New Roman" w:hAnsi="Palatino Linotype" w:cs="Times New Roman"/>
                      <w:b/>
                      <w:bCs/>
                      <w:color w:val="000000"/>
                      <w:sz w:val="19"/>
                      <w:szCs w:val="19"/>
                      <w:lang w:val="es-EC" w:eastAsia="es-EC"/>
                    </w:rPr>
                  </w:pPr>
                  <w:r w:rsidRPr="00337C6A">
                    <w:rPr>
                      <w:rFonts w:ascii="Palatino Linotype" w:eastAsia="Times New Roman" w:hAnsi="Palatino Linotype" w:cs="Times New Roman"/>
                      <w:b/>
                      <w:bCs/>
                      <w:color w:val="000000"/>
                      <w:sz w:val="19"/>
                      <w:szCs w:val="19"/>
                      <w:lang w:val="es-EC" w:eastAsia="es-EC"/>
                    </w:rPr>
                    <w:t>Destino Recursos</w:t>
                  </w:r>
                </w:p>
              </w:tc>
              <w:tc>
                <w:tcPr>
                  <w:tcW w:w="977" w:type="dxa"/>
                  <w:shd w:val="clear" w:color="000000" w:fill="A9D08E"/>
                  <w:vAlign w:val="center"/>
                  <w:hideMark/>
                </w:tcPr>
                <w:p w:rsidR="00B40B4F" w:rsidRPr="00337C6A" w:rsidRDefault="00337C6A" w:rsidP="008C2A35">
                  <w:pPr>
                    <w:spacing w:after="120"/>
                    <w:jc w:val="center"/>
                    <w:rPr>
                      <w:rFonts w:ascii="Palatino Linotype" w:eastAsia="Times New Roman" w:hAnsi="Palatino Linotype" w:cs="Times New Roman"/>
                      <w:b/>
                      <w:bCs/>
                      <w:color w:val="000000"/>
                      <w:sz w:val="19"/>
                      <w:szCs w:val="19"/>
                      <w:lang w:val="es-EC" w:eastAsia="es-EC"/>
                    </w:rPr>
                  </w:pPr>
                  <w:r>
                    <w:rPr>
                      <w:rFonts w:ascii="Palatino Linotype" w:eastAsia="Times New Roman" w:hAnsi="Palatino Linotype" w:cs="Times New Roman"/>
                      <w:b/>
                      <w:bCs/>
                      <w:color w:val="000000"/>
                      <w:sz w:val="19"/>
                      <w:szCs w:val="19"/>
                      <w:lang w:val="es-EC" w:eastAsia="es-EC"/>
                    </w:rPr>
                    <w:t>Auditado por</w:t>
                  </w:r>
                </w:p>
              </w:tc>
              <w:tc>
                <w:tcPr>
                  <w:tcW w:w="913" w:type="dxa"/>
                  <w:shd w:val="clear" w:color="000000" w:fill="A9D08E"/>
                  <w:vAlign w:val="center"/>
                  <w:hideMark/>
                </w:tcPr>
                <w:p w:rsidR="00B40B4F" w:rsidRPr="00337C6A" w:rsidRDefault="00B40B4F" w:rsidP="008C2A35">
                  <w:pPr>
                    <w:spacing w:after="120"/>
                    <w:jc w:val="center"/>
                    <w:rPr>
                      <w:rFonts w:ascii="Palatino Linotype" w:eastAsia="Times New Roman" w:hAnsi="Palatino Linotype" w:cs="Times New Roman"/>
                      <w:b/>
                      <w:bCs/>
                      <w:color w:val="000000"/>
                      <w:sz w:val="19"/>
                      <w:szCs w:val="19"/>
                      <w:lang w:val="es-EC" w:eastAsia="es-EC"/>
                    </w:rPr>
                  </w:pPr>
                  <w:r w:rsidRPr="00337C6A">
                    <w:rPr>
                      <w:rFonts w:ascii="Palatino Linotype" w:eastAsia="Times New Roman" w:hAnsi="Palatino Linotype" w:cs="Times New Roman"/>
                      <w:b/>
                      <w:bCs/>
                      <w:color w:val="000000"/>
                      <w:sz w:val="19"/>
                      <w:szCs w:val="19"/>
                      <w:lang w:val="es-EC" w:eastAsia="es-EC"/>
                    </w:rPr>
                    <w:t>Ingreso Mensual (USD)</w:t>
                  </w:r>
                </w:p>
              </w:tc>
              <w:tc>
                <w:tcPr>
                  <w:tcW w:w="913" w:type="dxa"/>
                  <w:shd w:val="clear" w:color="000000" w:fill="A9D08E"/>
                  <w:vAlign w:val="center"/>
                  <w:hideMark/>
                </w:tcPr>
                <w:p w:rsidR="00B40B4F" w:rsidRPr="00337C6A" w:rsidRDefault="00B40B4F" w:rsidP="008C2A35">
                  <w:pPr>
                    <w:spacing w:after="120"/>
                    <w:jc w:val="center"/>
                    <w:rPr>
                      <w:rFonts w:ascii="Palatino Linotype" w:eastAsia="Times New Roman" w:hAnsi="Palatino Linotype" w:cs="Times New Roman"/>
                      <w:b/>
                      <w:bCs/>
                      <w:color w:val="000000"/>
                      <w:sz w:val="19"/>
                      <w:szCs w:val="19"/>
                      <w:lang w:val="es-EC" w:eastAsia="es-EC"/>
                    </w:rPr>
                  </w:pPr>
                  <w:r w:rsidRPr="00337C6A">
                    <w:rPr>
                      <w:rFonts w:ascii="Palatino Linotype" w:eastAsia="Times New Roman" w:hAnsi="Palatino Linotype" w:cs="Times New Roman"/>
                      <w:b/>
                      <w:bCs/>
                      <w:color w:val="000000"/>
                      <w:sz w:val="19"/>
                      <w:szCs w:val="19"/>
                      <w:lang w:val="es-EC" w:eastAsia="es-EC"/>
                    </w:rPr>
                    <w:t>Egreso Mensual (USD)</w:t>
                  </w:r>
                </w:p>
              </w:tc>
              <w:tc>
                <w:tcPr>
                  <w:tcW w:w="913" w:type="dxa"/>
                  <w:shd w:val="clear" w:color="000000" w:fill="A9D08E"/>
                  <w:vAlign w:val="center"/>
                  <w:hideMark/>
                </w:tcPr>
                <w:p w:rsidR="00B40B4F" w:rsidRPr="00337C6A" w:rsidRDefault="00B40B4F" w:rsidP="008C2A35">
                  <w:pPr>
                    <w:spacing w:after="120"/>
                    <w:jc w:val="center"/>
                    <w:rPr>
                      <w:rFonts w:ascii="Palatino Linotype" w:eastAsia="Times New Roman" w:hAnsi="Palatino Linotype" w:cs="Times New Roman"/>
                      <w:b/>
                      <w:bCs/>
                      <w:color w:val="000000"/>
                      <w:sz w:val="19"/>
                      <w:szCs w:val="19"/>
                      <w:lang w:val="es-EC" w:eastAsia="es-EC"/>
                    </w:rPr>
                  </w:pPr>
                  <w:r w:rsidRPr="00337C6A">
                    <w:rPr>
                      <w:rFonts w:ascii="Palatino Linotype" w:eastAsia="Times New Roman" w:hAnsi="Palatino Linotype" w:cs="Times New Roman"/>
                      <w:b/>
                      <w:bCs/>
                      <w:color w:val="000000"/>
                      <w:sz w:val="19"/>
                      <w:szCs w:val="19"/>
                      <w:lang w:val="es-EC" w:eastAsia="es-EC"/>
                    </w:rPr>
                    <w:t>Saldo Mensual</w:t>
                  </w:r>
                </w:p>
              </w:tc>
              <w:tc>
                <w:tcPr>
                  <w:tcW w:w="1063" w:type="dxa"/>
                  <w:shd w:val="clear" w:color="000000" w:fill="A9D08E"/>
                  <w:vAlign w:val="center"/>
                  <w:hideMark/>
                </w:tcPr>
                <w:p w:rsidR="00B40B4F" w:rsidRPr="00337C6A" w:rsidRDefault="00B40B4F" w:rsidP="008C2A35">
                  <w:pPr>
                    <w:spacing w:after="120"/>
                    <w:jc w:val="center"/>
                    <w:rPr>
                      <w:rFonts w:ascii="Palatino Linotype" w:eastAsia="Times New Roman" w:hAnsi="Palatino Linotype" w:cs="Times New Roman"/>
                      <w:b/>
                      <w:bCs/>
                      <w:color w:val="000000"/>
                      <w:sz w:val="19"/>
                      <w:szCs w:val="19"/>
                      <w:lang w:val="es-EC" w:eastAsia="es-EC"/>
                    </w:rPr>
                  </w:pPr>
                  <w:r w:rsidRPr="00337C6A">
                    <w:rPr>
                      <w:rFonts w:ascii="Palatino Linotype" w:eastAsia="Times New Roman" w:hAnsi="Palatino Linotype" w:cs="Times New Roman"/>
                      <w:b/>
                      <w:bCs/>
                      <w:color w:val="000000"/>
                      <w:sz w:val="19"/>
                      <w:szCs w:val="19"/>
                      <w:lang w:val="es-EC" w:eastAsia="es-EC"/>
                    </w:rPr>
                    <w:t>Condición</w:t>
                  </w:r>
                </w:p>
              </w:tc>
            </w:tr>
            <w:tr w:rsidR="00337C6A" w:rsidRPr="00337C6A" w:rsidTr="00337C6A">
              <w:trPr>
                <w:trHeight w:val="328"/>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Calderón</w:t>
                  </w:r>
                </w:p>
              </w:tc>
              <w:tc>
                <w:tcPr>
                  <w:tcW w:w="890"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32</w:t>
                  </w:r>
                </w:p>
              </w:tc>
              <w:tc>
                <w:tcPr>
                  <w:tcW w:w="1518"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Guardianía y mantenimiento</w:t>
                  </w:r>
                </w:p>
              </w:tc>
              <w:tc>
                <w:tcPr>
                  <w:tcW w:w="977"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350,00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700,00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FF0000"/>
                      <w:sz w:val="19"/>
                      <w:szCs w:val="19"/>
                      <w:lang w:val="es-EC" w:eastAsia="es-EC"/>
                    </w:rPr>
                    <w:t>(350,00)</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00B40B4F"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262"/>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Carapungo</w:t>
                  </w:r>
                </w:p>
              </w:tc>
              <w:tc>
                <w:tcPr>
                  <w:tcW w:w="890"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38</w:t>
                  </w:r>
                </w:p>
              </w:tc>
              <w:tc>
                <w:tcPr>
                  <w:tcW w:w="1518"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Guardianía y mantenimiento</w:t>
                  </w:r>
                </w:p>
              </w:tc>
              <w:tc>
                <w:tcPr>
                  <w:tcW w:w="977"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650,00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1.400,00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FF0000"/>
                      <w:sz w:val="19"/>
                      <w:szCs w:val="19"/>
                      <w:lang w:val="es-EC" w:eastAsia="es-EC"/>
                    </w:rPr>
                    <w:t>(750,00)</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138"/>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lastRenderedPageBreak/>
                    <w:t>Carolina</w:t>
                  </w:r>
                </w:p>
              </w:tc>
              <w:tc>
                <w:tcPr>
                  <w:tcW w:w="890"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287</w:t>
                  </w:r>
                </w:p>
              </w:tc>
              <w:tc>
                <w:tcPr>
                  <w:tcW w:w="1518"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guardianía</w:t>
                  </w:r>
                </w:p>
              </w:tc>
              <w:tc>
                <w:tcPr>
                  <w:tcW w:w="977"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20.000,00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10.000,00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10.000,00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300"/>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Chiriyacu</w:t>
                  </w:r>
                </w:p>
              </w:tc>
              <w:tc>
                <w:tcPr>
                  <w:tcW w:w="890"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78</w:t>
                  </w:r>
                </w:p>
              </w:tc>
              <w:tc>
                <w:tcPr>
                  <w:tcW w:w="1518"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guardianía</w:t>
                  </w:r>
                </w:p>
              </w:tc>
              <w:tc>
                <w:tcPr>
                  <w:tcW w:w="977"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3.400,00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2.200,00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1.200,00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135"/>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Comité del Pueblo</w:t>
                  </w:r>
                </w:p>
              </w:tc>
              <w:tc>
                <w:tcPr>
                  <w:tcW w:w="890" w:type="dxa"/>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67</w:t>
                  </w:r>
                </w:p>
              </w:tc>
              <w:tc>
                <w:tcPr>
                  <w:tcW w:w="1518" w:type="dxa"/>
                  <w:shd w:val="clear" w:color="auto" w:fill="auto"/>
                  <w:noWrap/>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Mantenimiento </w:t>
                  </w:r>
                </w:p>
              </w:tc>
              <w:tc>
                <w:tcPr>
                  <w:tcW w:w="977"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800,00</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1.300,00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FF0000"/>
                      <w:sz w:val="19"/>
                      <w:szCs w:val="19"/>
                      <w:lang w:val="es-EC" w:eastAsia="es-EC"/>
                    </w:rPr>
                    <w:t>(500,00)</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310"/>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Cotocollao</w:t>
                  </w:r>
                </w:p>
              </w:tc>
              <w:tc>
                <w:tcPr>
                  <w:tcW w:w="890"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104</w:t>
                  </w:r>
                </w:p>
              </w:tc>
              <w:tc>
                <w:tcPr>
                  <w:tcW w:w="1518"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guardianía</w:t>
                  </w:r>
                </w:p>
              </w:tc>
              <w:tc>
                <w:tcPr>
                  <w:tcW w:w="977"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3.200,00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2.600,00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600,00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272"/>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El Calzado</w:t>
                  </w:r>
                </w:p>
              </w:tc>
              <w:tc>
                <w:tcPr>
                  <w:tcW w:w="890"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30</w:t>
                  </w:r>
                </w:p>
              </w:tc>
              <w:tc>
                <w:tcPr>
                  <w:tcW w:w="1518"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pago servicios básicos</w:t>
                  </w:r>
                </w:p>
              </w:tc>
              <w:tc>
                <w:tcPr>
                  <w:tcW w:w="977"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1.000,00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800,00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200,00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434"/>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La Michelena</w:t>
                  </w:r>
                </w:p>
              </w:tc>
              <w:tc>
                <w:tcPr>
                  <w:tcW w:w="890"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30</w:t>
                  </w:r>
                </w:p>
              </w:tc>
              <w:tc>
                <w:tcPr>
                  <w:tcW w:w="1518" w:type="dxa"/>
                  <w:shd w:val="clear" w:color="auto" w:fill="auto"/>
                  <w:noWrap/>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personal parqueadero</w:t>
                  </w:r>
                </w:p>
              </w:tc>
              <w:tc>
                <w:tcPr>
                  <w:tcW w:w="977"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600,00</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600,00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271"/>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Las cuadras</w:t>
                  </w:r>
                </w:p>
              </w:tc>
              <w:tc>
                <w:tcPr>
                  <w:tcW w:w="890"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93</w:t>
                  </w:r>
                </w:p>
              </w:tc>
              <w:tc>
                <w:tcPr>
                  <w:tcW w:w="1518" w:type="dxa"/>
                  <w:shd w:val="clear" w:color="auto" w:fill="auto"/>
                  <w:noWrap/>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 personal parqueadero</w:t>
                  </w:r>
                </w:p>
              </w:tc>
              <w:tc>
                <w:tcPr>
                  <w:tcW w:w="977"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500,00</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500,00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162"/>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San Francisco</w:t>
                  </w:r>
                </w:p>
              </w:tc>
              <w:tc>
                <w:tcPr>
                  <w:tcW w:w="890" w:type="dxa"/>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37</w:t>
                  </w:r>
                </w:p>
              </w:tc>
              <w:tc>
                <w:tcPr>
                  <w:tcW w:w="1518" w:type="dxa"/>
                  <w:shd w:val="clear" w:color="auto" w:fill="auto"/>
                  <w:noWrap/>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personal</w:t>
                  </w:r>
                </w:p>
              </w:tc>
              <w:tc>
                <w:tcPr>
                  <w:tcW w:w="977"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2.100,00</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2.000,00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100,00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79"/>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San Roque</w:t>
                  </w:r>
                </w:p>
              </w:tc>
              <w:tc>
                <w:tcPr>
                  <w:tcW w:w="890"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50</w:t>
                  </w:r>
                </w:p>
              </w:tc>
              <w:tc>
                <w:tcPr>
                  <w:tcW w:w="1518" w:type="dxa"/>
                  <w:shd w:val="clear" w:color="auto" w:fill="auto"/>
                  <w:noWrap/>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guardianía</w:t>
                  </w:r>
                </w:p>
              </w:tc>
              <w:tc>
                <w:tcPr>
                  <w:tcW w:w="977"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8.500,00</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4.800,00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3.700,00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221"/>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Santa Clara</w:t>
                  </w:r>
                </w:p>
              </w:tc>
              <w:tc>
                <w:tcPr>
                  <w:tcW w:w="890" w:type="dxa"/>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22</w:t>
                  </w:r>
                </w:p>
              </w:tc>
              <w:tc>
                <w:tcPr>
                  <w:tcW w:w="1518"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personal parqueo guardianía</w:t>
                  </w:r>
                </w:p>
              </w:tc>
              <w:tc>
                <w:tcPr>
                  <w:tcW w:w="977"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2.000,00</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1.300,00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700,00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r w:rsidR="00337C6A" w:rsidRPr="00337C6A" w:rsidTr="00337C6A">
              <w:trPr>
                <w:trHeight w:val="79"/>
              </w:trPr>
              <w:tc>
                <w:tcPr>
                  <w:tcW w:w="1157"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Súper del Norte (Andalucía)</w:t>
                  </w:r>
                </w:p>
              </w:tc>
              <w:tc>
                <w:tcPr>
                  <w:tcW w:w="890" w:type="dxa"/>
                  <w:shd w:val="clear" w:color="auto" w:fill="auto"/>
                  <w:noWrap/>
                  <w:vAlign w:val="bottom"/>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42</w:t>
                  </w:r>
                </w:p>
              </w:tc>
              <w:tc>
                <w:tcPr>
                  <w:tcW w:w="1518" w:type="dxa"/>
                  <w:shd w:val="clear" w:color="auto" w:fill="auto"/>
                  <w:vAlign w:val="center"/>
                  <w:hideMark/>
                </w:tcPr>
                <w:p w:rsidR="00B40B4F" w:rsidRPr="00337C6A" w:rsidRDefault="00B40B4F" w:rsidP="00337C6A">
                  <w:pPr>
                    <w:spacing w:after="120"/>
                    <w:jc w:val="both"/>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Mantenimiento y Guardianía</w:t>
                  </w:r>
                </w:p>
              </w:tc>
              <w:tc>
                <w:tcPr>
                  <w:tcW w:w="977"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nadie</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1.300,00</w:t>
                  </w:r>
                </w:p>
              </w:tc>
              <w:tc>
                <w:tcPr>
                  <w:tcW w:w="913" w:type="dxa"/>
                  <w:shd w:val="clear" w:color="auto" w:fill="auto"/>
                  <w:noWrap/>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800,00</w:t>
                  </w:r>
                </w:p>
              </w:tc>
              <w:tc>
                <w:tcPr>
                  <w:tcW w:w="913" w:type="dxa"/>
                  <w:shd w:val="clear" w:color="auto" w:fill="auto"/>
                  <w:vAlign w:val="center"/>
                  <w:hideMark/>
                </w:tcPr>
                <w:p w:rsidR="00B40B4F" w:rsidRPr="00337C6A" w:rsidRDefault="00B40B4F" w:rsidP="008C2A35">
                  <w:pPr>
                    <w:spacing w:after="120"/>
                    <w:jc w:val="center"/>
                    <w:rPr>
                      <w:rFonts w:ascii="Palatino Linotype" w:eastAsia="Times New Roman" w:hAnsi="Palatino Linotype" w:cs="Times New Roman"/>
                      <w:color w:val="000000"/>
                      <w:sz w:val="19"/>
                      <w:szCs w:val="19"/>
                      <w:lang w:val="es-EC" w:eastAsia="es-EC"/>
                    </w:rPr>
                  </w:pPr>
                  <w:r w:rsidRPr="00337C6A">
                    <w:rPr>
                      <w:rFonts w:ascii="Palatino Linotype" w:eastAsia="Times New Roman" w:hAnsi="Palatino Linotype" w:cs="Times New Roman"/>
                      <w:color w:val="000000"/>
                      <w:sz w:val="19"/>
                      <w:szCs w:val="19"/>
                      <w:lang w:val="es-EC" w:eastAsia="es-EC"/>
                    </w:rPr>
                    <w:t xml:space="preserve">500,00 </w:t>
                  </w:r>
                </w:p>
              </w:tc>
              <w:tc>
                <w:tcPr>
                  <w:tcW w:w="1063" w:type="dxa"/>
                  <w:shd w:val="clear" w:color="auto" w:fill="auto"/>
                  <w:vAlign w:val="center"/>
                  <w:hideMark/>
                </w:tcPr>
                <w:p w:rsidR="00B40B4F" w:rsidRPr="00337C6A" w:rsidRDefault="00337C6A" w:rsidP="008C2A35">
                  <w:pPr>
                    <w:spacing w:after="120"/>
                    <w:jc w:val="center"/>
                    <w:rPr>
                      <w:rFonts w:ascii="Palatino Linotype" w:eastAsia="Times New Roman" w:hAnsi="Palatino Linotype" w:cs="Times New Roman"/>
                      <w:color w:val="000000"/>
                      <w:sz w:val="19"/>
                      <w:szCs w:val="19"/>
                      <w:lang w:val="es-EC" w:eastAsia="es-EC"/>
                    </w:rPr>
                  </w:pPr>
                  <w:r>
                    <w:rPr>
                      <w:rFonts w:ascii="Palatino Linotype" w:eastAsia="Times New Roman" w:hAnsi="Palatino Linotype" w:cs="Times New Roman"/>
                      <w:color w:val="000000"/>
                      <w:sz w:val="19"/>
                      <w:szCs w:val="19"/>
                      <w:lang w:val="es-EC" w:eastAsia="es-EC"/>
                    </w:rPr>
                    <w:t>SÍ</w:t>
                  </w:r>
                  <w:r w:rsidRPr="00337C6A">
                    <w:rPr>
                      <w:rFonts w:ascii="Palatino Linotype" w:eastAsia="Times New Roman" w:hAnsi="Palatino Linotype" w:cs="Times New Roman"/>
                      <w:color w:val="000000"/>
                      <w:sz w:val="19"/>
                      <w:szCs w:val="19"/>
                      <w:lang w:val="es-EC" w:eastAsia="es-EC"/>
                    </w:rPr>
                    <w:t xml:space="preserve"> COBRA</w:t>
                  </w:r>
                </w:p>
              </w:tc>
            </w:tr>
          </w:tbl>
          <w:p w:rsidR="00B40B4F" w:rsidRPr="008C2A35" w:rsidRDefault="00B40B4F" w:rsidP="008C2A35">
            <w:pPr>
              <w:spacing w:after="120"/>
              <w:ind w:left="360"/>
              <w:jc w:val="both"/>
              <w:rPr>
                <w:rFonts w:ascii="Palatino Linotype" w:hAnsi="Palatino Linotype" w:cs="Times New Roman"/>
                <w:lang w:val="es-ES_tradnl" w:eastAsia="es-EC"/>
              </w:rPr>
            </w:pPr>
          </w:p>
          <w:p w:rsidR="00B40B4F" w:rsidRPr="008C2A35" w:rsidRDefault="00B40B4F" w:rsidP="00337C6A">
            <w:pPr>
              <w:numPr>
                <w:ilvl w:val="0"/>
                <w:numId w:val="26"/>
              </w:numPr>
              <w:spacing w:after="120"/>
              <w:contextualSpacing/>
              <w:jc w:val="both"/>
              <w:rPr>
                <w:rFonts w:ascii="Palatino Linotype" w:hAnsi="Palatino Linotype" w:cs="Times New Roman"/>
                <w:lang w:val="es-ES_tradnl" w:eastAsia="es-EC"/>
              </w:rPr>
            </w:pPr>
            <w:r w:rsidRPr="008C2A35">
              <w:rPr>
                <w:rFonts w:ascii="Palatino Linotype" w:hAnsi="Palatino Linotype" w:cs="Times New Roman"/>
                <w:lang w:val="es-ES_tradnl" w:eastAsia="es-EC"/>
              </w:rPr>
              <w:t xml:space="preserve">Un aspecto que </w:t>
            </w:r>
            <w:r w:rsidR="00337C6A">
              <w:rPr>
                <w:rFonts w:ascii="Palatino Linotype" w:hAnsi="Palatino Linotype" w:cs="Times New Roman"/>
                <w:lang w:val="es-ES_tradnl" w:eastAsia="es-EC"/>
              </w:rPr>
              <w:t xml:space="preserve">se </w:t>
            </w:r>
            <w:r w:rsidRPr="008C2A35">
              <w:rPr>
                <w:rFonts w:ascii="Palatino Linotype" w:hAnsi="Palatino Linotype" w:cs="Times New Roman"/>
                <w:lang w:val="es-ES_tradnl" w:eastAsia="es-EC"/>
              </w:rPr>
              <w:t>consider</w:t>
            </w:r>
            <w:r w:rsidR="00337C6A">
              <w:rPr>
                <w:rFonts w:ascii="Palatino Linotype" w:hAnsi="Palatino Linotype" w:cs="Times New Roman"/>
                <w:lang w:val="es-ES_tradnl" w:eastAsia="es-EC"/>
              </w:rPr>
              <w:t>a</w:t>
            </w:r>
            <w:r w:rsidRPr="008C2A35">
              <w:rPr>
                <w:rFonts w:ascii="Palatino Linotype" w:hAnsi="Palatino Linotype" w:cs="Times New Roman"/>
                <w:lang w:val="es-ES_tradnl" w:eastAsia="es-EC"/>
              </w:rPr>
              <w:t xml:space="preserve"> debe ser tomado en cuenta es la alta contingencia laboral que presentan las asociaciones de comerciantes, pues contratan al personal del parqueadero de manera informal no están celebrados contratos de trabajo, ni afiliaciones al IESS. </w:t>
            </w:r>
          </w:p>
        </w:tc>
      </w:tr>
    </w:tbl>
    <w:p w:rsidR="00337C6A" w:rsidRDefault="00337C6A" w:rsidP="008C2A35">
      <w:pPr>
        <w:shd w:val="clear" w:color="auto" w:fill="FFFFFF"/>
        <w:spacing w:after="120"/>
        <w:ind w:firstLine="708"/>
        <w:jc w:val="both"/>
        <w:rPr>
          <w:rFonts w:ascii="Palatino Linotype" w:eastAsia="Times New Roman" w:hAnsi="Palatino Linotype" w:cs="Times New Roman"/>
          <w:bCs/>
          <w:lang w:val="es-EC" w:eastAsia="es-ES"/>
        </w:rPr>
      </w:pPr>
    </w:p>
    <w:p w:rsidR="00C14955" w:rsidRPr="008C2A35" w:rsidRDefault="000F3060" w:rsidP="008C2A35">
      <w:pPr>
        <w:shd w:val="clear" w:color="auto" w:fill="FFFFFF"/>
        <w:spacing w:after="120"/>
        <w:ind w:firstLine="708"/>
        <w:jc w:val="both"/>
        <w:rPr>
          <w:rFonts w:ascii="Palatino Linotype" w:eastAsia="Times New Roman" w:hAnsi="Palatino Linotype" w:cs="Times New Roman"/>
          <w:bCs/>
          <w:lang w:val="es-EC" w:eastAsia="es-ES"/>
        </w:rPr>
      </w:pPr>
      <w:r w:rsidRPr="008C2A35">
        <w:rPr>
          <w:rFonts w:ascii="Palatino Linotype" w:eastAsia="Times New Roman" w:hAnsi="Palatino Linotype" w:cs="Times New Roman"/>
          <w:bCs/>
          <w:lang w:val="es-EC" w:eastAsia="es-ES"/>
        </w:rPr>
        <w:t xml:space="preserve">Mediante Oficio No. </w:t>
      </w:r>
      <w:r w:rsidR="00337C6A">
        <w:rPr>
          <w:rFonts w:ascii="Palatino Linotype" w:eastAsia="Times New Roman" w:hAnsi="Palatino Linotype" w:cs="Times New Roman"/>
          <w:bCs/>
          <w:lang w:val="es-EC" w:eastAsia="es-ES"/>
        </w:rPr>
        <w:t>ACDC-2017-0001371, de fecha 6 de septiembre de</w:t>
      </w:r>
      <w:r w:rsidR="000323A4" w:rsidRPr="008C2A35">
        <w:rPr>
          <w:rFonts w:ascii="Palatino Linotype" w:eastAsia="Times New Roman" w:hAnsi="Palatino Linotype" w:cs="Times New Roman"/>
          <w:bCs/>
          <w:lang w:val="es-EC" w:eastAsia="es-ES"/>
        </w:rPr>
        <w:t xml:space="preserve"> 2017</w:t>
      </w:r>
      <w:r w:rsidRPr="008C2A35">
        <w:rPr>
          <w:rFonts w:ascii="Palatino Linotype" w:eastAsia="Times New Roman" w:hAnsi="Palatino Linotype" w:cs="Times New Roman"/>
          <w:bCs/>
          <w:lang w:val="es-EC" w:eastAsia="es-ES"/>
        </w:rPr>
        <w:t>, la</w:t>
      </w:r>
      <w:r w:rsidRPr="008C2A35">
        <w:rPr>
          <w:rFonts w:ascii="Palatino Linotype" w:eastAsia="Times New Roman" w:hAnsi="Palatino Linotype" w:cs="Times New Roman"/>
          <w:b/>
          <w:bCs/>
          <w:lang w:val="es-EC" w:eastAsia="es-ES"/>
        </w:rPr>
        <w:t xml:space="preserve"> </w:t>
      </w:r>
      <w:r w:rsidRPr="008C2A35">
        <w:rPr>
          <w:rFonts w:ascii="Palatino Linotype" w:eastAsia="Times New Roman" w:hAnsi="Palatino Linotype" w:cs="Times New Roman"/>
          <w:bCs/>
          <w:lang w:val="es-EC" w:eastAsia="es-ES"/>
        </w:rPr>
        <w:t xml:space="preserve">Agencia de Coordinación Distrital del Comercio, remitió al Sr. Alcalde Dr. Mauricio </w:t>
      </w:r>
      <w:r w:rsidRPr="008C2A35">
        <w:rPr>
          <w:rFonts w:ascii="Palatino Linotype" w:eastAsia="Times New Roman" w:hAnsi="Palatino Linotype" w:cs="Times New Roman"/>
          <w:bCs/>
          <w:lang w:val="es-EC" w:eastAsia="es-ES"/>
        </w:rPr>
        <w:lastRenderedPageBreak/>
        <w:t xml:space="preserve">Rodas, el análisis correspondiente al párrafo segundo del </w:t>
      </w:r>
      <w:r w:rsidR="00337C6A">
        <w:rPr>
          <w:rFonts w:ascii="Palatino Linotype" w:eastAsia="Times New Roman" w:hAnsi="Palatino Linotype" w:cs="Times New Roman"/>
          <w:bCs/>
          <w:lang w:val="es-EC" w:eastAsia="es-ES"/>
        </w:rPr>
        <w:t>a</w:t>
      </w:r>
      <w:r w:rsidRPr="008C2A35">
        <w:rPr>
          <w:rFonts w:ascii="Palatino Linotype" w:eastAsia="Times New Roman" w:hAnsi="Palatino Linotype" w:cs="Times New Roman"/>
          <w:bCs/>
          <w:lang w:val="es-EC" w:eastAsia="es-ES"/>
        </w:rPr>
        <w:t>rt</w:t>
      </w:r>
      <w:r w:rsidR="00337C6A">
        <w:rPr>
          <w:rFonts w:ascii="Palatino Linotype" w:eastAsia="Times New Roman" w:hAnsi="Palatino Linotype" w:cs="Times New Roman"/>
          <w:bCs/>
          <w:lang w:val="es-EC" w:eastAsia="es-ES"/>
        </w:rPr>
        <w:t>ículo</w:t>
      </w:r>
      <w:r w:rsidRPr="008C2A35">
        <w:rPr>
          <w:rFonts w:ascii="Palatino Linotype" w:eastAsia="Times New Roman" w:hAnsi="Palatino Linotype" w:cs="Times New Roman"/>
          <w:bCs/>
          <w:lang w:val="es-EC" w:eastAsia="es-ES"/>
        </w:rPr>
        <w:t xml:space="preserve"> 12 de la Ordenanza Metropolitana No. 17</w:t>
      </w:r>
      <w:r w:rsidR="00337C6A">
        <w:rPr>
          <w:rFonts w:ascii="Palatino Linotype" w:eastAsia="Times New Roman" w:hAnsi="Palatino Linotype" w:cs="Times New Roman"/>
          <w:bCs/>
          <w:lang w:val="es-EC" w:eastAsia="es-ES"/>
        </w:rPr>
        <w:t>0, sancionada el 22 de junio de</w:t>
      </w:r>
      <w:r w:rsidRPr="008C2A35">
        <w:rPr>
          <w:rFonts w:ascii="Palatino Linotype" w:eastAsia="Times New Roman" w:hAnsi="Palatino Linotype" w:cs="Times New Roman"/>
          <w:bCs/>
          <w:lang w:val="es-EC" w:eastAsia="es-ES"/>
        </w:rPr>
        <w:t xml:space="preserve"> 2017</w:t>
      </w:r>
      <w:r w:rsidR="00C14955" w:rsidRPr="008C2A35">
        <w:rPr>
          <w:rFonts w:ascii="Palatino Linotype" w:eastAsia="Times New Roman" w:hAnsi="Palatino Linotype" w:cs="Times New Roman"/>
          <w:bCs/>
          <w:lang w:val="es-EC" w:eastAsia="es-ES"/>
        </w:rPr>
        <w:t xml:space="preserve">, </w:t>
      </w:r>
      <w:r w:rsidRPr="008C2A35">
        <w:rPr>
          <w:rFonts w:ascii="Palatino Linotype" w:eastAsia="Times New Roman" w:hAnsi="Palatino Linotype" w:cs="Times New Roman"/>
          <w:bCs/>
          <w:lang w:val="es-EC" w:eastAsia="es-ES"/>
        </w:rPr>
        <w:t>donde se concluye con</w:t>
      </w:r>
      <w:r w:rsidR="00C14955" w:rsidRPr="008C2A35">
        <w:rPr>
          <w:rFonts w:ascii="Palatino Linotype" w:eastAsia="Times New Roman" w:hAnsi="Palatino Linotype" w:cs="Times New Roman"/>
          <w:bCs/>
          <w:lang w:val="es-EC" w:eastAsia="es-ES"/>
        </w:rPr>
        <w:t xml:space="preserve"> la necesidad de reformar </w:t>
      </w:r>
      <w:r w:rsidRPr="008C2A35">
        <w:rPr>
          <w:rFonts w:ascii="Palatino Linotype" w:eastAsia="Times New Roman" w:hAnsi="Palatino Linotype" w:cs="Times New Roman"/>
          <w:bCs/>
          <w:lang w:val="es-EC" w:eastAsia="es-ES"/>
        </w:rPr>
        <w:t>el mencionado artículo</w:t>
      </w:r>
      <w:r w:rsidR="00AE0D57" w:rsidRPr="008C2A35">
        <w:rPr>
          <w:rFonts w:ascii="Palatino Linotype" w:eastAsia="Times New Roman" w:hAnsi="Palatino Linotype" w:cs="Times New Roman"/>
          <w:bCs/>
          <w:lang w:val="es-EC" w:eastAsia="es-ES"/>
        </w:rPr>
        <w:t>, con el fin de tene</w:t>
      </w:r>
      <w:r w:rsidR="006213D6" w:rsidRPr="008C2A35">
        <w:rPr>
          <w:rFonts w:ascii="Palatino Linotype" w:eastAsia="Times New Roman" w:hAnsi="Palatino Linotype" w:cs="Times New Roman"/>
          <w:bCs/>
          <w:lang w:val="es-EC" w:eastAsia="es-ES"/>
        </w:rPr>
        <w:t>r viabilidad sobre la administración de los estacionamientos de los Mercados, Ferias y Plataformas del Distrito Metropolitano de Quito</w:t>
      </w:r>
      <w:r w:rsidR="00C14955" w:rsidRPr="008C2A35">
        <w:rPr>
          <w:rFonts w:ascii="Palatino Linotype" w:eastAsia="Times New Roman" w:hAnsi="Palatino Linotype" w:cs="Times New Roman"/>
          <w:bCs/>
          <w:lang w:val="es-EC" w:eastAsia="es-ES"/>
        </w:rPr>
        <w:t>.</w:t>
      </w:r>
    </w:p>
    <w:p w:rsidR="00337C6A" w:rsidRDefault="00337C6A" w:rsidP="008C2A35">
      <w:pPr>
        <w:shd w:val="clear" w:color="auto" w:fill="FFFFFF"/>
        <w:spacing w:after="120"/>
        <w:jc w:val="both"/>
        <w:rPr>
          <w:rFonts w:ascii="Palatino Linotype" w:eastAsia="Times New Roman" w:hAnsi="Palatino Linotype" w:cs="Times New Roman"/>
          <w:bCs/>
          <w:lang w:val="es-EC" w:eastAsia="es-ES"/>
        </w:rPr>
        <w:sectPr w:rsidR="00337C6A" w:rsidSect="00C14955">
          <w:headerReference w:type="default" r:id="rId10"/>
          <w:footerReference w:type="default" r:id="rId11"/>
          <w:pgSz w:w="11906" w:h="16838"/>
          <w:pgMar w:top="1417" w:right="1701" w:bottom="1417" w:left="1701" w:header="708" w:footer="708" w:gutter="0"/>
          <w:cols w:space="708"/>
          <w:docGrid w:linePitch="360"/>
        </w:sectPr>
      </w:pPr>
    </w:p>
    <w:p w:rsidR="00337C6A" w:rsidRDefault="00337C6A" w:rsidP="008C2A35">
      <w:pPr>
        <w:shd w:val="clear" w:color="auto" w:fill="FFFFFF"/>
        <w:spacing w:after="120"/>
        <w:jc w:val="center"/>
        <w:rPr>
          <w:rFonts w:ascii="Palatino Linotype" w:eastAsia="Times New Roman" w:hAnsi="Palatino Linotype" w:cs="Times New Roman"/>
          <w:b/>
          <w:bCs/>
          <w:lang w:val="es-EC" w:eastAsia="es-ES"/>
        </w:rPr>
      </w:pPr>
      <w:r>
        <w:rPr>
          <w:rFonts w:ascii="Palatino Linotype" w:eastAsia="Times New Roman" w:hAnsi="Palatino Linotype" w:cs="Times New Roman"/>
          <w:b/>
          <w:bCs/>
          <w:lang w:val="es-EC" w:eastAsia="es-ES"/>
        </w:rPr>
        <w:lastRenderedPageBreak/>
        <w:t>EL CONCEJO METROPOLITANO DE QUITO</w:t>
      </w:r>
    </w:p>
    <w:p w:rsidR="00337C6A" w:rsidRPr="00337C6A" w:rsidRDefault="00337C6A" w:rsidP="00337C6A">
      <w:pPr>
        <w:shd w:val="clear" w:color="auto" w:fill="FFFFFF"/>
        <w:spacing w:after="120"/>
        <w:jc w:val="both"/>
        <w:rPr>
          <w:rFonts w:ascii="Palatino Linotype" w:eastAsia="Times New Roman" w:hAnsi="Palatino Linotype" w:cs="Times New Roman"/>
          <w:bCs/>
          <w:lang w:val="es-EC" w:eastAsia="es-ES"/>
        </w:rPr>
      </w:pPr>
      <w:r>
        <w:rPr>
          <w:rFonts w:ascii="Palatino Linotype" w:eastAsia="Times New Roman" w:hAnsi="Palatino Linotype" w:cs="Times New Roman"/>
          <w:bCs/>
          <w:lang w:val="es-EC" w:eastAsia="es-ES"/>
        </w:rPr>
        <w:t>Visto el Informe No. IC-O-2018-391, de 3 de octubre de 2018, emitido por la Comisión de Movilidad.</w:t>
      </w:r>
    </w:p>
    <w:p w:rsidR="00C14955" w:rsidRPr="008C2A35" w:rsidRDefault="00C14955" w:rsidP="008C2A35">
      <w:pPr>
        <w:shd w:val="clear" w:color="auto" w:fill="FFFFFF"/>
        <w:spacing w:after="120"/>
        <w:jc w:val="center"/>
        <w:rPr>
          <w:rFonts w:ascii="Palatino Linotype" w:eastAsia="Times New Roman" w:hAnsi="Palatino Linotype" w:cs="Times New Roman"/>
          <w:b/>
          <w:bCs/>
          <w:lang w:val="es-EC" w:eastAsia="es-ES"/>
        </w:rPr>
      </w:pPr>
      <w:r w:rsidRPr="008C2A35">
        <w:rPr>
          <w:rFonts w:ascii="Palatino Linotype" w:eastAsia="Times New Roman" w:hAnsi="Palatino Linotype" w:cs="Times New Roman"/>
          <w:b/>
          <w:bCs/>
          <w:lang w:val="es-EC" w:eastAsia="es-ES"/>
        </w:rPr>
        <w:t>CONSIDERANDO:</w:t>
      </w:r>
      <w:r w:rsidR="000124EB" w:rsidRPr="008C2A35">
        <w:rPr>
          <w:rFonts w:ascii="Palatino Linotype" w:eastAsia="Times New Roman" w:hAnsi="Palatino Linotype" w:cs="Times New Roman"/>
          <w:b/>
          <w:bCs/>
          <w:lang w:val="es-EC" w:eastAsia="es-ES"/>
        </w:rPr>
        <w:t xml:space="preserve"> </w:t>
      </w:r>
    </w:p>
    <w:p w:rsidR="00C14955" w:rsidRPr="008C2A35" w:rsidRDefault="00337C6A" w:rsidP="00337C6A">
      <w:pPr>
        <w:shd w:val="clear" w:color="auto" w:fill="FFFFFF"/>
        <w:spacing w:after="120"/>
        <w:ind w:left="705" w:hanging="705"/>
        <w:jc w:val="both"/>
        <w:rPr>
          <w:rFonts w:ascii="Palatino Linotype" w:eastAsia="Times New Roman" w:hAnsi="Palatino Linotype" w:cs="Times New Roman"/>
          <w:bCs/>
          <w:lang w:val="es-EC" w:eastAsia="es-ES"/>
        </w:rPr>
      </w:pPr>
      <w:r>
        <w:rPr>
          <w:rFonts w:ascii="Palatino Linotype" w:eastAsia="Times New Roman" w:hAnsi="Palatino Linotype" w:cs="Times New Roman"/>
          <w:b/>
          <w:bCs/>
          <w:lang w:val="es-EC" w:eastAsia="es-ES"/>
        </w:rPr>
        <w:t>Que,</w:t>
      </w:r>
      <w:r>
        <w:rPr>
          <w:rFonts w:ascii="Palatino Linotype" w:eastAsia="Times New Roman" w:hAnsi="Palatino Linotype" w:cs="Times New Roman"/>
          <w:b/>
          <w:bCs/>
          <w:lang w:val="es-EC" w:eastAsia="es-ES"/>
        </w:rPr>
        <w:tab/>
      </w:r>
      <w:r w:rsidR="00C14955" w:rsidRPr="008C2A35">
        <w:rPr>
          <w:rFonts w:ascii="Palatino Linotype" w:eastAsia="Times New Roman" w:hAnsi="Palatino Linotype" w:cs="Times New Roman"/>
          <w:bCs/>
          <w:lang w:val="es-EC" w:eastAsia="es-ES"/>
        </w:rPr>
        <w:t>la Constitución de la República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rsidR="00C14955" w:rsidRPr="008C2A35" w:rsidRDefault="00C14955" w:rsidP="00337C6A">
      <w:pPr>
        <w:shd w:val="clear" w:color="auto" w:fill="FFFFFF"/>
        <w:spacing w:after="120"/>
        <w:ind w:left="705" w:hanging="705"/>
        <w:jc w:val="both"/>
        <w:rPr>
          <w:rFonts w:ascii="Palatino Linotype" w:eastAsia="Times New Roman" w:hAnsi="Palatino Linotype" w:cs="Times New Roman"/>
          <w:b/>
          <w:bCs/>
          <w:lang w:val="es-EC" w:eastAsia="es-ES"/>
        </w:rPr>
      </w:pPr>
      <w:r w:rsidRPr="008C2A35">
        <w:rPr>
          <w:rStyle w:val="Ninguno"/>
          <w:rFonts w:ascii="Palatino Linotype" w:hAnsi="Palatino Linotype"/>
          <w:b/>
          <w:bCs/>
          <w:lang w:val="es-EC"/>
        </w:rPr>
        <w:t xml:space="preserve">Que, </w:t>
      </w:r>
      <w:r w:rsidR="00337C6A">
        <w:rPr>
          <w:rStyle w:val="Ninguno"/>
          <w:rFonts w:ascii="Palatino Linotype" w:hAnsi="Palatino Linotype"/>
          <w:b/>
          <w:bCs/>
          <w:lang w:val="es-EC"/>
        </w:rPr>
        <w:tab/>
      </w:r>
      <w:r w:rsidRPr="008C2A35">
        <w:rPr>
          <w:rStyle w:val="Ninguno"/>
          <w:rFonts w:ascii="Palatino Linotype" w:hAnsi="Palatino Linotype"/>
          <w:lang w:val="es-EC"/>
        </w:rPr>
        <w:t xml:space="preserve">el artículo 240 de la Constitución, señala: </w:t>
      </w:r>
      <w:r w:rsidRPr="008C2A35">
        <w:rPr>
          <w:rStyle w:val="Ninguno"/>
          <w:rFonts w:ascii="Palatino Linotype" w:hAnsi="Palatino Linotype"/>
          <w:i/>
          <w:lang w:val="es-EC"/>
        </w:rPr>
        <w:t>“Los gobiernos autónomos descentralizados de las regiones, distritos metropolitanos, provincias y cantones tendrán facultades legislativas en el ámbito de sus competencias y jurisdicciones territoriales…”;</w:t>
      </w:r>
    </w:p>
    <w:p w:rsidR="00C14955" w:rsidRPr="008C2A35" w:rsidRDefault="00C14955" w:rsidP="00337C6A">
      <w:pPr>
        <w:shd w:val="clear" w:color="auto" w:fill="FFFFFF"/>
        <w:spacing w:after="120"/>
        <w:ind w:left="705" w:hanging="705"/>
        <w:jc w:val="both"/>
        <w:rPr>
          <w:rFonts w:ascii="Palatino Linotype" w:eastAsia="Times New Roman" w:hAnsi="Palatino Linotype" w:cs="Times New Roman"/>
          <w:lang w:val="es-EC" w:eastAsia="es-ES"/>
        </w:rPr>
      </w:pPr>
      <w:r w:rsidRPr="008C2A35">
        <w:rPr>
          <w:rFonts w:ascii="Palatino Linotype" w:eastAsia="Times New Roman" w:hAnsi="Palatino Linotype" w:cs="Times New Roman"/>
          <w:b/>
          <w:bCs/>
          <w:lang w:val="es-EC" w:eastAsia="es-ES"/>
        </w:rPr>
        <w:t>Que,</w:t>
      </w:r>
      <w:r w:rsidRPr="008C2A35">
        <w:rPr>
          <w:rFonts w:ascii="Palatino Linotype" w:eastAsia="Times New Roman" w:hAnsi="Palatino Linotype" w:cs="Times New Roman"/>
          <w:lang w:val="es-EC" w:eastAsia="es-ES"/>
        </w:rPr>
        <w:t> </w:t>
      </w:r>
      <w:r w:rsidR="00337C6A">
        <w:rPr>
          <w:rFonts w:ascii="Palatino Linotype" w:eastAsia="Times New Roman" w:hAnsi="Palatino Linotype" w:cs="Times New Roman"/>
          <w:lang w:val="es-EC" w:eastAsia="es-ES"/>
        </w:rPr>
        <w:tab/>
      </w:r>
      <w:r w:rsidRPr="008C2A35">
        <w:rPr>
          <w:rFonts w:ascii="Palatino Linotype" w:eastAsia="Times New Roman" w:hAnsi="Palatino Linotype" w:cs="Times New Roman"/>
          <w:lang w:val="es-EC" w:eastAsia="es-ES"/>
        </w:rPr>
        <w:t>el artículo 238 y 266 de la Constitución de la República establece que los gobiernos, autónomos descentralizados gozarán de autonomía, administrativa y financiera; y, de los Distritos Metropolitanos Autónomos ejercen las competencias que corresponden a los gobiernos cantonales y todas las que sean aplicables de los gobiernos provinciales y regionales</w:t>
      </w:r>
      <w:r w:rsidR="00337C6A">
        <w:rPr>
          <w:rFonts w:ascii="Palatino Linotype" w:eastAsia="Times New Roman" w:hAnsi="Palatino Linotype" w:cs="Times New Roman"/>
          <w:lang w:val="es-EC" w:eastAsia="es-ES"/>
        </w:rPr>
        <w:t>;</w:t>
      </w:r>
    </w:p>
    <w:p w:rsidR="00337C6A" w:rsidRDefault="00C14955" w:rsidP="00337C6A">
      <w:pPr>
        <w:shd w:val="clear" w:color="auto" w:fill="FFFFFF"/>
        <w:spacing w:after="120"/>
        <w:ind w:left="705" w:hanging="705"/>
        <w:jc w:val="both"/>
        <w:rPr>
          <w:rFonts w:ascii="Palatino Linotype" w:eastAsia="Times New Roman" w:hAnsi="Palatino Linotype" w:cs="Times New Roman"/>
          <w:lang w:val="es-EC" w:eastAsia="es-ES"/>
        </w:rPr>
      </w:pPr>
      <w:r w:rsidRPr="008C2A35">
        <w:rPr>
          <w:rFonts w:ascii="Palatino Linotype" w:eastAsia="Times New Roman" w:hAnsi="Palatino Linotype" w:cs="Times New Roman"/>
          <w:b/>
          <w:bCs/>
          <w:lang w:val="es-EC" w:eastAsia="es-ES"/>
        </w:rPr>
        <w:t>Que,</w:t>
      </w:r>
      <w:r w:rsidRPr="008C2A35">
        <w:rPr>
          <w:rFonts w:ascii="Palatino Linotype" w:eastAsia="Times New Roman" w:hAnsi="Palatino Linotype" w:cs="Times New Roman"/>
          <w:lang w:val="es-EC" w:eastAsia="es-ES"/>
        </w:rPr>
        <w:t> </w:t>
      </w:r>
      <w:r w:rsidR="00337C6A">
        <w:rPr>
          <w:rFonts w:ascii="Palatino Linotype" w:eastAsia="Times New Roman" w:hAnsi="Palatino Linotype" w:cs="Times New Roman"/>
          <w:lang w:val="es-EC" w:eastAsia="es-ES"/>
        </w:rPr>
        <w:tab/>
      </w:r>
      <w:r w:rsidRPr="008C2A35">
        <w:rPr>
          <w:rFonts w:ascii="Palatino Linotype" w:eastAsia="Times New Roman" w:hAnsi="Palatino Linotype" w:cs="Times New Roman"/>
          <w:lang w:val="es-EC" w:eastAsia="es-ES"/>
        </w:rPr>
        <w:t xml:space="preserve">de conformidad con los artículos 253 y 254 de la Constitución de la República del Ecuador, los </w:t>
      </w:r>
      <w:r w:rsidR="00337C6A">
        <w:rPr>
          <w:rFonts w:ascii="Palatino Linotype" w:eastAsia="Times New Roman" w:hAnsi="Palatino Linotype" w:cs="Times New Roman"/>
          <w:lang w:val="es-EC" w:eastAsia="es-ES"/>
        </w:rPr>
        <w:t>artículos 89 y 90 del Código Orgánico de Organización Territorial, Autonomía y Descentralización –COO</w:t>
      </w:r>
      <w:r w:rsidRPr="008C2A35">
        <w:rPr>
          <w:rFonts w:ascii="Palatino Linotype" w:eastAsia="Times New Roman" w:hAnsi="Palatino Linotype" w:cs="Times New Roman"/>
          <w:lang w:val="es-EC" w:eastAsia="es-ES"/>
        </w:rPr>
        <w:t>T</w:t>
      </w:r>
      <w:r w:rsidR="00337C6A">
        <w:rPr>
          <w:rFonts w:ascii="Palatino Linotype" w:eastAsia="Times New Roman" w:hAnsi="Palatino Linotype" w:cs="Times New Roman"/>
          <w:lang w:val="es-EC" w:eastAsia="es-ES"/>
        </w:rPr>
        <w:t>A</w:t>
      </w:r>
      <w:r w:rsidRPr="008C2A35">
        <w:rPr>
          <w:rFonts w:ascii="Palatino Linotype" w:eastAsia="Times New Roman" w:hAnsi="Palatino Linotype" w:cs="Times New Roman"/>
          <w:lang w:val="es-EC" w:eastAsia="es-ES"/>
        </w:rPr>
        <w:t>D</w:t>
      </w:r>
      <w:r w:rsidR="00337C6A">
        <w:rPr>
          <w:rFonts w:ascii="Palatino Linotype" w:eastAsia="Times New Roman" w:hAnsi="Palatino Linotype" w:cs="Times New Roman"/>
          <w:lang w:val="es-EC" w:eastAsia="es-ES"/>
        </w:rPr>
        <w:t>,</w:t>
      </w:r>
      <w:r w:rsidRPr="008C2A35">
        <w:rPr>
          <w:rFonts w:ascii="Palatino Linotype" w:eastAsia="Times New Roman" w:hAnsi="Palatino Linotype" w:cs="Times New Roman"/>
          <w:lang w:val="es-EC" w:eastAsia="es-ES"/>
        </w:rPr>
        <w:t xml:space="preserve"> y el artículo 10 de la Ley de Régimen Municipal para el Distrito Metropolitano de Quito, el Alcalde Metropolitano es la máxima autoridad administrativa del Municipio del </w:t>
      </w:r>
      <w:r w:rsidR="00337C6A">
        <w:rPr>
          <w:rFonts w:ascii="Palatino Linotype" w:eastAsia="Times New Roman" w:hAnsi="Palatino Linotype" w:cs="Times New Roman"/>
          <w:lang w:val="es-EC" w:eastAsia="es-ES"/>
        </w:rPr>
        <w:t>Distrito Metropolitano de Quito;</w:t>
      </w:r>
    </w:p>
    <w:p w:rsidR="00337C6A" w:rsidRDefault="00C14955" w:rsidP="00337C6A">
      <w:pPr>
        <w:shd w:val="clear" w:color="auto" w:fill="FFFFFF"/>
        <w:spacing w:after="120"/>
        <w:ind w:left="705" w:hanging="705"/>
        <w:jc w:val="both"/>
        <w:rPr>
          <w:rFonts w:ascii="Palatino Linotype" w:eastAsia="Times New Roman" w:hAnsi="Palatino Linotype" w:cs="Times New Roman"/>
          <w:lang w:val="es-EC" w:eastAsia="es-ES"/>
        </w:rPr>
      </w:pPr>
      <w:r w:rsidRPr="008C2A35">
        <w:rPr>
          <w:rFonts w:ascii="Palatino Linotype" w:eastAsia="Times New Roman" w:hAnsi="Palatino Linotype" w:cs="Times New Roman"/>
          <w:b/>
          <w:lang w:val="es-EC" w:eastAsia="es-ES"/>
        </w:rPr>
        <w:t>Que,</w:t>
      </w:r>
      <w:r w:rsidR="00337C6A">
        <w:rPr>
          <w:rFonts w:ascii="Palatino Linotype" w:eastAsia="Times New Roman" w:hAnsi="Palatino Linotype" w:cs="Times New Roman"/>
          <w:lang w:val="es-EC" w:eastAsia="es-ES"/>
        </w:rPr>
        <w:t xml:space="preserve"> </w:t>
      </w:r>
      <w:r w:rsidR="00337C6A">
        <w:rPr>
          <w:rFonts w:ascii="Palatino Linotype" w:eastAsia="Times New Roman" w:hAnsi="Palatino Linotype" w:cs="Times New Roman"/>
          <w:lang w:val="es-EC" w:eastAsia="es-ES"/>
        </w:rPr>
        <w:tab/>
        <w:t>de conformidad al a</w:t>
      </w:r>
      <w:r w:rsidRPr="008C2A35">
        <w:rPr>
          <w:rFonts w:ascii="Palatino Linotype" w:eastAsia="Times New Roman" w:hAnsi="Palatino Linotype" w:cs="Times New Roman"/>
          <w:lang w:val="es-EC" w:eastAsia="es-ES"/>
        </w:rPr>
        <w:t>rtículo 31 de la Constitución de la República del Ecuador establece que “</w:t>
      </w:r>
      <w:r w:rsidRPr="008C2A35">
        <w:rPr>
          <w:rFonts w:ascii="Palatino Linotype" w:eastAsia="Times New Roman" w:hAnsi="Palatino Linotype" w:cs="Times New Roman"/>
          <w:i/>
          <w:lang w:val="es-EC" w:eastAsia="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rsidR="006921DB" w:rsidRDefault="006213D6" w:rsidP="00337C6A">
      <w:pPr>
        <w:shd w:val="clear" w:color="auto" w:fill="FFFFFF"/>
        <w:spacing w:after="120"/>
        <w:ind w:left="705" w:hanging="705"/>
        <w:jc w:val="both"/>
        <w:rPr>
          <w:rFonts w:ascii="Palatino Linotype" w:hAnsi="Palatino Linotype" w:cs="Times"/>
          <w:i/>
          <w:iCs/>
        </w:rPr>
      </w:pPr>
      <w:r w:rsidRPr="008C2A35">
        <w:rPr>
          <w:rFonts w:ascii="Palatino Linotype" w:hAnsi="Palatino Linotype" w:cs="Times"/>
          <w:b/>
        </w:rPr>
        <w:t>Que</w:t>
      </w:r>
      <w:r w:rsidRPr="008C2A35">
        <w:rPr>
          <w:rFonts w:ascii="Palatino Linotype" w:hAnsi="Palatino Linotype" w:cs="Times"/>
        </w:rPr>
        <w:t xml:space="preserve">, </w:t>
      </w:r>
      <w:r w:rsidR="00337C6A">
        <w:rPr>
          <w:rFonts w:ascii="Palatino Linotype" w:hAnsi="Palatino Linotype" w:cs="Times"/>
        </w:rPr>
        <w:tab/>
      </w:r>
      <w:r w:rsidRPr="008C2A35">
        <w:rPr>
          <w:rFonts w:ascii="Palatino Linotype" w:hAnsi="Palatino Linotype" w:cs="Times"/>
        </w:rPr>
        <w:t>los numerales 1, 2, 3 y 6 del artículo 264 de la Constitución, en relación a las competencias exclusivas de los gobiernos municipales, prescriben: "</w:t>
      </w:r>
      <w:r w:rsidRPr="006921DB">
        <w:rPr>
          <w:rFonts w:ascii="Palatino Linotype" w:hAnsi="Palatino Linotype" w:cs="Times"/>
          <w:i/>
        </w:rPr>
        <w:t xml:space="preserve">1. </w:t>
      </w:r>
      <w:r w:rsidRPr="008C2A35">
        <w:rPr>
          <w:rFonts w:ascii="Palatino Linotype" w:hAnsi="Palatino Linotype" w:cs="Times"/>
          <w:i/>
          <w:iCs/>
        </w:rPr>
        <w:t xml:space="preserve">Planificar el desarrollo cantonal y formular los correspondientes planes de ordenamiento territorial, </w:t>
      </w:r>
      <w:r w:rsidRPr="008C2A35">
        <w:rPr>
          <w:rFonts w:ascii="Palatino Linotype" w:hAnsi="Palatino Linotype" w:cs="Times"/>
          <w:i/>
          <w:iCs/>
        </w:rPr>
        <w:lastRenderedPageBreak/>
        <w:t>de manera articulada con la planificación nacional, regional, provincial y parroquial, con el fin de regular el uso y la ocupación del suelo urbano y rural. 2. Ejercer el control sobre el uso y ocupación del suelo en el cantón. 3. Planificar, construir y mantener la vialidad urbana (...) 6. Planificar, regular y controlar el tránsito y el transporte público dentro de su territorio cantonal. (...)";</w:t>
      </w:r>
    </w:p>
    <w:p w:rsidR="006921DB" w:rsidRDefault="00C14955" w:rsidP="006921DB">
      <w:pPr>
        <w:shd w:val="clear" w:color="auto" w:fill="FFFFFF"/>
        <w:spacing w:after="120"/>
        <w:ind w:left="705" w:hanging="705"/>
        <w:jc w:val="both"/>
        <w:rPr>
          <w:rFonts w:ascii="Palatino Linotype" w:eastAsia="Times New Roman" w:hAnsi="Palatino Linotype" w:cs="Times New Roman"/>
          <w:lang w:val="es-EC" w:eastAsia="es-ES"/>
        </w:rPr>
      </w:pPr>
      <w:r w:rsidRPr="008C2A35">
        <w:rPr>
          <w:rFonts w:ascii="Palatino Linotype" w:eastAsia="Times New Roman" w:hAnsi="Palatino Linotype" w:cs="Times New Roman"/>
          <w:b/>
          <w:bCs/>
          <w:lang w:val="es-EC" w:eastAsia="es-ES"/>
        </w:rPr>
        <w:t>Que,</w:t>
      </w:r>
      <w:r w:rsidRPr="008C2A35">
        <w:rPr>
          <w:rFonts w:ascii="Palatino Linotype" w:eastAsia="Times New Roman" w:hAnsi="Palatino Linotype" w:cs="Times New Roman"/>
          <w:lang w:val="es-EC" w:eastAsia="es-ES"/>
        </w:rPr>
        <w:t> </w:t>
      </w:r>
      <w:r w:rsidR="00337C6A">
        <w:rPr>
          <w:rFonts w:ascii="Palatino Linotype" w:eastAsia="Times New Roman" w:hAnsi="Palatino Linotype" w:cs="Times New Roman"/>
          <w:lang w:val="es-EC" w:eastAsia="es-ES"/>
        </w:rPr>
        <w:tab/>
      </w:r>
      <w:r w:rsidRPr="008C2A35">
        <w:rPr>
          <w:rFonts w:ascii="Palatino Linotype" w:eastAsia="Times New Roman" w:hAnsi="Palatino Linotype" w:cs="Times New Roman"/>
          <w:lang w:val="es-EC" w:eastAsia="es-ES"/>
        </w:rPr>
        <w:t>según lo previsto en el artículo 5 del Código Orgánico de Organización Territorial, Autonomía y Descentralización – COOTAD, la autonomía política, administrativa y financiera de los gobiernos descentralizados autónomos y regímenes especiales prevista en la Constitución comprende el derecho y la capacidad efectiva de estos niveles de gobierno para regirse mediante normas y órganos</w:t>
      </w:r>
      <w:r w:rsidR="006921DB">
        <w:rPr>
          <w:rFonts w:ascii="Palatino Linotype" w:eastAsia="Times New Roman" w:hAnsi="Palatino Linotype" w:cs="Times New Roman"/>
          <w:lang w:val="es-EC" w:eastAsia="es-ES"/>
        </w:rPr>
        <w:t xml:space="preserve"> de gobierno propios;</w:t>
      </w:r>
    </w:p>
    <w:p w:rsidR="006921DB" w:rsidRDefault="00C14955" w:rsidP="006921DB">
      <w:pPr>
        <w:shd w:val="clear" w:color="auto" w:fill="FFFFFF"/>
        <w:spacing w:after="120"/>
        <w:ind w:left="705" w:hanging="705"/>
        <w:jc w:val="both"/>
        <w:rPr>
          <w:rFonts w:ascii="Palatino Linotype" w:eastAsia="Times New Roman" w:hAnsi="Palatino Linotype" w:cs="Times New Roman"/>
          <w:lang w:val="es-EC" w:eastAsia="es-ES"/>
        </w:rPr>
      </w:pPr>
      <w:r w:rsidRPr="008C2A35">
        <w:rPr>
          <w:rFonts w:ascii="Palatino Linotype" w:eastAsia="Times New Roman" w:hAnsi="Palatino Linotype" w:cs="Times New Roman"/>
          <w:b/>
          <w:bCs/>
          <w:lang w:val="es-EC" w:eastAsia="es-ES"/>
        </w:rPr>
        <w:t>Que, </w:t>
      </w:r>
      <w:r w:rsidR="006921DB">
        <w:rPr>
          <w:rFonts w:ascii="Palatino Linotype" w:eastAsia="Times New Roman" w:hAnsi="Palatino Linotype" w:cs="Times New Roman"/>
          <w:b/>
          <w:bCs/>
          <w:lang w:val="es-EC" w:eastAsia="es-ES"/>
        </w:rPr>
        <w:tab/>
      </w:r>
      <w:r w:rsidRPr="008C2A35">
        <w:rPr>
          <w:rFonts w:ascii="Palatino Linotype" w:eastAsia="Times New Roman" w:hAnsi="Palatino Linotype" w:cs="Times New Roman"/>
          <w:lang w:val="es-EC" w:eastAsia="es-ES"/>
        </w:rPr>
        <w:t xml:space="preserve">el artículo 338 del COOTAD establece en su segundo inciso: </w:t>
      </w:r>
      <w:r w:rsidRPr="008C2A35">
        <w:rPr>
          <w:rFonts w:ascii="Palatino Linotype" w:eastAsia="Times New Roman" w:hAnsi="Palatino Linotype" w:cs="Times New Roman"/>
          <w:i/>
          <w:lang w:val="es-EC" w:eastAsia="es-ES"/>
        </w:rPr>
        <w:t>“Cada gobierno autónomo descentralizado elaborará normativa pertinente según las condiciones</w:t>
      </w:r>
      <w:r w:rsidR="006213D6" w:rsidRPr="008C2A35">
        <w:rPr>
          <w:rFonts w:ascii="Palatino Linotype" w:eastAsia="Times New Roman" w:hAnsi="Palatino Linotype" w:cs="Times New Roman"/>
          <w:i/>
          <w:lang w:val="es-EC" w:eastAsia="es-ES"/>
        </w:rPr>
        <w:t xml:space="preserve"> específicas</w:t>
      </w:r>
      <w:r w:rsidRPr="008C2A35">
        <w:rPr>
          <w:rFonts w:ascii="Palatino Linotype" w:eastAsia="Times New Roman" w:hAnsi="Palatino Linotype" w:cs="Times New Roman"/>
          <w:i/>
          <w:lang w:val="es-EC" w:eastAsia="es-ES"/>
        </w:rPr>
        <w:t xml:space="preserve"> de su circunscripción, en el marco de la Constitución y la Ley”</w:t>
      </w:r>
      <w:r w:rsidR="006921DB">
        <w:rPr>
          <w:rFonts w:ascii="Palatino Linotype" w:eastAsia="Times New Roman" w:hAnsi="Palatino Linotype" w:cs="Times New Roman"/>
          <w:lang w:val="es-EC" w:eastAsia="es-ES"/>
        </w:rPr>
        <w:t>;</w:t>
      </w:r>
    </w:p>
    <w:p w:rsidR="00137B84" w:rsidRDefault="00C14955" w:rsidP="00137B84">
      <w:pPr>
        <w:shd w:val="clear" w:color="auto" w:fill="FFFFFF"/>
        <w:spacing w:after="120"/>
        <w:ind w:left="705" w:hanging="705"/>
        <w:jc w:val="both"/>
        <w:rPr>
          <w:rFonts w:ascii="Palatino Linotype" w:eastAsia="Times New Roman" w:hAnsi="Palatino Linotype" w:cs="Times New Roman"/>
          <w:lang w:val="es-EC" w:eastAsia="es-ES"/>
        </w:rPr>
      </w:pPr>
      <w:r w:rsidRPr="008C2A35">
        <w:rPr>
          <w:rFonts w:ascii="Palatino Linotype" w:eastAsia="Times New Roman" w:hAnsi="Palatino Linotype" w:cs="Times New Roman"/>
          <w:b/>
          <w:lang w:val="es-EC" w:eastAsia="es-ES"/>
        </w:rPr>
        <w:t>Que</w:t>
      </w:r>
      <w:r w:rsidRPr="008C2A35">
        <w:rPr>
          <w:rFonts w:ascii="Palatino Linotype" w:eastAsia="Times New Roman" w:hAnsi="Palatino Linotype" w:cs="Times New Roman"/>
          <w:lang w:val="es-EC" w:eastAsia="es-ES"/>
        </w:rPr>
        <w:t xml:space="preserve">, </w:t>
      </w:r>
      <w:r w:rsidR="006921DB">
        <w:rPr>
          <w:rFonts w:ascii="Palatino Linotype" w:eastAsia="Times New Roman" w:hAnsi="Palatino Linotype" w:cs="Times New Roman"/>
          <w:lang w:val="es-EC" w:eastAsia="es-ES"/>
        </w:rPr>
        <w:tab/>
      </w:r>
      <w:r w:rsidRPr="008C2A35">
        <w:rPr>
          <w:rFonts w:ascii="Palatino Linotype" w:eastAsia="Times New Roman" w:hAnsi="Palatino Linotype" w:cs="Times New Roman"/>
          <w:lang w:val="es-EC" w:eastAsia="es-ES"/>
        </w:rPr>
        <w:t>los artículos 414, 415</w:t>
      </w:r>
      <w:r w:rsidR="00137B84">
        <w:rPr>
          <w:rFonts w:ascii="Palatino Linotype" w:eastAsia="Times New Roman" w:hAnsi="Palatino Linotype" w:cs="Times New Roman"/>
          <w:lang w:val="es-EC" w:eastAsia="es-ES"/>
        </w:rPr>
        <w:t xml:space="preserve"> y</w:t>
      </w:r>
      <w:r w:rsidRPr="008C2A35">
        <w:rPr>
          <w:rFonts w:ascii="Palatino Linotype" w:eastAsia="Times New Roman" w:hAnsi="Palatino Linotype" w:cs="Times New Roman"/>
          <w:lang w:val="es-EC" w:eastAsia="es-ES"/>
        </w:rPr>
        <w:t xml:space="preserve"> 417 del COOTAD determinan el patrimonio de los gobiernos autónomos descentralizados, en el</w:t>
      </w:r>
      <w:r w:rsidR="00137B84">
        <w:rPr>
          <w:rFonts w:ascii="Palatino Linotype" w:eastAsia="Times New Roman" w:hAnsi="Palatino Linotype" w:cs="Times New Roman"/>
          <w:lang w:val="es-EC" w:eastAsia="es-ES"/>
        </w:rPr>
        <w:t xml:space="preserve"> que se encuentran los mercados;</w:t>
      </w:r>
    </w:p>
    <w:p w:rsidR="00C144E8" w:rsidRDefault="00C14955" w:rsidP="00C144E8">
      <w:pPr>
        <w:shd w:val="clear" w:color="auto" w:fill="FFFFFF"/>
        <w:spacing w:after="120"/>
        <w:ind w:left="705" w:hanging="705"/>
        <w:jc w:val="both"/>
        <w:rPr>
          <w:rFonts w:ascii="Palatino Linotype" w:eastAsia="Times New Roman" w:hAnsi="Palatino Linotype" w:cs="Times New Roman"/>
          <w:lang w:val="es-EC" w:eastAsia="es-ES"/>
        </w:rPr>
      </w:pPr>
      <w:r w:rsidRPr="008C2A35">
        <w:rPr>
          <w:rFonts w:ascii="Palatino Linotype" w:eastAsia="Times New Roman" w:hAnsi="Palatino Linotype" w:cs="Times New Roman"/>
          <w:b/>
          <w:lang w:val="es-EC" w:eastAsia="es-ES"/>
        </w:rPr>
        <w:t xml:space="preserve">Que, </w:t>
      </w:r>
      <w:r w:rsidR="00137B84">
        <w:rPr>
          <w:rFonts w:ascii="Palatino Linotype" w:eastAsia="Times New Roman" w:hAnsi="Palatino Linotype" w:cs="Times New Roman"/>
          <w:b/>
          <w:lang w:val="es-EC" w:eastAsia="es-ES"/>
        </w:rPr>
        <w:tab/>
      </w:r>
      <w:r w:rsidRPr="008C2A35">
        <w:rPr>
          <w:rFonts w:ascii="Palatino Linotype" w:eastAsia="Times New Roman" w:hAnsi="Palatino Linotype" w:cs="Times New Roman"/>
          <w:lang w:val="es-EC" w:eastAsia="es-ES"/>
        </w:rPr>
        <w:t>mediante Ordenanza Metrop</w:t>
      </w:r>
      <w:r w:rsidR="00FE03E6">
        <w:rPr>
          <w:rFonts w:ascii="Palatino Linotype" w:eastAsia="Times New Roman" w:hAnsi="Palatino Linotype" w:cs="Times New Roman"/>
          <w:lang w:val="es-EC" w:eastAsia="es-ES"/>
        </w:rPr>
        <w:t>olitana No. 253, sancionada el 8 de mayo de</w:t>
      </w:r>
      <w:r w:rsidRPr="008C2A35">
        <w:rPr>
          <w:rFonts w:ascii="Palatino Linotype" w:eastAsia="Times New Roman" w:hAnsi="Palatino Linotype" w:cs="Times New Roman"/>
          <w:lang w:val="es-EC" w:eastAsia="es-ES"/>
        </w:rPr>
        <w:t xml:space="preserve"> 2008, se </w:t>
      </w:r>
      <w:r w:rsidR="00FE03E6">
        <w:rPr>
          <w:rFonts w:ascii="Palatino Linotype" w:eastAsia="Times New Roman" w:hAnsi="Palatino Linotype" w:cs="Times New Roman"/>
          <w:lang w:val="es-EC" w:eastAsia="es-ES"/>
        </w:rPr>
        <w:t>e</w:t>
      </w:r>
      <w:r w:rsidRPr="008C2A35">
        <w:rPr>
          <w:rFonts w:ascii="Palatino Linotype" w:eastAsia="Times New Roman" w:hAnsi="Palatino Linotype" w:cs="Times New Roman"/>
          <w:lang w:val="es-EC" w:eastAsia="es-ES"/>
        </w:rPr>
        <w:t xml:space="preserve">xpide </w:t>
      </w:r>
      <w:r w:rsidR="00FE03E6">
        <w:rPr>
          <w:rFonts w:ascii="Palatino Linotype" w:eastAsia="Times New Roman" w:hAnsi="Palatino Linotype" w:cs="Times New Roman"/>
          <w:lang w:val="es-EC" w:eastAsia="es-ES"/>
        </w:rPr>
        <w:t>l</w:t>
      </w:r>
      <w:r w:rsidRPr="008C2A35">
        <w:rPr>
          <w:rFonts w:ascii="Palatino Linotype" w:eastAsia="Times New Roman" w:hAnsi="Palatino Linotype" w:cs="Times New Roman"/>
          <w:lang w:val="es-EC" w:eastAsia="es-ES"/>
        </w:rPr>
        <w:t>a Ordenanza Metropolitana que Reforma el Capítulo I del Título IV, del Libro Segundo del Código Municipal, que trata de los Mercados</w:t>
      </w:r>
      <w:r w:rsidR="00137B84">
        <w:rPr>
          <w:rFonts w:ascii="Palatino Linotype" w:eastAsia="Times New Roman" w:hAnsi="Palatino Linotype" w:cs="Times New Roman"/>
          <w:lang w:val="es-EC" w:eastAsia="es-ES"/>
        </w:rPr>
        <w:t>;</w:t>
      </w:r>
    </w:p>
    <w:p w:rsidR="00FE03E6" w:rsidRDefault="00C14955" w:rsidP="00FE03E6">
      <w:pPr>
        <w:shd w:val="clear" w:color="auto" w:fill="FFFFFF"/>
        <w:spacing w:after="120"/>
        <w:ind w:left="705" w:hanging="705"/>
        <w:jc w:val="both"/>
        <w:rPr>
          <w:rFonts w:ascii="Palatino Linotype" w:eastAsia="Times New Roman" w:hAnsi="Palatino Linotype" w:cs="Times New Roman"/>
          <w:lang w:val="es-EC" w:eastAsia="es-ES"/>
        </w:rPr>
      </w:pPr>
      <w:r w:rsidRPr="008C2A35">
        <w:rPr>
          <w:rFonts w:ascii="Palatino Linotype" w:eastAsia="Times New Roman" w:hAnsi="Palatino Linotype" w:cs="Times New Roman"/>
          <w:b/>
          <w:bCs/>
          <w:lang w:val="es-EC" w:eastAsia="es-ES"/>
        </w:rPr>
        <w:t>Que,  </w:t>
      </w:r>
      <w:r w:rsidR="00C144E8">
        <w:rPr>
          <w:rFonts w:ascii="Palatino Linotype" w:eastAsia="Times New Roman" w:hAnsi="Palatino Linotype" w:cs="Times New Roman"/>
          <w:b/>
          <w:bCs/>
          <w:lang w:val="es-EC" w:eastAsia="es-ES"/>
        </w:rPr>
        <w:tab/>
      </w:r>
      <w:r w:rsidRPr="008C2A35">
        <w:rPr>
          <w:rFonts w:ascii="Palatino Linotype" w:eastAsia="Times New Roman" w:hAnsi="Palatino Linotype" w:cs="Times New Roman"/>
          <w:lang w:val="es-EC" w:eastAsia="es-ES"/>
        </w:rPr>
        <w:t>mediante Resolución de Alcaldía No. A 0002 de 9 de marzo de 2012, el señor Alcalde Metropolitano, crea y agrega dentro de la estructura orgánica del Municipio del Distritito Metropolitano de Quito, la unidad especial denominada  “Agencia de Coordinación Distrital del Comercio – ACDC”; entidad dotada de  autonomía económica, financiera,  administrativa y de gestión; y, de conformidad a los establecido en el artículo 2, 3, 5 se le encarga la coordinación y ejecución de las políticas y todas las competencias en la gestión de comercio dentro del Distrito Metropolitano de Quito; para tal efecto, articulará las acciones que permitan el desarrollo equitativo, incluyente, solidario, armónico y ordenado del Comercio; determinará, en coordinación con los órganos y organismos competentes de la Municipalidad, el flujo de los procedimientos que se organizaran mediante instrucciones contenidas en la presente Resolución Administrativa; y actuará en el ejercicio de sus competencias en forma desconcentrada, a través de tres áreas de gestión que se desarrollaran mediante sus respectivo Directores: Mercados Ferias y Plataformas Municipales, Comercio Autónomo; y, Logíst</w:t>
      </w:r>
      <w:r w:rsidR="00FE03E6">
        <w:rPr>
          <w:rFonts w:ascii="Palatino Linotype" w:eastAsia="Times New Roman" w:hAnsi="Palatino Linotype" w:cs="Times New Roman"/>
          <w:lang w:val="es-EC" w:eastAsia="es-ES"/>
        </w:rPr>
        <w:t>ica y Operaciones;</w:t>
      </w:r>
    </w:p>
    <w:p w:rsidR="00016B6B" w:rsidRPr="008C2A35" w:rsidRDefault="00016B6B" w:rsidP="00FE03E6">
      <w:pPr>
        <w:shd w:val="clear" w:color="auto" w:fill="FFFFFF"/>
        <w:spacing w:after="120"/>
        <w:ind w:left="705" w:hanging="705"/>
        <w:jc w:val="both"/>
        <w:rPr>
          <w:rFonts w:ascii="Palatino Linotype" w:eastAsia="Times New Roman" w:hAnsi="Palatino Linotype" w:cs="Times New Roman"/>
          <w:bCs/>
          <w:lang w:val="es-EC" w:eastAsia="es-ES"/>
        </w:rPr>
      </w:pPr>
      <w:r w:rsidRPr="008C2A35">
        <w:rPr>
          <w:rFonts w:ascii="Palatino Linotype" w:eastAsia="Times New Roman" w:hAnsi="Palatino Linotype" w:cs="Times New Roman"/>
          <w:b/>
          <w:bCs/>
          <w:lang w:val="es-EC" w:eastAsia="es-ES"/>
        </w:rPr>
        <w:lastRenderedPageBreak/>
        <w:t xml:space="preserve">Que, </w:t>
      </w:r>
      <w:r w:rsidR="00FE03E6">
        <w:rPr>
          <w:rFonts w:ascii="Palatino Linotype" w:eastAsia="Times New Roman" w:hAnsi="Palatino Linotype" w:cs="Times New Roman"/>
          <w:b/>
          <w:bCs/>
          <w:lang w:val="es-EC" w:eastAsia="es-ES"/>
        </w:rPr>
        <w:tab/>
      </w:r>
      <w:r w:rsidRPr="008C2A35">
        <w:rPr>
          <w:rFonts w:ascii="Palatino Linotype" w:eastAsia="Times New Roman" w:hAnsi="Palatino Linotype" w:cs="Times New Roman"/>
          <w:bCs/>
          <w:lang w:val="es-EC" w:eastAsia="es-ES"/>
        </w:rPr>
        <w:t>en concordancia con el artículo 240 y 254 de la Constitución de la República del Ecuador y los artículos 7, 86, 87, 88, 322 y 395 del Código Orgánico de Organización Territorial</w:t>
      </w:r>
      <w:r w:rsidR="00FE03E6">
        <w:rPr>
          <w:rFonts w:ascii="Palatino Linotype" w:eastAsia="Times New Roman" w:hAnsi="Palatino Linotype" w:cs="Times New Roman"/>
          <w:bCs/>
          <w:lang w:val="es-EC" w:eastAsia="es-ES"/>
        </w:rPr>
        <w:t>,</w:t>
      </w:r>
      <w:r w:rsidRPr="008C2A35">
        <w:rPr>
          <w:rFonts w:ascii="Palatino Linotype" w:eastAsia="Times New Roman" w:hAnsi="Palatino Linotype" w:cs="Times New Roman"/>
          <w:bCs/>
          <w:lang w:val="es-EC" w:eastAsia="es-ES"/>
        </w:rPr>
        <w:t xml:space="preserve"> Autonomía y Descentralización</w:t>
      </w:r>
      <w:r w:rsidR="00FE03E6">
        <w:rPr>
          <w:rFonts w:ascii="Palatino Linotype" w:eastAsia="Times New Roman" w:hAnsi="Palatino Linotype" w:cs="Times New Roman"/>
          <w:bCs/>
          <w:lang w:val="es-EC" w:eastAsia="es-ES"/>
        </w:rPr>
        <w:t xml:space="preserve"> -</w:t>
      </w:r>
      <w:r w:rsidRPr="008C2A35">
        <w:rPr>
          <w:rFonts w:ascii="Palatino Linotype" w:eastAsia="Times New Roman" w:hAnsi="Palatino Linotype" w:cs="Times New Roman"/>
          <w:bCs/>
          <w:lang w:val="es-EC" w:eastAsia="es-ES"/>
        </w:rPr>
        <w:t xml:space="preserve"> COOTAD, se propone este proyecto de Ordenanza Reformatoria del Sistema de Estacionamientos y Terminales Terrestres del Municipio del Distrito Metropolitano de Quito.</w:t>
      </w:r>
    </w:p>
    <w:p w:rsidR="00C14955" w:rsidRPr="00FE03E6" w:rsidRDefault="00C14955" w:rsidP="008C2A35">
      <w:pPr>
        <w:shd w:val="clear" w:color="auto" w:fill="FFFFFF"/>
        <w:spacing w:after="120"/>
        <w:jc w:val="both"/>
        <w:rPr>
          <w:rFonts w:ascii="Palatino Linotype" w:eastAsia="Times New Roman" w:hAnsi="Palatino Linotype" w:cs="Times New Roman"/>
          <w:b/>
          <w:lang w:val="es-EC" w:eastAsia="es-ES"/>
        </w:rPr>
      </w:pPr>
      <w:r w:rsidRPr="00FE03E6">
        <w:rPr>
          <w:rFonts w:ascii="Palatino Linotype" w:eastAsia="Times New Roman" w:hAnsi="Palatino Linotype" w:cs="Times New Roman"/>
          <w:b/>
          <w:lang w:val="es-EC" w:eastAsia="es-ES"/>
        </w:rPr>
        <w:t>En ejercicio de las atribuciones constitucionales y legales;  </w:t>
      </w:r>
    </w:p>
    <w:p w:rsidR="00C14955" w:rsidRPr="00FE03E6" w:rsidRDefault="00C14955" w:rsidP="008C2A35">
      <w:pPr>
        <w:shd w:val="clear" w:color="auto" w:fill="FFFFFF"/>
        <w:spacing w:after="120"/>
        <w:jc w:val="center"/>
        <w:rPr>
          <w:rFonts w:ascii="Palatino Linotype" w:eastAsia="Times New Roman" w:hAnsi="Palatino Linotype" w:cs="Times New Roman"/>
          <w:b/>
          <w:lang w:val="es-EC" w:eastAsia="es-ES"/>
        </w:rPr>
      </w:pPr>
      <w:r w:rsidRPr="00FE03E6">
        <w:rPr>
          <w:rFonts w:ascii="Palatino Linotype" w:eastAsia="Times New Roman" w:hAnsi="Palatino Linotype" w:cs="Times New Roman"/>
          <w:b/>
          <w:lang w:val="es-EC" w:eastAsia="es-ES"/>
        </w:rPr>
        <w:t>EXPIDE</w:t>
      </w:r>
      <w:r w:rsidR="00FE03E6">
        <w:rPr>
          <w:rFonts w:ascii="Palatino Linotype" w:eastAsia="Times New Roman" w:hAnsi="Palatino Linotype" w:cs="Times New Roman"/>
          <w:b/>
          <w:lang w:val="es-EC" w:eastAsia="es-ES"/>
        </w:rPr>
        <w:t xml:space="preserve"> LA SIGUIENTE:</w:t>
      </w:r>
    </w:p>
    <w:p w:rsidR="00C14955" w:rsidRPr="008C2A35" w:rsidRDefault="00C14955" w:rsidP="008C2A35">
      <w:pPr>
        <w:shd w:val="clear" w:color="auto" w:fill="FFFFFF"/>
        <w:spacing w:after="120"/>
        <w:jc w:val="center"/>
        <w:rPr>
          <w:rFonts w:ascii="Palatino Linotype" w:eastAsia="Times New Roman" w:hAnsi="Palatino Linotype" w:cs="Times New Roman"/>
          <w:b/>
          <w:bCs/>
          <w:lang w:val="es-EC" w:eastAsia="es-ES"/>
        </w:rPr>
      </w:pPr>
      <w:r w:rsidRPr="008C2A35">
        <w:rPr>
          <w:rFonts w:ascii="Palatino Linotype" w:eastAsia="Times New Roman" w:hAnsi="Palatino Linotype" w:cs="Times New Roman"/>
          <w:b/>
          <w:bCs/>
          <w:lang w:val="es-EC" w:eastAsia="es-ES"/>
        </w:rPr>
        <w:t xml:space="preserve">ORDENANZA </w:t>
      </w:r>
      <w:r w:rsidR="00FE03E6">
        <w:rPr>
          <w:rFonts w:ascii="Palatino Linotype" w:eastAsia="Times New Roman" w:hAnsi="Palatino Linotype" w:cs="Times New Roman"/>
          <w:b/>
          <w:bCs/>
          <w:lang w:val="es-EC" w:eastAsia="es-ES"/>
        </w:rPr>
        <w:t xml:space="preserve">METROPOLITANA </w:t>
      </w:r>
      <w:r w:rsidR="00FA1B55" w:rsidRPr="008C2A35">
        <w:rPr>
          <w:rFonts w:ascii="Palatino Linotype" w:eastAsia="Times New Roman" w:hAnsi="Palatino Linotype" w:cs="Times New Roman"/>
          <w:b/>
          <w:bCs/>
          <w:lang w:val="es-EC" w:eastAsia="es-ES"/>
        </w:rPr>
        <w:t xml:space="preserve">REFORMATORIA A LA ORDENANA </w:t>
      </w:r>
      <w:r w:rsidR="00FE03E6">
        <w:rPr>
          <w:rFonts w:ascii="Palatino Linotype" w:eastAsia="Times New Roman" w:hAnsi="Palatino Linotype" w:cs="Times New Roman"/>
          <w:b/>
          <w:bCs/>
          <w:lang w:val="es-EC" w:eastAsia="es-ES"/>
        </w:rPr>
        <w:t xml:space="preserve">METROPOLITANA </w:t>
      </w:r>
      <w:r w:rsidR="00FA1B55" w:rsidRPr="008C2A35">
        <w:rPr>
          <w:rFonts w:ascii="Palatino Linotype" w:eastAsia="Times New Roman" w:hAnsi="Palatino Linotype" w:cs="Times New Roman"/>
          <w:b/>
          <w:bCs/>
          <w:lang w:val="es-EC" w:eastAsia="es-ES"/>
        </w:rPr>
        <w:t>No. 170</w:t>
      </w:r>
      <w:r w:rsidR="00FE03E6">
        <w:rPr>
          <w:rFonts w:ascii="Palatino Linotype" w:eastAsia="Times New Roman" w:hAnsi="Palatino Linotype" w:cs="Times New Roman"/>
          <w:b/>
          <w:bCs/>
          <w:lang w:val="es-EC" w:eastAsia="es-ES"/>
        </w:rPr>
        <w:t>,</w:t>
      </w:r>
      <w:r w:rsidR="00FA1B55" w:rsidRPr="008C2A35">
        <w:rPr>
          <w:rFonts w:ascii="Palatino Linotype" w:eastAsia="Times New Roman" w:hAnsi="Palatino Linotype" w:cs="Times New Roman"/>
          <w:b/>
          <w:bCs/>
          <w:lang w:val="es-EC" w:eastAsia="es-ES"/>
        </w:rPr>
        <w:t xml:space="preserve"> REFERENTE AL RÉGIMEN DE FUNCIONAMIENTO DEL SISTEMA DE ESTACIONAMIENTOS Y TERMINALES TERRESTRES DEL DISTRITO METROPOLITANO DE QUITO </w:t>
      </w:r>
    </w:p>
    <w:p w:rsidR="00C14955" w:rsidRPr="008C2A35" w:rsidRDefault="00FA1B55" w:rsidP="008C2A35">
      <w:pPr>
        <w:pStyle w:val="Cuerpo"/>
        <w:spacing w:after="120"/>
        <w:rPr>
          <w:rFonts w:ascii="Palatino Linotype" w:hAnsi="Palatino Linotype" w:cs="Times New Roman"/>
        </w:rPr>
      </w:pPr>
      <w:r w:rsidRPr="008C2A35">
        <w:rPr>
          <w:rFonts w:ascii="Palatino Linotype" w:eastAsia="Times New Roman" w:hAnsi="Palatino Linotype" w:cs="Times New Roman"/>
          <w:b/>
          <w:bCs/>
          <w:lang w:val="es-EC"/>
        </w:rPr>
        <w:t xml:space="preserve">Artículo </w:t>
      </w:r>
      <w:r w:rsidR="00FE03E6">
        <w:rPr>
          <w:rFonts w:ascii="Palatino Linotype" w:eastAsia="Times New Roman" w:hAnsi="Palatino Linotype" w:cs="Times New Roman"/>
          <w:b/>
          <w:bCs/>
          <w:lang w:val="es-EC"/>
        </w:rPr>
        <w:t>ú</w:t>
      </w:r>
      <w:r w:rsidRPr="008C2A35">
        <w:rPr>
          <w:rFonts w:ascii="Palatino Linotype" w:eastAsia="Times New Roman" w:hAnsi="Palatino Linotype" w:cs="Times New Roman"/>
          <w:b/>
          <w:bCs/>
          <w:lang w:val="es-EC"/>
        </w:rPr>
        <w:t>nico</w:t>
      </w:r>
      <w:r w:rsidR="00C14955" w:rsidRPr="008C2A35">
        <w:rPr>
          <w:rFonts w:ascii="Palatino Linotype" w:hAnsi="Palatino Linotype" w:cs="Times New Roman"/>
          <w:b/>
        </w:rPr>
        <w:t>.-</w:t>
      </w:r>
      <w:r w:rsidR="00C14955" w:rsidRPr="008C2A35">
        <w:rPr>
          <w:rFonts w:ascii="Palatino Linotype" w:hAnsi="Palatino Linotype" w:cs="Times New Roman"/>
        </w:rPr>
        <w:t xml:space="preserve"> </w:t>
      </w:r>
      <w:r w:rsidRPr="008C2A35">
        <w:rPr>
          <w:rFonts w:ascii="Palatino Linotype" w:hAnsi="Palatino Linotype" w:cs="Times New Roman"/>
        </w:rPr>
        <w:t>Sustitúyase el párrafo segundo del artículo 12</w:t>
      </w:r>
      <w:r w:rsidR="00FE03E6">
        <w:rPr>
          <w:rFonts w:ascii="Palatino Linotype" w:hAnsi="Palatino Linotype" w:cs="Times New Roman"/>
        </w:rPr>
        <w:t xml:space="preserve"> de la Ordenanza Metropolitana No. 170,</w:t>
      </w:r>
      <w:r w:rsidRPr="008C2A35">
        <w:rPr>
          <w:rFonts w:ascii="Palatino Linotype" w:hAnsi="Palatino Linotype" w:cs="Times New Roman"/>
        </w:rPr>
        <w:t xml:space="preserve"> por el siguiente</w:t>
      </w:r>
      <w:r w:rsidR="00FE03E6">
        <w:rPr>
          <w:rFonts w:ascii="Palatino Linotype" w:hAnsi="Palatino Linotype" w:cs="Times New Roman"/>
        </w:rPr>
        <w:t>:</w:t>
      </w:r>
    </w:p>
    <w:p w:rsidR="00671063" w:rsidRPr="00FE03E6" w:rsidRDefault="00671063" w:rsidP="00FE03E6">
      <w:pPr>
        <w:pStyle w:val="Cuerpo"/>
        <w:spacing w:after="120"/>
        <w:ind w:left="708"/>
        <w:rPr>
          <w:rFonts w:ascii="Palatino Linotype" w:eastAsia="Times New Roman" w:hAnsi="Palatino Linotype" w:cs="Times New Roman"/>
          <w:bCs/>
          <w:i/>
          <w:lang w:val="es-EC"/>
        </w:rPr>
      </w:pPr>
      <w:r w:rsidRPr="00FE03E6">
        <w:rPr>
          <w:rFonts w:ascii="Palatino Linotype" w:eastAsia="Times New Roman" w:hAnsi="Palatino Linotype" w:cs="Times New Roman"/>
          <w:b/>
          <w:bCs/>
          <w:i/>
          <w:lang w:val="es-EC"/>
        </w:rPr>
        <w:t>“</w:t>
      </w:r>
      <w:r w:rsidR="00D31D59" w:rsidRPr="00FE03E6">
        <w:rPr>
          <w:rFonts w:ascii="Palatino Linotype" w:eastAsia="Times New Roman" w:hAnsi="Palatino Linotype" w:cs="Times New Roman"/>
          <w:bCs/>
          <w:i/>
          <w:lang w:val="es-EC"/>
        </w:rPr>
        <w:t>Los parqueaderos de los Mercados, Ferias y Plataformas de propiedad del Municipio del Distrito Metropolitano de Quito, no forman parte de la presente Ordenanza Metropolitana y se administrarán de conformidad con lo establecido en la Ordenanza Metropolitana No. 253 o la que para la materia se encuentre vigente</w:t>
      </w:r>
      <w:r w:rsidR="00FE03E6" w:rsidRPr="00FE03E6">
        <w:rPr>
          <w:rFonts w:ascii="Palatino Linotype" w:eastAsia="Times New Roman" w:hAnsi="Palatino Linotype" w:cs="Times New Roman"/>
          <w:bCs/>
          <w:i/>
          <w:lang w:val="es-EC"/>
        </w:rPr>
        <w:t>.</w:t>
      </w:r>
      <w:r w:rsidRPr="00FE03E6">
        <w:rPr>
          <w:rFonts w:ascii="Palatino Linotype" w:eastAsia="Times New Roman" w:hAnsi="Palatino Linotype" w:cs="Times New Roman"/>
          <w:bCs/>
          <w:i/>
          <w:lang w:val="es-EC"/>
        </w:rPr>
        <w:t>”</w:t>
      </w:r>
    </w:p>
    <w:p w:rsidR="005D3FB0" w:rsidRPr="008C2A35" w:rsidRDefault="005D3FB0" w:rsidP="008C2A35">
      <w:pPr>
        <w:pStyle w:val="Cuerpo"/>
        <w:spacing w:after="120"/>
        <w:rPr>
          <w:rFonts w:ascii="Palatino Linotype" w:eastAsia="Times New Roman" w:hAnsi="Palatino Linotype" w:cs="Times New Roman"/>
          <w:b/>
          <w:bCs/>
          <w:spacing w:val="-2"/>
          <w:lang w:val="es-EC"/>
        </w:rPr>
      </w:pPr>
      <w:r w:rsidRPr="008C2A35">
        <w:rPr>
          <w:rFonts w:ascii="Palatino Linotype" w:eastAsia="Times New Roman" w:hAnsi="Palatino Linotype" w:cs="Times New Roman"/>
          <w:b/>
          <w:bCs/>
          <w:lang w:val="es-EC"/>
        </w:rPr>
        <w:t xml:space="preserve">Disposición </w:t>
      </w:r>
      <w:r w:rsidR="00FE03E6">
        <w:rPr>
          <w:rFonts w:ascii="Palatino Linotype" w:eastAsia="Times New Roman" w:hAnsi="Palatino Linotype" w:cs="Times New Roman"/>
          <w:b/>
          <w:bCs/>
          <w:lang w:val="es-EC"/>
        </w:rPr>
        <w:t>f</w:t>
      </w:r>
      <w:r w:rsidRPr="008C2A35">
        <w:rPr>
          <w:rFonts w:ascii="Palatino Linotype" w:eastAsia="Times New Roman" w:hAnsi="Palatino Linotype" w:cs="Times New Roman"/>
          <w:b/>
          <w:bCs/>
          <w:lang w:val="es-EC"/>
        </w:rPr>
        <w:t>inal</w:t>
      </w:r>
      <w:r w:rsidRPr="008C2A35">
        <w:rPr>
          <w:rFonts w:ascii="Palatino Linotype" w:eastAsia="Times New Roman" w:hAnsi="Palatino Linotype" w:cs="Times New Roman"/>
          <w:bCs/>
          <w:lang w:val="es-EC"/>
        </w:rPr>
        <w:t>.- La presente Ordenanza entrará en vigencia a partir de su suscripción.</w:t>
      </w:r>
      <w:r w:rsidRPr="008C2A35">
        <w:rPr>
          <w:rFonts w:ascii="Palatino Linotype" w:eastAsia="Times New Roman" w:hAnsi="Palatino Linotype" w:cs="Times New Roman"/>
          <w:b/>
          <w:bCs/>
          <w:spacing w:val="-2"/>
          <w:lang w:val="es-EC"/>
        </w:rPr>
        <w:t> </w:t>
      </w:r>
    </w:p>
    <w:p w:rsidR="00B75C29" w:rsidRPr="003843CA" w:rsidRDefault="00B75C29" w:rsidP="00B75C29">
      <w:pPr>
        <w:spacing w:after="120"/>
        <w:rPr>
          <w:rFonts w:ascii="Palatino Linotype" w:hAnsi="Palatino Linotype" w:cs="Arial"/>
        </w:rPr>
      </w:pPr>
      <w:r w:rsidRPr="003843CA">
        <w:rPr>
          <w:rFonts w:ascii="Palatino Linotype" w:hAnsi="Palatino Linotype" w:cs="Arial"/>
        </w:rPr>
        <w:t xml:space="preserve">Dada, en la Sala de Sesiones del Concejo Metropolitano de Quito, el </w:t>
      </w:r>
      <w:r>
        <w:rPr>
          <w:rFonts w:ascii="Palatino Linotype" w:hAnsi="Palatino Linotype" w:cs="Arial"/>
        </w:rPr>
        <w:t>27</w:t>
      </w:r>
      <w:r w:rsidRPr="003843CA">
        <w:rPr>
          <w:rFonts w:ascii="Palatino Linotype" w:hAnsi="Palatino Linotype" w:cs="Arial"/>
        </w:rPr>
        <w:t xml:space="preserve"> de </w:t>
      </w:r>
      <w:r>
        <w:rPr>
          <w:rFonts w:ascii="Palatino Linotype" w:hAnsi="Palatino Linotype" w:cs="Arial"/>
        </w:rPr>
        <w:t xml:space="preserve">diciembre </w:t>
      </w:r>
      <w:r w:rsidRPr="003843CA">
        <w:rPr>
          <w:rFonts w:ascii="Palatino Linotype" w:hAnsi="Palatino Linotype" w:cs="Arial"/>
        </w:rPr>
        <w:t>de 201</w:t>
      </w:r>
      <w:r>
        <w:rPr>
          <w:rFonts w:ascii="Palatino Linotype" w:hAnsi="Palatino Linotype" w:cs="Arial"/>
        </w:rPr>
        <w:t>8</w:t>
      </w:r>
      <w:r w:rsidRPr="003843CA">
        <w:rPr>
          <w:rFonts w:ascii="Palatino Linotype" w:hAnsi="Palatino Linotype" w:cs="Arial"/>
        </w:rPr>
        <w:t>.</w:t>
      </w:r>
    </w:p>
    <w:p w:rsidR="00B75C29" w:rsidRDefault="00B75C29" w:rsidP="00B75C29">
      <w:pPr>
        <w:pStyle w:val="Textopredeterminado"/>
        <w:shd w:val="clear" w:color="auto" w:fill="FFFFFF"/>
        <w:jc w:val="both"/>
        <w:rPr>
          <w:rFonts w:ascii="Palatino Linotype" w:hAnsi="Palatino Linotype" w:cs="Arial"/>
          <w:sz w:val="22"/>
          <w:szCs w:val="22"/>
          <w:lang w:val="es-ES"/>
        </w:rPr>
      </w:pPr>
    </w:p>
    <w:p w:rsidR="00B75C29" w:rsidRDefault="00B75C29" w:rsidP="00B75C29">
      <w:pPr>
        <w:pStyle w:val="Textopredeterminado"/>
        <w:shd w:val="clear" w:color="auto" w:fill="FFFFFF"/>
        <w:jc w:val="both"/>
        <w:rPr>
          <w:rFonts w:ascii="Palatino Linotype" w:hAnsi="Palatino Linotype" w:cs="Arial"/>
          <w:sz w:val="22"/>
          <w:szCs w:val="22"/>
          <w:lang w:val="es-ES"/>
        </w:rPr>
      </w:pPr>
    </w:p>
    <w:p w:rsidR="00B75C29" w:rsidRPr="003843CA" w:rsidRDefault="00B75C29" w:rsidP="00B75C2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B75C29" w:rsidRDefault="00B75C29" w:rsidP="00B75C2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75C29" w:rsidRDefault="00B75C29" w:rsidP="00B75C29">
      <w:pPr>
        <w:pStyle w:val="Textopredeterminado"/>
        <w:shd w:val="clear" w:color="auto" w:fill="FFFFFF"/>
        <w:jc w:val="both"/>
        <w:rPr>
          <w:rFonts w:ascii="Palatino Linotype" w:hAnsi="Palatino Linotype" w:cs="Arial"/>
          <w:sz w:val="22"/>
          <w:szCs w:val="22"/>
          <w:lang w:val="es-ES"/>
        </w:rPr>
      </w:pPr>
    </w:p>
    <w:tbl>
      <w:tblPr>
        <w:tblW w:w="10899" w:type="dxa"/>
        <w:jc w:val="center"/>
        <w:tblLook w:val="04A0" w:firstRow="1" w:lastRow="0" w:firstColumn="1" w:lastColumn="0" w:noHBand="0" w:noVBand="1"/>
      </w:tblPr>
      <w:tblGrid>
        <w:gridCol w:w="5575"/>
        <w:gridCol w:w="5324"/>
      </w:tblGrid>
      <w:tr w:rsidR="00B75C29" w:rsidRPr="00680EAC" w:rsidTr="00622BDF">
        <w:trPr>
          <w:jc w:val="center"/>
        </w:trPr>
        <w:tc>
          <w:tcPr>
            <w:tcW w:w="5575" w:type="dxa"/>
            <w:hideMark/>
          </w:tcPr>
          <w:p w:rsidR="00B75C29" w:rsidRDefault="00B75C29" w:rsidP="00622BDF">
            <w:pPr>
              <w:pStyle w:val="Textopredeterminado"/>
              <w:jc w:val="center"/>
              <w:rPr>
                <w:rFonts w:ascii="Palatino Linotype" w:hAnsi="Palatino Linotype" w:cs="Arial"/>
                <w:sz w:val="19"/>
                <w:szCs w:val="19"/>
              </w:rPr>
            </w:pPr>
          </w:p>
        </w:tc>
        <w:tc>
          <w:tcPr>
            <w:tcW w:w="5324" w:type="dxa"/>
            <w:hideMark/>
          </w:tcPr>
          <w:p w:rsidR="00B75C29" w:rsidRDefault="00B75C29" w:rsidP="00622BDF">
            <w:pPr>
              <w:pStyle w:val="Textopredeterminado"/>
              <w:jc w:val="center"/>
              <w:rPr>
                <w:rFonts w:ascii="Palatino Linotype" w:hAnsi="Palatino Linotype" w:cs="Arial"/>
                <w:sz w:val="19"/>
                <w:szCs w:val="19"/>
              </w:rPr>
            </w:pPr>
          </w:p>
        </w:tc>
      </w:tr>
    </w:tbl>
    <w:p w:rsidR="00B75C29" w:rsidRPr="003843CA" w:rsidRDefault="00B75C29" w:rsidP="00B75C29">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B75C29" w:rsidRPr="003843CA" w:rsidRDefault="00B75C29" w:rsidP="00B75C29">
      <w:pPr>
        <w:pStyle w:val="Textosinformato"/>
        <w:jc w:val="both"/>
        <w:rPr>
          <w:rFonts w:ascii="Palatino Linotype" w:eastAsia="MS Mincho" w:hAnsi="Palatino Linotype" w:cs="Arial"/>
          <w:sz w:val="22"/>
          <w:szCs w:val="22"/>
        </w:rPr>
      </w:pPr>
    </w:p>
    <w:p w:rsidR="00B75C29" w:rsidRPr="003843CA" w:rsidRDefault="00B75C29" w:rsidP="00B75C29">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26</w:t>
      </w:r>
      <w:r>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julio </w:t>
      </w:r>
      <w:r>
        <w:rPr>
          <w:rFonts w:ascii="Palatino Linotype" w:eastAsia="MS Mincho" w:hAnsi="Palatino Linotype" w:cs="Arial"/>
          <w:sz w:val="22"/>
          <w:szCs w:val="22"/>
        </w:rPr>
        <w:t xml:space="preserve">y </w:t>
      </w:r>
      <w:r>
        <w:rPr>
          <w:rFonts w:ascii="Palatino Linotype" w:eastAsia="MS Mincho" w:hAnsi="Palatino Linotype" w:cs="Arial"/>
          <w:sz w:val="22"/>
          <w:szCs w:val="22"/>
        </w:rPr>
        <w:t>27</w:t>
      </w:r>
      <w:r w:rsidRPr="003843CA">
        <w:rPr>
          <w:rFonts w:ascii="Palatino Linotype" w:eastAsia="MS Mincho" w:hAnsi="Palatino Linotype" w:cs="Arial"/>
          <w:sz w:val="22"/>
          <w:szCs w:val="22"/>
        </w:rPr>
        <w:t xml:space="preserve"> de </w:t>
      </w:r>
      <w:r>
        <w:rPr>
          <w:rFonts w:ascii="Palatino Linotype" w:eastAsia="MS Mincho" w:hAnsi="Palatino Linotype" w:cs="Arial"/>
          <w:sz w:val="22"/>
          <w:szCs w:val="22"/>
        </w:rPr>
        <w:t>diciembre de 2018</w:t>
      </w:r>
      <w:r w:rsidRPr="003843CA">
        <w:rPr>
          <w:rFonts w:ascii="Palatino Linotype" w:eastAsia="MS Mincho" w:hAnsi="Palatino Linotype" w:cs="Arial"/>
          <w:sz w:val="22"/>
          <w:szCs w:val="22"/>
        </w:rPr>
        <w:t>.- Quito,</w:t>
      </w:r>
    </w:p>
    <w:p w:rsidR="00B75C29" w:rsidRDefault="00B75C29" w:rsidP="00B75C29">
      <w:pPr>
        <w:pStyle w:val="Textosinformato"/>
        <w:jc w:val="both"/>
        <w:rPr>
          <w:rFonts w:ascii="Palatino Linotype" w:eastAsia="MS Mincho" w:hAnsi="Palatino Linotype" w:cs="Arial"/>
          <w:sz w:val="22"/>
          <w:szCs w:val="22"/>
        </w:rPr>
      </w:pPr>
    </w:p>
    <w:p w:rsidR="00B75C29" w:rsidRDefault="00B75C29" w:rsidP="00B75C29">
      <w:pPr>
        <w:pStyle w:val="Textosinformato"/>
        <w:jc w:val="both"/>
        <w:rPr>
          <w:rFonts w:ascii="Palatino Linotype" w:eastAsia="MS Mincho" w:hAnsi="Palatino Linotype" w:cs="Arial"/>
          <w:sz w:val="22"/>
          <w:szCs w:val="22"/>
        </w:rPr>
      </w:pPr>
    </w:p>
    <w:p w:rsidR="00B75C29" w:rsidRPr="003843CA" w:rsidRDefault="00B75C29" w:rsidP="00B75C29">
      <w:pPr>
        <w:pStyle w:val="Textosinformato"/>
        <w:jc w:val="both"/>
        <w:rPr>
          <w:rFonts w:ascii="Palatino Linotype" w:eastAsia="MS Mincho" w:hAnsi="Palatino Linotype" w:cs="Arial"/>
          <w:sz w:val="22"/>
          <w:szCs w:val="22"/>
        </w:rPr>
      </w:pPr>
    </w:p>
    <w:p w:rsidR="00B75C29" w:rsidRPr="003843CA" w:rsidRDefault="00B75C29" w:rsidP="00B75C2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B75C29" w:rsidRDefault="00B75C29" w:rsidP="00B75C2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75C29" w:rsidRDefault="00B75C29" w:rsidP="00B75C29">
      <w:pPr>
        <w:pStyle w:val="Textosinformato"/>
        <w:jc w:val="center"/>
        <w:rPr>
          <w:rFonts w:ascii="Palatino Linotype" w:eastAsia="MS Mincho" w:hAnsi="Palatino Linotype" w:cs="Arial"/>
          <w:sz w:val="22"/>
          <w:szCs w:val="22"/>
        </w:rPr>
      </w:pPr>
    </w:p>
    <w:p w:rsidR="00B75C29" w:rsidRPr="003843CA" w:rsidRDefault="00B75C29" w:rsidP="00B75C2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B75C29" w:rsidRDefault="00B75C29" w:rsidP="00B75C29">
      <w:pPr>
        <w:pStyle w:val="Textosinformato"/>
        <w:jc w:val="center"/>
        <w:rPr>
          <w:rFonts w:ascii="Palatino Linotype" w:eastAsia="MS Mincho" w:hAnsi="Palatino Linotype" w:cs="Arial"/>
          <w:b/>
          <w:sz w:val="22"/>
          <w:szCs w:val="22"/>
        </w:rPr>
      </w:pPr>
    </w:p>
    <w:p w:rsidR="00B75C29" w:rsidRPr="003843CA" w:rsidRDefault="00B75C29" w:rsidP="00B75C29">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B75C29" w:rsidRPr="003843CA" w:rsidRDefault="00B75C29" w:rsidP="00B75C29">
      <w:pPr>
        <w:pStyle w:val="Textosinformato"/>
        <w:jc w:val="center"/>
        <w:rPr>
          <w:rFonts w:ascii="Palatino Linotype" w:eastAsia="MS Mincho" w:hAnsi="Palatino Linotype" w:cs="Arial"/>
          <w:sz w:val="22"/>
          <w:szCs w:val="22"/>
        </w:rPr>
      </w:pPr>
    </w:p>
    <w:p w:rsidR="00B75C29" w:rsidRPr="003843CA" w:rsidRDefault="00B75C29" w:rsidP="00B75C29">
      <w:pPr>
        <w:pStyle w:val="Textosinformato"/>
        <w:jc w:val="center"/>
        <w:rPr>
          <w:rFonts w:ascii="Palatino Linotype" w:eastAsia="MS Mincho" w:hAnsi="Palatino Linotype" w:cs="Arial"/>
          <w:sz w:val="22"/>
          <w:szCs w:val="22"/>
        </w:rPr>
      </w:pPr>
    </w:p>
    <w:p w:rsidR="00B75C29" w:rsidRDefault="00B75C29" w:rsidP="00B75C29">
      <w:pPr>
        <w:pStyle w:val="Textosinformato"/>
        <w:jc w:val="center"/>
        <w:rPr>
          <w:rFonts w:ascii="Palatino Linotype" w:eastAsia="MS Mincho" w:hAnsi="Palatino Linotype" w:cs="Arial"/>
          <w:sz w:val="22"/>
          <w:szCs w:val="22"/>
        </w:rPr>
      </w:pPr>
    </w:p>
    <w:p w:rsidR="00B75C29" w:rsidRPr="003843CA" w:rsidRDefault="00B75C29" w:rsidP="00B75C29">
      <w:pPr>
        <w:pStyle w:val="Textosinformato"/>
        <w:jc w:val="center"/>
        <w:rPr>
          <w:rFonts w:ascii="Palatino Linotype" w:eastAsia="MS Mincho" w:hAnsi="Palatino Linotype" w:cs="Arial"/>
          <w:sz w:val="22"/>
          <w:szCs w:val="22"/>
        </w:rPr>
      </w:pPr>
    </w:p>
    <w:p w:rsidR="00B75C29" w:rsidRPr="003843CA" w:rsidRDefault="00B75C29" w:rsidP="00B75C2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B75C29" w:rsidRPr="003843CA" w:rsidRDefault="00B75C29" w:rsidP="00B75C2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B75C29" w:rsidRDefault="00B75C29" w:rsidP="00B75C29">
      <w:pPr>
        <w:pStyle w:val="Textosinformato"/>
        <w:jc w:val="both"/>
        <w:rPr>
          <w:rFonts w:ascii="Palatino Linotype" w:eastAsia="MS Mincho" w:hAnsi="Palatino Linotype" w:cs="Arial"/>
          <w:b/>
          <w:bCs/>
          <w:sz w:val="22"/>
          <w:szCs w:val="22"/>
        </w:rPr>
      </w:pPr>
    </w:p>
    <w:p w:rsidR="00B75C29" w:rsidRDefault="00B75C29" w:rsidP="00B75C29">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 xml:space="preserve">Mauricio Rodas Espinel, Alcalde </w:t>
      </w:r>
      <w:r w:rsidRPr="003843CA">
        <w:rPr>
          <w:rFonts w:ascii="Palatino Linotype" w:eastAsia="MS Mincho" w:hAnsi="Palatino Linotype" w:cs="Arial"/>
          <w:sz w:val="22"/>
          <w:szCs w:val="22"/>
        </w:rPr>
        <w:t>del Distrito Metropolitano de Quito, el</w:t>
      </w:r>
    </w:p>
    <w:p w:rsidR="00B75C29" w:rsidRPr="003843CA" w:rsidRDefault="00B75C29" w:rsidP="00B75C29">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B75C29" w:rsidRPr="003843CA" w:rsidRDefault="00B75C29" w:rsidP="00B75C29">
      <w:pPr>
        <w:pStyle w:val="Textosinformato"/>
        <w:jc w:val="center"/>
        <w:rPr>
          <w:rFonts w:ascii="Palatino Linotype" w:eastAsia="MS Mincho" w:hAnsi="Palatino Linotype" w:cs="Arial"/>
          <w:sz w:val="22"/>
          <w:szCs w:val="22"/>
        </w:rPr>
      </w:pPr>
    </w:p>
    <w:p w:rsidR="00B75C29" w:rsidRPr="003843CA" w:rsidRDefault="00B75C29" w:rsidP="00B75C29">
      <w:pPr>
        <w:pStyle w:val="Textosinformato"/>
        <w:jc w:val="center"/>
        <w:rPr>
          <w:rFonts w:ascii="Palatino Linotype" w:eastAsia="MS Mincho" w:hAnsi="Palatino Linotype" w:cs="Arial"/>
          <w:sz w:val="22"/>
          <w:szCs w:val="22"/>
        </w:rPr>
      </w:pPr>
    </w:p>
    <w:p w:rsidR="00B75C29" w:rsidRDefault="00B75C29" w:rsidP="00B75C29">
      <w:pPr>
        <w:pStyle w:val="Textosinformato"/>
        <w:jc w:val="center"/>
        <w:rPr>
          <w:rFonts w:ascii="Palatino Linotype" w:eastAsia="MS Mincho" w:hAnsi="Palatino Linotype" w:cs="Arial"/>
          <w:sz w:val="22"/>
          <w:szCs w:val="22"/>
        </w:rPr>
      </w:pPr>
    </w:p>
    <w:p w:rsidR="00B75C29" w:rsidRPr="003843CA" w:rsidRDefault="00B75C29" w:rsidP="00B75C29">
      <w:pPr>
        <w:pStyle w:val="Textosinformato"/>
        <w:jc w:val="center"/>
        <w:rPr>
          <w:rFonts w:ascii="Palatino Linotype" w:eastAsia="MS Mincho" w:hAnsi="Palatino Linotype" w:cs="Arial"/>
          <w:sz w:val="22"/>
          <w:szCs w:val="22"/>
        </w:rPr>
      </w:pPr>
    </w:p>
    <w:p w:rsidR="00B75C29" w:rsidRPr="003843CA" w:rsidRDefault="00B75C29" w:rsidP="00B75C2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B75C29" w:rsidRDefault="00B75C29" w:rsidP="00B75C2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75C29" w:rsidRPr="00CF2492" w:rsidRDefault="00B75C29" w:rsidP="00B75C29">
      <w:pPr>
        <w:pStyle w:val="Textosinformato"/>
        <w:rPr>
          <w:rFonts w:ascii="Palatino Linotype" w:eastAsia="MS Mincho" w:hAnsi="Palatino Linotype" w:cs="Arial"/>
          <w:b/>
          <w:bCs/>
          <w:sz w:val="14"/>
          <w:szCs w:val="14"/>
        </w:rPr>
      </w:pPr>
      <w:r w:rsidRPr="00CF2492">
        <w:rPr>
          <w:rFonts w:ascii="Palatino Linotype" w:eastAsia="MS Mincho" w:hAnsi="Palatino Linotype" w:cs="Arial"/>
          <w:b/>
          <w:bCs/>
          <w:sz w:val="14"/>
          <w:szCs w:val="14"/>
        </w:rPr>
        <w:t>DSCS</w:t>
      </w:r>
    </w:p>
    <w:p w:rsidR="00C14955" w:rsidRPr="008C2A35" w:rsidRDefault="00C14955" w:rsidP="00B75C29">
      <w:pPr>
        <w:pStyle w:val="Cuerpo"/>
        <w:spacing w:after="120"/>
        <w:rPr>
          <w:rFonts w:ascii="Palatino Linotype" w:hAnsi="Palatino Linotype" w:cs="Times New Roman"/>
          <w:lang w:val="es-EC"/>
        </w:rPr>
      </w:pPr>
      <w:bookmarkStart w:id="0" w:name="_GoBack"/>
      <w:bookmarkEnd w:id="0"/>
    </w:p>
    <w:sectPr w:rsidR="00C14955" w:rsidRPr="008C2A35" w:rsidSect="00B75C29">
      <w:headerReference w:type="default" r:id="rId12"/>
      <w:footerReference w:type="defaul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2A" w:rsidRDefault="00CE792A">
      <w:pPr>
        <w:spacing w:after="0" w:line="240" w:lineRule="auto"/>
      </w:pPr>
      <w:r>
        <w:separator/>
      </w:r>
    </w:p>
  </w:endnote>
  <w:endnote w:type="continuationSeparator" w:id="0">
    <w:p w:rsidR="00CE792A" w:rsidRDefault="00CE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E8" w:rsidRDefault="00C144E8">
    <w:pPr>
      <w:pStyle w:val="Piedepgina"/>
      <w:jc w:val="center"/>
    </w:pPr>
  </w:p>
  <w:p w:rsidR="00C144E8" w:rsidRDefault="00C144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657057"/>
      <w:docPartObj>
        <w:docPartGallery w:val="Page Numbers (Bottom of Page)"/>
        <w:docPartUnique/>
      </w:docPartObj>
    </w:sdtPr>
    <w:sdtContent>
      <w:sdt>
        <w:sdtPr>
          <w:id w:val="-1769616900"/>
          <w:docPartObj>
            <w:docPartGallery w:val="Page Numbers (Top of Page)"/>
            <w:docPartUnique/>
          </w:docPartObj>
        </w:sdtPr>
        <w:sdtContent>
          <w:p w:rsidR="00B75C29" w:rsidRDefault="00B75C29">
            <w:pPr>
              <w:pStyle w:val="Piedepgina"/>
              <w:jc w:val="right"/>
            </w:pPr>
            <w:r w:rsidRPr="00B75C29">
              <w:rPr>
                <w:rFonts w:ascii="Palatino Linotype" w:hAnsi="Palatino Linotype"/>
              </w:rPr>
              <w:t xml:space="preserve">Página </w:t>
            </w:r>
            <w:r w:rsidRPr="00B75C29">
              <w:rPr>
                <w:rFonts w:ascii="Palatino Linotype" w:hAnsi="Palatino Linotype"/>
                <w:b/>
                <w:bCs/>
              </w:rPr>
              <w:fldChar w:fldCharType="begin"/>
            </w:r>
            <w:r w:rsidRPr="00B75C29">
              <w:rPr>
                <w:rFonts w:ascii="Palatino Linotype" w:hAnsi="Palatino Linotype"/>
                <w:b/>
                <w:bCs/>
              </w:rPr>
              <w:instrText>PAGE</w:instrText>
            </w:r>
            <w:r w:rsidRPr="00B75C29">
              <w:rPr>
                <w:rFonts w:ascii="Palatino Linotype" w:hAnsi="Palatino Linotype"/>
                <w:b/>
                <w:bCs/>
              </w:rPr>
              <w:fldChar w:fldCharType="separate"/>
            </w:r>
            <w:r w:rsidR="00C435B4">
              <w:rPr>
                <w:rFonts w:ascii="Palatino Linotype" w:hAnsi="Palatino Linotype"/>
                <w:b/>
                <w:bCs/>
                <w:noProof/>
              </w:rPr>
              <w:t>4</w:t>
            </w:r>
            <w:r w:rsidRPr="00B75C29">
              <w:rPr>
                <w:rFonts w:ascii="Palatino Linotype" w:hAnsi="Palatino Linotype"/>
                <w:b/>
                <w:bCs/>
              </w:rPr>
              <w:fldChar w:fldCharType="end"/>
            </w:r>
            <w:r w:rsidRPr="00B75C29">
              <w:rPr>
                <w:rFonts w:ascii="Palatino Linotype" w:hAnsi="Palatino Linotype"/>
              </w:rPr>
              <w:t xml:space="preserve"> de </w:t>
            </w:r>
            <w:r>
              <w:rPr>
                <w:rFonts w:ascii="Palatino Linotype" w:hAnsi="Palatino Linotype"/>
                <w:b/>
                <w:bCs/>
              </w:rPr>
              <w:t>4</w:t>
            </w:r>
          </w:p>
        </w:sdtContent>
      </w:sdt>
    </w:sdtContent>
  </w:sdt>
  <w:p w:rsidR="00C144E8" w:rsidRDefault="00C144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2A" w:rsidRDefault="00CE792A">
      <w:pPr>
        <w:spacing w:after="0" w:line="240" w:lineRule="auto"/>
      </w:pPr>
      <w:r>
        <w:separator/>
      </w:r>
    </w:p>
  </w:footnote>
  <w:footnote w:type="continuationSeparator" w:id="0">
    <w:p w:rsidR="00CE792A" w:rsidRDefault="00CE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E8" w:rsidRDefault="00C144E8">
    <w:pPr>
      <w:pStyle w:val="Encabezado"/>
    </w:pPr>
  </w:p>
  <w:p w:rsidR="00C144E8" w:rsidRDefault="00C144E8">
    <w:pPr>
      <w:pStyle w:val="Encabezado"/>
    </w:pPr>
  </w:p>
  <w:p w:rsidR="00C144E8" w:rsidRDefault="00C144E8">
    <w:pPr>
      <w:pStyle w:val="Encabezado"/>
    </w:pPr>
  </w:p>
  <w:p w:rsidR="00C144E8" w:rsidRDefault="00C144E8">
    <w:pPr>
      <w:pStyle w:val="Encabezado"/>
    </w:pPr>
  </w:p>
  <w:p w:rsidR="00C435B4" w:rsidRDefault="00C435B4">
    <w:pPr>
      <w:pStyle w:val="Encabezado"/>
    </w:pPr>
  </w:p>
  <w:p w:rsidR="00C144E8" w:rsidRDefault="00C144E8">
    <w:pPr>
      <w:pStyle w:val="Encabezado"/>
    </w:pPr>
  </w:p>
  <w:p w:rsidR="00C144E8" w:rsidRPr="008C2A35" w:rsidRDefault="00C144E8" w:rsidP="008C2A35">
    <w:pPr>
      <w:shd w:val="clear" w:color="auto" w:fill="FFFFFF"/>
      <w:spacing w:after="120"/>
      <w:jc w:val="center"/>
      <w:rPr>
        <w:rFonts w:ascii="Palatino Linotype" w:eastAsia="Times New Roman" w:hAnsi="Palatino Linotype" w:cs="Times New Roman"/>
        <w:b/>
        <w:bCs/>
        <w:lang w:val="es-EC" w:eastAsia="es-ES"/>
      </w:rPr>
    </w:pPr>
    <w:r>
      <w:rPr>
        <w:rFonts w:ascii="Palatino Linotype" w:eastAsia="Times New Roman" w:hAnsi="Palatino Linotype" w:cs="Times New Roman"/>
        <w:b/>
        <w:bCs/>
        <w:lang w:val="es-EC" w:eastAsia="es-ES"/>
      </w:rPr>
      <w:t>ORDENANZA METROPOLITANA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E8" w:rsidRDefault="00C144E8">
    <w:pPr>
      <w:pStyle w:val="Encabezado"/>
    </w:pPr>
  </w:p>
  <w:p w:rsidR="00C435B4" w:rsidRDefault="00C435B4">
    <w:pPr>
      <w:pStyle w:val="Encabezado"/>
    </w:pPr>
  </w:p>
  <w:p w:rsidR="00C144E8" w:rsidRDefault="00C144E8">
    <w:pPr>
      <w:pStyle w:val="Encabezado"/>
    </w:pPr>
  </w:p>
  <w:p w:rsidR="00C144E8" w:rsidRDefault="00C144E8">
    <w:pPr>
      <w:pStyle w:val="Encabezado"/>
    </w:pPr>
  </w:p>
  <w:p w:rsidR="00C144E8" w:rsidRDefault="00C144E8">
    <w:pPr>
      <w:pStyle w:val="Encabezado"/>
    </w:pPr>
  </w:p>
  <w:p w:rsidR="00C144E8" w:rsidRDefault="00C144E8">
    <w:pPr>
      <w:pStyle w:val="Encabezado"/>
    </w:pPr>
  </w:p>
  <w:p w:rsidR="00C144E8" w:rsidRPr="008C2A35" w:rsidRDefault="00C144E8" w:rsidP="008C2A35">
    <w:pPr>
      <w:shd w:val="clear" w:color="auto" w:fill="FFFFFF"/>
      <w:spacing w:after="120"/>
      <w:jc w:val="center"/>
      <w:rPr>
        <w:rFonts w:ascii="Palatino Linotype" w:eastAsia="Times New Roman" w:hAnsi="Palatino Linotype" w:cs="Times New Roman"/>
        <w:b/>
        <w:bCs/>
        <w:lang w:val="es-EC" w:eastAsia="es-ES"/>
      </w:rPr>
    </w:pPr>
    <w:r>
      <w:rPr>
        <w:rFonts w:ascii="Palatino Linotype" w:eastAsia="Times New Roman" w:hAnsi="Palatino Linotype" w:cs="Times New Roman"/>
        <w:b/>
        <w:bCs/>
        <w:lang w:val="es-EC" w:eastAsia="es-ES"/>
      </w:rPr>
      <w:t>ORDENANZA METROPOLITANA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453"/>
    <w:multiLevelType w:val="hybridMultilevel"/>
    <w:tmpl w:val="AC7200DC"/>
    <w:styleLink w:val="Estiloimportado18"/>
    <w:lvl w:ilvl="0" w:tplc="779C208C">
      <w:start w:val="1"/>
      <w:numFmt w:val="decimal"/>
      <w:lvlText w:val="%1."/>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5F627F2">
      <w:start w:val="1"/>
      <w:numFmt w:val="decimal"/>
      <w:lvlText w:val="%2."/>
      <w:lvlJc w:val="left"/>
      <w:pPr>
        <w:ind w:left="15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090A430">
      <w:start w:val="1"/>
      <w:numFmt w:val="lowerLetter"/>
      <w:lvlText w:val="%3)"/>
      <w:lvlJc w:val="left"/>
      <w:pPr>
        <w:ind w:left="229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2CAEC26">
      <w:start w:val="1"/>
      <w:numFmt w:val="decimal"/>
      <w:lvlText w:val="%4."/>
      <w:lvlJc w:val="left"/>
      <w:pPr>
        <w:ind w:left="120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34066D8">
      <w:start w:val="1"/>
      <w:numFmt w:val="decimal"/>
      <w:lvlText w:val="%5."/>
      <w:lvlJc w:val="left"/>
      <w:pPr>
        <w:ind w:left="373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CAECF46">
      <w:start w:val="1"/>
      <w:numFmt w:val="decimal"/>
      <w:lvlText w:val="%6."/>
      <w:lvlJc w:val="left"/>
      <w:pPr>
        <w:ind w:left="44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C061964">
      <w:start w:val="1"/>
      <w:numFmt w:val="decimal"/>
      <w:lvlText w:val="%7)"/>
      <w:lvlJc w:val="left"/>
      <w:pPr>
        <w:ind w:left="51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C764C20">
      <w:start w:val="1"/>
      <w:numFmt w:val="lowerLetter"/>
      <w:lvlText w:val="%8."/>
      <w:lvlJc w:val="left"/>
      <w:pPr>
        <w:ind w:left="589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AE60328">
      <w:start w:val="1"/>
      <w:numFmt w:val="lowerRoman"/>
      <w:lvlText w:val="%9."/>
      <w:lvlJc w:val="left"/>
      <w:pPr>
        <w:ind w:left="661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B7C46A5"/>
    <w:multiLevelType w:val="hybridMultilevel"/>
    <w:tmpl w:val="B7FCB308"/>
    <w:styleLink w:val="Estiloimportado12"/>
    <w:lvl w:ilvl="0" w:tplc="E9F02C3A">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80E4A6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4A4C176">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FEAFC4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6B4CE8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74C0A18">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362AF5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61A68E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51443E4">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CB35A5C"/>
    <w:multiLevelType w:val="hybridMultilevel"/>
    <w:tmpl w:val="6DDA9D24"/>
    <w:styleLink w:val="Estiloimportado14"/>
    <w:lvl w:ilvl="0" w:tplc="FB3CE67C">
      <w:start w:val="1"/>
      <w:numFmt w:val="lowerLetter"/>
      <w:lvlText w:val="%1)"/>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D2205F8">
      <w:start w:val="1"/>
      <w:numFmt w:val="lowerLetter"/>
      <w:lvlText w:val="%2."/>
      <w:lvlJc w:val="left"/>
      <w:pPr>
        <w:ind w:left="15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A8AE33E">
      <w:start w:val="1"/>
      <w:numFmt w:val="lowerRoman"/>
      <w:lvlText w:val="%3."/>
      <w:lvlJc w:val="left"/>
      <w:pPr>
        <w:ind w:left="229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42EC52A">
      <w:start w:val="1"/>
      <w:numFmt w:val="decimal"/>
      <w:lvlText w:val="%4."/>
      <w:lvlJc w:val="left"/>
      <w:pPr>
        <w:ind w:left="301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FB22CA2">
      <w:start w:val="1"/>
      <w:numFmt w:val="lowerLetter"/>
      <w:lvlText w:val="%5."/>
      <w:lvlJc w:val="left"/>
      <w:pPr>
        <w:ind w:left="373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6F0D908">
      <w:start w:val="1"/>
      <w:numFmt w:val="lowerRoman"/>
      <w:lvlText w:val="%6."/>
      <w:lvlJc w:val="left"/>
      <w:pPr>
        <w:ind w:left="445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B10CCFE">
      <w:start w:val="1"/>
      <w:numFmt w:val="decimal"/>
      <w:lvlText w:val="%7."/>
      <w:lvlJc w:val="left"/>
      <w:pPr>
        <w:ind w:left="51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8FB5E">
      <w:start w:val="1"/>
      <w:numFmt w:val="lowerLetter"/>
      <w:lvlText w:val="%8."/>
      <w:lvlJc w:val="left"/>
      <w:pPr>
        <w:ind w:left="589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584F002">
      <w:start w:val="1"/>
      <w:numFmt w:val="lowerRoman"/>
      <w:lvlText w:val="%9."/>
      <w:lvlJc w:val="left"/>
      <w:pPr>
        <w:ind w:left="661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CE615BC"/>
    <w:multiLevelType w:val="hybridMultilevel"/>
    <w:tmpl w:val="076CF6FA"/>
    <w:styleLink w:val="Estiloimportado6"/>
    <w:lvl w:ilvl="0" w:tplc="7D521E14">
      <w:start w:val="1"/>
      <w:numFmt w:val="lowerLetter"/>
      <w:lvlText w:val="%1)"/>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B4CB160">
      <w:start w:val="1"/>
      <w:numFmt w:val="lowerLetter"/>
      <w:lvlText w:val="%2."/>
      <w:lvlJc w:val="left"/>
      <w:pPr>
        <w:ind w:left="15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3BC5908">
      <w:start w:val="1"/>
      <w:numFmt w:val="lowerRoman"/>
      <w:lvlText w:val="%3."/>
      <w:lvlJc w:val="left"/>
      <w:pPr>
        <w:ind w:left="229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F964D78">
      <w:start w:val="1"/>
      <w:numFmt w:val="decimal"/>
      <w:lvlText w:val="%4."/>
      <w:lvlJc w:val="left"/>
      <w:pPr>
        <w:ind w:left="301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D6CBDFA">
      <w:start w:val="1"/>
      <w:numFmt w:val="lowerLetter"/>
      <w:lvlText w:val="%5."/>
      <w:lvlJc w:val="left"/>
      <w:pPr>
        <w:ind w:left="373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24E4658">
      <w:start w:val="1"/>
      <w:numFmt w:val="lowerRoman"/>
      <w:lvlText w:val="%6."/>
      <w:lvlJc w:val="left"/>
      <w:pPr>
        <w:ind w:left="445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12435E4">
      <w:start w:val="1"/>
      <w:numFmt w:val="decimal"/>
      <w:lvlText w:val="%7."/>
      <w:lvlJc w:val="left"/>
      <w:pPr>
        <w:ind w:left="51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1CCFB46">
      <w:start w:val="1"/>
      <w:numFmt w:val="lowerLetter"/>
      <w:lvlText w:val="%8."/>
      <w:lvlJc w:val="left"/>
      <w:pPr>
        <w:ind w:left="589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E705670">
      <w:start w:val="1"/>
      <w:numFmt w:val="lowerRoman"/>
      <w:lvlText w:val="%9."/>
      <w:lvlJc w:val="left"/>
      <w:pPr>
        <w:ind w:left="661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159284E"/>
    <w:multiLevelType w:val="hybridMultilevel"/>
    <w:tmpl w:val="D78E1460"/>
    <w:styleLink w:val="Estiloimportado13"/>
    <w:lvl w:ilvl="0" w:tplc="270EBC6E">
      <w:start w:val="1"/>
      <w:numFmt w:val="lowerLetter"/>
      <w:lvlText w:val="%1)"/>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CD0EBBC">
      <w:start w:val="1"/>
      <w:numFmt w:val="lowerLetter"/>
      <w:lvlText w:val="%2."/>
      <w:lvlJc w:val="left"/>
      <w:pPr>
        <w:ind w:left="15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CA6D8B6">
      <w:start w:val="1"/>
      <w:numFmt w:val="lowerRoman"/>
      <w:lvlText w:val="%3."/>
      <w:lvlJc w:val="left"/>
      <w:pPr>
        <w:ind w:left="229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70DB4C">
      <w:start w:val="1"/>
      <w:numFmt w:val="decimal"/>
      <w:lvlText w:val="%4."/>
      <w:lvlJc w:val="left"/>
      <w:pPr>
        <w:ind w:left="301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16AD42">
      <w:start w:val="1"/>
      <w:numFmt w:val="lowerLetter"/>
      <w:lvlText w:val="%5."/>
      <w:lvlJc w:val="left"/>
      <w:pPr>
        <w:ind w:left="373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F5E7994">
      <w:start w:val="1"/>
      <w:numFmt w:val="lowerRoman"/>
      <w:lvlText w:val="%6."/>
      <w:lvlJc w:val="left"/>
      <w:pPr>
        <w:ind w:left="445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04CC674">
      <w:start w:val="1"/>
      <w:numFmt w:val="decimal"/>
      <w:lvlText w:val="%7."/>
      <w:lvlJc w:val="left"/>
      <w:pPr>
        <w:ind w:left="51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38C5EFE">
      <w:start w:val="1"/>
      <w:numFmt w:val="lowerLetter"/>
      <w:lvlText w:val="%8."/>
      <w:lvlJc w:val="left"/>
      <w:pPr>
        <w:ind w:left="589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74A1A6A">
      <w:start w:val="1"/>
      <w:numFmt w:val="lowerRoman"/>
      <w:lvlText w:val="%9."/>
      <w:lvlJc w:val="left"/>
      <w:pPr>
        <w:ind w:left="661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31000C9"/>
    <w:multiLevelType w:val="hybridMultilevel"/>
    <w:tmpl w:val="268C16BC"/>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1AA3CDB"/>
    <w:multiLevelType w:val="hybridMultilevel"/>
    <w:tmpl w:val="D0362F8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5F60296"/>
    <w:multiLevelType w:val="hybridMultilevel"/>
    <w:tmpl w:val="DFF2E1F6"/>
    <w:styleLink w:val="Estiloimportado2"/>
    <w:lvl w:ilvl="0" w:tplc="43D6ED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ADD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C40D9C">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49CE1E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BA80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E6E8FE">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FB2EA0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F0B6B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92EA30">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400C75"/>
    <w:multiLevelType w:val="hybridMultilevel"/>
    <w:tmpl w:val="43AA243E"/>
    <w:styleLink w:val="Estiloimportado1"/>
    <w:lvl w:ilvl="0" w:tplc="C21C2E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E6560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20BA92">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04C8E1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01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D8B614">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9E162B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A097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C892F6">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2D08D9"/>
    <w:multiLevelType w:val="hybridMultilevel"/>
    <w:tmpl w:val="2E0E24AC"/>
    <w:styleLink w:val="Estiloimportado9"/>
    <w:lvl w:ilvl="0" w:tplc="2B1C2E04">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7B273E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2184756">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D544F2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8CA728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618F608">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20C2CD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944931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3980520">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382F31C9"/>
    <w:multiLevelType w:val="hybridMultilevel"/>
    <w:tmpl w:val="4D38C5C0"/>
    <w:styleLink w:val="Estiloimportado17"/>
    <w:lvl w:ilvl="0" w:tplc="E69A4436">
      <w:start w:val="1"/>
      <w:numFmt w:val="lowerLetter"/>
      <w:lvlText w:val="%1)"/>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3D69DB0">
      <w:start w:val="1"/>
      <w:numFmt w:val="decimal"/>
      <w:lvlText w:val="%2."/>
      <w:lvlJc w:val="left"/>
      <w:pPr>
        <w:ind w:left="14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850457E">
      <w:start w:val="1"/>
      <w:numFmt w:val="lowerRoman"/>
      <w:lvlText w:val="%3."/>
      <w:lvlJc w:val="left"/>
      <w:pPr>
        <w:ind w:left="2160" w:hanging="28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58C73D6">
      <w:start w:val="1"/>
      <w:numFmt w:val="decimal"/>
      <w:lvlText w:val="%4."/>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57CB972">
      <w:start w:val="1"/>
      <w:numFmt w:val="lowerLetter"/>
      <w:lvlText w:val="%5."/>
      <w:lvlJc w:val="left"/>
      <w:pPr>
        <w:ind w:left="36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F582264">
      <w:start w:val="1"/>
      <w:numFmt w:val="lowerRoman"/>
      <w:lvlText w:val="%6."/>
      <w:lvlJc w:val="left"/>
      <w:pPr>
        <w:ind w:left="4320" w:hanging="28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7AED57C">
      <w:start w:val="1"/>
      <w:numFmt w:val="decimal"/>
      <w:lvlText w:val="%7."/>
      <w:lvlJc w:val="left"/>
      <w:pPr>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4B4D868">
      <w:start w:val="1"/>
      <w:numFmt w:val="lowerLetter"/>
      <w:lvlText w:val="%8."/>
      <w:lvlJc w:val="left"/>
      <w:pPr>
        <w:ind w:left="57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E8CA6EA">
      <w:start w:val="1"/>
      <w:numFmt w:val="lowerRoman"/>
      <w:lvlText w:val="%9."/>
      <w:lvlJc w:val="left"/>
      <w:pPr>
        <w:ind w:left="6480" w:hanging="28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 w15:restartNumberingAfterBreak="0">
    <w:nsid w:val="39704601"/>
    <w:multiLevelType w:val="hybridMultilevel"/>
    <w:tmpl w:val="AE34799E"/>
    <w:styleLink w:val="Estiloimportado26"/>
    <w:lvl w:ilvl="0" w:tplc="2558E80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BAD3F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478BE36">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86ADA4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9026CE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802436">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B5CD5E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24833F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9001FF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39B475C0"/>
    <w:multiLevelType w:val="hybridMultilevel"/>
    <w:tmpl w:val="34CC00B8"/>
    <w:styleLink w:val="Estiloimportado15"/>
    <w:lvl w:ilvl="0" w:tplc="E6F4BC08">
      <w:start w:val="1"/>
      <w:numFmt w:val="lowerLetter"/>
      <w:lvlText w:val="%1)"/>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776EFC6">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5084650">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8DC1196">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CBEDFA2">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5DC80E6">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3409C2">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530BF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0365FEC">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3CFF44F0"/>
    <w:multiLevelType w:val="hybridMultilevel"/>
    <w:tmpl w:val="EC0C5122"/>
    <w:styleLink w:val="Estiloimportado23"/>
    <w:lvl w:ilvl="0" w:tplc="0EE4BBFA">
      <w:start w:val="1"/>
      <w:numFmt w:val="lowerLetter"/>
      <w:lvlText w:val="%1)"/>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33AE744">
      <w:start w:val="1"/>
      <w:numFmt w:val="lowerLetter"/>
      <w:lvlText w:val="%2."/>
      <w:lvlJc w:val="left"/>
      <w:pPr>
        <w:ind w:left="15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E0C1F96">
      <w:start w:val="1"/>
      <w:numFmt w:val="lowerRoman"/>
      <w:lvlText w:val="%3."/>
      <w:lvlJc w:val="left"/>
      <w:pPr>
        <w:ind w:left="229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AB04344">
      <w:start w:val="1"/>
      <w:numFmt w:val="decimal"/>
      <w:lvlText w:val="%4."/>
      <w:lvlJc w:val="left"/>
      <w:pPr>
        <w:ind w:left="301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612D1A8">
      <w:start w:val="1"/>
      <w:numFmt w:val="lowerLetter"/>
      <w:lvlText w:val="%5."/>
      <w:lvlJc w:val="left"/>
      <w:pPr>
        <w:ind w:left="373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F847642">
      <w:start w:val="1"/>
      <w:numFmt w:val="lowerRoman"/>
      <w:lvlText w:val="%6."/>
      <w:lvlJc w:val="left"/>
      <w:pPr>
        <w:ind w:left="445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45240FA">
      <w:start w:val="1"/>
      <w:numFmt w:val="decimal"/>
      <w:lvlText w:val="%7."/>
      <w:lvlJc w:val="left"/>
      <w:pPr>
        <w:ind w:left="51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FB4AEF2">
      <w:start w:val="1"/>
      <w:numFmt w:val="lowerLetter"/>
      <w:lvlText w:val="%8."/>
      <w:lvlJc w:val="left"/>
      <w:pPr>
        <w:ind w:left="589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278D082">
      <w:start w:val="1"/>
      <w:numFmt w:val="lowerRoman"/>
      <w:lvlText w:val="%9."/>
      <w:lvlJc w:val="left"/>
      <w:pPr>
        <w:ind w:left="661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49D47CC9"/>
    <w:multiLevelType w:val="hybridMultilevel"/>
    <w:tmpl w:val="DE38A216"/>
    <w:styleLink w:val="Estiloimportado24"/>
    <w:lvl w:ilvl="0" w:tplc="CDFA7760">
      <w:start w:val="1"/>
      <w:numFmt w:val="lowerLetter"/>
      <w:lvlText w:val="%1)"/>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C9CDFAC">
      <w:start w:val="1"/>
      <w:numFmt w:val="lowerLetter"/>
      <w:lvlText w:val="%2."/>
      <w:lvlJc w:val="left"/>
      <w:pPr>
        <w:ind w:left="15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69AB40E">
      <w:start w:val="1"/>
      <w:numFmt w:val="lowerRoman"/>
      <w:lvlText w:val="%3."/>
      <w:lvlJc w:val="left"/>
      <w:pPr>
        <w:ind w:left="229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EEC4382">
      <w:start w:val="1"/>
      <w:numFmt w:val="decimal"/>
      <w:lvlText w:val="%4."/>
      <w:lvlJc w:val="left"/>
      <w:pPr>
        <w:ind w:left="301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9CEA0FC">
      <w:start w:val="1"/>
      <w:numFmt w:val="lowerLetter"/>
      <w:lvlText w:val="%5."/>
      <w:lvlJc w:val="left"/>
      <w:pPr>
        <w:ind w:left="373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30F0D4">
      <w:start w:val="1"/>
      <w:numFmt w:val="lowerRoman"/>
      <w:lvlText w:val="%6."/>
      <w:lvlJc w:val="left"/>
      <w:pPr>
        <w:ind w:left="445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EEEB488">
      <w:start w:val="1"/>
      <w:numFmt w:val="decimal"/>
      <w:lvlText w:val="%7."/>
      <w:lvlJc w:val="left"/>
      <w:pPr>
        <w:ind w:left="51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3E073AA">
      <w:start w:val="1"/>
      <w:numFmt w:val="lowerLetter"/>
      <w:lvlText w:val="%8."/>
      <w:lvlJc w:val="left"/>
      <w:pPr>
        <w:ind w:left="589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828666">
      <w:start w:val="1"/>
      <w:numFmt w:val="lowerRoman"/>
      <w:lvlText w:val="%9."/>
      <w:lvlJc w:val="left"/>
      <w:pPr>
        <w:ind w:left="661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4C4A77CF"/>
    <w:multiLevelType w:val="hybridMultilevel"/>
    <w:tmpl w:val="43B4B7B6"/>
    <w:styleLink w:val="Estiloimportado25"/>
    <w:lvl w:ilvl="0" w:tplc="39B2D8BA">
      <w:start w:val="1"/>
      <w:numFmt w:val="lowerLetter"/>
      <w:lvlText w:val="%1)"/>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668D44E">
      <w:start w:val="1"/>
      <w:numFmt w:val="lowerLetter"/>
      <w:lvlText w:val="%2."/>
      <w:lvlJc w:val="left"/>
      <w:pPr>
        <w:ind w:left="15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E34E5D6">
      <w:start w:val="1"/>
      <w:numFmt w:val="lowerRoman"/>
      <w:lvlText w:val="%3."/>
      <w:lvlJc w:val="left"/>
      <w:pPr>
        <w:ind w:left="229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DEE0F1A">
      <w:start w:val="1"/>
      <w:numFmt w:val="decimal"/>
      <w:lvlText w:val="%4."/>
      <w:lvlJc w:val="left"/>
      <w:pPr>
        <w:ind w:left="301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BD03886">
      <w:start w:val="1"/>
      <w:numFmt w:val="lowerLetter"/>
      <w:lvlText w:val="%5."/>
      <w:lvlJc w:val="left"/>
      <w:pPr>
        <w:ind w:left="373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19C8E04">
      <w:start w:val="1"/>
      <w:numFmt w:val="lowerRoman"/>
      <w:lvlText w:val="%6."/>
      <w:lvlJc w:val="left"/>
      <w:pPr>
        <w:ind w:left="445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9BAF7AE">
      <w:start w:val="1"/>
      <w:numFmt w:val="decimal"/>
      <w:lvlText w:val="%7."/>
      <w:lvlJc w:val="left"/>
      <w:pPr>
        <w:ind w:left="51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F20AF9E">
      <w:start w:val="1"/>
      <w:numFmt w:val="lowerLetter"/>
      <w:lvlText w:val="%8."/>
      <w:lvlJc w:val="left"/>
      <w:pPr>
        <w:ind w:left="589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DBEA85C">
      <w:start w:val="1"/>
      <w:numFmt w:val="lowerRoman"/>
      <w:lvlText w:val="%9."/>
      <w:lvlJc w:val="left"/>
      <w:pPr>
        <w:ind w:left="661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4592E6A"/>
    <w:multiLevelType w:val="hybridMultilevel"/>
    <w:tmpl w:val="B32E9E18"/>
    <w:styleLink w:val="Estiloimportado19"/>
    <w:lvl w:ilvl="0" w:tplc="A058D76C">
      <w:start w:val="1"/>
      <w:numFmt w:val="lowerLetter"/>
      <w:lvlText w:val="%1)"/>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6060E0C">
      <w:start w:val="1"/>
      <w:numFmt w:val="lowerLetter"/>
      <w:lvlText w:val="%2."/>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D32671E">
      <w:start w:val="1"/>
      <w:numFmt w:val="lowerRoman"/>
      <w:lvlText w:val="%3."/>
      <w:lvlJc w:val="left"/>
      <w:pPr>
        <w:ind w:left="2185" w:hanging="30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D5E702C">
      <w:start w:val="1"/>
      <w:numFmt w:val="decimal"/>
      <w:lvlText w:val="%4."/>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DFAC186">
      <w:start w:val="1"/>
      <w:numFmt w:val="lowerLetter"/>
      <w:lvlText w:val="%5."/>
      <w:lvlJc w:val="left"/>
      <w:pPr>
        <w:ind w:left="36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4C41942">
      <w:start w:val="1"/>
      <w:numFmt w:val="lowerRoman"/>
      <w:lvlText w:val="%6."/>
      <w:lvlJc w:val="left"/>
      <w:pPr>
        <w:ind w:left="4345" w:hanging="30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9EAF4FA">
      <w:start w:val="1"/>
      <w:numFmt w:val="decimal"/>
      <w:lvlText w:val="%7."/>
      <w:lvlJc w:val="left"/>
      <w:pPr>
        <w:ind w:left="50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2A445BE">
      <w:start w:val="1"/>
      <w:numFmt w:val="lowerLetter"/>
      <w:lvlText w:val="%8."/>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498A1A0">
      <w:start w:val="1"/>
      <w:numFmt w:val="lowerRoman"/>
      <w:lvlText w:val="%9."/>
      <w:lvlJc w:val="left"/>
      <w:pPr>
        <w:ind w:left="157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8963C2A"/>
    <w:multiLevelType w:val="hybridMultilevel"/>
    <w:tmpl w:val="958EEC00"/>
    <w:styleLink w:val="Estiloimportado5"/>
    <w:lvl w:ilvl="0" w:tplc="478EA7E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B7C03A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CBE3350">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DFC46A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76CA59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2A55A6">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1A0C2F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460DD7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CAEF280">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8DF35FB"/>
    <w:multiLevelType w:val="hybridMultilevel"/>
    <w:tmpl w:val="2000036A"/>
    <w:styleLink w:val="Estiloimportado4"/>
    <w:lvl w:ilvl="0" w:tplc="423C6AF6">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F9888E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268E628">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6A484C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83E34A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B661BDC">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F00169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5FEF01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7A0C5B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B452F01"/>
    <w:multiLevelType w:val="hybridMultilevel"/>
    <w:tmpl w:val="E9A2B2CA"/>
    <w:styleLink w:val="Estiloimportado16"/>
    <w:lvl w:ilvl="0" w:tplc="6694A564">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9F4812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9DC7CE0">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6EC9C4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76EA9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84CF52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08A7E4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A8A951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62C03AE">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62121FED"/>
    <w:multiLevelType w:val="hybridMultilevel"/>
    <w:tmpl w:val="EF9836B0"/>
    <w:styleLink w:val="Estiloimportado8"/>
    <w:lvl w:ilvl="0" w:tplc="580407C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9D483F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8F62B5A">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B3C443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A9E0D0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E18B1E8">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FA8B25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532A64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0F6A2F2">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62941AD4"/>
    <w:multiLevelType w:val="hybridMultilevel"/>
    <w:tmpl w:val="DED42708"/>
    <w:styleLink w:val="Estiloimportado22"/>
    <w:lvl w:ilvl="0" w:tplc="ACC0C628">
      <w:start w:val="1"/>
      <w:numFmt w:val="lowerLetter"/>
      <w:lvlText w:val="%1)"/>
      <w:lvlJc w:val="left"/>
      <w:pPr>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C0C2886">
      <w:start w:val="1"/>
      <w:numFmt w:val="lowerLetter"/>
      <w:lvlText w:val="%2."/>
      <w:lvlJc w:val="left"/>
      <w:pPr>
        <w:ind w:left="15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32C9CA">
      <w:start w:val="1"/>
      <w:numFmt w:val="lowerRoman"/>
      <w:lvlText w:val="%3."/>
      <w:lvlJc w:val="left"/>
      <w:pPr>
        <w:ind w:left="229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A12829E">
      <w:start w:val="1"/>
      <w:numFmt w:val="decimal"/>
      <w:lvlText w:val="%4."/>
      <w:lvlJc w:val="left"/>
      <w:pPr>
        <w:ind w:left="301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4343A7A">
      <w:start w:val="1"/>
      <w:numFmt w:val="lowerLetter"/>
      <w:lvlText w:val="%5."/>
      <w:lvlJc w:val="left"/>
      <w:pPr>
        <w:ind w:left="373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5FA427C">
      <w:start w:val="1"/>
      <w:numFmt w:val="lowerRoman"/>
      <w:lvlText w:val="%6."/>
      <w:lvlJc w:val="left"/>
      <w:pPr>
        <w:ind w:left="445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CD40B56">
      <w:start w:val="1"/>
      <w:numFmt w:val="decimal"/>
      <w:lvlText w:val="%7."/>
      <w:lvlJc w:val="left"/>
      <w:pPr>
        <w:ind w:left="51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2BEAE64">
      <w:start w:val="1"/>
      <w:numFmt w:val="lowerLetter"/>
      <w:lvlText w:val="%8."/>
      <w:lvlJc w:val="left"/>
      <w:pPr>
        <w:ind w:left="589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CB41202">
      <w:start w:val="1"/>
      <w:numFmt w:val="lowerRoman"/>
      <w:lvlText w:val="%9."/>
      <w:lvlJc w:val="left"/>
      <w:pPr>
        <w:ind w:left="6611"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65513218"/>
    <w:multiLevelType w:val="hybridMultilevel"/>
    <w:tmpl w:val="DE086C0A"/>
    <w:styleLink w:val="Estiloimportado10"/>
    <w:lvl w:ilvl="0" w:tplc="5B44DC5C">
      <w:start w:val="1"/>
      <w:numFmt w:val="lowerLetter"/>
      <w:lvlText w:val="%1)"/>
      <w:lvlJc w:val="left"/>
      <w:pPr>
        <w:ind w:left="851"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01A5868">
      <w:start w:val="1"/>
      <w:numFmt w:val="lowerLetter"/>
      <w:lvlText w:val="%2."/>
      <w:lvlJc w:val="left"/>
      <w:pPr>
        <w:ind w:left="1571"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4FE77C0">
      <w:start w:val="1"/>
      <w:numFmt w:val="lowerRoman"/>
      <w:lvlText w:val="%3."/>
      <w:lvlJc w:val="left"/>
      <w:pPr>
        <w:ind w:left="2291" w:hanging="2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628E25E">
      <w:start w:val="1"/>
      <w:numFmt w:val="decimal"/>
      <w:lvlText w:val="%4."/>
      <w:lvlJc w:val="left"/>
      <w:pPr>
        <w:ind w:left="3011"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5C80CFA">
      <w:start w:val="1"/>
      <w:numFmt w:val="lowerLetter"/>
      <w:lvlText w:val="%5."/>
      <w:lvlJc w:val="left"/>
      <w:pPr>
        <w:ind w:left="3731"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E4A5134">
      <w:start w:val="1"/>
      <w:numFmt w:val="lowerRoman"/>
      <w:lvlText w:val="%6."/>
      <w:lvlJc w:val="left"/>
      <w:pPr>
        <w:ind w:left="4451" w:hanging="2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E08405E">
      <w:start w:val="1"/>
      <w:numFmt w:val="decimal"/>
      <w:lvlText w:val="%7."/>
      <w:lvlJc w:val="left"/>
      <w:pPr>
        <w:ind w:left="5171"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92EB38E">
      <w:start w:val="1"/>
      <w:numFmt w:val="lowerLetter"/>
      <w:lvlText w:val="%8."/>
      <w:lvlJc w:val="left"/>
      <w:pPr>
        <w:ind w:left="5891"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4CE8E94">
      <w:start w:val="1"/>
      <w:numFmt w:val="lowerRoman"/>
      <w:lvlText w:val="%9."/>
      <w:lvlJc w:val="left"/>
      <w:pPr>
        <w:ind w:left="6611" w:hanging="2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3" w15:restartNumberingAfterBreak="0">
    <w:nsid w:val="727827D1"/>
    <w:multiLevelType w:val="hybridMultilevel"/>
    <w:tmpl w:val="4A6EE94C"/>
    <w:styleLink w:val="Estiloimportado20"/>
    <w:lvl w:ilvl="0" w:tplc="C896A768">
      <w:start w:val="1"/>
      <w:numFmt w:val="lowerLetter"/>
      <w:lvlText w:val="%1)"/>
      <w:lvlJc w:val="left"/>
      <w:pPr>
        <w:ind w:left="113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E7C62AC">
      <w:start w:val="1"/>
      <w:numFmt w:val="lowerLetter"/>
      <w:lvlText w:val="%2."/>
      <w:lvlJc w:val="left"/>
      <w:pPr>
        <w:ind w:left="185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A80E234">
      <w:start w:val="1"/>
      <w:numFmt w:val="lowerRoman"/>
      <w:lvlText w:val="%3."/>
      <w:lvlJc w:val="left"/>
      <w:pPr>
        <w:ind w:left="257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4A0BDC2">
      <w:start w:val="1"/>
      <w:numFmt w:val="decimal"/>
      <w:lvlText w:val="%4."/>
      <w:lvlJc w:val="left"/>
      <w:pPr>
        <w:ind w:left="329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97C37F4">
      <w:start w:val="1"/>
      <w:numFmt w:val="lowerLetter"/>
      <w:lvlText w:val="%5."/>
      <w:lvlJc w:val="left"/>
      <w:pPr>
        <w:ind w:left="401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7A67D6">
      <w:start w:val="1"/>
      <w:numFmt w:val="lowerRoman"/>
      <w:lvlText w:val="%6."/>
      <w:lvlJc w:val="left"/>
      <w:pPr>
        <w:ind w:left="473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2A49A3C">
      <w:start w:val="1"/>
      <w:numFmt w:val="decimal"/>
      <w:lvlText w:val="%7."/>
      <w:lvlJc w:val="left"/>
      <w:pPr>
        <w:ind w:left="545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5A0EA70">
      <w:start w:val="1"/>
      <w:numFmt w:val="lowerLetter"/>
      <w:lvlText w:val="%8."/>
      <w:lvlJc w:val="left"/>
      <w:pPr>
        <w:ind w:left="617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AA46156">
      <w:start w:val="1"/>
      <w:numFmt w:val="lowerRoman"/>
      <w:lvlText w:val="%9."/>
      <w:lvlJc w:val="left"/>
      <w:pPr>
        <w:ind w:left="689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735E2EF5"/>
    <w:multiLevelType w:val="hybridMultilevel"/>
    <w:tmpl w:val="4C2CCAB6"/>
    <w:styleLink w:val="Estiloimportado21"/>
    <w:lvl w:ilvl="0" w:tplc="504E47DC">
      <w:start w:val="1"/>
      <w:numFmt w:val="lowerLetter"/>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1B23E88">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010C376">
      <w:start w:val="1"/>
      <w:numFmt w:val="lowerLetter"/>
      <w:lvlText w:val="%3)"/>
      <w:lvlJc w:val="left"/>
      <w:pPr>
        <w:ind w:left="180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8A04620">
      <w:start w:val="1"/>
      <w:numFmt w:val="decimal"/>
      <w:lvlText w:val="%4."/>
      <w:lvlJc w:val="left"/>
      <w:pPr>
        <w:ind w:left="7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ED86A38">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745730">
      <w:start w:val="1"/>
      <w:numFmt w:val="lowerLetter"/>
      <w:lvlText w:val="%6)"/>
      <w:lvlJc w:val="left"/>
      <w:pPr>
        <w:ind w:left="41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16A60E2">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D525D1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2161188">
      <w:start w:val="1"/>
      <w:numFmt w:val="lowerRoman"/>
      <w:lvlText w:val="%9."/>
      <w:lvlJc w:val="left"/>
      <w:pPr>
        <w:ind w:left="61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7A530257"/>
    <w:multiLevelType w:val="hybridMultilevel"/>
    <w:tmpl w:val="D846AF68"/>
    <w:styleLink w:val="Estiloimportado27"/>
    <w:lvl w:ilvl="0" w:tplc="D0E8E75C">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06A9106">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61EC40A">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83ED71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30E34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7285898">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FEEBFE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26ED59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9EE0462">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7E9B48A6"/>
    <w:multiLevelType w:val="hybridMultilevel"/>
    <w:tmpl w:val="73F61652"/>
    <w:styleLink w:val="Estiloimportado7"/>
    <w:lvl w:ilvl="0" w:tplc="BB60FB64">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29053F6">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0F0E934">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5601A5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F8CAEA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25A1F82">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F1C0D0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E4A0C3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0B8D92C">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8"/>
  </w:num>
  <w:num w:numId="25">
    <w:abstractNumId w:val="7"/>
  </w:num>
  <w:num w:numId="26">
    <w:abstractNumId w:val="5"/>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55"/>
    <w:rsid w:val="000124EB"/>
    <w:rsid w:val="00016B6B"/>
    <w:rsid w:val="000323A4"/>
    <w:rsid w:val="000F3060"/>
    <w:rsid w:val="00137B84"/>
    <w:rsid w:val="00281026"/>
    <w:rsid w:val="00337C6A"/>
    <w:rsid w:val="003A16A0"/>
    <w:rsid w:val="004518E3"/>
    <w:rsid w:val="00512157"/>
    <w:rsid w:val="0053631D"/>
    <w:rsid w:val="005D3FB0"/>
    <w:rsid w:val="005D4E49"/>
    <w:rsid w:val="006213D6"/>
    <w:rsid w:val="00671063"/>
    <w:rsid w:val="006921DB"/>
    <w:rsid w:val="00734DE7"/>
    <w:rsid w:val="00760C55"/>
    <w:rsid w:val="00822F1F"/>
    <w:rsid w:val="00833F5B"/>
    <w:rsid w:val="008C2A35"/>
    <w:rsid w:val="00966374"/>
    <w:rsid w:val="00AE0D57"/>
    <w:rsid w:val="00B40B4F"/>
    <w:rsid w:val="00B75C29"/>
    <w:rsid w:val="00C01E55"/>
    <w:rsid w:val="00C144E8"/>
    <w:rsid w:val="00C14955"/>
    <w:rsid w:val="00C23CDD"/>
    <w:rsid w:val="00C435B4"/>
    <w:rsid w:val="00C4397F"/>
    <w:rsid w:val="00C70DBB"/>
    <w:rsid w:val="00CE792A"/>
    <w:rsid w:val="00CE7D39"/>
    <w:rsid w:val="00D25D5F"/>
    <w:rsid w:val="00D3119E"/>
    <w:rsid w:val="00D31D59"/>
    <w:rsid w:val="00EB24EC"/>
    <w:rsid w:val="00EE782C"/>
    <w:rsid w:val="00F124AD"/>
    <w:rsid w:val="00FA1B55"/>
    <w:rsid w:val="00FE0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F860"/>
  <w15:chartTrackingRefBased/>
  <w15:docId w15:val="{447442D8-7BF0-4746-A0A5-AB63BDA7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955"/>
    <w:pPr>
      <w:spacing w:after="200" w:line="276" w:lineRule="auto"/>
    </w:pPr>
  </w:style>
  <w:style w:type="paragraph" w:styleId="Ttulo1">
    <w:name w:val="heading 1"/>
    <w:next w:val="Cuerpo"/>
    <w:link w:val="Ttulo1Car"/>
    <w:qFormat/>
    <w:rsid w:val="00C14955"/>
    <w:pPr>
      <w:keepNext/>
      <w:tabs>
        <w:tab w:val="left" w:pos="720"/>
      </w:tabs>
      <w:spacing w:before="240" w:after="60" w:line="240" w:lineRule="auto"/>
      <w:jc w:val="both"/>
      <w:outlineLvl w:val="0"/>
    </w:pPr>
    <w:rPr>
      <w:rFonts w:ascii="Cambria" w:eastAsia="Cambria" w:hAnsi="Cambria" w:cs="Cambria"/>
      <w:b/>
      <w:bCs/>
      <w:color w:val="000000"/>
      <w:kern w:val="32"/>
      <w:sz w:val="32"/>
      <w:szCs w:val="32"/>
      <w:u w:color="00000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4955"/>
    <w:rPr>
      <w:rFonts w:ascii="Cambria" w:eastAsia="Cambria" w:hAnsi="Cambria" w:cs="Cambria"/>
      <w:b/>
      <w:bCs/>
      <w:color w:val="000000"/>
      <w:kern w:val="32"/>
      <w:sz w:val="32"/>
      <w:szCs w:val="32"/>
      <w:u w:color="000000"/>
      <w:lang w:val="en-US" w:eastAsia="es-ES"/>
    </w:rPr>
  </w:style>
  <w:style w:type="paragraph" w:styleId="Textodeglobo">
    <w:name w:val="Balloon Text"/>
    <w:basedOn w:val="Normal"/>
    <w:link w:val="TextodegloboCar"/>
    <w:uiPriority w:val="99"/>
    <w:semiHidden/>
    <w:unhideWhenUsed/>
    <w:rsid w:val="00C14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955"/>
    <w:rPr>
      <w:rFonts w:ascii="Tahoma" w:hAnsi="Tahoma" w:cs="Tahoma"/>
      <w:sz w:val="16"/>
      <w:szCs w:val="16"/>
    </w:rPr>
  </w:style>
  <w:style w:type="paragraph" w:styleId="Prrafodelista">
    <w:name w:val="List Paragraph"/>
    <w:basedOn w:val="Normal"/>
    <w:qFormat/>
    <w:rsid w:val="00C14955"/>
    <w:pPr>
      <w:ind w:left="720"/>
      <w:contextualSpacing/>
    </w:pPr>
  </w:style>
  <w:style w:type="character" w:customStyle="1" w:styleId="apple-converted-space">
    <w:name w:val="apple-converted-space"/>
    <w:basedOn w:val="Fuentedeprrafopredeter"/>
    <w:rsid w:val="00C14955"/>
  </w:style>
  <w:style w:type="paragraph" w:customStyle="1" w:styleId="Cuerpo">
    <w:name w:val="Cuerpo"/>
    <w:rsid w:val="00C14955"/>
    <w:pPr>
      <w:spacing w:after="200" w:line="276" w:lineRule="auto"/>
      <w:jc w:val="both"/>
    </w:pPr>
    <w:rPr>
      <w:rFonts w:ascii="Calibri" w:eastAsia="Calibri" w:hAnsi="Calibri" w:cs="Calibri"/>
      <w:color w:val="000000"/>
      <w:u w:color="000000"/>
      <w:lang w:val="es-ES_tradnl" w:eastAsia="es-ES"/>
    </w:rPr>
  </w:style>
  <w:style w:type="character" w:customStyle="1" w:styleId="Ninguno">
    <w:name w:val="Ninguno"/>
    <w:rsid w:val="00C14955"/>
    <w:rPr>
      <w:lang w:val="es-ES_tradnl"/>
    </w:rPr>
  </w:style>
  <w:style w:type="numbering" w:customStyle="1" w:styleId="Estiloimportado18">
    <w:name w:val="Estilo importado 18"/>
    <w:rsid w:val="00C14955"/>
    <w:pPr>
      <w:numPr>
        <w:numId w:val="1"/>
      </w:numPr>
    </w:pPr>
  </w:style>
  <w:style w:type="numbering" w:customStyle="1" w:styleId="Estiloimportado12">
    <w:name w:val="Estilo importado 12"/>
    <w:rsid w:val="00C14955"/>
    <w:pPr>
      <w:numPr>
        <w:numId w:val="2"/>
      </w:numPr>
    </w:pPr>
  </w:style>
  <w:style w:type="numbering" w:customStyle="1" w:styleId="Estiloimportado14">
    <w:name w:val="Estilo importado 14"/>
    <w:rsid w:val="00C14955"/>
    <w:pPr>
      <w:numPr>
        <w:numId w:val="3"/>
      </w:numPr>
    </w:pPr>
  </w:style>
  <w:style w:type="numbering" w:customStyle="1" w:styleId="Estiloimportado6">
    <w:name w:val="Estilo importado 6"/>
    <w:rsid w:val="00C14955"/>
    <w:pPr>
      <w:numPr>
        <w:numId w:val="4"/>
      </w:numPr>
    </w:pPr>
  </w:style>
  <w:style w:type="numbering" w:customStyle="1" w:styleId="Estiloimportado13">
    <w:name w:val="Estilo importado 13"/>
    <w:rsid w:val="00C14955"/>
    <w:pPr>
      <w:numPr>
        <w:numId w:val="5"/>
      </w:numPr>
    </w:pPr>
  </w:style>
  <w:style w:type="numbering" w:customStyle="1" w:styleId="Estiloimportado9">
    <w:name w:val="Estilo importado 9"/>
    <w:rsid w:val="00C14955"/>
    <w:pPr>
      <w:numPr>
        <w:numId w:val="6"/>
      </w:numPr>
    </w:pPr>
  </w:style>
  <w:style w:type="numbering" w:customStyle="1" w:styleId="Estiloimportado17">
    <w:name w:val="Estilo importado 17"/>
    <w:rsid w:val="00C14955"/>
    <w:pPr>
      <w:numPr>
        <w:numId w:val="7"/>
      </w:numPr>
    </w:pPr>
  </w:style>
  <w:style w:type="numbering" w:customStyle="1" w:styleId="Estiloimportado26">
    <w:name w:val="Estilo importado 26"/>
    <w:rsid w:val="00C14955"/>
    <w:pPr>
      <w:numPr>
        <w:numId w:val="8"/>
      </w:numPr>
    </w:pPr>
  </w:style>
  <w:style w:type="numbering" w:customStyle="1" w:styleId="Estiloimportado15">
    <w:name w:val="Estilo importado 15"/>
    <w:rsid w:val="00C14955"/>
    <w:pPr>
      <w:numPr>
        <w:numId w:val="9"/>
      </w:numPr>
    </w:pPr>
  </w:style>
  <w:style w:type="numbering" w:customStyle="1" w:styleId="Estiloimportado23">
    <w:name w:val="Estilo importado 23"/>
    <w:rsid w:val="00C14955"/>
    <w:pPr>
      <w:numPr>
        <w:numId w:val="10"/>
      </w:numPr>
    </w:pPr>
  </w:style>
  <w:style w:type="numbering" w:customStyle="1" w:styleId="Estiloimportado24">
    <w:name w:val="Estilo importado 24"/>
    <w:rsid w:val="00C14955"/>
    <w:pPr>
      <w:numPr>
        <w:numId w:val="11"/>
      </w:numPr>
    </w:pPr>
  </w:style>
  <w:style w:type="numbering" w:customStyle="1" w:styleId="Estiloimportado25">
    <w:name w:val="Estilo importado 25"/>
    <w:rsid w:val="00C14955"/>
    <w:pPr>
      <w:numPr>
        <w:numId w:val="12"/>
      </w:numPr>
    </w:pPr>
  </w:style>
  <w:style w:type="numbering" w:customStyle="1" w:styleId="Estiloimportado19">
    <w:name w:val="Estilo importado 19"/>
    <w:rsid w:val="00C14955"/>
    <w:pPr>
      <w:numPr>
        <w:numId w:val="13"/>
      </w:numPr>
    </w:pPr>
  </w:style>
  <w:style w:type="numbering" w:customStyle="1" w:styleId="Estiloimportado5">
    <w:name w:val="Estilo importado 5"/>
    <w:rsid w:val="00C14955"/>
    <w:pPr>
      <w:numPr>
        <w:numId w:val="14"/>
      </w:numPr>
    </w:pPr>
  </w:style>
  <w:style w:type="numbering" w:customStyle="1" w:styleId="Estiloimportado4">
    <w:name w:val="Estilo importado 4"/>
    <w:rsid w:val="00C14955"/>
    <w:pPr>
      <w:numPr>
        <w:numId w:val="15"/>
      </w:numPr>
    </w:pPr>
  </w:style>
  <w:style w:type="numbering" w:customStyle="1" w:styleId="Estiloimportado16">
    <w:name w:val="Estilo importado 16"/>
    <w:rsid w:val="00C14955"/>
    <w:pPr>
      <w:numPr>
        <w:numId w:val="16"/>
      </w:numPr>
    </w:pPr>
  </w:style>
  <w:style w:type="numbering" w:customStyle="1" w:styleId="Estiloimportado8">
    <w:name w:val="Estilo importado 8"/>
    <w:rsid w:val="00C14955"/>
    <w:pPr>
      <w:numPr>
        <w:numId w:val="17"/>
      </w:numPr>
    </w:pPr>
  </w:style>
  <w:style w:type="numbering" w:customStyle="1" w:styleId="Estiloimportado22">
    <w:name w:val="Estilo importado 22"/>
    <w:rsid w:val="00C14955"/>
    <w:pPr>
      <w:numPr>
        <w:numId w:val="18"/>
      </w:numPr>
    </w:pPr>
  </w:style>
  <w:style w:type="numbering" w:customStyle="1" w:styleId="Estiloimportado10">
    <w:name w:val="Estilo importado 10"/>
    <w:rsid w:val="00C14955"/>
    <w:pPr>
      <w:numPr>
        <w:numId w:val="19"/>
      </w:numPr>
    </w:pPr>
  </w:style>
  <w:style w:type="numbering" w:customStyle="1" w:styleId="Estiloimportado20">
    <w:name w:val="Estilo importado 20"/>
    <w:rsid w:val="00C14955"/>
    <w:pPr>
      <w:numPr>
        <w:numId w:val="20"/>
      </w:numPr>
    </w:pPr>
  </w:style>
  <w:style w:type="numbering" w:customStyle="1" w:styleId="Estiloimportado21">
    <w:name w:val="Estilo importado 21"/>
    <w:rsid w:val="00C14955"/>
    <w:pPr>
      <w:numPr>
        <w:numId w:val="21"/>
      </w:numPr>
    </w:pPr>
  </w:style>
  <w:style w:type="numbering" w:customStyle="1" w:styleId="Estiloimportado27">
    <w:name w:val="Estilo importado 27"/>
    <w:rsid w:val="00C14955"/>
    <w:pPr>
      <w:numPr>
        <w:numId w:val="22"/>
      </w:numPr>
    </w:pPr>
  </w:style>
  <w:style w:type="numbering" w:customStyle="1" w:styleId="Estiloimportado7">
    <w:name w:val="Estilo importado 7"/>
    <w:rsid w:val="00C14955"/>
    <w:pPr>
      <w:numPr>
        <w:numId w:val="23"/>
      </w:numPr>
    </w:pPr>
  </w:style>
  <w:style w:type="numbering" w:customStyle="1" w:styleId="Estiloimportado1">
    <w:name w:val="Estilo importado 1"/>
    <w:rsid w:val="00C14955"/>
    <w:pPr>
      <w:numPr>
        <w:numId w:val="24"/>
      </w:numPr>
    </w:pPr>
  </w:style>
  <w:style w:type="numbering" w:customStyle="1" w:styleId="Estiloimportado2">
    <w:name w:val="Estilo importado 2"/>
    <w:rsid w:val="00C14955"/>
    <w:pPr>
      <w:numPr>
        <w:numId w:val="25"/>
      </w:numPr>
    </w:pPr>
  </w:style>
  <w:style w:type="paragraph" w:styleId="Encabezado">
    <w:name w:val="header"/>
    <w:basedOn w:val="Normal"/>
    <w:link w:val="EncabezadoCar"/>
    <w:uiPriority w:val="99"/>
    <w:unhideWhenUsed/>
    <w:rsid w:val="00C1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955"/>
  </w:style>
  <w:style w:type="paragraph" w:styleId="Piedepgina">
    <w:name w:val="footer"/>
    <w:basedOn w:val="Normal"/>
    <w:link w:val="PiedepginaCar"/>
    <w:uiPriority w:val="99"/>
    <w:unhideWhenUsed/>
    <w:rsid w:val="00C1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955"/>
  </w:style>
  <w:style w:type="paragraph" w:styleId="Sinespaciado">
    <w:name w:val="No Spacing"/>
    <w:link w:val="SinespaciadoCar"/>
    <w:uiPriority w:val="1"/>
    <w:qFormat/>
    <w:rsid w:val="00C1495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14955"/>
    <w:rPr>
      <w:rFonts w:eastAsiaTheme="minorEastAsia"/>
    </w:rPr>
  </w:style>
  <w:style w:type="table" w:customStyle="1" w:styleId="Cuadrculadetablaclara1">
    <w:name w:val="Cuadrícula de tabla clara1"/>
    <w:basedOn w:val="Tablanormal"/>
    <w:next w:val="Cuadrculadetablaclara"/>
    <w:uiPriority w:val="40"/>
    <w:rsid w:val="00B40B4F"/>
    <w:pPr>
      <w:spacing w:after="0" w:line="240" w:lineRule="auto"/>
    </w:pPr>
    <w:rPr>
      <w:lang w:val="es-EC"/>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B40B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predeterminado">
    <w:name w:val="Texto predeterminado"/>
    <w:basedOn w:val="Normal"/>
    <w:rsid w:val="00B75C29"/>
    <w:pPr>
      <w:spacing w:after="0" w:line="240" w:lineRule="auto"/>
    </w:pPr>
    <w:rPr>
      <w:rFonts w:ascii="Times New Roman" w:eastAsia="Times New Roman" w:hAnsi="Times New Roman" w:cs="Times New Roman"/>
      <w:sz w:val="24"/>
      <w:szCs w:val="20"/>
      <w:lang w:val="es-ES_tradnl" w:eastAsia="es-ES"/>
    </w:rPr>
  </w:style>
  <w:style w:type="paragraph" w:styleId="Textosinformato">
    <w:name w:val="Plain Text"/>
    <w:basedOn w:val="Normal"/>
    <w:link w:val="TextosinformatoCar"/>
    <w:rsid w:val="00B75C2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B75C29"/>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Mercados%20ferias%20y%20plataformas\Proyecto_Parqueaderos_Mercados%20_Ord_0170\Auditoria\ACDC_%20Mercados%20con%20Detalle%20Parqueadero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Mercados%20ferias%20y%20plataformas\Proyecto_Parqueaderos_Mercados%20_Ord_0170\Auditoria\ACDC_%20Mercados%20con%20Detalle%20Parqueade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MERCADOS DMQ</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C"/>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BT_gral!$H$47</c:f>
              <c:strCache>
                <c:ptCount val="1"/>
                <c:pt idx="0">
                  <c:v>Cantidad</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DD8-4331-9B6B-23E8BEE8A00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DD8-4331-9B6B-23E8BEE8A002}"/>
              </c:ext>
            </c:extLst>
          </c:dPt>
          <c:dLbls>
            <c:dLbl>
              <c:idx val="0"/>
              <c:layout>
                <c:manualLayout>
                  <c:x val="-0.25062909871308831"/>
                  <c:y val="-0.1259385464747941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r>
                      <a:rPr lang="en-US" baseline="0"/>
                      <a:t>
</a:t>
                    </a:r>
                    <a:fld id="{FDFD4E76-E220-476B-BEDC-DAD2ACCE5E26}" type="PERCENTAGE">
                      <a:rPr lang="en-US" b="1" baseline="0"/>
                      <a:pPr>
                        <a:defRPr/>
                      </a:pPr>
                      <a:t>[PORCENTAJE]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es-EC"/>
                </a:p>
              </c:txPr>
              <c:dLblPos val="bestFit"/>
              <c:showLegendKey val="0"/>
              <c:showVal val="0"/>
              <c:showCatName val="1"/>
              <c:showSerName val="0"/>
              <c:showPercent val="1"/>
              <c:showBubbleSize val="0"/>
              <c:extLst>
                <c:ext xmlns:c15="http://schemas.microsoft.com/office/drawing/2012/chart" uri="{CE6537A1-D6FC-4f65-9D91-7224C49458BB}">
                  <c15:layout>
                    <c:manualLayout>
                      <c:w val="0.17145942227307059"/>
                      <c:h val="0.19862249977373517"/>
                    </c:manualLayout>
                  </c15:layout>
                  <c15:dlblFieldTable/>
                  <c15:showDataLabelsRange val="0"/>
                </c:ext>
                <c:ext xmlns:c16="http://schemas.microsoft.com/office/drawing/2014/chart" uri="{C3380CC4-5D6E-409C-BE32-E72D297353CC}">
                  <c16:uniqueId val="{00000001-BDD8-4331-9B6B-23E8BEE8A002}"/>
                </c:ext>
              </c:extLst>
            </c:dLbl>
            <c:dLbl>
              <c:idx val="1"/>
              <c:layout>
                <c:manualLayout>
                  <c:x val="0.27965482947110243"/>
                  <c:y val="3.79968775454792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r>
                      <a:rPr lang="en-US" baseline="0"/>
                      <a:t>
</a:t>
                    </a:r>
                    <a:fld id="{679AD79A-6113-4CF6-80AB-53536527953D}" type="PERCENTAGE">
                      <a:rPr lang="en-US" b="1" baseline="0"/>
                      <a:pPr>
                        <a:defRPr/>
                      </a:pPr>
                      <a:t>[PORCENTAJE]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es-EC"/>
                </a:p>
              </c:txPr>
              <c:dLblPos val="bestFit"/>
              <c:showLegendKey val="0"/>
              <c:showVal val="0"/>
              <c:showCatName val="1"/>
              <c:showSerName val="0"/>
              <c:showPercent val="1"/>
              <c:showBubbleSize val="0"/>
              <c:extLst>
                <c:ext xmlns:c15="http://schemas.microsoft.com/office/drawing/2012/chart" uri="{CE6537A1-D6FC-4f65-9D91-7224C49458BB}">
                  <c15:layout>
                    <c:manualLayout>
                      <c:w val="0.21682661462189021"/>
                      <c:h val="0.22847361752194767"/>
                    </c:manualLayout>
                  </c15:layout>
                  <c15:dlblFieldTable/>
                  <c15:showDataLabelsRange val="0"/>
                </c:ext>
                <c:ext xmlns:c16="http://schemas.microsoft.com/office/drawing/2014/chart" uri="{C3380CC4-5D6E-409C-BE32-E72D297353CC}">
                  <c16:uniqueId val="{00000003-BDD8-4331-9B6B-23E8BEE8A0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C"/>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BT_gral!$G$48:$G$49</c:f>
              <c:strCache>
                <c:ptCount val="2"/>
                <c:pt idx="0">
                  <c:v>Mercados sin Estacionamiento</c:v>
                </c:pt>
                <c:pt idx="1">
                  <c:v>Mercados con Estacionamiento</c:v>
                </c:pt>
              </c:strCache>
            </c:strRef>
          </c:cat>
          <c:val>
            <c:numRef>
              <c:f>BT_gral!$H$48:$H$49</c:f>
              <c:numCache>
                <c:formatCode>General</c:formatCode>
                <c:ptCount val="2"/>
                <c:pt idx="0">
                  <c:v>29</c:v>
                </c:pt>
                <c:pt idx="1">
                  <c:v>26</c:v>
                </c:pt>
              </c:numCache>
            </c:numRef>
          </c:val>
          <c:extLst>
            <c:ext xmlns:c16="http://schemas.microsoft.com/office/drawing/2014/chart" uri="{C3380CC4-5D6E-409C-BE32-E72D297353CC}">
              <c16:uniqueId val="{00000004-BDD8-4331-9B6B-23E8BEE8A002}"/>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C"/>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C"/>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C"/>
              <a:t>Mercados con estacionamiento</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C"/>
        </a:p>
      </c:txPr>
    </c:title>
    <c:autoTitleDeleted val="0"/>
    <c:plotArea>
      <c:layout/>
      <c:barChart>
        <c:barDir val="col"/>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'BT_gral (2)'!$J$48:$J$49</c:f>
              <c:strCache>
                <c:ptCount val="2"/>
                <c:pt idx="0">
                  <c:v>Mercados que efectua cobro</c:v>
                </c:pt>
                <c:pt idx="1">
                  <c:v>Mercados que no cobran</c:v>
                </c:pt>
              </c:strCache>
            </c:strRef>
          </c:cat>
          <c:val>
            <c:numRef>
              <c:f>'BT_gral (2)'!$K$48:$K$49</c:f>
              <c:numCache>
                <c:formatCode>General</c:formatCode>
                <c:ptCount val="2"/>
                <c:pt idx="0">
                  <c:v>13</c:v>
                </c:pt>
                <c:pt idx="1">
                  <c:v>13</c:v>
                </c:pt>
              </c:numCache>
            </c:numRef>
          </c:val>
          <c:extLst>
            <c:ext xmlns:c16="http://schemas.microsoft.com/office/drawing/2014/chart" uri="{C3380CC4-5D6E-409C-BE32-E72D297353CC}">
              <c16:uniqueId val="{00000000-2BC7-47B5-9576-C0A93D7C9862}"/>
            </c:ext>
          </c:extLst>
        </c:ser>
        <c:dLbls>
          <c:showLegendKey val="0"/>
          <c:showVal val="0"/>
          <c:showCatName val="0"/>
          <c:showSerName val="0"/>
          <c:showPercent val="0"/>
          <c:showBubbleSize val="0"/>
        </c:dLbls>
        <c:gapWidth val="100"/>
        <c:overlap val="-24"/>
        <c:axId val="-1699511712"/>
        <c:axId val="-1699520416"/>
      </c:barChart>
      <c:catAx>
        <c:axId val="-16995117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C"/>
          </a:p>
        </c:txPr>
        <c:crossAx val="-1699520416"/>
        <c:crosses val="autoZero"/>
        <c:auto val="1"/>
        <c:lblAlgn val="ctr"/>
        <c:lblOffset val="100"/>
        <c:noMultiLvlLbl val="0"/>
      </c:catAx>
      <c:valAx>
        <c:axId val="-1699520416"/>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s-EC"/>
                  <a:t>No. de mercados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s-EC"/>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C"/>
          </a:p>
        </c:txPr>
        <c:crossAx val="-1699511712"/>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s-EC"/>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C"/>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C206-51CB-4511-976F-B6284137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2259</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Mantilla Zapata Andres Gustavo</dc:creator>
  <cp:keywords/>
  <dc:description/>
  <cp:lastModifiedBy>Diego Sebastian Cevallos Salgado</cp:lastModifiedBy>
  <cp:revision>5</cp:revision>
  <cp:lastPrinted>2018-12-27T20:10:00Z</cp:lastPrinted>
  <dcterms:created xsi:type="dcterms:W3CDTF">2018-12-27T18:20:00Z</dcterms:created>
  <dcterms:modified xsi:type="dcterms:W3CDTF">2018-12-27T20:10:00Z</dcterms:modified>
</cp:coreProperties>
</file>