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BF" w:rsidRDefault="00B97EBF" w:rsidP="00B97EBF">
      <w:pPr>
        <w:pStyle w:val="Ttulo3"/>
        <w:spacing w:after="120" w:line="276" w:lineRule="auto"/>
        <w:rPr>
          <w:rFonts w:ascii="Palatino Linotype" w:hAnsi="Palatino Linotype"/>
          <w:sz w:val="22"/>
          <w:szCs w:val="22"/>
        </w:rPr>
      </w:pPr>
      <w:r>
        <w:rPr>
          <w:rFonts w:ascii="Palatino Linotype" w:hAnsi="Palatino Linotype"/>
          <w:sz w:val="22"/>
          <w:szCs w:val="22"/>
        </w:rPr>
        <w:t>EXPOSICIÓN DE MOTIVOS</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El Proyecto Ciudad Jardín es parte del proyecto "El Garrochal" implantado sobre los</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predios de la antigua Hacienda Garrochal, localizada en el sur de la ciudad de Quito, sector</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Turubamba de la parroquia de Quitumbe. Este proyecto se encuentra actualmente regulado</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por la ordenanza metropolitana No. 0098 sancionada el 21 de enero de 2016.</w:t>
      </w:r>
    </w:p>
    <w:p w:rsid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En el año 2005 se realizaron ajustes al proyecto, que se aprobaron mediante la Ordenanza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Sustitutiva No. 004 sancionada el 31 de agosto de 2005.</w:t>
      </w:r>
      <w:r>
        <w:rPr>
          <w:rFonts w:ascii="Palatino Linotype" w:hAnsi="Palatino Linotype" w:cs="Times New Roman"/>
          <w:color w:val="auto"/>
          <w:sz w:val="22"/>
          <w:szCs w:val="22"/>
          <w:lang w:val="es-EC" w:bidi="ar-SA"/>
        </w:rPr>
        <w:t xml:space="preserve"> </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En el ario 2006</w:t>
      </w:r>
      <w:r>
        <w:rPr>
          <w:rFonts w:ascii="Palatino Linotype" w:hAnsi="Palatino Linotype" w:cs="Times New Roman"/>
          <w:color w:val="auto"/>
          <w:sz w:val="22"/>
          <w:szCs w:val="22"/>
          <w:lang w:val="es-EC" w:bidi="ar-SA"/>
        </w:rPr>
        <w:t>,</w:t>
      </w:r>
      <w:r w:rsidRPr="00B97EBF">
        <w:rPr>
          <w:rFonts w:ascii="Palatino Linotype" w:hAnsi="Palatino Linotype" w:cs="Times New Roman"/>
          <w:color w:val="auto"/>
          <w:sz w:val="22"/>
          <w:szCs w:val="22"/>
          <w:lang w:val="es-EC" w:bidi="ar-SA"/>
        </w:rPr>
        <w:t xml:space="preserve"> se aprobó la Ordenanza Especial No. 009, modificatoria del Proyecto</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Urbanístico denominado "El Garrochal" y sobre la cual se desarrolló en obra física el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proyecto.</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Mediante Ordenanza No. 0098, sancionada el 21 de enero del 2016, se aprobó el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Proyecto Urbanístico Arquitectónico "Ciudad Jardín", sustitutiva de la Ordenanza Especial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No. 009, planteando algunos ajustes al proyecto anterior, sin cambiar su estructura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urbanística en su mayoría ya ejecutada.</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En el año 2016, el promotor del proyecto presentó una propuesta modificatoria a la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Ordenanza No. 0098, señalando que por circunstancias de demanda habitacional y la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capacidad de gestión del promotor, resulta necesario desarrollar los proyectos inmobiliarios</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por etapas, por lo que se requiere reducir la extensión de los lotes sobre los que se desarrolla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el proyecto, para que coincidan con las etapas programadas.</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Debido a las regulaciones vigentes y, en particular, la Ley de Propiedad Horizontal, obligan</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al promotor a generar cargas legales y costos transaccionales originados en cualquier</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variación en el proyecto, que suponen obstáculos relevantes en la atención oportuna de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demanda habitacional y dificultades en la capacidad de gestión del promotor para ajustar las</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variaciones operadas en todos los documentos legales precedentes.</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Por lo que es necesario realizar las siguientes actuaciones:</w:t>
      </w:r>
    </w:p>
    <w:p w:rsidR="00B97EBF" w:rsidRPr="00B97EBF" w:rsidRDefault="00B97EBF" w:rsidP="00B97EBF">
      <w:pPr>
        <w:autoSpaceDE w:val="0"/>
        <w:autoSpaceDN w:val="0"/>
        <w:adjustRightInd w:val="0"/>
        <w:spacing w:after="120" w:line="276" w:lineRule="auto"/>
        <w:rPr>
          <w:rFonts w:ascii="Palatino Linotype" w:hAnsi="Palatino Linotype" w:cs="Times New Roman"/>
          <w:color w:val="auto"/>
          <w:sz w:val="22"/>
          <w:szCs w:val="22"/>
          <w:lang w:val="es-EC" w:bidi="ar-SA"/>
        </w:rPr>
      </w:pPr>
      <w:r w:rsidRPr="00890E29">
        <w:rPr>
          <w:rFonts w:ascii="Palatino Linotype" w:hAnsi="Palatino Linotype" w:cs="Times New Roman"/>
          <w:b/>
          <w:color w:val="auto"/>
          <w:sz w:val="22"/>
          <w:szCs w:val="22"/>
          <w:lang w:val="es-EC" w:bidi="ar-SA"/>
        </w:rPr>
        <w:t>a)</w:t>
      </w:r>
      <w:r w:rsidRPr="00B97EBF">
        <w:rPr>
          <w:rFonts w:ascii="Palatino Linotype" w:hAnsi="Palatino Linotype" w:cs="Times New Roman"/>
          <w:color w:val="auto"/>
          <w:sz w:val="22"/>
          <w:szCs w:val="22"/>
          <w:lang w:val="es-EC" w:bidi="ar-SA"/>
        </w:rPr>
        <w:t xml:space="preserve"> En primer lugar, realizar una unificación de los predios que conforman las</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manzanas S1-M3, S1-M4, ubicadas en el sector 1, al occidente de la vía Garrochal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12, la cual divide al sector 1 del sector 2, y S2-M4 ubicada en el sector 2, al oriente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del eje de alta tensión, según las especificaciones técnicas de la Ordenanza No. 098,</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de 21 de enero de 2016, (ver imagen 1)</w:t>
      </w:r>
      <w:r>
        <w:rPr>
          <w:rFonts w:ascii="Palatino Linotype" w:hAnsi="Palatino Linotype" w:cs="Times New Roman"/>
          <w:color w:val="auto"/>
          <w:sz w:val="22"/>
          <w:szCs w:val="22"/>
          <w:lang w:val="es-EC" w:bidi="ar-SA"/>
        </w:rPr>
        <w:t>;</w:t>
      </w:r>
      <w:r w:rsidRPr="00B97EBF">
        <w:rPr>
          <w:rFonts w:ascii="Palatino Linotype" w:hAnsi="Palatino Linotype" w:cs="Times New Roman"/>
          <w:color w:val="auto"/>
          <w:sz w:val="22"/>
          <w:szCs w:val="22"/>
          <w:lang w:val="es-EC" w:bidi="ar-SA"/>
        </w:rPr>
        <w:t xml:space="preserve"> y</w:t>
      </w:r>
      <w:r>
        <w:rPr>
          <w:rFonts w:ascii="Palatino Linotype" w:hAnsi="Palatino Linotype" w:cs="Times New Roman"/>
          <w:color w:val="auto"/>
          <w:sz w:val="22"/>
          <w:szCs w:val="22"/>
          <w:lang w:val="es-EC" w:bidi="ar-SA"/>
        </w:rPr>
        <w:t>,</w:t>
      </w:r>
    </w:p>
    <w:p w:rsidR="00B97EBF" w:rsidRDefault="00B97EBF" w:rsidP="00B97EBF">
      <w:pPr>
        <w:autoSpaceDE w:val="0"/>
        <w:autoSpaceDN w:val="0"/>
        <w:adjustRightInd w:val="0"/>
        <w:spacing w:after="120" w:line="276" w:lineRule="auto"/>
        <w:rPr>
          <w:rFonts w:ascii="Palatino Linotype" w:hAnsi="Palatino Linotype" w:cs="Times New Roman"/>
          <w:color w:val="auto"/>
          <w:sz w:val="22"/>
          <w:szCs w:val="22"/>
          <w:lang w:val="es-EC" w:bidi="ar-SA"/>
        </w:rPr>
      </w:pPr>
      <w:r w:rsidRPr="00890E29">
        <w:rPr>
          <w:rFonts w:ascii="Palatino Linotype" w:hAnsi="Palatino Linotype" w:cs="Times New Roman"/>
          <w:b/>
          <w:color w:val="auto"/>
          <w:sz w:val="22"/>
          <w:szCs w:val="22"/>
          <w:lang w:val="es-EC" w:bidi="ar-SA"/>
        </w:rPr>
        <w:lastRenderedPageBreak/>
        <w:t>b)</w:t>
      </w:r>
      <w:r w:rsidRPr="00B97EBF">
        <w:rPr>
          <w:rFonts w:ascii="Palatino Linotype" w:hAnsi="Palatino Linotype" w:cs="Times New Roman"/>
          <w:color w:val="auto"/>
          <w:sz w:val="22"/>
          <w:szCs w:val="22"/>
          <w:lang w:val="es-EC" w:bidi="ar-SA"/>
        </w:rPr>
        <w:t xml:space="preserve"> Una vez integrados los predios conforme al literal precedente se requiere la división</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longitudinal en sentido norte-sur de los lotes que conforman las manzanas S 1-M4,</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S1-M5, S1-M6 y Sl-M7 todas estas ubicadas en el sector 1 del proyecto.</w:t>
      </w:r>
      <w:r>
        <w:rPr>
          <w:rFonts w:ascii="Palatino Linotype" w:hAnsi="Palatino Linotype" w:cs="Times New Roman"/>
          <w:color w:val="auto"/>
          <w:sz w:val="22"/>
          <w:szCs w:val="22"/>
          <w:lang w:val="es-EC" w:bidi="ar-SA"/>
        </w:rPr>
        <w:t xml:space="preserve"> </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 xml:space="preserve">En lo referente a la trama vial </w:t>
      </w:r>
      <w:r w:rsidRPr="00B97EBF">
        <w:rPr>
          <w:rFonts w:ascii="Palatino Linotype" w:hAnsi="Palatino Linotype" w:cs="Times New Roman"/>
          <w:i/>
          <w:iCs/>
          <w:color w:val="auto"/>
          <w:sz w:val="22"/>
          <w:szCs w:val="22"/>
          <w:lang w:val="es-EC" w:bidi="ar-SA"/>
        </w:rPr>
        <w:t xml:space="preserve">se </w:t>
      </w:r>
      <w:r w:rsidRPr="00B97EBF">
        <w:rPr>
          <w:rFonts w:ascii="Palatino Linotype" w:hAnsi="Palatino Linotype" w:cs="Times New Roman"/>
          <w:color w:val="auto"/>
          <w:sz w:val="22"/>
          <w:szCs w:val="22"/>
          <w:lang w:val="es-EC" w:bidi="ar-SA"/>
        </w:rPr>
        <w:t>requiere la extensión de las vías Garrochal 30 y Garrochal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31 desde la vía Garrochal 12 hasta la Av. Padre Carollo, con la finalidad de asegurar el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acceso vehicular a los conjuntos habitacionales y definir la continuidad de la trama vial.</w:t>
      </w:r>
    </w:p>
    <w:p w:rsidR="00B97EBF" w:rsidRPr="00B97EBF" w:rsidRDefault="00B97EBF" w:rsidP="00B97EBF">
      <w:pPr>
        <w:autoSpaceDE w:val="0"/>
        <w:autoSpaceDN w:val="0"/>
        <w:adjustRightInd w:val="0"/>
        <w:spacing w:after="120" w:line="276" w:lineRule="auto"/>
        <w:ind w:firstLine="708"/>
        <w:rPr>
          <w:rFonts w:ascii="Palatino Linotype" w:hAnsi="Palatino Linotype" w:cs="Times New Roman"/>
          <w:color w:val="auto"/>
          <w:sz w:val="22"/>
          <w:szCs w:val="22"/>
          <w:lang w:val="es-EC" w:bidi="ar-SA"/>
        </w:rPr>
      </w:pPr>
      <w:r w:rsidRPr="00B97EBF">
        <w:rPr>
          <w:rFonts w:ascii="Palatino Linotype" w:hAnsi="Palatino Linotype" w:cs="Times New Roman"/>
          <w:color w:val="auto"/>
          <w:sz w:val="22"/>
          <w:szCs w:val="22"/>
          <w:lang w:val="es-EC" w:bidi="ar-SA"/>
        </w:rPr>
        <w:t>Cabe señalar que los otros lotes que conforman el proyecto</w:t>
      </w:r>
      <w:r w:rsidR="00890E29">
        <w:rPr>
          <w:rFonts w:ascii="Palatino Linotype" w:hAnsi="Palatino Linotype" w:cs="Times New Roman"/>
          <w:color w:val="auto"/>
          <w:sz w:val="22"/>
          <w:szCs w:val="22"/>
          <w:lang w:val="es-EC" w:bidi="ar-SA"/>
        </w:rPr>
        <w:t>,</w:t>
      </w:r>
      <w:r w:rsidRPr="00B97EBF">
        <w:rPr>
          <w:rFonts w:ascii="Palatino Linotype" w:hAnsi="Palatino Linotype" w:cs="Times New Roman"/>
          <w:color w:val="auto"/>
          <w:sz w:val="22"/>
          <w:szCs w:val="22"/>
          <w:lang w:val="es-EC" w:bidi="ar-SA"/>
        </w:rPr>
        <w:t xml:space="preserve"> así como su trama vial, no</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presentan ninguna modificación.</w:t>
      </w:r>
    </w:p>
    <w:p w:rsidR="00B97EBF" w:rsidRPr="00B97EBF" w:rsidRDefault="00B97EBF" w:rsidP="00B97EBF">
      <w:pPr>
        <w:autoSpaceDE w:val="0"/>
        <w:autoSpaceDN w:val="0"/>
        <w:adjustRightInd w:val="0"/>
        <w:spacing w:after="120" w:line="276" w:lineRule="auto"/>
        <w:ind w:firstLine="708"/>
        <w:rPr>
          <w:rFonts w:ascii="Palatino Linotype" w:hAnsi="Palatino Linotype"/>
          <w:sz w:val="22"/>
          <w:szCs w:val="22"/>
        </w:rPr>
      </w:pPr>
      <w:r w:rsidRPr="00B97EBF">
        <w:rPr>
          <w:rFonts w:ascii="Palatino Linotype" w:hAnsi="Palatino Linotype" w:cs="Times New Roman"/>
          <w:color w:val="auto"/>
          <w:sz w:val="22"/>
          <w:szCs w:val="22"/>
          <w:lang w:val="es-EC" w:bidi="ar-SA"/>
        </w:rPr>
        <w:t>Finalmente, la Administración Municipal consecuente con el espíritu social con que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expidieron las Ordenanzas anteriores y coherente con la política No. 5 a escala local del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Plan Metropolitano de Desarrollo y Ordenamiento Territorial (PMDOT), la cual enuncia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"Incremento de la calidad de vida de los ciudadanos del DMQ a través de la mejora de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calidad ambiental del paisaje urbano, de la vivienda deficitaria y la implementación de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medidas que regeneren la construcción edificatoria y del espacio público", concuerda con el</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grupo promotor en presentar la propuesta de ordenanza reformatoria que, alineada a la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planificación territorial y a la promoción inmobiliaria, pueda mantener una oferta de</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vivienda que incluya en lo posible, el apoyo financiero del sistema de incentivos a la</w:t>
      </w:r>
      <w:r>
        <w:rPr>
          <w:rFonts w:ascii="Palatino Linotype" w:hAnsi="Palatino Linotype" w:cs="Times New Roman"/>
          <w:color w:val="auto"/>
          <w:sz w:val="22"/>
          <w:szCs w:val="22"/>
          <w:lang w:val="es-EC" w:bidi="ar-SA"/>
        </w:rPr>
        <w:t xml:space="preserve"> </w:t>
      </w:r>
      <w:r w:rsidRPr="00B97EBF">
        <w:rPr>
          <w:rFonts w:ascii="Palatino Linotype" w:hAnsi="Palatino Linotype" w:cs="Times New Roman"/>
          <w:color w:val="auto"/>
          <w:sz w:val="22"/>
          <w:szCs w:val="22"/>
          <w:lang w:val="es-EC" w:bidi="ar-SA"/>
        </w:rPr>
        <w:t>vivienda social.</w:t>
      </w:r>
    </w:p>
    <w:p w:rsidR="00B97EBF" w:rsidRDefault="00B97EBF" w:rsidP="00B97EBF">
      <w:pPr>
        <w:pStyle w:val="Ttulo3"/>
        <w:spacing w:after="120" w:line="276" w:lineRule="auto"/>
        <w:rPr>
          <w:rFonts w:ascii="Palatino Linotype" w:hAnsi="Palatino Linotype"/>
          <w:sz w:val="22"/>
          <w:szCs w:val="22"/>
        </w:rPr>
        <w:sectPr w:rsidR="00B97EBF" w:rsidSect="00D07E53">
          <w:headerReference w:type="default" r:id="rId9"/>
          <w:footerReference w:type="default" r:id="rId10"/>
          <w:headerReference w:type="first" r:id="rId11"/>
          <w:pgSz w:w="11907" w:h="16839" w:code="9"/>
          <w:pgMar w:top="1417" w:right="1701" w:bottom="1417" w:left="1701" w:header="708" w:footer="708" w:gutter="0"/>
          <w:cols w:space="708"/>
          <w:titlePg/>
          <w:docGrid w:linePitch="360"/>
        </w:sectPr>
      </w:pPr>
    </w:p>
    <w:p w:rsidR="00FA1E6F" w:rsidRPr="00B97EBF" w:rsidRDefault="00B97EBF" w:rsidP="00B97EBF">
      <w:pPr>
        <w:pStyle w:val="Ttulo3"/>
        <w:spacing w:after="120" w:line="276" w:lineRule="auto"/>
        <w:rPr>
          <w:rFonts w:ascii="Palatino Linotype" w:hAnsi="Palatino Linotype"/>
          <w:sz w:val="22"/>
          <w:szCs w:val="22"/>
        </w:rPr>
      </w:pPr>
      <w:r w:rsidRPr="00B97EBF">
        <w:rPr>
          <w:rFonts w:ascii="Palatino Linotype" w:hAnsi="Palatino Linotype"/>
          <w:sz w:val="22"/>
          <w:szCs w:val="22"/>
        </w:rPr>
        <w:lastRenderedPageBreak/>
        <w:t>EL CONCEJO METROPOLITANO DE QUITO</w:t>
      </w:r>
    </w:p>
    <w:p w:rsidR="00FA1E6F" w:rsidRPr="00B97EBF" w:rsidRDefault="00B97EBF" w:rsidP="00B97EBF">
      <w:pPr>
        <w:spacing w:after="120" w:line="276" w:lineRule="auto"/>
        <w:rPr>
          <w:rFonts w:ascii="Palatino Linotype" w:hAnsi="Palatino Linotype"/>
          <w:sz w:val="22"/>
          <w:szCs w:val="22"/>
        </w:rPr>
      </w:pPr>
      <w:r>
        <w:rPr>
          <w:rFonts w:ascii="Palatino Linotype" w:hAnsi="Palatino Linotype"/>
          <w:sz w:val="22"/>
          <w:szCs w:val="22"/>
        </w:rPr>
        <w:t>Visto el Informe No. IC-O-2018-253, de 17 de septiembre de 2018, emitido por la Comisión de Uso de Suelo.</w:t>
      </w:r>
    </w:p>
    <w:p w:rsidR="00FA1E6F" w:rsidRPr="00B97EBF" w:rsidRDefault="00B97EBF" w:rsidP="00B97EBF">
      <w:pPr>
        <w:spacing w:after="120" w:line="276" w:lineRule="auto"/>
        <w:jc w:val="center"/>
        <w:rPr>
          <w:rFonts w:ascii="Palatino Linotype" w:hAnsi="Palatino Linotype"/>
          <w:b/>
          <w:smallCaps/>
          <w:sz w:val="22"/>
          <w:szCs w:val="22"/>
        </w:rPr>
      </w:pPr>
      <w:r w:rsidRPr="00B97EBF">
        <w:rPr>
          <w:rFonts w:ascii="Palatino Linotype" w:hAnsi="Palatino Linotype"/>
          <w:b/>
          <w:smallCaps/>
          <w:sz w:val="22"/>
          <w:szCs w:val="22"/>
        </w:rPr>
        <w:t>CONSIDERANDO:</w:t>
      </w:r>
    </w:p>
    <w:p w:rsidR="00DB7931" w:rsidRPr="00B97EBF" w:rsidRDefault="00DB7931"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 xml:space="preserve"> </w:t>
      </w:r>
      <w:r w:rsidR="00B97EBF">
        <w:rPr>
          <w:rFonts w:ascii="Palatino Linotype" w:hAnsi="Palatino Linotype"/>
          <w:sz w:val="22"/>
          <w:szCs w:val="22"/>
        </w:rPr>
        <w:tab/>
      </w:r>
      <w:r w:rsidRPr="00B97EBF">
        <w:rPr>
          <w:rFonts w:ascii="Palatino Linotype" w:hAnsi="Palatino Linotype"/>
          <w:sz w:val="22"/>
          <w:szCs w:val="22"/>
        </w:rPr>
        <w:t>los numerales 1 y 2 del artículo 264 de la Constitución de la República del Ecuador en concordancia con el artículo 266, establecen que: “</w:t>
      </w:r>
      <w:r w:rsidRPr="00B97EBF">
        <w:rPr>
          <w:rFonts w:ascii="Palatino Linotype" w:hAnsi="Palatino Linotype"/>
          <w:i/>
          <w:sz w:val="22"/>
          <w:szCs w:val="22"/>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r w:rsidRPr="00B97EBF">
        <w:rPr>
          <w:rFonts w:ascii="Palatino Linotype" w:hAnsi="Palatino Linotype"/>
          <w:sz w:val="22"/>
          <w:szCs w:val="22"/>
        </w:rPr>
        <w:t>”</w:t>
      </w:r>
      <w:r w:rsidR="00B97EBF">
        <w:rPr>
          <w:rFonts w:ascii="Palatino Linotype" w:hAnsi="Palatino Linotype"/>
          <w:sz w:val="22"/>
          <w:szCs w:val="22"/>
        </w:rPr>
        <w:t>;</w:t>
      </w:r>
    </w:p>
    <w:p w:rsidR="00B97EBF" w:rsidRDefault="00353FB7"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 xml:space="preserve"> </w:t>
      </w:r>
      <w:r w:rsidR="00B97EBF">
        <w:rPr>
          <w:rFonts w:ascii="Palatino Linotype" w:hAnsi="Palatino Linotype"/>
          <w:sz w:val="22"/>
          <w:szCs w:val="22"/>
        </w:rPr>
        <w:tab/>
      </w:r>
      <w:r w:rsidRPr="00B97EBF">
        <w:rPr>
          <w:rFonts w:ascii="Palatino Linotype" w:hAnsi="Palatino Linotype"/>
          <w:sz w:val="22"/>
          <w:szCs w:val="22"/>
        </w:rPr>
        <w:t xml:space="preserve">el Código Orgánico de Organización Territorial, </w:t>
      </w:r>
      <w:r w:rsidR="00255C2C" w:rsidRPr="00B97EBF">
        <w:rPr>
          <w:rFonts w:ascii="Palatino Linotype" w:hAnsi="Palatino Linotype"/>
          <w:sz w:val="22"/>
          <w:szCs w:val="22"/>
        </w:rPr>
        <w:t>Autonomía</w:t>
      </w:r>
      <w:r w:rsidRPr="00B97EBF">
        <w:rPr>
          <w:rFonts w:ascii="Palatino Linotype" w:hAnsi="Palatino Linotype"/>
          <w:sz w:val="22"/>
          <w:szCs w:val="22"/>
        </w:rPr>
        <w:t xml:space="preserve"> y Descentralización en su artículo 55, letra b) establece como competencia exclusiva del gobierno autónomo descentralizado municipal la de “ejercer el control sobre el uso y ocupación del suelo en el cantón</w:t>
      </w:r>
      <w:r w:rsidR="00B97EBF">
        <w:rPr>
          <w:rFonts w:ascii="Palatino Linotype" w:hAnsi="Palatino Linotype"/>
          <w:sz w:val="22"/>
          <w:szCs w:val="22"/>
        </w:rPr>
        <w:t>;</w:t>
      </w:r>
    </w:p>
    <w:p w:rsidR="00353FB7" w:rsidRPr="00B97EBF" w:rsidRDefault="00353FB7"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 xml:space="preserve">Que, </w:t>
      </w:r>
      <w:r w:rsidR="00B97EBF" w:rsidRPr="00B97EBF">
        <w:rPr>
          <w:rFonts w:ascii="Palatino Linotype" w:hAnsi="Palatino Linotype"/>
          <w:b/>
          <w:sz w:val="22"/>
          <w:szCs w:val="22"/>
        </w:rPr>
        <w:tab/>
      </w:r>
      <w:r w:rsidRPr="00B97EBF">
        <w:rPr>
          <w:rFonts w:ascii="Palatino Linotype" w:hAnsi="Palatino Linotype"/>
          <w:sz w:val="22"/>
          <w:szCs w:val="22"/>
        </w:rPr>
        <w:t xml:space="preserve">el artículo 57, literales a) y x), en concordancia </w:t>
      </w:r>
      <w:r w:rsidR="00255C2C" w:rsidRPr="00B97EBF">
        <w:rPr>
          <w:rFonts w:ascii="Palatino Linotype" w:hAnsi="Palatino Linotype"/>
          <w:sz w:val="22"/>
          <w:szCs w:val="22"/>
        </w:rPr>
        <w:t>con el</w:t>
      </w:r>
      <w:r w:rsidRPr="00B97EBF">
        <w:rPr>
          <w:rFonts w:ascii="Palatino Linotype" w:hAnsi="Palatino Linotype"/>
          <w:sz w:val="22"/>
          <w:szCs w:val="22"/>
        </w:rPr>
        <w:t xml:space="preserve"> artículo 87 literales </w:t>
      </w:r>
      <w:r w:rsidR="0006311E" w:rsidRPr="00B97EBF">
        <w:rPr>
          <w:rFonts w:ascii="Palatino Linotype" w:hAnsi="Palatino Linotype"/>
          <w:sz w:val="22"/>
          <w:szCs w:val="22"/>
        </w:rPr>
        <w:t>a) y v), ibídem, establecen que son competencias el Concejo Metropolitano, entre otras las siguientes: “</w:t>
      </w:r>
      <w:r w:rsidR="0006311E" w:rsidRPr="00B97EBF">
        <w:rPr>
          <w:rFonts w:ascii="Palatino Linotype" w:hAnsi="Palatino Linotype"/>
          <w:i/>
          <w:sz w:val="22"/>
          <w:szCs w:val="22"/>
        </w:rPr>
        <w:t xml:space="preserve">El ejercicio de la facultad normativa en las materias de competencia del gobierno </w:t>
      </w:r>
      <w:r w:rsidR="00255C2C" w:rsidRPr="00B97EBF">
        <w:rPr>
          <w:rFonts w:ascii="Palatino Linotype" w:hAnsi="Palatino Linotype"/>
          <w:i/>
          <w:sz w:val="22"/>
          <w:szCs w:val="22"/>
        </w:rPr>
        <w:t>autónomo</w:t>
      </w:r>
      <w:r w:rsidR="0006311E" w:rsidRPr="00B97EBF">
        <w:rPr>
          <w:rFonts w:ascii="Palatino Linotype" w:hAnsi="Palatino Linotype"/>
          <w:i/>
          <w:sz w:val="22"/>
          <w:szCs w:val="22"/>
        </w:rPr>
        <w:t xml:space="preserve"> descentralizado metropolitano, mediante la expedición de </w:t>
      </w:r>
      <w:r w:rsidR="00255C2C" w:rsidRPr="00B97EBF">
        <w:rPr>
          <w:rFonts w:ascii="Palatino Linotype" w:hAnsi="Palatino Linotype"/>
          <w:i/>
          <w:sz w:val="22"/>
          <w:szCs w:val="22"/>
        </w:rPr>
        <w:t>ordenanzas</w:t>
      </w:r>
      <w:r w:rsidR="0006311E" w:rsidRPr="00B97EBF">
        <w:rPr>
          <w:rFonts w:ascii="Palatino Linotype" w:hAnsi="Palatino Linotype"/>
          <w:i/>
          <w:sz w:val="22"/>
          <w:szCs w:val="22"/>
        </w:rPr>
        <w:t xml:space="preserve"> metropolitanas, acuerdos y resoluciones…; x) Regular y controlar el uso de suelo en el territorio del distrito metropolitano de conformidad con las leyes sobre la materia, y establecer el régimen urbanístico de la tierra</w:t>
      </w:r>
      <w:r w:rsidR="0006311E" w:rsidRPr="00B97EBF">
        <w:rPr>
          <w:rFonts w:ascii="Palatino Linotype" w:hAnsi="Palatino Linotype"/>
          <w:sz w:val="22"/>
          <w:szCs w:val="22"/>
        </w:rPr>
        <w:t>”</w:t>
      </w:r>
      <w:r w:rsidR="00B97EBF">
        <w:rPr>
          <w:rFonts w:ascii="Palatino Linotype" w:hAnsi="Palatino Linotype"/>
          <w:sz w:val="22"/>
          <w:szCs w:val="22"/>
        </w:rPr>
        <w:t>;</w:t>
      </w:r>
    </w:p>
    <w:p w:rsidR="00393269" w:rsidRPr="00B97EBF" w:rsidRDefault="00393269"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 xml:space="preserve"> </w:t>
      </w:r>
      <w:r w:rsidR="00B97EBF">
        <w:rPr>
          <w:rFonts w:ascii="Palatino Linotype" w:hAnsi="Palatino Linotype"/>
          <w:sz w:val="22"/>
          <w:szCs w:val="22"/>
        </w:rPr>
        <w:tab/>
      </w:r>
      <w:r w:rsidRPr="00B97EBF">
        <w:rPr>
          <w:rFonts w:ascii="Palatino Linotype" w:hAnsi="Palatino Linotype"/>
          <w:sz w:val="22"/>
          <w:szCs w:val="22"/>
        </w:rPr>
        <w:t>el artículo 322 inciso segundo, ibídem,</w:t>
      </w:r>
      <w:r w:rsidR="00255C2C" w:rsidRPr="00B97EBF">
        <w:rPr>
          <w:rFonts w:ascii="Palatino Linotype" w:hAnsi="Palatino Linotype"/>
          <w:sz w:val="22"/>
          <w:szCs w:val="22"/>
        </w:rPr>
        <w:t xml:space="preserve"> señala que “</w:t>
      </w:r>
      <w:r w:rsidR="00255C2C" w:rsidRPr="00B97EBF">
        <w:rPr>
          <w:rFonts w:ascii="Palatino Linotype" w:hAnsi="Palatino Linotype"/>
          <w:i/>
          <w:sz w:val="22"/>
          <w:szCs w:val="22"/>
        </w:rPr>
        <w:t>L</w:t>
      </w:r>
      <w:r w:rsidRPr="00B97EBF">
        <w:rPr>
          <w:rFonts w:ascii="Palatino Linotype" w:hAnsi="Palatino Linotype"/>
          <w:i/>
          <w:sz w:val="22"/>
          <w:szCs w:val="22"/>
        </w:rPr>
        <w:t xml:space="preserve">os proyectos de ordenanzas según corresponda </w:t>
      </w:r>
      <w:r w:rsidR="007A4A2C" w:rsidRPr="00B97EBF">
        <w:rPr>
          <w:rFonts w:ascii="Palatino Linotype" w:hAnsi="Palatino Linotype"/>
          <w:i/>
          <w:sz w:val="22"/>
          <w:szCs w:val="22"/>
        </w:rPr>
        <w:t>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7A4A2C" w:rsidRPr="00B97EBF">
        <w:rPr>
          <w:rFonts w:ascii="Palatino Linotype" w:hAnsi="Palatino Linotype"/>
          <w:sz w:val="22"/>
          <w:szCs w:val="22"/>
        </w:rPr>
        <w:t>”</w:t>
      </w:r>
      <w:r w:rsidR="00B97EBF">
        <w:rPr>
          <w:rFonts w:ascii="Palatino Linotype" w:hAnsi="Palatino Linotype"/>
          <w:sz w:val="22"/>
          <w:szCs w:val="22"/>
        </w:rPr>
        <w:t>;</w:t>
      </w:r>
    </w:p>
    <w:p w:rsidR="00C20E38" w:rsidRPr="00B97EBF" w:rsidRDefault="00C20E38"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 xml:space="preserve">Que, </w:t>
      </w:r>
      <w:r w:rsidR="00B97EBF" w:rsidRPr="00B97EBF">
        <w:rPr>
          <w:rFonts w:ascii="Palatino Linotype" w:hAnsi="Palatino Linotype"/>
          <w:b/>
          <w:sz w:val="22"/>
          <w:szCs w:val="22"/>
        </w:rPr>
        <w:tab/>
      </w:r>
      <w:r w:rsidR="00A55718" w:rsidRPr="00B97EBF">
        <w:rPr>
          <w:rFonts w:ascii="Palatino Linotype" w:hAnsi="Palatino Linotype"/>
          <w:sz w:val="22"/>
          <w:szCs w:val="22"/>
        </w:rPr>
        <w:t xml:space="preserve">la </w:t>
      </w:r>
      <w:r w:rsidRPr="00B97EBF">
        <w:rPr>
          <w:rFonts w:ascii="Palatino Linotype" w:hAnsi="Palatino Linotype"/>
          <w:sz w:val="22"/>
          <w:szCs w:val="22"/>
        </w:rPr>
        <w:t xml:space="preserve">Ley Orgánica de Régimen para el </w:t>
      </w:r>
      <w:r w:rsidR="00255C2C" w:rsidRPr="00B97EBF">
        <w:rPr>
          <w:rFonts w:ascii="Palatino Linotype" w:hAnsi="Palatino Linotype"/>
          <w:sz w:val="22"/>
          <w:szCs w:val="22"/>
        </w:rPr>
        <w:t>Distrito</w:t>
      </w:r>
      <w:r w:rsidRPr="00B97EBF">
        <w:rPr>
          <w:rFonts w:ascii="Palatino Linotype" w:hAnsi="Palatino Linotype"/>
          <w:sz w:val="22"/>
          <w:szCs w:val="22"/>
        </w:rPr>
        <w:t xml:space="preserve"> Metropolitano de Quito</w:t>
      </w:r>
      <w:r w:rsidR="00B97EBF">
        <w:rPr>
          <w:rFonts w:ascii="Palatino Linotype" w:hAnsi="Palatino Linotype"/>
          <w:sz w:val="22"/>
          <w:szCs w:val="22"/>
        </w:rPr>
        <w:t xml:space="preserve"> en el artículo 2</w:t>
      </w:r>
      <w:r w:rsidRPr="00B97EBF">
        <w:rPr>
          <w:rFonts w:ascii="Palatino Linotype" w:hAnsi="Palatino Linotype"/>
          <w:sz w:val="22"/>
          <w:szCs w:val="22"/>
        </w:rPr>
        <w:t xml:space="preserve"> establece como finalidades del Municipio del </w:t>
      </w:r>
      <w:r w:rsidR="00255C2C" w:rsidRPr="00B97EBF">
        <w:rPr>
          <w:rFonts w:ascii="Palatino Linotype" w:hAnsi="Palatino Linotype"/>
          <w:sz w:val="22"/>
          <w:szCs w:val="22"/>
        </w:rPr>
        <w:t>Distrito</w:t>
      </w:r>
      <w:r w:rsidRPr="00B97EBF">
        <w:rPr>
          <w:rFonts w:ascii="Palatino Linotype" w:hAnsi="Palatino Linotype"/>
          <w:sz w:val="22"/>
          <w:szCs w:val="22"/>
        </w:rPr>
        <w:t xml:space="preserve"> Metropolitano de Quito</w:t>
      </w:r>
      <w:r w:rsidR="00A55718" w:rsidRPr="00B97EBF">
        <w:rPr>
          <w:rFonts w:ascii="Palatino Linotype" w:hAnsi="Palatino Linotype"/>
          <w:sz w:val="22"/>
          <w:szCs w:val="22"/>
        </w:rPr>
        <w:t>: “</w:t>
      </w:r>
      <w:r w:rsidRPr="00B97EBF">
        <w:rPr>
          <w:rFonts w:ascii="Palatino Linotype" w:hAnsi="Palatino Linotype"/>
          <w:i/>
          <w:sz w:val="22"/>
          <w:szCs w:val="22"/>
        </w:rPr>
        <w:t>1) Regular el uso y la adecuada ocupación del suelo y ejercer control sobre el mismo con competencia exclusiva y privativa las construcciones o edificaciones, su estado, utilización y condiciones</w:t>
      </w:r>
      <w:r w:rsidRPr="00B97EBF">
        <w:rPr>
          <w:rFonts w:ascii="Palatino Linotype" w:hAnsi="Palatino Linotype"/>
          <w:sz w:val="22"/>
          <w:szCs w:val="22"/>
        </w:rPr>
        <w:t>”</w:t>
      </w:r>
      <w:r w:rsidR="00B97EBF">
        <w:rPr>
          <w:rFonts w:ascii="Palatino Linotype" w:hAnsi="Palatino Linotype"/>
          <w:sz w:val="22"/>
          <w:szCs w:val="22"/>
        </w:rPr>
        <w:t>;</w:t>
      </w:r>
    </w:p>
    <w:p w:rsidR="00393269" w:rsidRPr="00B97EBF" w:rsidRDefault="00C20E38"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 xml:space="preserve">Que, </w:t>
      </w:r>
      <w:r w:rsidR="00B97EBF" w:rsidRPr="00B97EBF">
        <w:rPr>
          <w:rFonts w:ascii="Palatino Linotype" w:hAnsi="Palatino Linotype"/>
          <w:b/>
          <w:sz w:val="22"/>
          <w:szCs w:val="22"/>
        </w:rPr>
        <w:tab/>
      </w:r>
      <w:r w:rsidRPr="00B97EBF">
        <w:rPr>
          <w:rFonts w:ascii="Palatino Linotype" w:hAnsi="Palatino Linotype"/>
          <w:sz w:val="22"/>
          <w:szCs w:val="22"/>
        </w:rPr>
        <w:t xml:space="preserve">el artículo 26 de la Ordenanza Metropolitana No. 172, determina que los proyectos urbanísticos arquitectónicos especiales son instrumentos de </w:t>
      </w:r>
      <w:r w:rsidRPr="00B97EBF">
        <w:rPr>
          <w:rFonts w:ascii="Palatino Linotype" w:hAnsi="Palatino Linotype"/>
          <w:sz w:val="22"/>
          <w:szCs w:val="22"/>
        </w:rPr>
        <w:lastRenderedPageBreak/>
        <w:t>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w:t>
      </w:r>
      <w:r w:rsidR="00B97EBF">
        <w:rPr>
          <w:rFonts w:ascii="Palatino Linotype" w:hAnsi="Palatino Linotype"/>
          <w:sz w:val="22"/>
          <w:szCs w:val="22"/>
        </w:rPr>
        <w:t>nimiento de las áreas naturales;</w:t>
      </w:r>
    </w:p>
    <w:p w:rsidR="00FA1E6F" w:rsidRPr="00B97EBF" w:rsidRDefault="001E2F0F"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ab/>
      </w:r>
      <w:r w:rsidR="00FA1E6F" w:rsidRPr="00B97EBF">
        <w:rPr>
          <w:rFonts w:ascii="Palatino Linotype" w:hAnsi="Palatino Linotype"/>
          <w:sz w:val="22"/>
          <w:szCs w:val="22"/>
        </w:rPr>
        <w:t xml:space="preserve">mediante Ordenanza No. 98, de 21 de enero de 2016, </w:t>
      </w:r>
      <w:r w:rsidRPr="00B97EBF">
        <w:rPr>
          <w:rFonts w:ascii="Palatino Linotype" w:hAnsi="Palatino Linotype"/>
          <w:sz w:val="22"/>
          <w:szCs w:val="22"/>
        </w:rPr>
        <w:t>se sustituyó la Ordenanza Especial No. 0009</w:t>
      </w:r>
      <w:r w:rsidR="00B97EBF">
        <w:rPr>
          <w:rFonts w:ascii="Palatino Linotype" w:hAnsi="Palatino Linotype"/>
          <w:sz w:val="22"/>
          <w:szCs w:val="22"/>
        </w:rPr>
        <w:t xml:space="preserve">, de </w:t>
      </w:r>
      <w:r w:rsidR="007B46DA" w:rsidRPr="00B97EBF">
        <w:rPr>
          <w:rFonts w:ascii="Palatino Linotype" w:hAnsi="Palatino Linotype"/>
          <w:sz w:val="22"/>
          <w:szCs w:val="22"/>
        </w:rPr>
        <w:t>agosto de 2006,</w:t>
      </w:r>
      <w:r w:rsidRPr="00B97EBF">
        <w:rPr>
          <w:rFonts w:ascii="Palatino Linotype" w:hAnsi="Palatino Linotype"/>
          <w:sz w:val="22"/>
          <w:szCs w:val="22"/>
        </w:rPr>
        <w:t xml:space="preserve"> </w:t>
      </w:r>
      <w:r w:rsidR="007B46DA" w:rsidRPr="00B97EBF">
        <w:rPr>
          <w:rFonts w:ascii="Palatino Linotype" w:hAnsi="Palatino Linotype"/>
          <w:sz w:val="22"/>
          <w:szCs w:val="22"/>
        </w:rPr>
        <w:t>con el objeto de</w:t>
      </w:r>
      <w:r w:rsidRPr="00B97EBF">
        <w:rPr>
          <w:rFonts w:ascii="Palatino Linotype" w:hAnsi="Palatino Linotype"/>
          <w:sz w:val="22"/>
          <w:szCs w:val="22"/>
        </w:rPr>
        <w:t xml:space="preserve"> regula</w:t>
      </w:r>
      <w:r w:rsidR="007B46DA" w:rsidRPr="00B97EBF">
        <w:rPr>
          <w:rFonts w:ascii="Palatino Linotype" w:hAnsi="Palatino Linotype"/>
          <w:sz w:val="22"/>
          <w:szCs w:val="22"/>
        </w:rPr>
        <w:t xml:space="preserve">r </w:t>
      </w:r>
      <w:r w:rsidRPr="00B97EBF">
        <w:rPr>
          <w:rFonts w:ascii="Palatino Linotype" w:hAnsi="Palatino Linotype"/>
          <w:sz w:val="22"/>
          <w:szCs w:val="22"/>
        </w:rPr>
        <w:t xml:space="preserve">el Proyecto Urbanístico Arquitectónico Especial «Ciudad Jardín», ubicado en los predios de la ex hacienda denominada «El Garrochal», predio </w:t>
      </w:r>
      <w:r w:rsidR="00B97EBF">
        <w:rPr>
          <w:rFonts w:ascii="Palatino Linotype" w:hAnsi="Palatino Linotype"/>
          <w:sz w:val="22"/>
          <w:szCs w:val="22"/>
        </w:rPr>
        <w:t>“</w:t>
      </w:r>
      <w:r w:rsidRPr="00B97EBF">
        <w:rPr>
          <w:rFonts w:ascii="Palatino Linotype" w:hAnsi="Palatino Linotype"/>
          <w:sz w:val="22"/>
          <w:szCs w:val="22"/>
        </w:rPr>
        <w:t>Sobrealto</w:t>
      </w:r>
      <w:r w:rsidR="00B97EBF">
        <w:rPr>
          <w:rFonts w:ascii="Palatino Linotype" w:hAnsi="Palatino Linotype"/>
          <w:sz w:val="22"/>
          <w:szCs w:val="22"/>
        </w:rPr>
        <w:t xml:space="preserve">”, </w:t>
      </w:r>
      <w:r w:rsidRPr="00B97EBF">
        <w:rPr>
          <w:rFonts w:ascii="Palatino Linotype" w:hAnsi="Palatino Linotype"/>
          <w:sz w:val="22"/>
          <w:szCs w:val="22"/>
        </w:rPr>
        <w:t>sector Turubamba, Dis</w:t>
      </w:r>
      <w:r w:rsidR="00D03DF3" w:rsidRPr="00B97EBF">
        <w:rPr>
          <w:rFonts w:ascii="Palatino Linotype" w:hAnsi="Palatino Linotype"/>
          <w:sz w:val="22"/>
          <w:szCs w:val="22"/>
        </w:rPr>
        <w:t xml:space="preserve">trito Metropolitano de Quito </w:t>
      </w:r>
      <w:r w:rsidR="00B97EBF">
        <w:rPr>
          <w:rFonts w:ascii="Palatino Linotype" w:hAnsi="Palatino Linotype"/>
          <w:sz w:val="22"/>
          <w:szCs w:val="22"/>
        </w:rPr>
        <w:t>“Ordenanza de Ciudad Jardín”;</w:t>
      </w:r>
    </w:p>
    <w:p w:rsidR="00BD6789" w:rsidRPr="00B97EBF" w:rsidRDefault="007B46DA"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00B97EBF">
        <w:rPr>
          <w:rFonts w:ascii="Palatino Linotype" w:hAnsi="Palatino Linotype"/>
          <w:sz w:val="22"/>
          <w:szCs w:val="22"/>
        </w:rPr>
        <w:tab/>
      </w:r>
      <w:r w:rsidR="00BD6789" w:rsidRPr="00B97EBF">
        <w:rPr>
          <w:rFonts w:ascii="Palatino Linotype" w:hAnsi="Palatino Linotype"/>
          <w:sz w:val="22"/>
          <w:szCs w:val="22"/>
        </w:rPr>
        <w:t xml:space="preserve">de conformidad con el artículo 2 de la </w:t>
      </w:r>
      <w:r w:rsidR="00255C2C" w:rsidRPr="00B97EBF">
        <w:rPr>
          <w:rFonts w:ascii="Palatino Linotype" w:hAnsi="Palatino Linotype"/>
          <w:sz w:val="22"/>
          <w:szCs w:val="22"/>
        </w:rPr>
        <w:t xml:space="preserve">Ordenanza de Ciudad Jardín, </w:t>
      </w:r>
      <w:r w:rsidR="00B97EBF">
        <w:rPr>
          <w:rFonts w:ascii="Palatino Linotype" w:hAnsi="Palatino Linotype"/>
          <w:sz w:val="22"/>
          <w:szCs w:val="22"/>
        </w:rPr>
        <w:t>“</w:t>
      </w:r>
      <w:r w:rsidR="00255C2C" w:rsidRPr="00B97EBF">
        <w:rPr>
          <w:rFonts w:ascii="Palatino Linotype" w:hAnsi="Palatino Linotype"/>
          <w:i/>
          <w:sz w:val="22"/>
          <w:szCs w:val="22"/>
        </w:rPr>
        <w:t>si</w:t>
      </w:r>
      <w:r w:rsidR="00BD6789" w:rsidRPr="00B97EBF">
        <w:rPr>
          <w:rFonts w:ascii="Palatino Linotype" w:hAnsi="Palatino Linotype"/>
          <w:i/>
          <w:sz w:val="22"/>
          <w:szCs w:val="22"/>
        </w:rPr>
        <w:t xml:space="preserve"> por circunstancias propias de la demanda habitacional y de la capacidad de gestión del promotor resulte necesario desarrollar una manzana en porcion</w:t>
      </w:r>
      <w:r w:rsidR="00E11E0F" w:rsidRPr="00B97EBF">
        <w:rPr>
          <w:rFonts w:ascii="Palatino Linotype" w:hAnsi="Palatino Linotype"/>
          <w:i/>
          <w:sz w:val="22"/>
          <w:szCs w:val="22"/>
        </w:rPr>
        <w:t>es o etapas, el promotor deberá</w:t>
      </w:r>
      <w:r w:rsidR="00BD6789" w:rsidRPr="00B97EBF">
        <w:rPr>
          <w:rFonts w:ascii="Palatino Linotype" w:hAnsi="Palatino Linotype"/>
          <w:i/>
          <w:sz w:val="22"/>
          <w:szCs w:val="22"/>
        </w:rPr>
        <w:t xml:space="preserve"> plantear el proyecto por etapas de construcción sobre la base del diseño integral propuesto, de acuerdo a la regulación vigente y la Ley de Propiedad Horizontal</w:t>
      </w:r>
      <w:r w:rsidR="00B97EBF">
        <w:rPr>
          <w:rFonts w:ascii="Palatino Linotype" w:hAnsi="Palatino Linotype"/>
          <w:sz w:val="22"/>
          <w:szCs w:val="22"/>
        </w:rPr>
        <w:t>”;</w:t>
      </w:r>
    </w:p>
    <w:p w:rsidR="00280200" w:rsidRPr="00B97EBF" w:rsidRDefault="00280200"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 xml:space="preserve">Que, </w:t>
      </w:r>
      <w:r w:rsidRPr="00B97EBF">
        <w:rPr>
          <w:rFonts w:ascii="Palatino Linotype" w:hAnsi="Palatino Linotype"/>
          <w:b/>
          <w:sz w:val="22"/>
          <w:szCs w:val="22"/>
        </w:rPr>
        <w:tab/>
      </w:r>
      <w:r w:rsidRPr="00B97EBF">
        <w:rPr>
          <w:rFonts w:ascii="Palatino Linotype" w:hAnsi="Palatino Linotype"/>
          <w:sz w:val="22"/>
          <w:szCs w:val="22"/>
        </w:rPr>
        <w:t>precis</w:t>
      </w:r>
      <w:r w:rsidR="00C529F7" w:rsidRPr="00B97EBF">
        <w:rPr>
          <w:rFonts w:ascii="Palatino Linotype" w:hAnsi="Palatino Linotype"/>
          <w:sz w:val="22"/>
          <w:szCs w:val="22"/>
        </w:rPr>
        <w:t>a</w:t>
      </w:r>
      <w:r w:rsidRPr="00B97EBF">
        <w:rPr>
          <w:rFonts w:ascii="Palatino Linotype" w:hAnsi="Palatino Linotype"/>
          <w:sz w:val="22"/>
          <w:szCs w:val="22"/>
        </w:rPr>
        <w:t xml:space="preserve">mente las regulaciones vigentes y, en particular, la Ley de Propiedad Horizontal, obligan al promotor </w:t>
      </w:r>
      <w:r w:rsidR="00C529F7" w:rsidRPr="00B97EBF">
        <w:rPr>
          <w:rFonts w:ascii="Palatino Linotype" w:hAnsi="Palatino Linotype"/>
          <w:sz w:val="22"/>
          <w:szCs w:val="22"/>
        </w:rPr>
        <w:t>a generar cargas legales y costos transaccionales originados en cualquier variación en el proyecto, que suponen obstáculos relevantes en la atención</w:t>
      </w:r>
      <w:r w:rsidRPr="00B97EBF">
        <w:rPr>
          <w:rFonts w:ascii="Palatino Linotype" w:hAnsi="Palatino Linotype"/>
          <w:sz w:val="22"/>
          <w:szCs w:val="22"/>
        </w:rPr>
        <w:t xml:space="preserve"> </w:t>
      </w:r>
      <w:r w:rsidR="00C529F7" w:rsidRPr="00B97EBF">
        <w:rPr>
          <w:rFonts w:ascii="Palatino Linotype" w:hAnsi="Palatino Linotype"/>
          <w:sz w:val="22"/>
          <w:szCs w:val="22"/>
        </w:rPr>
        <w:t>oportuna de</w:t>
      </w:r>
      <w:r w:rsidR="00E11E0F" w:rsidRPr="00B97EBF">
        <w:rPr>
          <w:rFonts w:ascii="Palatino Linotype" w:hAnsi="Palatino Linotype"/>
          <w:sz w:val="22"/>
          <w:szCs w:val="22"/>
        </w:rPr>
        <w:t xml:space="preserve"> demanda habitacional y dificul</w:t>
      </w:r>
      <w:r w:rsidR="00C529F7" w:rsidRPr="00B97EBF">
        <w:rPr>
          <w:rFonts w:ascii="Palatino Linotype" w:hAnsi="Palatino Linotype"/>
          <w:sz w:val="22"/>
          <w:szCs w:val="22"/>
        </w:rPr>
        <w:t>tades en la</w:t>
      </w:r>
      <w:r w:rsidRPr="00B97EBF">
        <w:rPr>
          <w:rFonts w:ascii="Palatino Linotype" w:hAnsi="Palatino Linotype"/>
          <w:sz w:val="22"/>
          <w:szCs w:val="22"/>
        </w:rPr>
        <w:t xml:space="preserve"> capacidad de gestión </w:t>
      </w:r>
      <w:r w:rsidR="00C529F7" w:rsidRPr="00B97EBF">
        <w:rPr>
          <w:rFonts w:ascii="Palatino Linotype" w:hAnsi="Palatino Linotype"/>
          <w:sz w:val="22"/>
          <w:szCs w:val="22"/>
        </w:rPr>
        <w:t>del promotor para ajust</w:t>
      </w:r>
      <w:r w:rsidR="00E11E0F" w:rsidRPr="00B97EBF">
        <w:rPr>
          <w:rFonts w:ascii="Palatino Linotype" w:hAnsi="Palatino Linotype"/>
          <w:sz w:val="22"/>
          <w:szCs w:val="22"/>
        </w:rPr>
        <w:t xml:space="preserve">ar </w:t>
      </w:r>
      <w:r w:rsidR="00C529F7" w:rsidRPr="00B97EBF">
        <w:rPr>
          <w:rFonts w:ascii="Palatino Linotype" w:hAnsi="Palatino Linotype"/>
          <w:sz w:val="22"/>
          <w:szCs w:val="22"/>
        </w:rPr>
        <w:t>las variaciones operadas en todos los documentos legales precedentes</w:t>
      </w:r>
      <w:r w:rsidR="00B97EBF">
        <w:rPr>
          <w:rFonts w:ascii="Palatino Linotype" w:hAnsi="Palatino Linotype"/>
          <w:sz w:val="22"/>
          <w:szCs w:val="22"/>
        </w:rPr>
        <w:t>;</w:t>
      </w:r>
    </w:p>
    <w:p w:rsidR="00B358DC" w:rsidRPr="00B97EBF" w:rsidRDefault="00B358DC"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00B97EBF">
        <w:rPr>
          <w:rFonts w:ascii="Palatino Linotype" w:hAnsi="Palatino Linotype"/>
          <w:sz w:val="22"/>
          <w:szCs w:val="22"/>
        </w:rPr>
        <w:tab/>
      </w:r>
      <w:r w:rsidRPr="00B97EBF">
        <w:rPr>
          <w:rFonts w:ascii="Palatino Linotype" w:hAnsi="Palatino Linotype"/>
          <w:sz w:val="22"/>
          <w:szCs w:val="22"/>
        </w:rPr>
        <w:t>el promotor ha solicita</w:t>
      </w:r>
      <w:r w:rsidR="00E11E0F" w:rsidRPr="00B97EBF">
        <w:rPr>
          <w:rFonts w:ascii="Palatino Linotype" w:hAnsi="Palatino Linotype"/>
          <w:sz w:val="22"/>
          <w:szCs w:val="22"/>
        </w:rPr>
        <w:t>do</w:t>
      </w:r>
      <w:r w:rsidRPr="00B97EBF">
        <w:rPr>
          <w:rFonts w:ascii="Palatino Linotype" w:hAnsi="Palatino Linotype"/>
          <w:sz w:val="22"/>
          <w:szCs w:val="22"/>
        </w:rPr>
        <w:t xml:space="preserve"> reformar la Ordenanza de Ciudad Jardín con el propósito de reducir la extensión de los predios sobre los que se desarrolla el proyecto de modo que las etapas programadas coincidan con los predios involucrados</w:t>
      </w:r>
      <w:r w:rsidR="00B97EBF">
        <w:rPr>
          <w:rFonts w:ascii="Palatino Linotype" w:hAnsi="Palatino Linotype"/>
          <w:sz w:val="22"/>
          <w:szCs w:val="22"/>
        </w:rPr>
        <w:t>;</w:t>
      </w:r>
    </w:p>
    <w:p w:rsidR="00BD6789" w:rsidRPr="00B97EBF" w:rsidRDefault="00BD6789"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 xml:space="preserve"> </w:t>
      </w:r>
      <w:r w:rsidR="00B97EBF">
        <w:rPr>
          <w:rFonts w:ascii="Palatino Linotype" w:hAnsi="Palatino Linotype"/>
          <w:sz w:val="22"/>
          <w:szCs w:val="22"/>
        </w:rPr>
        <w:tab/>
      </w:r>
      <w:r w:rsidR="00B358DC" w:rsidRPr="00B97EBF">
        <w:rPr>
          <w:rFonts w:ascii="Palatino Linotype" w:hAnsi="Palatino Linotype"/>
          <w:sz w:val="22"/>
          <w:szCs w:val="22"/>
        </w:rPr>
        <w:t>un proyecto urbanístico arquitectónico especial se desarrolla en concertación</w:t>
      </w:r>
      <w:r w:rsidR="00D03DF3" w:rsidRPr="00B97EBF">
        <w:rPr>
          <w:rFonts w:ascii="Palatino Linotype" w:hAnsi="Palatino Linotype"/>
          <w:sz w:val="22"/>
          <w:szCs w:val="22"/>
        </w:rPr>
        <w:t xml:space="preserve"> con la Municipalidad</w:t>
      </w:r>
      <w:r w:rsidR="00727986" w:rsidRPr="00B97EBF">
        <w:rPr>
          <w:rFonts w:ascii="Palatino Linotype" w:hAnsi="Palatino Linotype"/>
          <w:sz w:val="22"/>
          <w:szCs w:val="22"/>
        </w:rPr>
        <w:t>, de conformidad con el artículo 26 de la</w:t>
      </w:r>
      <w:r w:rsidR="00E11E0F" w:rsidRPr="00B97EBF">
        <w:rPr>
          <w:rFonts w:ascii="Palatino Linotype" w:hAnsi="Palatino Linotype"/>
          <w:sz w:val="22"/>
          <w:szCs w:val="22"/>
        </w:rPr>
        <w:t xml:space="preserve"> Ordenanza </w:t>
      </w:r>
      <w:r w:rsidR="00AD5CC0" w:rsidRPr="00B97EBF">
        <w:rPr>
          <w:rFonts w:ascii="Palatino Linotype" w:hAnsi="Palatino Linotype"/>
          <w:sz w:val="22"/>
          <w:szCs w:val="22"/>
        </w:rPr>
        <w:t>Metropolitana</w:t>
      </w:r>
      <w:r w:rsidR="00E11E0F" w:rsidRPr="00B97EBF">
        <w:rPr>
          <w:rFonts w:ascii="Palatino Linotype" w:hAnsi="Palatino Linotype"/>
          <w:sz w:val="22"/>
          <w:szCs w:val="22"/>
        </w:rPr>
        <w:t xml:space="preserve"> No. 172, r</w:t>
      </w:r>
      <w:r w:rsidR="00727986" w:rsidRPr="00B97EBF">
        <w:rPr>
          <w:rFonts w:ascii="Palatino Linotype" w:hAnsi="Palatino Linotype"/>
          <w:sz w:val="22"/>
          <w:szCs w:val="22"/>
        </w:rPr>
        <w:t>eformada por la Ordenanza Metropolitana No. 432, que establece el Régimen Administrativo del Suelo del Distrito Metropolitano</w:t>
      </w:r>
      <w:r w:rsidR="00B97EBF">
        <w:rPr>
          <w:rFonts w:ascii="Palatino Linotype" w:hAnsi="Palatino Linotype"/>
          <w:sz w:val="22"/>
          <w:szCs w:val="22"/>
        </w:rPr>
        <w:t>;</w:t>
      </w:r>
    </w:p>
    <w:p w:rsidR="00727986" w:rsidRPr="00B97EBF" w:rsidRDefault="00727986"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Que,</w:t>
      </w:r>
      <w:r w:rsidRPr="00B97EBF">
        <w:rPr>
          <w:rFonts w:ascii="Palatino Linotype" w:hAnsi="Palatino Linotype"/>
          <w:sz w:val="22"/>
          <w:szCs w:val="22"/>
        </w:rPr>
        <w:t xml:space="preserve"> </w:t>
      </w:r>
      <w:r w:rsidRPr="00B97EBF">
        <w:rPr>
          <w:rFonts w:ascii="Palatino Linotype" w:hAnsi="Palatino Linotype"/>
          <w:sz w:val="22"/>
          <w:szCs w:val="22"/>
        </w:rPr>
        <w:tab/>
        <w:t xml:space="preserve">la Secretaría de Territorio, Hábitat y Vivienda ha emitido informe técnico favorable, mediante oficio </w:t>
      </w:r>
      <w:r w:rsidR="00B97EBF">
        <w:rPr>
          <w:rFonts w:ascii="Palatino Linotype" w:hAnsi="Palatino Linotype"/>
          <w:sz w:val="22"/>
          <w:szCs w:val="22"/>
        </w:rPr>
        <w:t>No. STHV-DMPPS-4007, de 28 de j</w:t>
      </w:r>
      <w:r w:rsidR="0060082E">
        <w:rPr>
          <w:rFonts w:ascii="Palatino Linotype" w:hAnsi="Palatino Linotype"/>
          <w:sz w:val="22"/>
          <w:szCs w:val="22"/>
        </w:rPr>
        <w:t xml:space="preserve">ulio de 2017, la </w:t>
      </w:r>
      <w:r w:rsidR="0060082E">
        <w:rPr>
          <w:rFonts w:ascii="Palatino Linotype" w:hAnsi="Palatino Linotype"/>
          <w:sz w:val="22"/>
          <w:szCs w:val="22"/>
        </w:rPr>
        <w:lastRenderedPageBreak/>
        <w:t>Secretaría de Territorio, Hábitat y Vivienda, emite su informe técnico favorable sobre el poryecto en referencia; u,</w:t>
      </w:r>
    </w:p>
    <w:p w:rsidR="00727986" w:rsidRPr="00B97EBF" w:rsidRDefault="00727986" w:rsidP="00B97EBF">
      <w:pPr>
        <w:spacing w:after="120" w:line="276" w:lineRule="auto"/>
        <w:ind w:left="700" w:hanging="700"/>
        <w:rPr>
          <w:rFonts w:ascii="Palatino Linotype" w:hAnsi="Palatino Linotype"/>
          <w:sz w:val="22"/>
          <w:szCs w:val="22"/>
        </w:rPr>
      </w:pPr>
      <w:r w:rsidRPr="00B97EBF">
        <w:rPr>
          <w:rFonts w:ascii="Palatino Linotype" w:hAnsi="Palatino Linotype"/>
          <w:b/>
          <w:sz w:val="22"/>
          <w:szCs w:val="22"/>
        </w:rPr>
        <w:t xml:space="preserve">Que, </w:t>
      </w:r>
      <w:r w:rsidRPr="00B97EBF">
        <w:rPr>
          <w:rFonts w:ascii="Palatino Linotype" w:hAnsi="Palatino Linotype"/>
          <w:sz w:val="22"/>
          <w:szCs w:val="22"/>
        </w:rPr>
        <w:tab/>
        <w:t xml:space="preserve">la Procuraduría Metropolitana ha emitido informe jurídico favorable mediante oficio </w:t>
      </w:r>
      <w:r w:rsidR="0060082E">
        <w:rPr>
          <w:rFonts w:ascii="Palatino Linotype" w:hAnsi="Palatino Linotype"/>
          <w:sz w:val="22"/>
          <w:szCs w:val="22"/>
        </w:rPr>
        <w:t>referencia expediente No. 2014-04524, de 21 de mayo de 2018.</w:t>
      </w:r>
    </w:p>
    <w:p w:rsidR="0060082E" w:rsidRDefault="00727986" w:rsidP="0060082E">
      <w:pPr>
        <w:spacing w:after="120" w:line="276" w:lineRule="auto"/>
        <w:rPr>
          <w:rFonts w:ascii="Palatino Linotype" w:hAnsi="Palatino Linotype"/>
          <w:b/>
          <w:sz w:val="22"/>
          <w:szCs w:val="22"/>
        </w:rPr>
      </w:pPr>
      <w:r w:rsidRPr="0060082E">
        <w:rPr>
          <w:rFonts w:ascii="Palatino Linotype" w:hAnsi="Palatino Linotype"/>
          <w:b/>
          <w:sz w:val="22"/>
          <w:szCs w:val="22"/>
        </w:rPr>
        <w:t>En ejercicio de sus atribuciones previstas en el numeral 1 de los artículos 240 y 264 d</w:t>
      </w:r>
      <w:r w:rsidR="00AD5CC0" w:rsidRPr="0060082E">
        <w:rPr>
          <w:rFonts w:ascii="Palatino Linotype" w:hAnsi="Palatino Linotype"/>
          <w:b/>
          <w:sz w:val="22"/>
          <w:szCs w:val="22"/>
        </w:rPr>
        <w:t xml:space="preserve">e </w:t>
      </w:r>
      <w:r w:rsidRPr="0060082E">
        <w:rPr>
          <w:rFonts w:ascii="Palatino Linotype" w:hAnsi="Palatino Linotype"/>
          <w:b/>
          <w:sz w:val="22"/>
          <w:szCs w:val="22"/>
        </w:rPr>
        <w:t xml:space="preserve">la Constitución de la República del Ecuador; 54 y 57, literales a y x del Código Orgánico de Organización Territorial, Autonomía y Descentralización; y, </w:t>
      </w:r>
      <w:r w:rsidR="001D5B99" w:rsidRPr="0060082E">
        <w:rPr>
          <w:rFonts w:ascii="Palatino Linotype" w:hAnsi="Palatino Linotype"/>
          <w:b/>
          <w:sz w:val="22"/>
          <w:szCs w:val="22"/>
        </w:rPr>
        <w:t>26 de la Ordenanza Metropolitana 172</w:t>
      </w:r>
      <w:r w:rsidR="003A2219" w:rsidRPr="0060082E">
        <w:rPr>
          <w:rFonts w:ascii="Palatino Linotype" w:hAnsi="Palatino Linotype"/>
          <w:b/>
          <w:sz w:val="22"/>
          <w:szCs w:val="22"/>
        </w:rPr>
        <w:t>.</w:t>
      </w:r>
    </w:p>
    <w:p w:rsidR="0060082E" w:rsidRPr="0060082E" w:rsidRDefault="003A2219" w:rsidP="0060082E">
      <w:pPr>
        <w:spacing w:after="120" w:line="276" w:lineRule="auto"/>
        <w:jc w:val="center"/>
        <w:rPr>
          <w:rFonts w:ascii="Palatino Linotype" w:hAnsi="Palatino Linotype"/>
          <w:b/>
          <w:sz w:val="22"/>
          <w:szCs w:val="22"/>
        </w:rPr>
      </w:pPr>
      <w:r w:rsidRPr="0060082E">
        <w:rPr>
          <w:rFonts w:ascii="Palatino Linotype" w:hAnsi="Palatino Linotype"/>
          <w:b/>
          <w:sz w:val="22"/>
          <w:szCs w:val="22"/>
        </w:rPr>
        <w:t>EXPIDE LA</w:t>
      </w:r>
      <w:r w:rsidR="0060082E">
        <w:rPr>
          <w:rFonts w:ascii="Palatino Linotype" w:hAnsi="Palatino Linotype"/>
          <w:b/>
          <w:sz w:val="22"/>
          <w:szCs w:val="22"/>
        </w:rPr>
        <w:t xml:space="preserve"> SIGUIENTE:</w:t>
      </w:r>
    </w:p>
    <w:p w:rsidR="0060082E" w:rsidRDefault="0060082E" w:rsidP="0060082E">
      <w:pPr>
        <w:spacing w:after="120" w:line="276" w:lineRule="auto"/>
        <w:jc w:val="center"/>
        <w:rPr>
          <w:rFonts w:ascii="Palatino Linotype" w:hAnsi="Palatino Linotype"/>
          <w:b/>
          <w:sz w:val="22"/>
          <w:szCs w:val="22"/>
        </w:rPr>
      </w:pPr>
      <w:r w:rsidRPr="0060082E">
        <w:rPr>
          <w:rFonts w:ascii="Palatino Linotype" w:hAnsi="Palatino Linotype"/>
          <w:b/>
          <w:sz w:val="22"/>
          <w:szCs w:val="22"/>
        </w:rPr>
        <w:t>ORDENANZA REFORMATORIA A LA ORDENANZA N</w:t>
      </w:r>
      <w:r>
        <w:rPr>
          <w:rFonts w:ascii="Palatino Linotype" w:hAnsi="Palatino Linotype"/>
          <w:b/>
          <w:sz w:val="22"/>
          <w:szCs w:val="22"/>
        </w:rPr>
        <w:t>o</w:t>
      </w:r>
      <w:r w:rsidRPr="0060082E">
        <w:rPr>
          <w:rFonts w:ascii="Palatino Linotype" w:hAnsi="Palatino Linotype"/>
          <w:b/>
          <w:sz w:val="22"/>
          <w:szCs w:val="22"/>
        </w:rPr>
        <w:t xml:space="preserve">. 0098, DE 21 DE ENERO DE 2016, DEL PROYECTO URBANÍSTICO ARQUITECTÓNICO ESPECIAL </w:t>
      </w:r>
      <w:r>
        <w:rPr>
          <w:rFonts w:ascii="Palatino Linotype" w:hAnsi="Palatino Linotype"/>
          <w:b/>
          <w:sz w:val="22"/>
          <w:szCs w:val="22"/>
        </w:rPr>
        <w:t>“CIUDAD JARDÍN”</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 xml:space="preserve">Artículo 1.- </w:t>
      </w:r>
      <w:r w:rsidRPr="00B97EBF">
        <w:rPr>
          <w:rFonts w:ascii="Palatino Linotype" w:hAnsi="Palatino Linotype"/>
          <w:sz w:val="22"/>
          <w:szCs w:val="22"/>
        </w:rPr>
        <w:t>Agréguese en el artículo 1 de la Ordenanza No. 0098, en el inciso segundo, luego de la frase “</w:t>
      </w:r>
      <w:r w:rsidRPr="0060082E">
        <w:rPr>
          <w:rFonts w:ascii="Palatino Linotype" w:hAnsi="Palatino Linotype"/>
          <w:i/>
          <w:sz w:val="22"/>
          <w:szCs w:val="22"/>
        </w:rPr>
        <w:t>tamaño y forma de los predios y manzanas</w:t>
      </w:r>
      <w:r w:rsidRPr="00B97EBF">
        <w:rPr>
          <w:rFonts w:ascii="Palatino Linotype" w:hAnsi="Palatino Linotype"/>
          <w:sz w:val="22"/>
          <w:szCs w:val="22"/>
        </w:rPr>
        <w:t>” la frase “</w:t>
      </w:r>
      <w:r w:rsidRPr="0060082E">
        <w:rPr>
          <w:rFonts w:ascii="Palatino Linotype" w:hAnsi="Palatino Linotype"/>
          <w:i/>
          <w:sz w:val="22"/>
          <w:szCs w:val="22"/>
        </w:rPr>
        <w:t>a excepción de las variaciones establecidas en el Cuadro 1: Predios, linderos y superficie, que se agrega a esta Ordenanza</w:t>
      </w:r>
      <w:r w:rsidRPr="00B97EBF">
        <w:rPr>
          <w:rFonts w:ascii="Palatino Linotype" w:hAnsi="Palatino Linotype"/>
          <w:sz w:val="22"/>
          <w:szCs w:val="22"/>
        </w:rPr>
        <w:t>”.</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2.-</w:t>
      </w:r>
      <w:r>
        <w:rPr>
          <w:rFonts w:ascii="Palatino Linotype" w:hAnsi="Palatino Linotype"/>
          <w:sz w:val="22"/>
          <w:szCs w:val="22"/>
        </w:rPr>
        <w:t xml:space="preserve"> </w:t>
      </w:r>
      <w:r w:rsidRPr="00B97EBF">
        <w:rPr>
          <w:rFonts w:ascii="Palatino Linotype" w:hAnsi="Palatino Linotype"/>
          <w:sz w:val="22"/>
          <w:szCs w:val="22"/>
        </w:rPr>
        <w:t xml:space="preserve">Agréguese en el artículo 2 de la Ordenanza No. 0098, como tercer inciso lo siguiente: </w:t>
      </w:r>
    </w:p>
    <w:p w:rsidR="0060082E" w:rsidRPr="0060082E" w:rsidRDefault="0060082E" w:rsidP="0060082E">
      <w:pPr>
        <w:spacing w:after="120" w:line="276" w:lineRule="auto"/>
        <w:ind w:left="708"/>
        <w:rPr>
          <w:rFonts w:ascii="Palatino Linotype" w:hAnsi="Palatino Linotype"/>
          <w:i/>
          <w:sz w:val="22"/>
          <w:szCs w:val="22"/>
        </w:rPr>
      </w:pPr>
      <w:r w:rsidRPr="0060082E">
        <w:rPr>
          <w:rFonts w:ascii="Palatino Linotype" w:hAnsi="Palatino Linotype"/>
          <w:i/>
          <w:sz w:val="22"/>
          <w:szCs w:val="22"/>
        </w:rPr>
        <w:t>“La identificación, linderos y extensión de cada uno de los predios que integran el proyecto serán los originalmente aprobados para todos los casos no previstos en el Cuadro 1 y Cuadro 2 que constan a continuación”.</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3.-</w:t>
      </w:r>
      <w:r>
        <w:rPr>
          <w:rFonts w:ascii="Palatino Linotype" w:hAnsi="Palatino Linotype"/>
          <w:sz w:val="22"/>
          <w:szCs w:val="22"/>
        </w:rPr>
        <w:t xml:space="preserve"> </w:t>
      </w:r>
      <w:r w:rsidRPr="00B97EBF">
        <w:rPr>
          <w:rFonts w:ascii="Palatino Linotype" w:hAnsi="Palatino Linotype"/>
          <w:sz w:val="22"/>
          <w:szCs w:val="22"/>
        </w:rPr>
        <w:t>En el artículo 2 de la Ordenanza No. 0098, posterior al tercer inciso que se agrega a la Ordenanza No. 0098 de conformidad con el artículo precedente, incorpórese el “</w:t>
      </w:r>
      <w:r w:rsidRPr="0060082E">
        <w:rPr>
          <w:rFonts w:ascii="Palatino Linotype" w:hAnsi="Palatino Linotype"/>
          <w:i/>
          <w:sz w:val="22"/>
          <w:szCs w:val="22"/>
        </w:rPr>
        <w:t>Cuadro 1: Unificación de predios, linderos y superficies</w:t>
      </w:r>
      <w:r w:rsidRPr="00B97EBF">
        <w:rPr>
          <w:rFonts w:ascii="Palatino Linotype" w:hAnsi="Palatino Linotype"/>
          <w:sz w:val="22"/>
          <w:szCs w:val="22"/>
        </w:rPr>
        <w:t>”, de conformidad con el Anexo 1 que forma parte de esta Ordenanza.</w:t>
      </w:r>
      <w:r>
        <w:rPr>
          <w:rFonts w:ascii="Palatino Linotype" w:hAnsi="Palatino Linotype"/>
          <w:sz w:val="22"/>
          <w:szCs w:val="22"/>
        </w:rPr>
        <w:t xml:space="preserve"> </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4.-</w:t>
      </w:r>
      <w:r>
        <w:rPr>
          <w:rFonts w:ascii="Palatino Linotype" w:hAnsi="Palatino Linotype"/>
          <w:sz w:val="22"/>
          <w:szCs w:val="22"/>
        </w:rPr>
        <w:t xml:space="preserve"> </w:t>
      </w:r>
      <w:r w:rsidRPr="00B97EBF">
        <w:rPr>
          <w:rFonts w:ascii="Palatino Linotype" w:hAnsi="Palatino Linotype"/>
          <w:sz w:val="22"/>
          <w:szCs w:val="22"/>
        </w:rPr>
        <w:t>En el artículo 2 de la Ordenanza No. 0098, luego del “</w:t>
      </w:r>
      <w:r w:rsidRPr="0060082E">
        <w:rPr>
          <w:rFonts w:ascii="Palatino Linotype" w:hAnsi="Palatino Linotype"/>
          <w:i/>
          <w:sz w:val="22"/>
          <w:szCs w:val="22"/>
        </w:rPr>
        <w:t>Cuadro 1: Unificación de predios, linderos y superficies</w:t>
      </w:r>
      <w:r w:rsidRPr="00B97EBF">
        <w:rPr>
          <w:rFonts w:ascii="Palatino Linotype" w:hAnsi="Palatino Linotype"/>
          <w:sz w:val="22"/>
          <w:szCs w:val="22"/>
        </w:rPr>
        <w:t>” que se incorpora a la Ordenanza No. 0098</w:t>
      </w:r>
      <w:r>
        <w:rPr>
          <w:rFonts w:ascii="Palatino Linotype" w:hAnsi="Palatino Linotype"/>
          <w:sz w:val="22"/>
          <w:szCs w:val="22"/>
        </w:rPr>
        <w:t>,</w:t>
      </w:r>
      <w:r w:rsidRPr="00B97EBF">
        <w:rPr>
          <w:rFonts w:ascii="Palatino Linotype" w:hAnsi="Palatino Linotype"/>
          <w:sz w:val="22"/>
          <w:szCs w:val="22"/>
        </w:rPr>
        <w:t xml:space="preserve"> de conformidad con el artículo precedente, agréguese el “</w:t>
      </w:r>
      <w:r w:rsidRPr="0060082E">
        <w:rPr>
          <w:rFonts w:ascii="Palatino Linotype" w:hAnsi="Palatino Linotype"/>
          <w:i/>
          <w:sz w:val="22"/>
          <w:szCs w:val="22"/>
        </w:rPr>
        <w:t>Cuadro 2: Fraccionamiento de lotes, linderos y superficies de conformidad</w:t>
      </w:r>
      <w:r w:rsidRPr="00B97EBF">
        <w:rPr>
          <w:rFonts w:ascii="Palatino Linotype" w:hAnsi="Palatino Linotype"/>
          <w:sz w:val="22"/>
          <w:szCs w:val="22"/>
        </w:rPr>
        <w:t>”, de acuerdo con el Anexo 2 que forma parte de esta Ordenanza.</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5.-</w:t>
      </w:r>
      <w:r>
        <w:rPr>
          <w:rFonts w:ascii="Palatino Linotype" w:hAnsi="Palatino Linotype"/>
          <w:sz w:val="22"/>
          <w:szCs w:val="22"/>
        </w:rPr>
        <w:t xml:space="preserve"> </w:t>
      </w:r>
      <w:r w:rsidRPr="00B97EBF">
        <w:rPr>
          <w:rFonts w:ascii="Palatino Linotype" w:hAnsi="Palatino Linotype"/>
          <w:sz w:val="22"/>
          <w:szCs w:val="22"/>
        </w:rPr>
        <w:t xml:space="preserve">Sustitúyase en el artículo 14 de la Ordenanza No. 0098 el cuadro signado con el número 1 </w:t>
      </w:r>
      <w:r>
        <w:rPr>
          <w:rFonts w:ascii="Palatino Linotype" w:hAnsi="Palatino Linotype"/>
          <w:sz w:val="22"/>
          <w:szCs w:val="22"/>
        </w:rPr>
        <w:t>“</w:t>
      </w:r>
      <w:r w:rsidRPr="0060082E">
        <w:rPr>
          <w:rFonts w:ascii="Palatino Linotype" w:hAnsi="Palatino Linotype"/>
          <w:i/>
          <w:sz w:val="22"/>
          <w:szCs w:val="22"/>
        </w:rPr>
        <w:t>Edificabilidad de manzanas de uso residencial y múltiple</w:t>
      </w:r>
      <w:r>
        <w:rPr>
          <w:rFonts w:ascii="Palatino Linotype" w:hAnsi="Palatino Linotype"/>
          <w:sz w:val="22"/>
          <w:szCs w:val="22"/>
        </w:rPr>
        <w:t>”</w:t>
      </w:r>
      <w:r w:rsidRPr="00B97EBF">
        <w:rPr>
          <w:rFonts w:ascii="Palatino Linotype" w:hAnsi="Palatino Linotype"/>
          <w:sz w:val="22"/>
          <w:szCs w:val="22"/>
        </w:rPr>
        <w:t xml:space="preserve">, por el </w:t>
      </w:r>
      <w:r>
        <w:rPr>
          <w:rFonts w:ascii="Palatino Linotype" w:hAnsi="Palatino Linotype"/>
          <w:sz w:val="22"/>
          <w:szCs w:val="22"/>
        </w:rPr>
        <w:t>“</w:t>
      </w:r>
      <w:r w:rsidRPr="0060082E">
        <w:rPr>
          <w:rFonts w:ascii="Palatino Linotype" w:hAnsi="Palatino Linotype"/>
          <w:i/>
          <w:sz w:val="22"/>
          <w:szCs w:val="22"/>
        </w:rPr>
        <w:t xml:space="preserve">Cuadro </w:t>
      </w:r>
      <w:r w:rsidRPr="0060082E">
        <w:rPr>
          <w:rFonts w:ascii="Palatino Linotype" w:hAnsi="Palatino Linotype"/>
          <w:i/>
          <w:sz w:val="22"/>
          <w:szCs w:val="22"/>
        </w:rPr>
        <w:lastRenderedPageBreak/>
        <w:t>3: Edificabilidad de manzanas de uso residencial y múltiple</w:t>
      </w:r>
      <w:r>
        <w:rPr>
          <w:rFonts w:ascii="Palatino Linotype" w:hAnsi="Palatino Linotype"/>
          <w:sz w:val="22"/>
          <w:szCs w:val="22"/>
        </w:rPr>
        <w:t>”,</w:t>
      </w:r>
      <w:r w:rsidRPr="00B97EBF">
        <w:rPr>
          <w:rFonts w:ascii="Palatino Linotype" w:hAnsi="Palatino Linotype"/>
          <w:sz w:val="22"/>
          <w:szCs w:val="22"/>
        </w:rPr>
        <w:t xml:space="preserve"> que se agrega a esta Ordenanza como Anexo 3. </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6.-</w:t>
      </w:r>
      <w:r>
        <w:rPr>
          <w:rFonts w:ascii="Palatino Linotype" w:hAnsi="Palatino Linotype"/>
          <w:sz w:val="22"/>
          <w:szCs w:val="22"/>
        </w:rPr>
        <w:t xml:space="preserve"> </w:t>
      </w:r>
      <w:r w:rsidRPr="00B97EBF">
        <w:rPr>
          <w:rFonts w:ascii="Palatino Linotype" w:hAnsi="Palatino Linotype"/>
          <w:sz w:val="22"/>
          <w:szCs w:val="22"/>
        </w:rPr>
        <w:t>El cuadro signado con el número 2 del artículo 14 de la Ordenanza No. 0098, renumérese y asígnese el ordinal 4.</w:t>
      </w:r>
    </w:p>
    <w:p w:rsidR="0060082E" w:rsidRDefault="0060082E" w:rsidP="0060082E">
      <w:pPr>
        <w:spacing w:after="120" w:line="276" w:lineRule="auto"/>
        <w:rPr>
          <w:rFonts w:ascii="Palatino Linotype" w:hAnsi="Palatino Linotype"/>
          <w:sz w:val="22"/>
          <w:szCs w:val="22"/>
        </w:rPr>
      </w:pPr>
      <w:r w:rsidRPr="0060082E">
        <w:rPr>
          <w:rFonts w:ascii="Palatino Linotype" w:hAnsi="Palatino Linotype"/>
          <w:b/>
          <w:sz w:val="22"/>
          <w:szCs w:val="22"/>
        </w:rPr>
        <w:t>Artículo 7.-</w:t>
      </w:r>
      <w:r>
        <w:rPr>
          <w:rFonts w:ascii="Palatino Linotype" w:hAnsi="Palatino Linotype"/>
          <w:sz w:val="22"/>
          <w:szCs w:val="22"/>
        </w:rPr>
        <w:t xml:space="preserve"> </w:t>
      </w:r>
      <w:r w:rsidRPr="00B97EBF">
        <w:rPr>
          <w:rFonts w:ascii="Palatino Linotype" w:hAnsi="Palatino Linotype"/>
          <w:sz w:val="22"/>
          <w:szCs w:val="22"/>
        </w:rPr>
        <w:t>Sustitúyase los planos adjuntos a la Ordenanza No. 0098, previstos en el segundo inciso del artículo 22, por aquellos que acompañan la presente Ordenanza en el Anexo No.</w:t>
      </w:r>
      <w:r>
        <w:rPr>
          <w:rFonts w:ascii="Palatino Linotype" w:hAnsi="Palatino Linotype"/>
          <w:sz w:val="22"/>
          <w:szCs w:val="22"/>
        </w:rPr>
        <w:t xml:space="preserve"> </w:t>
      </w:r>
      <w:r w:rsidRPr="00B97EBF">
        <w:rPr>
          <w:rFonts w:ascii="Palatino Linotype" w:hAnsi="Palatino Linotype"/>
          <w:sz w:val="22"/>
          <w:szCs w:val="22"/>
        </w:rPr>
        <w:t>4.</w:t>
      </w:r>
    </w:p>
    <w:p w:rsidR="0060082E" w:rsidRPr="0060082E" w:rsidRDefault="0060082E" w:rsidP="0060082E">
      <w:pPr>
        <w:spacing w:after="120" w:line="276" w:lineRule="auto"/>
        <w:rPr>
          <w:rFonts w:ascii="Palatino Linotype" w:hAnsi="Palatino Linotype"/>
          <w:b/>
          <w:sz w:val="22"/>
          <w:szCs w:val="22"/>
        </w:rPr>
      </w:pPr>
      <w:r w:rsidRPr="0060082E">
        <w:rPr>
          <w:rFonts w:ascii="Palatino Linotype" w:hAnsi="Palatino Linotype"/>
          <w:b/>
          <w:sz w:val="22"/>
          <w:szCs w:val="22"/>
        </w:rPr>
        <w:t xml:space="preserve">Disposiciones </w:t>
      </w:r>
      <w:r>
        <w:rPr>
          <w:rFonts w:ascii="Palatino Linotype" w:hAnsi="Palatino Linotype"/>
          <w:b/>
          <w:sz w:val="22"/>
          <w:szCs w:val="22"/>
        </w:rPr>
        <w:t>g</w:t>
      </w:r>
      <w:r w:rsidRPr="0060082E">
        <w:rPr>
          <w:rFonts w:ascii="Palatino Linotype" w:hAnsi="Palatino Linotype"/>
          <w:b/>
          <w:sz w:val="22"/>
          <w:szCs w:val="22"/>
        </w:rPr>
        <w:t>enerales</w:t>
      </w:r>
      <w:r>
        <w:rPr>
          <w:rFonts w:ascii="Palatino Linotype" w:hAnsi="Palatino Linotype"/>
          <w:b/>
          <w:sz w:val="22"/>
          <w:szCs w:val="22"/>
        </w:rPr>
        <w:t>:</w:t>
      </w:r>
    </w:p>
    <w:p w:rsidR="0060082E" w:rsidRPr="00B97EBF" w:rsidRDefault="0060082E" w:rsidP="0060082E">
      <w:pPr>
        <w:pStyle w:val="Etiqueta"/>
        <w:numPr>
          <w:ilvl w:val="0"/>
          <w:numId w:val="0"/>
        </w:numPr>
        <w:spacing w:before="0" w:line="276" w:lineRule="auto"/>
        <w:rPr>
          <w:rFonts w:ascii="Palatino Linotype" w:hAnsi="Palatino Linotype"/>
          <w:b w:val="0"/>
          <w:sz w:val="22"/>
          <w:szCs w:val="22"/>
        </w:rPr>
      </w:pPr>
      <w:r w:rsidRPr="00B97EBF">
        <w:rPr>
          <w:rFonts w:ascii="Palatino Linotype" w:hAnsi="Palatino Linotype"/>
          <w:sz w:val="22"/>
          <w:szCs w:val="22"/>
        </w:rPr>
        <w:t xml:space="preserve">Primera.- </w:t>
      </w:r>
      <w:r w:rsidRPr="00B97EBF">
        <w:rPr>
          <w:rFonts w:ascii="Palatino Linotype" w:hAnsi="Palatino Linotype"/>
          <w:b w:val="0"/>
          <w:sz w:val="22"/>
          <w:szCs w:val="22"/>
        </w:rPr>
        <w:t>Apruébese la unificación de los predios y las manzanas de propiedad del promotor que integran el proyecto, en los predios cuya identificación, linderos y extensión constan en el Cuadro 1: Unificación, predios, linderos y superficies que se agrega a esta Ordenanza como parte integrante, en el Anexo 1 de esta Ordenanza.</w:t>
      </w:r>
    </w:p>
    <w:p w:rsidR="0060082E" w:rsidRPr="00B97EBF" w:rsidRDefault="0060082E" w:rsidP="0060082E">
      <w:pPr>
        <w:pStyle w:val="Etiqueta"/>
        <w:numPr>
          <w:ilvl w:val="0"/>
          <w:numId w:val="0"/>
        </w:numPr>
        <w:spacing w:before="0" w:line="276" w:lineRule="auto"/>
        <w:rPr>
          <w:rFonts w:ascii="Palatino Linotype" w:hAnsi="Palatino Linotype"/>
          <w:sz w:val="22"/>
          <w:szCs w:val="22"/>
        </w:rPr>
      </w:pPr>
      <w:r w:rsidRPr="00B97EBF">
        <w:rPr>
          <w:rFonts w:ascii="Palatino Linotype" w:hAnsi="Palatino Linotype"/>
          <w:sz w:val="22"/>
          <w:szCs w:val="22"/>
        </w:rPr>
        <w:t xml:space="preserve">Segunda.- </w:t>
      </w:r>
      <w:r w:rsidRPr="00B97EBF">
        <w:rPr>
          <w:rFonts w:ascii="Palatino Linotype" w:hAnsi="Palatino Linotype"/>
          <w:b w:val="0"/>
          <w:sz w:val="22"/>
          <w:szCs w:val="22"/>
        </w:rPr>
        <w:t>Apruébese el fraccionamiento de los predios y las manzanas de propiedad del promotor que integran el proyecto, en los predios cuya identificación, linderos y extensión constan en el Cuadro 2: Fraccionamiento de lotes, linderos y superficies, de acuerdo con el Anexo 2 de esta Ordenanza.</w:t>
      </w:r>
    </w:p>
    <w:p w:rsidR="0060082E" w:rsidRPr="00B97EBF" w:rsidRDefault="0060082E" w:rsidP="0060082E">
      <w:pPr>
        <w:pStyle w:val="Prrafodelista"/>
        <w:numPr>
          <w:ilvl w:val="0"/>
          <w:numId w:val="0"/>
        </w:numPr>
        <w:spacing w:line="276" w:lineRule="auto"/>
        <w:rPr>
          <w:rFonts w:ascii="Palatino Linotype" w:hAnsi="Palatino Linotype"/>
          <w:sz w:val="22"/>
          <w:szCs w:val="22"/>
        </w:rPr>
      </w:pPr>
      <w:r w:rsidRPr="00B97EBF">
        <w:rPr>
          <w:rFonts w:ascii="Palatino Linotype" w:hAnsi="Palatino Linotype"/>
          <w:b/>
          <w:sz w:val="22"/>
          <w:szCs w:val="22"/>
        </w:rPr>
        <w:t>Tercera.-</w:t>
      </w:r>
      <w:r>
        <w:rPr>
          <w:rFonts w:ascii="Palatino Linotype" w:hAnsi="Palatino Linotype"/>
          <w:b/>
          <w:sz w:val="22"/>
          <w:szCs w:val="22"/>
        </w:rPr>
        <w:t xml:space="preserve"> </w:t>
      </w:r>
      <w:r w:rsidRPr="00B97EBF">
        <w:rPr>
          <w:rFonts w:ascii="Palatino Linotype" w:hAnsi="Palatino Linotype"/>
          <w:sz w:val="22"/>
          <w:szCs w:val="22"/>
        </w:rPr>
        <w:t>Catástrese las variaciones practicadas en los predios de propiedad del promotor y, una vez protocolizada la presente Ordenanza, inscríbase y/o margínese en el Registro de la Propiedad dejando constancia en la historia de dominio de las unificaciones y fraccionamientos autorizados.</w:t>
      </w:r>
    </w:p>
    <w:p w:rsidR="0060082E" w:rsidRPr="00B97EBF" w:rsidRDefault="0060082E" w:rsidP="0060082E">
      <w:pPr>
        <w:pStyle w:val="Etiqueta"/>
        <w:numPr>
          <w:ilvl w:val="0"/>
          <w:numId w:val="0"/>
        </w:numPr>
        <w:spacing w:before="0" w:line="276" w:lineRule="auto"/>
        <w:rPr>
          <w:rFonts w:ascii="Palatino Linotype" w:hAnsi="Palatino Linotype"/>
          <w:sz w:val="22"/>
          <w:szCs w:val="22"/>
        </w:rPr>
      </w:pPr>
      <w:r w:rsidRPr="00B97EBF">
        <w:rPr>
          <w:rFonts w:ascii="Palatino Linotype" w:hAnsi="Palatino Linotype"/>
          <w:sz w:val="22"/>
          <w:szCs w:val="22"/>
        </w:rPr>
        <w:t xml:space="preserve">Disposiciones </w:t>
      </w:r>
      <w:r>
        <w:rPr>
          <w:rFonts w:ascii="Palatino Linotype" w:hAnsi="Palatino Linotype"/>
          <w:sz w:val="22"/>
          <w:szCs w:val="22"/>
        </w:rPr>
        <w:t>tra</w:t>
      </w:r>
      <w:r w:rsidRPr="00B97EBF">
        <w:rPr>
          <w:rFonts w:ascii="Palatino Linotype" w:hAnsi="Palatino Linotype"/>
          <w:sz w:val="22"/>
          <w:szCs w:val="22"/>
        </w:rPr>
        <w:t>nsitorias</w:t>
      </w:r>
      <w:r>
        <w:rPr>
          <w:rFonts w:ascii="Palatino Linotype" w:hAnsi="Palatino Linotype"/>
          <w:sz w:val="22"/>
          <w:szCs w:val="22"/>
        </w:rPr>
        <w:t>:</w:t>
      </w:r>
    </w:p>
    <w:p w:rsidR="0060082E" w:rsidRPr="00B97EBF" w:rsidRDefault="0060082E" w:rsidP="0060082E">
      <w:pPr>
        <w:pStyle w:val="Etiqueta"/>
        <w:numPr>
          <w:ilvl w:val="0"/>
          <w:numId w:val="0"/>
        </w:numPr>
        <w:spacing w:before="0" w:line="276" w:lineRule="auto"/>
        <w:rPr>
          <w:rFonts w:ascii="Palatino Linotype" w:hAnsi="Palatino Linotype"/>
          <w:b w:val="0"/>
          <w:sz w:val="22"/>
          <w:szCs w:val="22"/>
        </w:rPr>
      </w:pPr>
      <w:r w:rsidRPr="00B97EBF">
        <w:rPr>
          <w:rFonts w:ascii="Palatino Linotype" w:hAnsi="Palatino Linotype"/>
          <w:sz w:val="22"/>
          <w:szCs w:val="22"/>
        </w:rPr>
        <w:t>Primera</w:t>
      </w:r>
      <w:r>
        <w:rPr>
          <w:rFonts w:ascii="Palatino Linotype" w:hAnsi="Palatino Linotype"/>
          <w:sz w:val="22"/>
          <w:szCs w:val="22"/>
        </w:rPr>
        <w:t>.-</w:t>
      </w:r>
      <w:r w:rsidRPr="00B97EBF">
        <w:rPr>
          <w:rFonts w:ascii="Palatino Linotype" w:hAnsi="Palatino Linotype"/>
          <w:sz w:val="22"/>
          <w:szCs w:val="22"/>
        </w:rPr>
        <w:t xml:space="preserve"> </w:t>
      </w:r>
      <w:r w:rsidRPr="00B97EBF">
        <w:rPr>
          <w:rFonts w:ascii="Palatino Linotype" w:hAnsi="Palatino Linotype"/>
          <w:b w:val="0"/>
          <w:sz w:val="22"/>
          <w:szCs w:val="22"/>
        </w:rPr>
        <w:t>Se establece un plazo de 90 días a partir de la sanción de la presente Ordenanza para su protocolización e inscripción en el Registro de la Propiedad.</w:t>
      </w:r>
    </w:p>
    <w:p w:rsidR="0060082E" w:rsidRPr="00B97EBF" w:rsidRDefault="0060082E" w:rsidP="0060082E">
      <w:pPr>
        <w:pStyle w:val="Etiqueta"/>
        <w:numPr>
          <w:ilvl w:val="0"/>
          <w:numId w:val="0"/>
        </w:numPr>
        <w:spacing w:before="0" w:line="276" w:lineRule="auto"/>
        <w:rPr>
          <w:rFonts w:ascii="Palatino Linotype" w:hAnsi="Palatino Linotype"/>
          <w:b w:val="0"/>
          <w:sz w:val="22"/>
          <w:szCs w:val="22"/>
        </w:rPr>
      </w:pPr>
      <w:r w:rsidRPr="00B97EBF">
        <w:rPr>
          <w:rFonts w:ascii="Palatino Linotype" w:hAnsi="Palatino Linotype"/>
          <w:sz w:val="22"/>
          <w:szCs w:val="22"/>
        </w:rPr>
        <w:t>Segunda</w:t>
      </w:r>
      <w:r>
        <w:rPr>
          <w:rFonts w:ascii="Palatino Linotype" w:hAnsi="Palatino Linotype"/>
          <w:sz w:val="22"/>
          <w:szCs w:val="22"/>
        </w:rPr>
        <w:t>.-</w:t>
      </w:r>
      <w:r w:rsidRPr="00B97EBF">
        <w:rPr>
          <w:rFonts w:ascii="Palatino Linotype" w:hAnsi="Palatino Linotype"/>
          <w:sz w:val="22"/>
          <w:szCs w:val="22"/>
        </w:rPr>
        <w:t xml:space="preserve"> </w:t>
      </w:r>
      <w:r w:rsidRPr="00B97EBF">
        <w:rPr>
          <w:rFonts w:ascii="Palatino Linotype" w:hAnsi="Palatino Linotype"/>
          <w:b w:val="0"/>
          <w:sz w:val="22"/>
          <w:szCs w:val="22"/>
        </w:rPr>
        <w:t>Se establece un plazo de 180 días a partir de la sanción de la presente Ordenanza, para que la Empresa Pública Metropolitana de Movi</w:t>
      </w:r>
      <w:r>
        <w:rPr>
          <w:rFonts w:ascii="Palatino Linotype" w:hAnsi="Palatino Linotype"/>
          <w:b w:val="0"/>
          <w:sz w:val="22"/>
          <w:szCs w:val="22"/>
        </w:rPr>
        <w:t>lidad y Obras Públicas (EPMMOP),</w:t>
      </w:r>
      <w:r w:rsidRPr="00B97EBF">
        <w:rPr>
          <w:rFonts w:ascii="Palatino Linotype" w:hAnsi="Palatino Linotype"/>
          <w:b w:val="0"/>
          <w:sz w:val="22"/>
          <w:szCs w:val="22"/>
        </w:rPr>
        <w:t xml:space="preserve"> en coordinación con las entidades competentes, presenten al Concejo Metropolitano de Quito el trazado vial definitivo de la Av. Padre Carollo.</w:t>
      </w:r>
    </w:p>
    <w:p w:rsidR="0060082E" w:rsidRPr="00B97EBF" w:rsidRDefault="0060082E" w:rsidP="0060082E">
      <w:pPr>
        <w:pStyle w:val="Etiqueta"/>
        <w:numPr>
          <w:ilvl w:val="0"/>
          <w:numId w:val="0"/>
        </w:numPr>
        <w:spacing w:before="0" w:line="276" w:lineRule="auto"/>
        <w:rPr>
          <w:rFonts w:ascii="Palatino Linotype" w:hAnsi="Palatino Linotype"/>
          <w:sz w:val="22"/>
          <w:szCs w:val="22"/>
        </w:rPr>
      </w:pPr>
      <w:r w:rsidRPr="00B97EBF">
        <w:rPr>
          <w:rFonts w:ascii="Palatino Linotype" w:hAnsi="Palatino Linotype"/>
          <w:sz w:val="22"/>
          <w:szCs w:val="22"/>
        </w:rPr>
        <w:t>Disposición Final:</w:t>
      </w:r>
    </w:p>
    <w:p w:rsidR="0060082E" w:rsidRPr="00B97EBF" w:rsidRDefault="0060082E" w:rsidP="0060082E">
      <w:pPr>
        <w:pStyle w:val="Prrafodelista"/>
        <w:numPr>
          <w:ilvl w:val="0"/>
          <w:numId w:val="0"/>
        </w:numPr>
        <w:spacing w:line="276" w:lineRule="auto"/>
        <w:rPr>
          <w:rFonts w:ascii="Palatino Linotype" w:hAnsi="Palatino Linotype"/>
          <w:sz w:val="22"/>
          <w:szCs w:val="22"/>
        </w:rPr>
      </w:pPr>
      <w:r w:rsidRPr="00B97EBF">
        <w:rPr>
          <w:rFonts w:ascii="Palatino Linotype" w:hAnsi="Palatino Linotype"/>
          <w:sz w:val="22"/>
          <w:szCs w:val="22"/>
        </w:rPr>
        <w:t>La presente ordenanza entrará en vigencia a partir de la fecha de su sanción, sin perjuicio de su publicación en la Gaceta Oficial y en la página web institucional de la Municipalidad.</w:t>
      </w:r>
    </w:p>
    <w:p w:rsidR="0060082E" w:rsidRPr="00B97EBF" w:rsidRDefault="0060082E" w:rsidP="0060082E">
      <w:pPr>
        <w:pStyle w:val="Etiqueta"/>
        <w:numPr>
          <w:ilvl w:val="0"/>
          <w:numId w:val="0"/>
        </w:numPr>
        <w:spacing w:before="0" w:line="276" w:lineRule="auto"/>
        <w:rPr>
          <w:rFonts w:ascii="Palatino Linotype" w:hAnsi="Palatino Linotype"/>
          <w:sz w:val="22"/>
          <w:szCs w:val="22"/>
        </w:rPr>
      </w:pPr>
      <w:r w:rsidRPr="00B97EBF">
        <w:rPr>
          <w:rFonts w:ascii="Palatino Linotype" w:hAnsi="Palatino Linotype"/>
          <w:sz w:val="22"/>
          <w:szCs w:val="22"/>
        </w:rPr>
        <w:lastRenderedPageBreak/>
        <w:t xml:space="preserve">Lista de Anexos </w:t>
      </w:r>
    </w:p>
    <w:p w:rsidR="0060082E" w:rsidRPr="00B97EBF" w:rsidRDefault="0060082E" w:rsidP="0060082E">
      <w:pPr>
        <w:pStyle w:val="Etiqueta"/>
        <w:numPr>
          <w:ilvl w:val="0"/>
          <w:numId w:val="40"/>
        </w:numPr>
        <w:spacing w:before="0" w:line="276" w:lineRule="auto"/>
        <w:rPr>
          <w:rFonts w:ascii="Palatino Linotype" w:hAnsi="Palatino Linotype"/>
          <w:b w:val="0"/>
          <w:sz w:val="22"/>
          <w:szCs w:val="22"/>
        </w:rPr>
      </w:pPr>
      <w:r w:rsidRPr="00B97EBF">
        <w:rPr>
          <w:rFonts w:ascii="Palatino Linotype" w:hAnsi="Palatino Linotype"/>
          <w:b w:val="0"/>
          <w:sz w:val="22"/>
          <w:szCs w:val="22"/>
        </w:rPr>
        <w:t>Cuadro 1: Unificación de predios, linderos y superficies.</w:t>
      </w:r>
    </w:p>
    <w:p w:rsidR="0060082E" w:rsidRPr="00B97EBF" w:rsidRDefault="0060082E" w:rsidP="0060082E">
      <w:pPr>
        <w:pStyle w:val="Etiqueta"/>
        <w:numPr>
          <w:ilvl w:val="0"/>
          <w:numId w:val="40"/>
        </w:numPr>
        <w:spacing w:before="0" w:line="276" w:lineRule="auto"/>
        <w:rPr>
          <w:rFonts w:ascii="Palatino Linotype" w:hAnsi="Palatino Linotype"/>
          <w:b w:val="0"/>
          <w:sz w:val="22"/>
          <w:szCs w:val="22"/>
        </w:rPr>
      </w:pPr>
      <w:r w:rsidRPr="00B97EBF">
        <w:rPr>
          <w:rFonts w:ascii="Palatino Linotype" w:hAnsi="Palatino Linotype"/>
          <w:b w:val="0"/>
          <w:sz w:val="22"/>
          <w:szCs w:val="22"/>
        </w:rPr>
        <w:t>Cuadro 2: Fraccionamiento de lotes, linderos y superficies de conformidad</w:t>
      </w:r>
    </w:p>
    <w:p w:rsidR="0060082E" w:rsidRPr="00B97EBF" w:rsidRDefault="0060082E" w:rsidP="0060082E">
      <w:pPr>
        <w:pStyle w:val="Etiqueta"/>
        <w:numPr>
          <w:ilvl w:val="0"/>
          <w:numId w:val="40"/>
        </w:numPr>
        <w:spacing w:before="0" w:line="276" w:lineRule="auto"/>
        <w:rPr>
          <w:rFonts w:ascii="Palatino Linotype" w:hAnsi="Palatino Linotype"/>
          <w:b w:val="0"/>
          <w:sz w:val="22"/>
          <w:szCs w:val="22"/>
        </w:rPr>
      </w:pPr>
      <w:r w:rsidRPr="00B97EBF">
        <w:rPr>
          <w:rFonts w:ascii="Palatino Linotype" w:hAnsi="Palatino Linotype"/>
          <w:b w:val="0"/>
          <w:sz w:val="22"/>
          <w:szCs w:val="22"/>
        </w:rPr>
        <w:t>Cuadro 3: Edificabilidad de manzanas de uso residencial y múltiple.</w:t>
      </w:r>
    </w:p>
    <w:p w:rsidR="0060082E" w:rsidRPr="00B97EBF" w:rsidRDefault="0060082E" w:rsidP="0060082E">
      <w:pPr>
        <w:pStyle w:val="Etiqueta"/>
        <w:numPr>
          <w:ilvl w:val="0"/>
          <w:numId w:val="40"/>
        </w:numPr>
        <w:spacing w:before="0" w:line="276" w:lineRule="auto"/>
        <w:rPr>
          <w:rFonts w:ascii="Palatino Linotype" w:hAnsi="Palatino Linotype"/>
          <w:b w:val="0"/>
          <w:sz w:val="22"/>
          <w:szCs w:val="22"/>
        </w:rPr>
      </w:pPr>
      <w:r w:rsidRPr="00B97EBF">
        <w:rPr>
          <w:rFonts w:ascii="Palatino Linotype" w:hAnsi="Palatino Linotype"/>
          <w:b w:val="0"/>
          <w:sz w:val="22"/>
          <w:szCs w:val="22"/>
        </w:rPr>
        <w:t>Planos del Proyecto Urbanístico Arquitectónico Especial Ciudad Jardín- El Garrochal.</w:t>
      </w:r>
    </w:p>
    <w:p w:rsidR="00B97EBF" w:rsidRPr="003843CA" w:rsidRDefault="00B97EBF" w:rsidP="00B97EBF">
      <w:pPr>
        <w:spacing w:after="120" w:line="276" w:lineRule="auto"/>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Pr>
          <w:rFonts w:ascii="Palatino Linotype" w:hAnsi="Palatino Linotype" w:cs="Arial"/>
          <w:sz w:val="22"/>
          <w:szCs w:val="22"/>
        </w:rPr>
        <w:t>1</w:t>
      </w:r>
      <w:r w:rsidR="00577D1E">
        <w:rPr>
          <w:rFonts w:ascii="Palatino Linotype" w:hAnsi="Palatino Linotype" w:cs="Arial"/>
          <w:sz w:val="22"/>
          <w:szCs w:val="22"/>
        </w:rPr>
        <w:t>3</w:t>
      </w:r>
      <w:bookmarkStart w:id="0" w:name="_GoBack"/>
      <w:bookmarkEnd w:id="0"/>
      <w:r w:rsidRPr="003843CA">
        <w:rPr>
          <w:rFonts w:ascii="Palatino Linotype" w:hAnsi="Palatino Linotype" w:cs="Arial"/>
          <w:sz w:val="22"/>
          <w:szCs w:val="22"/>
        </w:rPr>
        <w:t xml:space="preserve"> de </w:t>
      </w:r>
      <w:r>
        <w:rPr>
          <w:rFonts w:ascii="Palatino Linotype" w:hAnsi="Palatino Linotype" w:cs="Arial"/>
          <w:sz w:val="22"/>
          <w:szCs w:val="22"/>
        </w:rPr>
        <w:t xml:space="preserve">diciembre </w:t>
      </w:r>
      <w:r w:rsidRPr="003843CA">
        <w:rPr>
          <w:rFonts w:ascii="Palatino Linotype" w:hAnsi="Palatino Linotype" w:cs="Arial"/>
          <w:sz w:val="22"/>
          <w:szCs w:val="22"/>
        </w:rPr>
        <w:t>de 201</w:t>
      </w:r>
      <w:r>
        <w:rPr>
          <w:rFonts w:ascii="Palatino Linotype" w:hAnsi="Palatino Linotype" w:cs="Arial"/>
          <w:sz w:val="22"/>
          <w:szCs w:val="22"/>
        </w:rPr>
        <w:t>8</w:t>
      </w:r>
      <w:r w:rsidRPr="003843CA">
        <w:rPr>
          <w:rFonts w:ascii="Palatino Linotype" w:hAnsi="Palatino Linotype" w:cs="Arial"/>
          <w:sz w:val="22"/>
          <w:szCs w:val="22"/>
        </w:rPr>
        <w:t>.</w:t>
      </w:r>
    </w:p>
    <w:p w:rsidR="00B97EBF" w:rsidRDefault="00B97EBF" w:rsidP="00B97EBF">
      <w:pPr>
        <w:pStyle w:val="Textopredeterminado"/>
        <w:shd w:val="clear" w:color="auto" w:fill="FFFFFF"/>
        <w:jc w:val="both"/>
        <w:rPr>
          <w:rFonts w:ascii="Palatino Linotype" w:hAnsi="Palatino Linotype" w:cs="Arial"/>
          <w:sz w:val="22"/>
          <w:szCs w:val="22"/>
          <w:lang w:val="es-ES"/>
        </w:rPr>
      </w:pPr>
    </w:p>
    <w:p w:rsidR="0060082E" w:rsidRDefault="0060082E" w:rsidP="00B97EBF">
      <w:pPr>
        <w:pStyle w:val="Textopredeterminado"/>
        <w:shd w:val="clear" w:color="auto" w:fill="FFFFFF"/>
        <w:jc w:val="both"/>
        <w:rPr>
          <w:rFonts w:ascii="Palatino Linotype" w:hAnsi="Palatino Linotype" w:cs="Arial"/>
          <w:sz w:val="22"/>
          <w:szCs w:val="22"/>
          <w:lang w:val="es-ES"/>
        </w:rPr>
      </w:pPr>
    </w:p>
    <w:p w:rsidR="00B97EBF" w:rsidRDefault="00B97EBF" w:rsidP="00B97EBF">
      <w:pPr>
        <w:pStyle w:val="Textopredeterminado"/>
        <w:shd w:val="clear" w:color="auto" w:fill="FFFFFF"/>
        <w:jc w:val="both"/>
        <w:rPr>
          <w:rFonts w:ascii="Palatino Linotype" w:hAnsi="Palatino Linotype" w:cs="Arial"/>
          <w:sz w:val="22"/>
          <w:szCs w:val="22"/>
          <w:lang w:val="es-ES"/>
        </w:rPr>
      </w:pPr>
    </w:p>
    <w:p w:rsidR="00B97EBF" w:rsidRPr="003843CA" w:rsidRDefault="00B97EBF" w:rsidP="00B97EB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97EBF" w:rsidRDefault="00B97EBF" w:rsidP="00B97EB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97EBF" w:rsidRDefault="00B97EBF" w:rsidP="00B97EBF">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B97EBF" w:rsidRPr="00680EAC" w:rsidTr="0060082E">
        <w:trPr>
          <w:jc w:val="center"/>
        </w:trPr>
        <w:tc>
          <w:tcPr>
            <w:tcW w:w="5575" w:type="dxa"/>
            <w:hideMark/>
          </w:tcPr>
          <w:p w:rsidR="00B97EBF" w:rsidRDefault="00B97EBF" w:rsidP="0060082E">
            <w:pPr>
              <w:pStyle w:val="Textopredeterminado"/>
              <w:jc w:val="center"/>
              <w:rPr>
                <w:rFonts w:ascii="Palatino Linotype" w:hAnsi="Palatino Linotype" w:cs="Arial"/>
                <w:sz w:val="19"/>
                <w:szCs w:val="19"/>
              </w:rPr>
            </w:pPr>
          </w:p>
        </w:tc>
        <w:tc>
          <w:tcPr>
            <w:tcW w:w="5324" w:type="dxa"/>
            <w:hideMark/>
          </w:tcPr>
          <w:p w:rsidR="00B97EBF" w:rsidRDefault="00B97EBF" w:rsidP="0060082E">
            <w:pPr>
              <w:pStyle w:val="Textopredeterminado"/>
              <w:jc w:val="center"/>
              <w:rPr>
                <w:rFonts w:ascii="Palatino Linotype" w:hAnsi="Palatino Linotype" w:cs="Arial"/>
                <w:sz w:val="19"/>
                <w:szCs w:val="19"/>
              </w:rPr>
            </w:pPr>
          </w:p>
        </w:tc>
      </w:tr>
    </w:tbl>
    <w:p w:rsidR="00B97EBF" w:rsidRPr="003843CA" w:rsidRDefault="00B97EBF" w:rsidP="00B97EB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B97EBF" w:rsidRPr="003843CA" w:rsidRDefault="00B97EBF" w:rsidP="00B97EBF">
      <w:pPr>
        <w:pStyle w:val="Textosinformato"/>
        <w:jc w:val="both"/>
        <w:rPr>
          <w:rFonts w:ascii="Palatino Linotype" w:eastAsia="MS Mincho" w:hAnsi="Palatino Linotype" w:cs="Arial"/>
          <w:sz w:val="22"/>
          <w:szCs w:val="22"/>
        </w:rPr>
      </w:pPr>
    </w:p>
    <w:p w:rsidR="00B97EBF" w:rsidRPr="003843CA" w:rsidRDefault="00B97EBF" w:rsidP="00B97EBF">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29 de noviembre y 13</w:t>
      </w:r>
      <w:r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diciembre de 2018</w:t>
      </w:r>
      <w:r w:rsidRPr="003843CA">
        <w:rPr>
          <w:rFonts w:ascii="Palatino Linotype" w:eastAsia="MS Mincho" w:hAnsi="Palatino Linotype" w:cs="Arial"/>
          <w:sz w:val="22"/>
          <w:szCs w:val="22"/>
        </w:rPr>
        <w:t>.- Quito,</w:t>
      </w:r>
    </w:p>
    <w:p w:rsidR="00B97EBF" w:rsidRDefault="00B97EBF" w:rsidP="00B97EBF">
      <w:pPr>
        <w:pStyle w:val="Textosinformato"/>
        <w:jc w:val="both"/>
        <w:rPr>
          <w:rFonts w:ascii="Palatino Linotype" w:eastAsia="MS Mincho" w:hAnsi="Palatino Linotype" w:cs="Arial"/>
          <w:sz w:val="22"/>
          <w:szCs w:val="22"/>
        </w:rPr>
      </w:pPr>
    </w:p>
    <w:p w:rsidR="00B97EBF" w:rsidRDefault="00B97EBF" w:rsidP="00B97EBF">
      <w:pPr>
        <w:pStyle w:val="Textosinformato"/>
        <w:jc w:val="both"/>
        <w:rPr>
          <w:rFonts w:ascii="Palatino Linotype" w:eastAsia="MS Mincho" w:hAnsi="Palatino Linotype" w:cs="Arial"/>
          <w:sz w:val="22"/>
          <w:szCs w:val="22"/>
        </w:rPr>
      </w:pPr>
    </w:p>
    <w:p w:rsidR="00B97EBF" w:rsidRDefault="00B97EBF" w:rsidP="00B97EBF">
      <w:pPr>
        <w:pStyle w:val="Textosinformato"/>
        <w:jc w:val="both"/>
        <w:rPr>
          <w:rFonts w:ascii="Palatino Linotype" w:eastAsia="MS Mincho" w:hAnsi="Palatino Linotype" w:cs="Arial"/>
          <w:sz w:val="22"/>
          <w:szCs w:val="22"/>
        </w:rPr>
      </w:pPr>
    </w:p>
    <w:p w:rsidR="00B97EBF" w:rsidRPr="003843CA" w:rsidRDefault="00B97EBF" w:rsidP="00B97EBF">
      <w:pPr>
        <w:pStyle w:val="Textosinformato"/>
        <w:jc w:val="both"/>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97EBF" w:rsidRDefault="00B97EBF" w:rsidP="00B97EB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97EBF"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97EBF" w:rsidRDefault="00B97EBF" w:rsidP="00B97EBF">
      <w:pPr>
        <w:pStyle w:val="Textosinformato"/>
        <w:jc w:val="center"/>
        <w:rPr>
          <w:rFonts w:ascii="Palatino Linotype" w:eastAsia="MS Mincho" w:hAnsi="Palatino Linotype" w:cs="Arial"/>
          <w:b/>
          <w:sz w:val="22"/>
          <w:szCs w:val="22"/>
        </w:rPr>
      </w:pPr>
    </w:p>
    <w:p w:rsidR="00B97EBF" w:rsidRPr="003843CA" w:rsidRDefault="00B97EBF" w:rsidP="00B97EBF">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B97EBF" w:rsidRPr="003843CA"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p>
    <w:p w:rsidR="00B97EBF"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B97EBF" w:rsidRPr="003843CA" w:rsidRDefault="00B97EBF" w:rsidP="00B97EB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B97EBF" w:rsidRPr="003843CA" w:rsidRDefault="00B97EBF" w:rsidP="00B97EBF">
      <w:pPr>
        <w:pStyle w:val="Textosinformato"/>
        <w:jc w:val="center"/>
        <w:rPr>
          <w:rFonts w:ascii="Palatino Linotype" w:eastAsia="MS Mincho" w:hAnsi="Palatino Linotype" w:cs="Arial"/>
          <w:sz w:val="22"/>
          <w:szCs w:val="22"/>
        </w:rPr>
      </w:pPr>
    </w:p>
    <w:p w:rsidR="00890E29" w:rsidRDefault="00890E29" w:rsidP="00B97EBF">
      <w:pPr>
        <w:pStyle w:val="Textosinformato"/>
        <w:jc w:val="both"/>
        <w:rPr>
          <w:rFonts w:ascii="Palatino Linotype" w:eastAsia="MS Mincho" w:hAnsi="Palatino Linotype" w:cs="Arial"/>
          <w:b/>
          <w:bCs/>
          <w:sz w:val="22"/>
          <w:szCs w:val="22"/>
        </w:rPr>
      </w:pPr>
    </w:p>
    <w:p w:rsidR="00890E29" w:rsidRDefault="00890E29" w:rsidP="00B97EBF">
      <w:pPr>
        <w:pStyle w:val="Textosinformato"/>
        <w:jc w:val="both"/>
        <w:rPr>
          <w:rFonts w:ascii="Palatino Linotype" w:eastAsia="MS Mincho" w:hAnsi="Palatino Linotype" w:cs="Arial"/>
          <w:b/>
          <w:bCs/>
          <w:sz w:val="22"/>
          <w:szCs w:val="22"/>
        </w:rPr>
      </w:pPr>
    </w:p>
    <w:p w:rsidR="00B97EBF" w:rsidRDefault="00B97EBF" w:rsidP="00B97EBF">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00890E29">
        <w:rPr>
          <w:rFonts w:ascii="Palatino Linotype" w:eastAsia="MS Mincho" w:hAnsi="Palatino Linotype" w:cs="Arial"/>
          <w:sz w:val="22"/>
          <w:szCs w:val="22"/>
        </w:rPr>
        <w:t xml:space="preserve">, Alcalde </w:t>
      </w:r>
      <w:r w:rsidRPr="003843CA">
        <w:rPr>
          <w:rFonts w:ascii="Palatino Linotype" w:eastAsia="MS Mincho" w:hAnsi="Palatino Linotype" w:cs="Arial"/>
          <w:sz w:val="22"/>
          <w:szCs w:val="22"/>
        </w:rPr>
        <w:t>del Distrito Metropolitano de Quito, el</w:t>
      </w:r>
    </w:p>
    <w:p w:rsidR="00B97EBF" w:rsidRPr="003843CA" w:rsidRDefault="00B97EBF" w:rsidP="00B97EBF">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B97EBF" w:rsidRPr="003843CA"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p>
    <w:p w:rsidR="00B97EBF"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p>
    <w:p w:rsidR="00B97EBF" w:rsidRPr="003843CA" w:rsidRDefault="00B97EBF" w:rsidP="00B97EB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97EBF" w:rsidRDefault="00B97EBF" w:rsidP="00B97EB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97EBF" w:rsidRPr="00CF2492" w:rsidRDefault="00B97EBF" w:rsidP="00B97EBF">
      <w:pPr>
        <w:pStyle w:val="Textosinformato"/>
        <w:rPr>
          <w:rFonts w:ascii="Palatino Linotype" w:eastAsia="MS Mincho" w:hAnsi="Palatino Linotype" w:cs="Arial"/>
          <w:b/>
          <w:bCs/>
          <w:sz w:val="14"/>
          <w:szCs w:val="14"/>
        </w:rPr>
      </w:pPr>
      <w:r w:rsidRPr="00CF2492">
        <w:rPr>
          <w:rFonts w:ascii="Palatino Linotype" w:eastAsia="MS Mincho" w:hAnsi="Palatino Linotype" w:cs="Arial"/>
          <w:b/>
          <w:bCs/>
          <w:sz w:val="14"/>
          <w:szCs w:val="14"/>
        </w:rPr>
        <w:t>DSCS</w:t>
      </w:r>
    </w:p>
    <w:p w:rsidR="0060082E" w:rsidRDefault="0060082E" w:rsidP="00A5593D">
      <w:pPr>
        <w:rPr>
          <w:sz w:val="23"/>
        </w:rPr>
        <w:sectPr w:rsidR="0060082E" w:rsidSect="0060082E">
          <w:headerReference w:type="default" r:id="rId12"/>
          <w:footerReference w:type="default" r:id="rId13"/>
          <w:headerReference w:type="first" r:id="rId14"/>
          <w:footerReference w:type="first" r:id="rId15"/>
          <w:pgSz w:w="11907" w:h="16839" w:code="9"/>
          <w:pgMar w:top="1417" w:right="1701" w:bottom="1417" w:left="1701" w:header="708" w:footer="708" w:gutter="0"/>
          <w:pgNumType w:start="1"/>
          <w:cols w:space="708"/>
          <w:titlePg/>
          <w:docGrid w:linePitch="360"/>
        </w:sectPr>
      </w:pPr>
    </w:p>
    <w:p w:rsidR="0060082E" w:rsidRPr="00890E29" w:rsidRDefault="0060082E" w:rsidP="0060082E">
      <w:pPr>
        <w:jc w:val="center"/>
        <w:rPr>
          <w:rFonts w:ascii="Palatino Linotype" w:hAnsi="Palatino Linotype" w:cs="Times New Roman"/>
          <w:b/>
          <w:i/>
          <w:sz w:val="22"/>
          <w:szCs w:val="22"/>
        </w:rPr>
      </w:pPr>
      <w:r w:rsidRPr="00890E29">
        <w:rPr>
          <w:rFonts w:ascii="Palatino Linotype" w:hAnsi="Palatino Linotype" w:cs="Times New Roman"/>
          <w:b/>
          <w:i/>
          <w:sz w:val="22"/>
          <w:szCs w:val="22"/>
        </w:rPr>
        <w:lastRenderedPageBreak/>
        <w:t xml:space="preserve">ANEXO 1: Unificación de predios, linderos y superficies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1"/>
        <w:gridCol w:w="3185"/>
        <w:gridCol w:w="2884"/>
      </w:tblGrid>
      <w:tr w:rsidR="0060082E" w:rsidRPr="00890E29" w:rsidTr="00577D1E">
        <w:trPr>
          <w:trHeight w:val="389"/>
          <w:jc w:val="center"/>
        </w:trPr>
        <w:tc>
          <w:tcPr>
            <w:tcW w:w="10310" w:type="dxa"/>
            <w:gridSpan w:val="3"/>
            <w:vMerge w:val="restart"/>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i/>
                <w:color w:val="000000"/>
                <w:sz w:val="22"/>
                <w:szCs w:val="22"/>
                <w:lang w:eastAsia="es-EC"/>
              </w:rPr>
              <w:t>Cuadro 1: Unificación de predios, linderos y superficies</w:t>
            </w:r>
          </w:p>
        </w:tc>
      </w:tr>
      <w:tr w:rsidR="0060082E" w:rsidRPr="00890E29" w:rsidTr="00577D1E">
        <w:trPr>
          <w:trHeight w:val="464"/>
          <w:jc w:val="center"/>
        </w:trPr>
        <w:tc>
          <w:tcPr>
            <w:tcW w:w="10310" w:type="dxa"/>
            <w:gridSpan w:val="3"/>
            <w:vMerge/>
            <w:vAlign w:val="center"/>
            <w:hideMark/>
          </w:tcPr>
          <w:p w:rsidR="0060082E" w:rsidRPr="00890E29" w:rsidRDefault="0060082E" w:rsidP="0060082E">
            <w:pPr>
              <w:spacing w:after="0"/>
              <w:rPr>
                <w:rFonts w:ascii="Palatino Linotype" w:eastAsia="Times New Roman" w:hAnsi="Palatino Linotype" w:cs="Times New Roman"/>
                <w:b/>
                <w:bCs/>
                <w:color w:val="000000"/>
                <w:sz w:val="22"/>
                <w:szCs w:val="22"/>
                <w:lang w:eastAsia="es-EC"/>
              </w:rPr>
            </w:pPr>
          </w:p>
        </w:tc>
      </w:tr>
      <w:tr w:rsidR="0060082E" w:rsidRPr="00890E29" w:rsidTr="00577D1E">
        <w:trPr>
          <w:trHeight w:val="263"/>
          <w:jc w:val="center"/>
        </w:trPr>
        <w:tc>
          <w:tcPr>
            <w:tcW w:w="424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Predio 1  #1247167</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7700,44</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115,54</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45,28</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97,63</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140,28</w:t>
            </w:r>
          </w:p>
        </w:tc>
        <w:tc>
          <w:tcPr>
            <w:tcW w:w="2884"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263"/>
          <w:jc w:val="center"/>
        </w:trPr>
        <w:tc>
          <w:tcPr>
            <w:tcW w:w="10310" w:type="dxa"/>
            <w:gridSpan w:val="3"/>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Predio 2 # 1300123</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3.817,56</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25,16</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55,86</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65,35</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97,63</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3</w:t>
            </w:r>
          </w:p>
        </w:tc>
      </w:tr>
      <w:tr w:rsidR="0060082E" w:rsidRPr="00890E29" w:rsidTr="00577D1E">
        <w:trPr>
          <w:trHeight w:val="263"/>
          <w:jc w:val="center"/>
        </w:trPr>
        <w:tc>
          <w:tcPr>
            <w:tcW w:w="7426" w:type="dxa"/>
            <w:gridSpan w:val="2"/>
            <w:shd w:val="clear" w:color="auto" w:fill="auto"/>
            <w:noWrap/>
            <w:vAlign w:val="center"/>
            <w:hideMark/>
          </w:tcPr>
          <w:p w:rsidR="0060082E" w:rsidRPr="00890E29" w:rsidRDefault="0060082E" w:rsidP="0060082E">
            <w:pPr>
              <w:spacing w:after="0"/>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 xml:space="preserve">RESULTADO UNIFICADO S1M3  (Predio 1 +  Predio 2) </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11.518,00</w:t>
            </w:r>
          </w:p>
        </w:tc>
      </w:tr>
      <w:tr w:rsidR="0060082E" w:rsidRPr="00890E29" w:rsidTr="00577D1E">
        <w:trPr>
          <w:trHeight w:val="263"/>
          <w:jc w:val="center"/>
        </w:trPr>
        <w:tc>
          <w:tcPr>
            <w:tcW w:w="10310" w:type="dxa"/>
            <w:gridSpan w:val="3"/>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 </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Predio 3 #1247157</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11.375,35</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49,05</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110,24</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205,93</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4 LOTE A</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lastRenderedPageBreak/>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228,77</w:t>
            </w:r>
          </w:p>
        </w:tc>
        <w:tc>
          <w:tcPr>
            <w:tcW w:w="2884"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263"/>
          <w:jc w:val="center"/>
        </w:trPr>
        <w:tc>
          <w:tcPr>
            <w:tcW w:w="10310" w:type="dxa"/>
            <w:gridSpan w:val="3"/>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Predio 4  #1300124</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761,65</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55,39</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39,04</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S2M4</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18,13</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22,88</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S1M1</w:t>
            </w:r>
          </w:p>
        </w:tc>
      </w:tr>
      <w:tr w:rsidR="0060082E" w:rsidRPr="00890E29" w:rsidTr="00577D1E">
        <w:trPr>
          <w:trHeight w:val="263"/>
          <w:jc w:val="center"/>
        </w:trPr>
        <w:tc>
          <w:tcPr>
            <w:tcW w:w="7426" w:type="dxa"/>
            <w:gridSpan w:val="2"/>
            <w:shd w:val="clear" w:color="auto" w:fill="auto"/>
            <w:noWrap/>
            <w:vAlign w:val="center"/>
            <w:hideMark/>
          </w:tcPr>
          <w:p w:rsidR="0060082E" w:rsidRPr="00890E29" w:rsidRDefault="0060082E" w:rsidP="0060082E">
            <w:pPr>
              <w:spacing w:after="0"/>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RESULTADO UNIFICADO S1M4  (Predio 3 +Predio 4)</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12.137,00</w:t>
            </w:r>
          </w:p>
        </w:tc>
      </w:tr>
      <w:tr w:rsidR="0060082E" w:rsidRPr="00890E29" w:rsidTr="00577D1E">
        <w:trPr>
          <w:trHeight w:val="263"/>
          <w:jc w:val="center"/>
        </w:trPr>
        <w:tc>
          <w:tcPr>
            <w:tcW w:w="10310" w:type="dxa"/>
            <w:gridSpan w:val="3"/>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 </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u w:val="single"/>
                <w:lang w:eastAsia="es-EC"/>
              </w:rPr>
            </w:pPr>
            <w:r w:rsidRPr="00890E29">
              <w:rPr>
                <w:rFonts w:ascii="Palatino Linotype" w:eastAsia="Times New Roman" w:hAnsi="Palatino Linotype" w:cs="Times New Roman"/>
                <w:b/>
                <w:bCs/>
                <w:i/>
                <w:color w:val="000000"/>
                <w:sz w:val="22"/>
                <w:szCs w:val="22"/>
                <w:lang w:eastAsia="es-EC"/>
              </w:rPr>
              <w:t>Predio 5  #1247100</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10424,58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85,05</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86,5</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31</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124,32</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5 LOTE A</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122,82</w:t>
            </w:r>
          </w:p>
        </w:tc>
        <w:tc>
          <w:tcPr>
            <w:tcW w:w="2884"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Predio 6  #1300184</w:t>
            </w:r>
          </w:p>
        </w:tc>
        <w:tc>
          <w:tcPr>
            <w:tcW w:w="3185"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 xml:space="preserve">Área: </w:t>
            </w:r>
          </w:p>
        </w:tc>
        <w:tc>
          <w:tcPr>
            <w:tcW w:w="2884" w:type="dxa"/>
            <w:shd w:val="clear" w:color="auto" w:fill="auto"/>
            <w:noWrap/>
            <w:vAlign w:val="bottom"/>
            <w:hideMark/>
          </w:tcPr>
          <w:p w:rsidR="0060082E" w:rsidRPr="00890E29" w:rsidRDefault="0060082E" w:rsidP="0060082E">
            <w:pPr>
              <w:spacing w:after="0"/>
              <w:jc w:val="right"/>
              <w:rPr>
                <w:rFonts w:ascii="Palatino Linotype" w:eastAsia="Times New Roman" w:hAnsi="Palatino Linotype" w:cs="Times New Roman"/>
                <w:b/>
                <w:bCs/>
                <w:i/>
                <w:color w:val="000000"/>
                <w:sz w:val="22"/>
                <w:szCs w:val="22"/>
                <w:lang w:eastAsia="es-EC"/>
              </w:rPr>
            </w:pPr>
            <w:r w:rsidRPr="00890E29">
              <w:rPr>
                <w:rFonts w:ascii="Palatino Linotype" w:eastAsia="Times New Roman" w:hAnsi="Palatino Linotype" w:cs="Times New Roman"/>
                <w:b/>
                <w:bCs/>
                <w:i/>
                <w:color w:val="000000"/>
                <w:sz w:val="22"/>
                <w:szCs w:val="22"/>
                <w:lang w:eastAsia="es-EC"/>
              </w:rPr>
              <w:t>1.419,42</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318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Longitud (m)</w:t>
            </w:r>
          </w:p>
        </w:tc>
        <w:tc>
          <w:tcPr>
            <w:tcW w:w="2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Colinda</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22,53</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8</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53,67</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S2M4</w:t>
            </w:r>
          </w:p>
        </w:tc>
      </w:tr>
      <w:tr w:rsidR="0060082E" w:rsidRPr="00890E29" w:rsidTr="00577D1E">
        <w:trPr>
          <w:trHeight w:val="25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36,85</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S2M4</w:t>
            </w:r>
          </w:p>
        </w:tc>
      </w:tr>
      <w:tr w:rsidR="0060082E" w:rsidRPr="00890E29" w:rsidTr="00577D1E">
        <w:trPr>
          <w:trHeight w:val="263"/>
          <w:jc w:val="center"/>
        </w:trPr>
        <w:tc>
          <w:tcPr>
            <w:tcW w:w="4241"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318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38,77</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6 LOTE B</w:t>
            </w:r>
          </w:p>
        </w:tc>
      </w:tr>
      <w:tr w:rsidR="0060082E" w:rsidRPr="00890E29" w:rsidTr="00577D1E">
        <w:trPr>
          <w:trHeight w:val="263"/>
          <w:jc w:val="center"/>
        </w:trPr>
        <w:tc>
          <w:tcPr>
            <w:tcW w:w="7426" w:type="dxa"/>
            <w:gridSpan w:val="2"/>
            <w:shd w:val="clear" w:color="auto" w:fill="auto"/>
            <w:noWrap/>
            <w:vAlign w:val="center"/>
            <w:hideMark/>
          </w:tcPr>
          <w:p w:rsidR="0060082E" w:rsidRPr="00890E29" w:rsidRDefault="0060082E" w:rsidP="0060082E">
            <w:pPr>
              <w:spacing w:after="0"/>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RESULTADO UNIFICADO S2M4 (Predio 5+ Predio 6)</w:t>
            </w:r>
          </w:p>
        </w:tc>
        <w:tc>
          <w:tcPr>
            <w:tcW w:w="2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bCs/>
                <w:color w:val="000000"/>
                <w:sz w:val="22"/>
                <w:szCs w:val="22"/>
                <w:lang w:eastAsia="es-EC"/>
              </w:rPr>
            </w:pPr>
            <w:r w:rsidRPr="00890E29">
              <w:rPr>
                <w:rFonts w:ascii="Palatino Linotype" w:eastAsia="Times New Roman" w:hAnsi="Palatino Linotype" w:cs="Times New Roman"/>
                <w:b/>
                <w:bCs/>
                <w:color w:val="000000"/>
                <w:sz w:val="22"/>
                <w:szCs w:val="22"/>
                <w:lang w:eastAsia="es-EC"/>
              </w:rPr>
              <w:t>11.844,00</w:t>
            </w:r>
          </w:p>
        </w:tc>
      </w:tr>
    </w:tbl>
    <w:p w:rsidR="0060082E" w:rsidRDefault="0060082E" w:rsidP="0060082E">
      <w:pP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r w:rsidRPr="00890E29">
        <w:rPr>
          <w:rFonts w:ascii="Palatino Linotype" w:hAnsi="Palatino Linotype" w:cs="Times New Roman"/>
          <w:b/>
          <w:i/>
          <w:sz w:val="22"/>
          <w:szCs w:val="22"/>
        </w:rPr>
        <w:lastRenderedPageBreak/>
        <w:t xml:space="preserve">ANEXO 2: Fraccionamiento de lotes, linderos y superficies </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6"/>
        <w:gridCol w:w="1813"/>
        <w:gridCol w:w="4383"/>
      </w:tblGrid>
      <w:tr w:rsidR="0060082E" w:rsidRPr="00890E29" w:rsidTr="00577D1E">
        <w:trPr>
          <w:trHeight w:val="389"/>
          <w:jc w:val="center"/>
        </w:trPr>
        <w:tc>
          <w:tcPr>
            <w:tcW w:w="8882" w:type="dxa"/>
            <w:gridSpan w:val="3"/>
            <w:vMerge w:val="restart"/>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Cuadro 2:</w:t>
            </w:r>
            <w:r w:rsidRPr="00890E29">
              <w:rPr>
                <w:rFonts w:ascii="Palatino Linotype" w:hAnsi="Palatino Linotype" w:cs="Times New Roman"/>
                <w:b/>
                <w:i/>
                <w:sz w:val="22"/>
                <w:szCs w:val="22"/>
              </w:rPr>
              <w:t xml:space="preserve"> </w:t>
            </w:r>
            <w:r w:rsidRPr="00890E29">
              <w:rPr>
                <w:rFonts w:ascii="Palatino Linotype" w:eastAsia="Times New Roman" w:hAnsi="Palatino Linotype" w:cs="Times New Roman"/>
                <w:b/>
                <w:i/>
                <w:color w:val="000000"/>
                <w:sz w:val="22"/>
                <w:szCs w:val="22"/>
                <w:lang w:eastAsia="es-EC"/>
              </w:rPr>
              <w:t>Fraccionamiento de lotes, linderos y superficies</w:t>
            </w:r>
          </w:p>
        </w:tc>
      </w:tr>
      <w:tr w:rsidR="0060082E" w:rsidRPr="00890E29" w:rsidTr="00577D1E">
        <w:trPr>
          <w:trHeight w:val="297"/>
          <w:jc w:val="center"/>
        </w:trPr>
        <w:tc>
          <w:tcPr>
            <w:tcW w:w="8882" w:type="dxa"/>
            <w:gridSpan w:val="3"/>
            <w:vMerge/>
            <w:vAlign w:val="center"/>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p>
        </w:tc>
      </w:tr>
      <w:tr w:rsidR="0060082E" w:rsidRPr="00890E29" w:rsidTr="00577D1E">
        <w:trPr>
          <w:trHeight w:val="302"/>
          <w:jc w:val="center"/>
        </w:trPr>
        <w:tc>
          <w:tcPr>
            <w:tcW w:w="4499" w:type="dxa"/>
            <w:gridSpan w:val="2"/>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 xml:space="preserve">MANZANA S1M4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Área 12137</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S1M4 A</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6598</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58,94</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58,87</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110,7</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113,36</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4 LOTE B</w:t>
            </w:r>
          </w:p>
        </w:tc>
      </w:tr>
      <w:tr w:rsidR="0060082E" w:rsidRPr="00890E29" w:rsidTr="00577D1E">
        <w:trPr>
          <w:trHeight w:val="302"/>
          <w:jc w:val="center"/>
        </w:trPr>
        <w:tc>
          <w:tcPr>
            <w:tcW w:w="8882" w:type="dxa"/>
            <w:gridSpan w:val="3"/>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S1M4 B</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5539</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45,5</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38</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51,37</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113,36</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4 LOTE A</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115,41</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302"/>
          <w:jc w:val="center"/>
        </w:trPr>
        <w:tc>
          <w:tcPr>
            <w:tcW w:w="8882" w:type="dxa"/>
            <w:gridSpan w:val="3"/>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302"/>
          <w:jc w:val="center"/>
        </w:trPr>
        <w:tc>
          <w:tcPr>
            <w:tcW w:w="4499" w:type="dxa"/>
            <w:gridSpan w:val="2"/>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MANZANA S1M5</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Área 12893</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S1M5 A</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6468</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31</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lastRenderedPageBreak/>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5 LOTE B</w:t>
            </w:r>
          </w:p>
        </w:tc>
      </w:tr>
      <w:tr w:rsidR="0060082E" w:rsidRPr="00890E29" w:rsidTr="00577D1E">
        <w:trPr>
          <w:trHeight w:val="302"/>
          <w:jc w:val="center"/>
        </w:trPr>
        <w:tc>
          <w:tcPr>
            <w:tcW w:w="8882" w:type="dxa"/>
            <w:gridSpan w:val="3"/>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S1M5 B</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6425</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55,59</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30</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61,23</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31</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5 LOTE A</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110,14</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302"/>
          <w:jc w:val="center"/>
        </w:trPr>
        <w:tc>
          <w:tcPr>
            <w:tcW w:w="8882" w:type="dxa"/>
            <w:gridSpan w:val="3"/>
            <w:shd w:val="clear" w:color="auto" w:fill="auto"/>
            <w:noWrap/>
            <w:vAlign w:val="bottom"/>
          </w:tcPr>
          <w:p w:rsidR="0060082E" w:rsidRPr="00890E29" w:rsidRDefault="0060082E" w:rsidP="0060082E">
            <w:pPr>
              <w:spacing w:after="0"/>
              <w:rPr>
                <w:rFonts w:ascii="Palatino Linotype" w:eastAsia="Times New Roman" w:hAnsi="Palatino Linotype" w:cs="Times New Roman"/>
                <w:color w:val="000000"/>
                <w:sz w:val="22"/>
                <w:szCs w:val="22"/>
                <w:lang w:eastAsia="es-EC"/>
              </w:rPr>
            </w:pPr>
          </w:p>
        </w:tc>
      </w:tr>
      <w:tr w:rsidR="0060082E" w:rsidRPr="00890E29" w:rsidTr="00577D1E">
        <w:trPr>
          <w:trHeight w:val="302"/>
          <w:jc w:val="center"/>
        </w:trPr>
        <w:tc>
          <w:tcPr>
            <w:tcW w:w="4499" w:type="dxa"/>
            <w:gridSpan w:val="2"/>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MANZANA UNIFICADA S1M6</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Área 13043</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S1M6 A</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6467</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31</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32</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109,95</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109,95</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6 LOTE B</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S1M6 B</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6576</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60,97</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31</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58,66</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32</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109,95</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6 LOTE A</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109,95</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r w:rsidR="0060082E" w:rsidRPr="00890E29" w:rsidTr="00577D1E">
        <w:trPr>
          <w:trHeight w:val="302"/>
          <w:jc w:val="center"/>
        </w:trPr>
        <w:tc>
          <w:tcPr>
            <w:tcW w:w="8882" w:type="dxa"/>
            <w:gridSpan w:val="3"/>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302"/>
          <w:jc w:val="center"/>
        </w:trPr>
        <w:tc>
          <w:tcPr>
            <w:tcW w:w="4499" w:type="dxa"/>
            <w:gridSpan w:val="2"/>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lastRenderedPageBreak/>
              <w:t>MANZANA UNIFICADA S1M7</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Área 11086</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S1M7 A</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6471</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58,86</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32</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58,86</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33</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12</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7 LOTE B</w:t>
            </w:r>
          </w:p>
        </w:tc>
      </w:tr>
      <w:tr w:rsidR="0060082E" w:rsidRPr="00890E29" w:rsidTr="00577D1E">
        <w:trPr>
          <w:trHeight w:val="302"/>
          <w:jc w:val="center"/>
        </w:trPr>
        <w:tc>
          <w:tcPr>
            <w:tcW w:w="8882" w:type="dxa"/>
            <w:gridSpan w:val="3"/>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MANZANA S1M7 B</w:t>
            </w:r>
          </w:p>
        </w:tc>
        <w:tc>
          <w:tcPr>
            <w:tcW w:w="181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Área: </w:t>
            </w:r>
          </w:p>
        </w:tc>
        <w:tc>
          <w:tcPr>
            <w:tcW w:w="4383"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4615</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81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Longitud (m)</w:t>
            </w:r>
          </w:p>
        </w:tc>
        <w:tc>
          <w:tcPr>
            <w:tcW w:w="438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Colinda</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Norte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49,11</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32</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Sur</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33,1</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Vía Garrochal 33</w:t>
            </w:r>
          </w:p>
        </w:tc>
      </w:tr>
      <w:tr w:rsidR="0060082E" w:rsidRPr="00890E29" w:rsidTr="00577D1E">
        <w:trPr>
          <w:trHeight w:val="290"/>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Este </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110</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S1M 7 LOTE A</w:t>
            </w:r>
          </w:p>
        </w:tc>
      </w:tr>
      <w:tr w:rsidR="0060082E" w:rsidRPr="00890E29" w:rsidTr="00577D1E">
        <w:trPr>
          <w:trHeight w:val="302"/>
          <w:jc w:val="center"/>
        </w:trPr>
        <w:tc>
          <w:tcPr>
            <w:tcW w:w="2686" w:type="dxa"/>
            <w:shd w:val="clear" w:color="auto" w:fill="auto"/>
            <w:noWrap/>
            <w:vAlign w:val="bottom"/>
            <w:hideMark/>
          </w:tcPr>
          <w:p w:rsidR="0060082E" w:rsidRPr="00890E29" w:rsidRDefault="0060082E" w:rsidP="0060082E">
            <w:pPr>
              <w:spacing w:after="0"/>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Oeste</w:t>
            </w:r>
          </w:p>
        </w:tc>
        <w:tc>
          <w:tcPr>
            <w:tcW w:w="181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111</w:t>
            </w:r>
          </w:p>
        </w:tc>
        <w:tc>
          <w:tcPr>
            <w:tcW w:w="4383"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Av. Padre Carollo</w:t>
            </w:r>
          </w:p>
        </w:tc>
      </w:tr>
    </w:tbl>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Default="0060082E"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890E29" w:rsidRPr="00890E29" w:rsidRDefault="00890E29" w:rsidP="00890E29">
      <w:pPr>
        <w:jc w:val="center"/>
        <w:rPr>
          <w:rFonts w:ascii="Palatino Linotype" w:hAnsi="Palatino Linotype" w:cs="Times New Roman"/>
          <w:b/>
          <w:i/>
          <w:sz w:val="22"/>
          <w:szCs w:val="22"/>
        </w:rPr>
      </w:pPr>
      <w:r w:rsidRPr="00890E29">
        <w:rPr>
          <w:rFonts w:ascii="Palatino Linotype" w:hAnsi="Palatino Linotype" w:cs="Times New Roman"/>
          <w:b/>
          <w:i/>
          <w:sz w:val="22"/>
          <w:szCs w:val="22"/>
        </w:rPr>
        <w:lastRenderedPageBreak/>
        <w:t xml:space="preserve">ANEXO 3: Edificabilidad de manzanas de uso residencial y múltiple </w:t>
      </w:r>
    </w:p>
    <w:p w:rsidR="00890E29" w:rsidRPr="00890E29" w:rsidRDefault="00890E29" w:rsidP="00890E29">
      <w:pPr>
        <w:jc w:val="center"/>
        <w:rPr>
          <w:rFonts w:ascii="Palatino Linotype" w:hAnsi="Palatino Linotype" w:cs="Times New Roman"/>
          <w:b/>
          <w:i/>
          <w:sz w:val="22"/>
          <w:szCs w:val="22"/>
        </w:rPr>
      </w:pPr>
      <w:r w:rsidRPr="00890E29">
        <w:rPr>
          <w:rFonts w:ascii="Palatino Linotype" w:hAnsi="Palatino Linotype" w:cs="Times New Roman"/>
          <w:b/>
          <w:i/>
          <w:sz w:val="22"/>
          <w:szCs w:val="22"/>
        </w:rPr>
        <w:t xml:space="preserve">Cuadro 3: Edificabilidad de manzanas de uso residencial y múltiple </w:t>
      </w:r>
    </w:p>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tbl>
      <w:tblPr>
        <w:tblpPr w:leftFromText="141" w:rightFromText="141" w:vertAnchor="page" w:horzAnchor="margin" w:tblpXSpec="center" w:tblpY="2419"/>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1314"/>
        <w:gridCol w:w="1314"/>
        <w:gridCol w:w="1436"/>
        <w:gridCol w:w="683"/>
        <w:gridCol w:w="1358"/>
        <w:gridCol w:w="862"/>
        <w:gridCol w:w="1358"/>
        <w:gridCol w:w="1358"/>
        <w:gridCol w:w="1143"/>
      </w:tblGrid>
      <w:tr w:rsidR="00890E29" w:rsidRPr="00890E29" w:rsidTr="007A2CF3">
        <w:trPr>
          <w:trHeight w:val="674"/>
        </w:trPr>
        <w:tc>
          <w:tcPr>
            <w:tcW w:w="11552" w:type="dxa"/>
            <w:gridSpan w:val="10"/>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i/>
                <w:color w:val="000000"/>
                <w:sz w:val="22"/>
                <w:szCs w:val="22"/>
                <w:lang w:eastAsia="es-EC"/>
              </w:rPr>
              <w:lastRenderedPageBreak/>
              <w:t>EDIFICABILIDAD SECTOR 1</w:t>
            </w:r>
          </w:p>
        </w:tc>
      </w:tr>
      <w:tr w:rsidR="00890E29" w:rsidRPr="00890E29" w:rsidTr="007A2CF3">
        <w:trPr>
          <w:trHeight w:val="750"/>
        </w:trPr>
        <w:tc>
          <w:tcPr>
            <w:tcW w:w="996" w:type="dxa"/>
            <w:vMerge w:val="restart"/>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SECTOR</w:t>
            </w:r>
          </w:p>
        </w:tc>
        <w:tc>
          <w:tcPr>
            <w:tcW w:w="1314" w:type="dxa"/>
            <w:vMerge w:val="restart"/>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MANZANA</w:t>
            </w:r>
          </w:p>
        </w:tc>
        <w:tc>
          <w:tcPr>
            <w:tcW w:w="1314"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DIVISION DE MANZANA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 xml:space="preserve">AREA UTIL MANZANAS </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COS PB</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Edificabilidad en Planta Baja</w:t>
            </w:r>
          </w:p>
        </w:tc>
        <w:tc>
          <w:tcPr>
            <w:tcW w:w="862"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COS TOTAL</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Edificabilidad total</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Edificabilidad total manzana</w:t>
            </w:r>
          </w:p>
        </w:tc>
        <w:tc>
          <w:tcPr>
            <w:tcW w:w="87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NUMERO DE PISOS</w:t>
            </w:r>
          </w:p>
        </w:tc>
      </w:tr>
      <w:tr w:rsidR="00890E29" w:rsidRPr="00890E29" w:rsidTr="007A2CF3">
        <w:trPr>
          <w:trHeight w:val="258"/>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862"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w:t>
            </w:r>
          </w:p>
        </w:tc>
      </w:tr>
      <w:tr w:rsidR="00890E29" w:rsidRPr="00890E29" w:rsidTr="007A2CF3">
        <w:trPr>
          <w:trHeight w:val="279"/>
        </w:trPr>
        <w:tc>
          <w:tcPr>
            <w:tcW w:w="996" w:type="dxa"/>
            <w:vMerge w:val="restart"/>
            <w:shd w:val="clear" w:color="auto" w:fill="auto"/>
            <w:textDirection w:val="btLr"/>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i/>
                <w:color w:val="000000"/>
                <w:sz w:val="22"/>
                <w:szCs w:val="22"/>
                <w:lang w:eastAsia="es-EC"/>
              </w:rPr>
              <w:t>SECTOR 1</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S1M1</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S1M1</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7035</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3166</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270%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18.995 </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18.995 </w:t>
            </w:r>
          </w:p>
        </w:tc>
        <w:tc>
          <w:tcPr>
            <w:tcW w:w="873" w:type="dxa"/>
            <w:shd w:val="clear" w:color="auto" w:fill="auto"/>
            <w:noWrap/>
            <w:vAlign w:val="center"/>
            <w:hideMark/>
          </w:tcPr>
          <w:p w:rsidR="00890E29" w:rsidRPr="00890E29" w:rsidRDefault="00890E29" w:rsidP="00871C6A">
            <w:pPr>
              <w:spacing w:after="0"/>
              <w:jc w:val="right"/>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S1M2</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S1M2</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3750</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1688</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270%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10.125 </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10.125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S1M3</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S1M3 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11518</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44%</w:t>
            </w:r>
          </w:p>
        </w:tc>
        <w:tc>
          <w:tcPr>
            <w:tcW w:w="1358"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5068</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226%</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26.031 </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26.031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8</w:t>
            </w:r>
          </w:p>
        </w:tc>
      </w:tr>
      <w:tr w:rsidR="00890E29" w:rsidRPr="00890E29" w:rsidTr="007A2CF3">
        <w:trPr>
          <w:trHeight w:val="258"/>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S1M4</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S1M4 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6598</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2969</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10.557 </w:t>
            </w:r>
          </w:p>
        </w:tc>
        <w:tc>
          <w:tcPr>
            <w:tcW w:w="1358"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30.497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S1M4 B</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5539</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50%</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2770</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19.940 </w:t>
            </w:r>
          </w:p>
        </w:tc>
        <w:tc>
          <w:tcPr>
            <w:tcW w:w="1358"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8</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S1M5</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S1M5 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6468</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2911</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10.349 </w:t>
            </w:r>
          </w:p>
        </w:tc>
        <w:tc>
          <w:tcPr>
            <w:tcW w:w="1358"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33.479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S1M5 B</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6425</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2891</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23.130 </w:t>
            </w:r>
          </w:p>
        </w:tc>
        <w:tc>
          <w:tcPr>
            <w:tcW w:w="1358"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8</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S1M6</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S1M6 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6467</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2910</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10.347 </w:t>
            </w:r>
          </w:p>
        </w:tc>
        <w:tc>
          <w:tcPr>
            <w:tcW w:w="1358"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34.021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S1M6 B</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6576</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2959</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23.674 </w:t>
            </w:r>
          </w:p>
        </w:tc>
        <w:tc>
          <w:tcPr>
            <w:tcW w:w="1358"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8</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S1M7</w:t>
            </w: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S1M7 A</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6471</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2912</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10.354 </w:t>
            </w:r>
          </w:p>
        </w:tc>
        <w:tc>
          <w:tcPr>
            <w:tcW w:w="1358" w:type="dxa"/>
            <w:vMerge w:val="restart"/>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24.891 </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890E29" w:rsidRPr="00890E29" w:rsidTr="007A2CF3">
        <w:trPr>
          <w:trHeight w:val="279"/>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1314" w:type="dxa"/>
            <w:vMerge/>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p>
        </w:tc>
        <w:tc>
          <w:tcPr>
            <w:tcW w:w="1314"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S1M7 B</w:t>
            </w:r>
          </w:p>
        </w:tc>
        <w:tc>
          <w:tcPr>
            <w:tcW w:w="1436"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4615</w:t>
            </w:r>
          </w:p>
        </w:tc>
        <w:tc>
          <w:tcPr>
            <w:tcW w:w="683" w:type="dxa"/>
            <w:shd w:val="clear" w:color="auto" w:fill="auto"/>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w:t>
            </w:r>
          </w:p>
        </w:tc>
        <w:tc>
          <w:tcPr>
            <w:tcW w:w="1358" w:type="dxa"/>
            <w:shd w:val="clear" w:color="auto" w:fill="auto"/>
            <w:noWrap/>
            <w:vAlign w:val="bottom"/>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2077</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315%</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14.537 </w:t>
            </w:r>
          </w:p>
        </w:tc>
        <w:tc>
          <w:tcPr>
            <w:tcW w:w="1358"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8</w:t>
            </w:r>
          </w:p>
        </w:tc>
      </w:tr>
      <w:tr w:rsidR="00890E29" w:rsidRPr="00890E29" w:rsidTr="007A2CF3">
        <w:trPr>
          <w:trHeight w:val="344"/>
        </w:trPr>
        <w:tc>
          <w:tcPr>
            <w:tcW w:w="996" w:type="dxa"/>
            <w:vMerge/>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p>
        </w:tc>
        <w:tc>
          <w:tcPr>
            <w:tcW w:w="2628" w:type="dxa"/>
            <w:gridSpan w:val="2"/>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SUB TOTAL</w:t>
            </w:r>
          </w:p>
        </w:tc>
        <w:tc>
          <w:tcPr>
            <w:tcW w:w="1436"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71.462,00</w:t>
            </w:r>
          </w:p>
        </w:tc>
        <w:tc>
          <w:tcPr>
            <w:tcW w:w="68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45%</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32.320,50</w:t>
            </w:r>
          </w:p>
        </w:tc>
        <w:tc>
          <w:tcPr>
            <w:tcW w:w="862"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254,6%</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178.038</w:t>
            </w:r>
          </w:p>
        </w:tc>
        <w:tc>
          <w:tcPr>
            <w:tcW w:w="1358"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178.038</w:t>
            </w:r>
          </w:p>
        </w:tc>
        <w:tc>
          <w:tcPr>
            <w:tcW w:w="873" w:type="dxa"/>
            <w:shd w:val="clear" w:color="auto" w:fill="auto"/>
            <w:noWrap/>
            <w:vAlign w:val="center"/>
            <w:hideMark/>
          </w:tcPr>
          <w:p w:rsidR="00890E29" w:rsidRPr="00890E29" w:rsidRDefault="00890E29" w:rsidP="00871C6A">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r>
    </w:tbl>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p w:rsidR="00890E29" w:rsidRDefault="00890E29" w:rsidP="0060082E">
      <w:pPr>
        <w:rPr>
          <w:rFonts w:ascii="Palatino Linotype" w:hAnsi="Palatino Linotype" w:cs="Times New Roman"/>
          <w:b/>
          <w:i/>
          <w:sz w:val="22"/>
          <w:szCs w:val="22"/>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1595"/>
        <w:gridCol w:w="1884"/>
        <w:gridCol w:w="640"/>
        <w:gridCol w:w="1571"/>
        <w:gridCol w:w="1090"/>
        <w:gridCol w:w="1571"/>
        <w:gridCol w:w="1530"/>
      </w:tblGrid>
      <w:tr w:rsidR="0060082E" w:rsidRPr="00890E29" w:rsidTr="00577D1E">
        <w:trPr>
          <w:trHeight w:val="469"/>
          <w:jc w:val="center"/>
        </w:trPr>
        <w:tc>
          <w:tcPr>
            <w:tcW w:w="10938" w:type="dxa"/>
            <w:gridSpan w:val="8"/>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EDIFICABILIDAD SECTOR 2</w:t>
            </w:r>
          </w:p>
        </w:tc>
      </w:tr>
      <w:tr w:rsidR="0060082E" w:rsidRPr="00890E29" w:rsidTr="00577D1E">
        <w:trPr>
          <w:trHeight w:val="377"/>
          <w:jc w:val="center"/>
        </w:trPr>
        <w:tc>
          <w:tcPr>
            <w:tcW w:w="1057" w:type="dxa"/>
            <w:vMerge w:val="restart"/>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SECTOR</w:t>
            </w:r>
          </w:p>
        </w:tc>
        <w:tc>
          <w:tcPr>
            <w:tcW w:w="1595" w:type="dxa"/>
            <w:vMerge w:val="restart"/>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MANZANA</w:t>
            </w:r>
          </w:p>
        </w:tc>
        <w:tc>
          <w:tcPr>
            <w:tcW w:w="188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 xml:space="preserve">AREA UTIL MANZANAS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COS PB</w:t>
            </w:r>
          </w:p>
        </w:tc>
        <w:tc>
          <w:tcPr>
            <w:tcW w:w="1571"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Edificabilidad en Planta Baja</w:t>
            </w:r>
          </w:p>
        </w:tc>
        <w:tc>
          <w:tcPr>
            <w:tcW w:w="109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COS TOTAL</w:t>
            </w:r>
          </w:p>
        </w:tc>
        <w:tc>
          <w:tcPr>
            <w:tcW w:w="1571"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Edificabilidad total</w:t>
            </w:r>
          </w:p>
        </w:tc>
        <w:tc>
          <w:tcPr>
            <w:tcW w:w="153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NUMERO DE PISOS</w:t>
            </w:r>
          </w:p>
        </w:tc>
      </w:tr>
      <w:tr w:rsidR="0060082E" w:rsidRPr="00890E29" w:rsidTr="00577D1E">
        <w:trPr>
          <w:trHeight w:val="393"/>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p>
        </w:tc>
        <w:tc>
          <w:tcPr>
            <w:tcW w:w="1595" w:type="dxa"/>
            <w:vMerge/>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p>
        </w:tc>
        <w:tc>
          <w:tcPr>
            <w:tcW w:w="1884" w:type="dxa"/>
            <w:shd w:val="clear" w:color="auto" w:fill="auto"/>
            <w:vAlign w:val="center"/>
            <w:hideMark/>
          </w:tcPr>
          <w:p w:rsidR="0060082E" w:rsidRPr="00890E29" w:rsidRDefault="00890E29"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w:t>
            </w:r>
          </w:p>
        </w:tc>
        <w:tc>
          <w:tcPr>
            <w:tcW w:w="1571" w:type="dxa"/>
            <w:shd w:val="clear" w:color="auto" w:fill="auto"/>
            <w:vAlign w:val="center"/>
            <w:hideMark/>
          </w:tcPr>
          <w:p w:rsidR="0060082E" w:rsidRPr="00890E29" w:rsidRDefault="00890E29"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109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w:t>
            </w:r>
          </w:p>
        </w:tc>
        <w:tc>
          <w:tcPr>
            <w:tcW w:w="1571" w:type="dxa"/>
            <w:shd w:val="clear" w:color="auto" w:fill="auto"/>
            <w:vAlign w:val="center"/>
            <w:hideMark/>
          </w:tcPr>
          <w:p w:rsidR="0060082E" w:rsidRPr="00890E29" w:rsidRDefault="00890E29"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i/>
                <w:color w:val="000000"/>
                <w:sz w:val="22"/>
                <w:szCs w:val="22"/>
                <w:lang w:eastAsia="es-EC"/>
              </w:rPr>
              <w:t>m</w:t>
            </w:r>
            <w:r w:rsidRPr="00890E29">
              <w:rPr>
                <w:rFonts w:ascii="Palatino Linotype" w:eastAsia="Times New Roman" w:hAnsi="Palatino Linotype" w:cs="Times New Roman"/>
                <w:i/>
                <w:color w:val="000000"/>
                <w:sz w:val="22"/>
                <w:szCs w:val="22"/>
                <w:vertAlign w:val="superscript"/>
                <w:lang w:eastAsia="es-EC"/>
              </w:rPr>
              <w:t>2</w:t>
            </w:r>
          </w:p>
        </w:tc>
        <w:tc>
          <w:tcPr>
            <w:tcW w:w="153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w:t>
            </w:r>
          </w:p>
        </w:tc>
      </w:tr>
      <w:tr w:rsidR="0060082E" w:rsidRPr="00890E29" w:rsidTr="00577D1E">
        <w:trPr>
          <w:trHeight w:val="184"/>
          <w:jc w:val="center"/>
        </w:trPr>
        <w:tc>
          <w:tcPr>
            <w:tcW w:w="1057" w:type="dxa"/>
            <w:vMerge w:val="restart"/>
            <w:shd w:val="clear" w:color="auto" w:fill="auto"/>
            <w:textDirection w:val="btLr"/>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SECTOR 2</w:t>
            </w: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S2M1</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17.600 </w:t>
            </w:r>
          </w:p>
        </w:tc>
        <w:tc>
          <w:tcPr>
            <w:tcW w:w="1530" w:type="dxa"/>
            <w:vMerge w:val="restart"/>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VARIABLE DE 2 a 4 y de 4 a 6 PISOS CONFORME EL PLANO PU-11</w:t>
            </w: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S2M2</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17.600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S2M3</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6.801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2720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13.602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S2M4</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11.844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4738</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23.688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S2M5</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17.600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S2M6</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w:t>
            </w:r>
            <w:r w:rsidRPr="00890E29">
              <w:rPr>
                <w:rFonts w:ascii="Palatino Linotype" w:eastAsia="Times New Roman" w:hAnsi="Palatino Linotype" w:cs="Times New Roman"/>
                <w:color w:val="000000"/>
                <w:sz w:val="22"/>
                <w:szCs w:val="22"/>
                <w:lang w:eastAsia="es-EC"/>
              </w:rPr>
              <w:lastRenderedPageBreak/>
              <w:t xml:space="preserve">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lastRenderedPageBreak/>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w:t>
            </w:r>
            <w:r w:rsidRPr="00890E29">
              <w:rPr>
                <w:rFonts w:ascii="Palatino Linotype" w:eastAsia="Times New Roman" w:hAnsi="Palatino Linotype" w:cs="Times New Roman"/>
                <w:color w:val="000000"/>
                <w:sz w:val="22"/>
                <w:szCs w:val="22"/>
                <w:lang w:eastAsia="es-EC"/>
              </w:rPr>
              <w:lastRenderedPageBreak/>
              <w:t xml:space="preserve">17.600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S2M7  Construida</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3256</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194%</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17.057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S2M8</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17.600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S2M9 Construida</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3256</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190%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16.678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S2M10 Construida</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10.211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3778</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155%</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15.827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84"/>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S2M11</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10.219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4088</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20.438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191"/>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S2M12</w:t>
            </w:r>
          </w:p>
        </w:tc>
        <w:tc>
          <w:tcPr>
            <w:tcW w:w="1884"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8.800 </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3520</w:t>
            </w:r>
          </w:p>
        </w:tc>
        <w:tc>
          <w:tcPr>
            <w:tcW w:w="1090"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57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17.600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300"/>
          <w:jc w:val="center"/>
        </w:trPr>
        <w:tc>
          <w:tcPr>
            <w:tcW w:w="1057"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9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SUB TOTAL</w:t>
            </w:r>
          </w:p>
        </w:tc>
        <w:tc>
          <w:tcPr>
            <w:tcW w:w="1884"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109475,00</w:t>
            </w:r>
          </w:p>
        </w:tc>
        <w:tc>
          <w:tcPr>
            <w:tcW w:w="640"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39%</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42956</w:t>
            </w:r>
          </w:p>
        </w:tc>
        <w:tc>
          <w:tcPr>
            <w:tcW w:w="1090"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195%</w:t>
            </w:r>
          </w:p>
        </w:tc>
        <w:tc>
          <w:tcPr>
            <w:tcW w:w="1571"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                212.890 </w:t>
            </w:r>
          </w:p>
        </w:tc>
        <w:tc>
          <w:tcPr>
            <w:tcW w:w="1530"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bl>
    <w:p w:rsidR="0060082E" w:rsidRPr="00890E29" w:rsidRDefault="0060082E" w:rsidP="0060082E">
      <w:pPr>
        <w:spacing w:after="0"/>
        <w:rPr>
          <w:rFonts w:ascii="Palatino Linotype" w:eastAsia="Times New Roman" w:hAnsi="Palatino Linotype" w:cs="Times New Roman"/>
          <w:color w:val="000000"/>
          <w:sz w:val="22"/>
          <w:szCs w:val="22"/>
          <w:lang w:eastAsia="es-EC"/>
        </w:rPr>
      </w:pPr>
    </w:p>
    <w:p w:rsidR="0060082E" w:rsidRDefault="0060082E"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Default="00890E29" w:rsidP="0060082E">
      <w:pPr>
        <w:spacing w:after="0"/>
        <w:jc w:val="center"/>
        <w:rPr>
          <w:rFonts w:ascii="Palatino Linotype" w:eastAsia="Times New Roman" w:hAnsi="Palatino Linotype" w:cs="Times New Roman"/>
          <w:color w:val="000000"/>
          <w:sz w:val="22"/>
          <w:szCs w:val="22"/>
          <w:lang w:eastAsia="es-EC"/>
        </w:rPr>
      </w:pPr>
    </w:p>
    <w:p w:rsidR="00890E29" w:rsidRPr="00890E29" w:rsidRDefault="00890E29" w:rsidP="0060082E">
      <w:pPr>
        <w:spacing w:after="0"/>
        <w:jc w:val="center"/>
        <w:rPr>
          <w:rFonts w:ascii="Palatino Linotype" w:eastAsia="Times New Roman" w:hAnsi="Palatino Linotype" w:cs="Times New Roman"/>
          <w:color w:val="000000"/>
          <w:sz w:val="22"/>
          <w:szCs w:val="22"/>
          <w:lang w:eastAsia="es-EC"/>
        </w:rPr>
      </w:pPr>
    </w:p>
    <w:tbl>
      <w:tblPr>
        <w:tblW w:w="10537" w:type="dxa"/>
        <w:jc w:val="center"/>
        <w:tblCellMar>
          <w:left w:w="70" w:type="dxa"/>
          <w:right w:w="70" w:type="dxa"/>
        </w:tblCellMar>
        <w:tblLook w:val="04A0" w:firstRow="1" w:lastRow="0" w:firstColumn="1" w:lastColumn="0" w:noHBand="0" w:noVBand="1"/>
      </w:tblPr>
      <w:tblGrid>
        <w:gridCol w:w="821"/>
        <w:gridCol w:w="1328"/>
        <w:gridCol w:w="2528"/>
        <w:gridCol w:w="1320"/>
        <w:gridCol w:w="818"/>
        <w:gridCol w:w="667"/>
        <w:gridCol w:w="1978"/>
        <w:gridCol w:w="1077"/>
      </w:tblGrid>
      <w:tr w:rsidR="0060082E" w:rsidRPr="00890E29" w:rsidTr="0060082E">
        <w:trPr>
          <w:trHeight w:val="508"/>
          <w:jc w:val="center"/>
        </w:trPr>
        <w:tc>
          <w:tcPr>
            <w:tcW w:w="10537"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lastRenderedPageBreak/>
              <w:t>EDIFICABILIDAD SECTOR 3</w:t>
            </w:r>
          </w:p>
        </w:tc>
      </w:tr>
      <w:tr w:rsidR="0060082E" w:rsidRPr="00890E29" w:rsidTr="0060082E">
        <w:trPr>
          <w:trHeight w:val="259"/>
          <w:jc w:val="center"/>
        </w:trPr>
        <w:tc>
          <w:tcPr>
            <w:tcW w:w="82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60082E" w:rsidRPr="00890E29" w:rsidRDefault="0060082E" w:rsidP="0060082E">
            <w:pPr>
              <w:spacing w:after="0"/>
              <w:jc w:val="center"/>
              <w:rPr>
                <w:rFonts w:ascii="Palatino Linotype" w:eastAsia="Times New Roman" w:hAnsi="Palatino Linotype" w:cs="Times New Roman"/>
                <w:i/>
                <w:color w:val="000000"/>
                <w:sz w:val="22"/>
                <w:szCs w:val="22"/>
                <w:lang w:eastAsia="es-EC"/>
              </w:rPr>
            </w:pPr>
            <w:r w:rsidRPr="00890E29">
              <w:rPr>
                <w:rFonts w:ascii="Palatino Linotype" w:eastAsia="Times New Roman" w:hAnsi="Palatino Linotype" w:cs="Times New Roman"/>
                <w:i/>
                <w:color w:val="000000"/>
                <w:sz w:val="22"/>
                <w:szCs w:val="22"/>
                <w:lang w:eastAsia="es-EC"/>
              </w:rPr>
              <w:t>SECTOR 3</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S3M1</w:t>
            </w:r>
          </w:p>
        </w:tc>
        <w:tc>
          <w:tcPr>
            <w:tcW w:w="2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15.802 </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6320,8</w:t>
            </w:r>
          </w:p>
        </w:tc>
        <w:tc>
          <w:tcPr>
            <w:tcW w:w="667" w:type="dxa"/>
            <w:tcBorders>
              <w:top w:val="single" w:sz="8" w:space="0" w:color="auto"/>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978" w:type="dxa"/>
            <w:tcBorders>
              <w:top w:val="single" w:sz="8" w:space="0" w:color="auto"/>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31.604 </w:t>
            </w:r>
          </w:p>
        </w:tc>
        <w:tc>
          <w:tcPr>
            <w:tcW w:w="1077" w:type="dxa"/>
            <w:tcBorders>
              <w:top w:val="nil"/>
              <w:left w:val="nil"/>
              <w:bottom w:val="single" w:sz="4" w:space="0" w:color="auto"/>
              <w:right w:val="single" w:sz="8" w:space="0" w:color="auto"/>
            </w:tcBorders>
            <w:shd w:val="clear" w:color="auto" w:fill="auto"/>
            <w:noWrap/>
            <w:vAlign w:val="center"/>
            <w:hideMark/>
          </w:tcPr>
          <w:p w:rsidR="0060082E" w:rsidRPr="00890E29" w:rsidRDefault="0060082E" w:rsidP="0060082E">
            <w:pPr>
              <w:spacing w:after="0"/>
              <w:jc w:val="right"/>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60082E" w:rsidRPr="00890E29" w:rsidTr="0060082E">
        <w:trPr>
          <w:trHeight w:val="259"/>
          <w:jc w:val="center"/>
        </w:trPr>
        <w:tc>
          <w:tcPr>
            <w:tcW w:w="821" w:type="dxa"/>
            <w:vMerge/>
            <w:tcBorders>
              <w:top w:val="nil"/>
              <w:left w:val="single" w:sz="8" w:space="0" w:color="auto"/>
              <w:bottom w:val="single" w:sz="8" w:space="0" w:color="000000"/>
              <w:right w:val="single" w:sz="8" w:space="0" w:color="auto"/>
            </w:tcBorders>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S3M2</w:t>
            </w:r>
          </w:p>
        </w:tc>
        <w:tc>
          <w:tcPr>
            <w:tcW w:w="2528" w:type="dxa"/>
            <w:tcBorders>
              <w:top w:val="nil"/>
              <w:left w:val="single" w:sz="8" w:space="0" w:color="auto"/>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13.086 </w:t>
            </w:r>
          </w:p>
        </w:tc>
        <w:tc>
          <w:tcPr>
            <w:tcW w:w="1320" w:type="dxa"/>
            <w:tcBorders>
              <w:top w:val="nil"/>
              <w:left w:val="nil"/>
              <w:bottom w:val="single" w:sz="4" w:space="0" w:color="auto"/>
              <w:right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818" w:type="dxa"/>
            <w:tcBorders>
              <w:top w:val="nil"/>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5234,4</w:t>
            </w:r>
          </w:p>
        </w:tc>
        <w:tc>
          <w:tcPr>
            <w:tcW w:w="667" w:type="dxa"/>
            <w:tcBorders>
              <w:top w:val="nil"/>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200%</w:t>
            </w:r>
          </w:p>
        </w:tc>
        <w:tc>
          <w:tcPr>
            <w:tcW w:w="1978" w:type="dxa"/>
            <w:tcBorders>
              <w:top w:val="nil"/>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26.172 </w:t>
            </w:r>
          </w:p>
        </w:tc>
        <w:tc>
          <w:tcPr>
            <w:tcW w:w="1077" w:type="dxa"/>
            <w:tcBorders>
              <w:top w:val="nil"/>
              <w:left w:val="nil"/>
              <w:bottom w:val="single" w:sz="4" w:space="0" w:color="auto"/>
              <w:right w:val="single" w:sz="8"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60082E" w:rsidRPr="00890E29" w:rsidTr="0060082E">
        <w:trPr>
          <w:trHeight w:val="259"/>
          <w:jc w:val="center"/>
        </w:trPr>
        <w:tc>
          <w:tcPr>
            <w:tcW w:w="821" w:type="dxa"/>
            <w:vMerge/>
            <w:tcBorders>
              <w:top w:val="nil"/>
              <w:left w:val="single" w:sz="8" w:space="0" w:color="auto"/>
              <w:bottom w:val="single" w:sz="8" w:space="0" w:color="000000"/>
              <w:right w:val="single" w:sz="8" w:space="0" w:color="auto"/>
            </w:tcBorders>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S3M3</w:t>
            </w:r>
          </w:p>
        </w:tc>
        <w:tc>
          <w:tcPr>
            <w:tcW w:w="2528" w:type="dxa"/>
            <w:tcBorders>
              <w:top w:val="nil"/>
              <w:left w:val="single" w:sz="8" w:space="0" w:color="auto"/>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11.956 </w:t>
            </w:r>
          </w:p>
        </w:tc>
        <w:tc>
          <w:tcPr>
            <w:tcW w:w="1320" w:type="dxa"/>
            <w:tcBorders>
              <w:top w:val="nil"/>
              <w:left w:val="nil"/>
              <w:bottom w:val="single" w:sz="4" w:space="0" w:color="auto"/>
              <w:right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818" w:type="dxa"/>
            <w:tcBorders>
              <w:top w:val="nil"/>
              <w:left w:val="nil"/>
              <w:bottom w:val="single" w:sz="4"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4782</w:t>
            </w:r>
          </w:p>
        </w:tc>
        <w:tc>
          <w:tcPr>
            <w:tcW w:w="667" w:type="dxa"/>
            <w:tcBorders>
              <w:top w:val="nil"/>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978" w:type="dxa"/>
            <w:tcBorders>
              <w:top w:val="nil"/>
              <w:left w:val="nil"/>
              <w:bottom w:val="single" w:sz="4"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19.130 </w:t>
            </w:r>
          </w:p>
        </w:tc>
        <w:tc>
          <w:tcPr>
            <w:tcW w:w="1077" w:type="dxa"/>
            <w:tcBorders>
              <w:top w:val="nil"/>
              <w:left w:val="nil"/>
              <w:bottom w:val="single" w:sz="4" w:space="0" w:color="auto"/>
              <w:right w:val="single" w:sz="8"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60082E" w:rsidRPr="00890E29" w:rsidTr="0060082E">
        <w:trPr>
          <w:trHeight w:val="270"/>
          <w:jc w:val="center"/>
        </w:trPr>
        <w:tc>
          <w:tcPr>
            <w:tcW w:w="821" w:type="dxa"/>
            <w:vMerge/>
            <w:tcBorders>
              <w:top w:val="nil"/>
              <w:left w:val="single" w:sz="8" w:space="0" w:color="auto"/>
              <w:bottom w:val="single" w:sz="8" w:space="0" w:color="000000"/>
              <w:right w:val="single" w:sz="8" w:space="0" w:color="auto"/>
            </w:tcBorders>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328" w:type="dxa"/>
            <w:tcBorders>
              <w:top w:val="single" w:sz="4" w:space="0" w:color="auto"/>
              <w:left w:val="nil"/>
              <w:bottom w:val="single" w:sz="8"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S3M4</w:t>
            </w:r>
          </w:p>
        </w:tc>
        <w:tc>
          <w:tcPr>
            <w:tcW w:w="2528" w:type="dxa"/>
            <w:tcBorders>
              <w:top w:val="nil"/>
              <w:left w:val="single" w:sz="8" w:space="0" w:color="auto"/>
              <w:bottom w:val="single" w:sz="8"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14.884 </w:t>
            </w:r>
          </w:p>
        </w:tc>
        <w:tc>
          <w:tcPr>
            <w:tcW w:w="1320" w:type="dxa"/>
            <w:tcBorders>
              <w:top w:val="nil"/>
              <w:left w:val="nil"/>
              <w:bottom w:val="single" w:sz="8" w:space="0" w:color="auto"/>
              <w:right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818" w:type="dxa"/>
            <w:tcBorders>
              <w:top w:val="nil"/>
              <w:left w:val="nil"/>
              <w:bottom w:val="single" w:sz="8"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5954</w:t>
            </w:r>
          </w:p>
        </w:tc>
        <w:tc>
          <w:tcPr>
            <w:tcW w:w="667" w:type="dxa"/>
            <w:tcBorders>
              <w:top w:val="nil"/>
              <w:left w:val="nil"/>
              <w:bottom w:val="single" w:sz="8"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978" w:type="dxa"/>
            <w:tcBorders>
              <w:top w:val="nil"/>
              <w:left w:val="nil"/>
              <w:bottom w:val="single" w:sz="8"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23.814 </w:t>
            </w:r>
          </w:p>
        </w:tc>
        <w:tc>
          <w:tcPr>
            <w:tcW w:w="1077" w:type="dxa"/>
            <w:tcBorders>
              <w:top w:val="nil"/>
              <w:left w:val="nil"/>
              <w:bottom w:val="single" w:sz="8" w:space="0" w:color="auto"/>
              <w:right w:val="single" w:sz="8"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60082E" w:rsidRPr="00890E29" w:rsidTr="0060082E">
        <w:trPr>
          <w:trHeight w:val="432"/>
          <w:jc w:val="center"/>
        </w:trPr>
        <w:tc>
          <w:tcPr>
            <w:tcW w:w="821" w:type="dxa"/>
            <w:vMerge/>
            <w:tcBorders>
              <w:top w:val="nil"/>
              <w:left w:val="single" w:sz="8" w:space="0" w:color="auto"/>
              <w:bottom w:val="single" w:sz="8" w:space="0" w:color="000000"/>
              <w:right w:val="single" w:sz="8" w:space="0" w:color="auto"/>
            </w:tcBorders>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328" w:type="dxa"/>
            <w:tcBorders>
              <w:top w:val="nil"/>
              <w:left w:val="nil"/>
              <w:bottom w:val="single" w:sz="8"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SUB TOTAL</w:t>
            </w:r>
          </w:p>
        </w:tc>
        <w:tc>
          <w:tcPr>
            <w:tcW w:w="2528" w:type="dxa"/>
            <w:tcBorders>
              <w:top w:val="nil"/>
              <w:left w:val="nil"/>
              <w:bottom w:val="single" w:sz="8" w:space="0" w:color="auto"/>
              <w:right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55728</w:t>
            </w:r>
          </w:p>
        </w:tc>
        <w:tc>
          <w:tcPr>
            <w:tcW w:w="1320" w:type="dxa"/>
            <w:tcBorders>
              <w:top w:val="nil"/>
              <w:left w:val="nil"/>
              <w:bottom w:val="single" w:sz="8" w:space="0" w:color="auto"/>
              <w:right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40%</w:t>
            </w:r>
          </w:p>
        </w:tc>
        <w:tc>
          <w:tcPr>
            <w:tcW w:w="818" w:type="dxa"/>
            <w:tcBorders>
              <w:top w:val="nil"/>
              <w:left w:val="nil"/>
              <w:bottom w:val="single" w:sz="8"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22291</w:t>
            </w:r>
          </w:p>
        </w:tc>
        <w:tc>
          <w:tcPr>
            <w:tcW w:w="667" w:type="dxa"/>
            <w:tcBorders>
              <w:top w:val="nil"/>
              <w:left w:val="nil"/>
              <w:bottom w:val="single" w:sz="8" w:space="0" w:color="auto"/>
              <w:right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180%</w:t>
            </w:r>
          </w:p>
        </w:tc>
        <w:tc>
          <w:tcPr>
            <w:tcW w:w="1978" w:type="dxa"/>
            <w:tcBorders>
              <w:top w:val="nil"/>
              <w:left w:val="nil"/>
              <w:bottom w:val="single" w:sz="8" w:space="0" w:color="auto"/>
              <w:right w:val="single" w:sz="8"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                100.720 </w:t>
            </w:r>
          </w:p>
        </w:tc>
        <w:tc>
          <w:tcPr>
            <w:tcW w:w="1077" w:type="dxa"/>
            <w:tcBorders>
              <w:top w:val="nil"/>
              <w:left w:val="nil"/>
              <w:bottom w:val="single" w:sz="8" w:space="0" w:color="auto"/>
              <w:right w:val="single" w:sz="8"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w:t>
            </w:r>
          </w:p>
        </w:tc>
      </w:tr>
    </w:tbl>
    <w:p w:rsidR="0060082E" w:rsidRPr="00890E29" w:rsidRDefault="0060082E" w:rsidP="0060082E">
      <w:pPr>
        <w:rPr>
          <w:rFonts w:ascii="Palatino Linotype" w:hAnsi="Palatino Linotype" w:cs="Times New Roman"/>
          <w:b/>
          <w:i/>
          <w:sz w:val="22"/>
          <w:szCs w:val="22"/>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507"/>
        <w:gridCol w:w="509"/>
        <w:gridCol w:w="2443"/>
        <w:gridCol w:w="1274"/>
        <w:gridCol w:w="1265"/>
        <w:gridCol w:w="765"/>
        <w:gridCol w:w="1911"/>
        <w:gridCol w:w="1507"/>
      </w:tblGrid>
      <w:tr w:rsidR="0060082E" w:rsidRPr="00890E29" w:rsidTr="00577D1E">
        <w:trPr>
          <w:trHeight w:val="764"/>
          <w:jc w:val="center"/>
        </w:trPr>
        <w:tc>
          <w:tcPr>
            <w:tcW w:w="10975" w:type="dxa"/>
            <w:gridSpan w:val="9"/>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i/>
                <w:color w:val="000000"/>
                <w:sz w:val="22"/>
                <w:szCs w:val="22"/>
                <w:lang w:eastAsia="es-EC"/>
              </w:rPr>
            </w:pPr>
            <w:r w:rsidRPr="00890E29">
              <w:rPr>
                <w:rFonts w:ascii="Palatino Linotype" w:eastAsia="Times New Roman" w:hAnsi="Palatino Linotype" w:cs="Times New Roman"/>
                <w:b/>
                <w:i/>
                <w:color w:val="000000"/>
                <w:sz w:val="22"/>
                <w:szCs w:val="22"/>
                <w:lang w:eastAsia="es-EC"/>
              </w:rPr>
              <w:t>EDIFICABILIDAD SECTOR 4</w:t>
            </w:r>
          </w:p>
        </w:tc>
      </w:tr>
      <w:tr w:rsidR="0060082E" w:rsidRPr="00890E29" w:rsidTr="00577D1E">
        <w:trPr>
          <w:trHeight w:val="359"/>
          <w:jc w:val="center"/>
        </w:trPr>
        <w:tc>
          <w:tcPr>
            <w:tcW w:w="794" w:type="dxa"/>
            <w:vMerge w:val="restart"/>
            <w:shd w:val="clear" w:color="auto" w:fill="auto"/>
            <w:textDirection w:val="btLr"/>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SECTOR 4</w:t>
            </w: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S4M1</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12.519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4632,03</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20.531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S4M2</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10.249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3792,13</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16.808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S4M3</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11.185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4585,85</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18.343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S4M4</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10.222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4191,02</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16.764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S4M5</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7.415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3040,15</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12.161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S4M6</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7.060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2894,6</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11.578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S4M7</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6.466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41%</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2651,06</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10.604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S4M8</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10.235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4094</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164%</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16.785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S4M9</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6.851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2740,4</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10.962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S4M10</w:t>
            </w:r>
          </w:p>
        </w:tc>
        <w:tc>
          <w:tcPr>
            <w:tcW w:w="2443"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7.259 </w:t>
            </w:r>
          </w:p>
        </w:tc>
        <w:tc>
          <w:tcPr>
            <w:tcW w:w="1274" w:type="dxa"/>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265" w:type="dxa"/>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2903,6</w:t>
            </w:r>
          </w:p>
        </w:tc>
        <w:tc>
          <w:tcPr>
            <w:tcW w:w="765"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911"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11.614 </w:t>
            </w:r>
          </w:p>
        </w:tc>
        <w:tc>
          <w:tcPr>
            <w:tcW w:w="1507" w:type="dxa"/>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2 hasta 4</w:t>
            </w:r>
          </w:p>
        </w:tc>
      </w:tr>
      <w:tr w:rsidR="0060082E" w:rsidRPr="00890E29" w:rsidTr="00577D1E">
        <w:trPr>
          <w:trHeight w:val="359"/>
          <w:jc w:val="center"/>
        </w:trPr>
        <w:tc>
          <w:tcPr>
            <w:tcW w:w="794" w:type="dxa"/>
            <w:vMerge/>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S4M11</w:t>
            </w:r>
          </w:p>
        </w:tc>
        <w:tc>
          <w:tcPr>
            <w:tcW w:w="2443" w:type="dxa"/>
            <w:tcBorders>
              <w:bottom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11.341 </w:t>
            </w:r>
          </w:p>
        </w:tc>
        <w:tc>
          <w:tcPr>
            <w:tcW w:w="1274" w:type="dxa"/>
            <w:tcBorders>
              <w:bottom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40%</w:t>
            </w:r>
          </w:p>
        </w:tc>
        <w:tc>
          <w:tcPr>
            <w:tcW w:w="1265" w:type="dxa"/>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4536,4</w:t>
            </w:r>
          </w:p>
        </w:tc>
        <w:tc>
          <w:tcPr>
            <w:tcW w:w="765" w:type="dxa"/>
            <w:tcBorders>
              <w:bottom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160%</w:t>
            </w:r>
          </w:p>
        </w:tc>
        <w:tc>
          <w:tcPr>
            <w:tcW w:w="1911" w:type="dxa"/>
            <w:tcBorders>
              <w:bottom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xml:space="preserve">                  18.146 </w:t>
            </w:r>
          </w:p>
        </w:tc>
        <w:tc>
          <w:tcPr>
            <w:tcW w:w="1507" w:type="dxa"/>
            <w:tcBorders>
              <w:bottom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4 hasta 6</w:t>
            </w:r>
          </w:p>
        </w:tc>
      </w:tr>
      <w:tr w:rsidR="0060082E" w:rsidRPr="00890E29" w:rsidTr="00577D1E">
        <w:trPr>
          <w:trHeight w:val="576"/>
          <w:jc w:val="center"/>
        </w:trPr>
        <w:tc>
          <w:tcPr>
            <w:tcW w:w="794" w:type="dxa"/>
            <w:vMerge/>
            <w:tcBorders>
              <w:bottom w:val="nil"/>
            </w:tcBorders>
            <w:vAlign w:val="center"/>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016" w:type="dxa"/>
            <w:gridSpan w:val="2"/>
            <w:tcBorders>
              <w:bottom w:val="single" w:sz="4" w:space="0" w:color="auto"/>
            </w:tcBorders>
            <w:shd w:val="clear" w:color="auto" w:fill="auto"/>
            <w:noWrap/>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SUB TOTAL</w:t>
            </w:r>
          </w:p>
        </w:tc>
        <w:tc>
          <w:tcPr>
            <w:tcW w:w="2443" w:type="dxa"/>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100802,00</w:t>
            </w:r>
          </w:p>
        </w:tc>
        <w:tc>
          <w:tcPr>
            <w:tcW w:w="1274" w:type="dxa"/>
            <w:tcBorders>
              <w:bottom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40%</w:t>
            </w:r>
          </w:p>
        </w:tc>
        <w:tc>
          <w:tcPr>
            <w:tcW w:w="1265" w:type="dxa"/>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40061</w:t>
            </w:r>
          </w:p>
        </w:tc>
        <w:tc>
          <w:tcPr>
            <w:tcW w:w="765" w:type="dxa"/>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163%</w:t>
            </w:r>
          </w:p>
        </w:tc>
        <w:tc>
          <w:tcPr>
            <w:tcW w:w="1911" w:type="dxa"/>
            <w:tcBorders>
              <w:bottom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                164.297 </w:t>
            </w:r>
          </w:p>
        </w:tc>
        <w:tc>
          <w:tcPr>
            <w:tcW w:w="1507" w:type="dxa"/>
            <w:tcBorders>
              <w:bottom w:val="single" w:sz="4" w:space="0" w:color="auto"/>
            </w:tcBorders>
            <w:shd w:val="clear" w:color="auto" w:fill="auto"/>
            <w:vAlign w:val="center"/>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w:t>
            </w:r>
          </w:p>
        </w:tc>
      </w:tr>
      <w:tr w:rsidR="0060082E" w:rsidRPr="00890E29" w:rsidTr="00577D1E">
        <w:trPr>
          <w:trHeight w:val="359"/>
          <w:jc w:val="center"/>
        </w:trPr>
        <w:tc>
          <w:tcPr>
            <w:tcW w:w="794" w:type="dxa"/>
            <w:tcBorders>
              <w:top w:val="nil"/>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507"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509"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2443"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274"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265"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765"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911"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c>
          <w:tcPr>
            <w:tcW w:w="1507" w:type="dxa"/>
            <w:tcBorders>
              <w:top w:val="single" w:sz="4" w:space="0" w:color="auto"/>
              <w:left w:val="nil"/>
              <w:bottom w:val="single" w:sz="4" w:space="0" w:color="auto"/>
              <w:right w:val="nil"/>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tc>
      </w:tr>
      <w:tr w:rsidR="0060082E" w:rsidRPr="00890E29" w:rsidTr="00577D1E">
        <w:trPr>
          <w:trHeight w:val="359"/>
          <w:jc w:val="center"/>
        </w:trPr>
        <w:tc>
          <w:tcPr>
            <w:tcW w:w="794"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r w:rsidRPr="00890E29">
              <w:rPr>
                <w:rFonts w:ascii="Palatino Linotype" w:eastAsia="Times New Roman" w:hAnsi="Palatino Linotype" w:cs="Times New Roman"/>
                <w:color w:val="000000"/>
                <w:sz w:val="22"/>
                <w:szCs w:val="22"/>
                <w:lang w:eastAsia="es-EC"/>
              </w:rPr>
              <w:t> </w:t>
            </w:r>
          </w:p>
        </w:tc>
        <w:tc>
          <w:tcPr>
            <w:tcW w:w="1016" w:type="dxa"/>
            <w:gridSpan w:val="2"/>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TOTAL </w:t>
            </w:r>
          </w:p>
        </w:tc>
        <w:tc>
          <w:tcPr>
            <w:tcW w:w="2443"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337.467,00</w:t>
            </w:r>
          </w:p>
        </w:tc>
        <w:tc>
          <w:tcPr>
            <w:tcW w:w="1274"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41%</w:t>
            </w:r>
          </w:p>
        </w:tc>
        <w:tc>
          <w:tcPr>
            <w:tcW w:w="1265"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137.628,50</w:t>
            </w:r>
          </w:p>
        </w:tc>
        <w:tc>
          <w:tcPr>
            <w:tcW w:w="765"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198%</w:t>
            </w:r>
          </w:p>
        </w:tc>
        <w:tc>
          <w:tcPr>
            <w:tcW w:w="1911"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xml:space="preserve">                655.945 </w:t>
            </w:r>
          </w:p>
        </w:tc>
        <w:tc>
          <w:tcPr>
            <w:tcW w:w="1507" w:type="dxa"/>
            <w:tcBorders>
              <w:top w:val="single" w:sz="4" w:space="0" w:color="auto"/>
            </w:tcBorders>
            <w:shd w:val="clear" w:color="auto" w:fill="auto"/>
            <w:noWrap/>
            <w:vAlign w:val="bottom"/>
            <w:hideMark/>
          </w:tcPr>
          <w:p w:rsidR="0060082E" w:rsidRPr="00890E29" w:rsidRDefault="0060082E" w:rsidP="0060082E">
            <w:pPr>
              <w:spacing w:after="0"/>
              <w:jc w:val="center"/>
              <w:rPr>
                <w:rFonts w:ascii="Palatino Linotype" w:eastAsia="Times New Roman" w:hAnsi="Palatino Linotype" w:cs="Times New Roman"/>
                <w:b/>
                <w:color w:val="000000"/>
                <w:sz w:val="22"/>
                <w:szCs w:val="22"/>
                <w:lang w:eastAsia="es-EC"/>
              </w:rPr>
            </w:pPr>
            <w:r w:rsidRPr="00890E29">
              <w:rPr>
                <w:rFonts w:ascii="Palatino Linotype" w:eastAsia="Times New Roman" w:hAnsi="Palatino Linotype" w:cs="Times New Roman"/>
                <w:b/>
                <w:color w:val="000000"/>
                <w:sz w:val="22"/>
                <w:szCs w:val="22"/>
                <w:lang w:eastAsia="es-EC"/>
              </w:rPr>
              <w:t> </w:t>
            </w:r>
          </w:p>
        </w:tc>
      </w:tr>
    </w:tbl>
    <w:p w:rsidR="00890E29" w:rsidRDefault="00890E29"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577D1E" w:rsidRDefault="00577D1E"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890E29" w:rsidRDefault="00890E29"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r w:rsidRPr="00890E29">
        <w:rPr>
          <w:rFonts w:ascii="Palatino Linotype" w:hAnsi="Palatino Linotype" w:cs="Times New Roman"/>
          <w:b/>
          <w:i/>
          <w:sz w:val="22"/>
          <w:szCs w:val="22"/>
        </w:rPr>
        <w:lastRenderedPageBreak/>
        <w:t xml:space="preserve">ANEXO 4: Planos del proyecto Ciudad Jardín </w:t>
      </w:r>
    </w:p>
    <w:p w:rsidR="0060082E" w:rsidRPr="00890E29" w:rsidRDefault="0060082E" w:rsidP="0060082E">
      <w:pPr>
        <w:spacing w:after="0"/>
        <w:jc w:val="center"/>
        <w:rPr>
          <w:rFonts w:ascii="Palatino Linotype" w:eastAsia="Times New Roman" w:hAnsi="Palatino Linotype" w:cs="Times New Roman"/>
          <w:color w:val="000000"/>
          <w:sz w:val="22"/>
          <w:szCs w:val="22"/>
          <w:lang w:eastAsia="es-EC"/>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cs="Times New Roman"/>
          <w:b/>
          <w:i/>
          <w:sz w:val="22"/>
          <w:szCs w:val="22"/>
        </w:rPr>
      </w:pPr>
    </w:p>
    <w:p w:rsidR="0060082E" w:rsidRPr="00890E29" w:rsidRDefault="0060082E" w:rsidP="0060082E">
      <w:pPr>
        <w:jc w:val="center"/>
        <w:rPr>
          <w:rFonts w:ascii="Palatino Linotype" w:hAnsi="Palatino Linotype"/>
          <w:i/>
          <w:sz w:val="22"/>
          <w:szCs w:val="22"/>
        </w:rPr>
      </w:pPr>
    </w:p>
    <w:p w:rsidR="00B97EBF" w:rsidRPr="00890E29" w:rsidRDefault="00B97EBF" w:rsidP="00A5593D">
      <w:pPr>
        <w:rPr>
          <w:rFonts w:ascii="Palatino Linotype" w:hAnsi="Palatino Linotype"/>
          <w:sz w:val="22"/>
          <w:szCs w:val="22"/>
        </w:rPr>
      </w:pPr>
    </w:p>
    <w:sectPr w:rsidR="00B97EBF" w:rsidRPr="00890E29" w:rsidSect="00577D1E">
      <w:headerReference w:type="default" r:id="rId16"/>
      <w:footerReference w:type="default" r:id="rId1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5C" w:rsidRDefault="003F105C" w:rsidP="00B06DD8">
      <w:r>
        <w:separator/>
      </w:r>
    </w:p>
  </w:endnote>
  <w:endnote w:type="continuationSeparator" w:id="0">
    <w:p w:rsidR="003F105C" w:rsidRDefault="003F105C" w:rsidP="00B0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Dido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29" w:rsidRDefault="0060082E" w:rsidP="00890E29">
    <w:pPr>
      <w:pStyle w:val="Piedepgina"/>
      <w:jc w:val="right"/>
    </w:pPr>
    <w:r>
      <w:rPr>
        <w:rFonts w:cstheme="minorHAnsi"/>
        <w:sz w:val="16"/>
        <w:szCs w:val="16"/>
      </w:rPr>
      <w:tab/>
    </w:r>
  </w:p>
  <w:p w:rsidR="0060082E" w:rsidRDefault="0060082E" w:rsidP="0060082E">
    <w:pPr>
      <w:pStyle w:val="Piedepgina"/>
      <w:jc w:val="right"/>
    </w:pPr>
  </w:p>
  <w:p w:rsidR="0060082E" w:rsidRPr="00C24528" w:rsidRDefault="0060082E" w:rsidP="0060082E">
    <w:pPr>
      <w:tabs>
        <w:tab w:val="left" w:pos="7817"/>
      </w:tabs>
      <w:jc w:val="left"/>
      <w:rPr>
        <w:rFonts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F3" w:rsidRDefault="007A2CF3" w:rsidP="00890E29">
    <w:pPr>
      <w:pStyle w:val="Piedepgina"/>
      <w:jc w:val="right"/>
    </w:pPr>
    <w:r>
      <w:rPr>
        <w:rFonts w:cstheme="minorHAnsi"/>
        <w:sz w:val="16"/>
        <w:szCs w:val="16"/>
      </w:rPr>
      <w:tab/>
    </w:r>
    <w:sdt>
      <w:sdtPr>
        <w:id w:val="1339896698"/>
        <w:docPartObj>
          <w:docPartGallery w:val="Page Numbers (Top of Page)"/>
          <w:docPartUnique/>
        </w:docPartObj>
      </w:sdtPr>
      <w:sdtEndPr/>
      <w:sdtContent>
        <w:r w:rsidRPr="0060082E">
          <w:rPr>
            <w:rFonts w:ascii="Palatino Linotype" w:hAnsi="Palatino Linotype"/>
            <w:sz w:val="22"/>
            <w:szCs w:val="22"/>
            <w:lang w:val="es-ES"/>
          </w:rPr>
          <w:t xml:space="preserve">Página </w:t>
        </w:r>
        <w:r w:rsidRPr="0060082E">
          <w:rPr>
            <w:rFonts w:ascii="Palatino Linotype" w:hAnsi="Palatino Linotype"/>
            <w:b/>
            <w:bCs/>
            <w:sz w:val="22"/>
            <w:szCs w:val="22"/>
          </w:rPr>
          <w:fldChar w:fldCharType="begin"/>
        </w:r>
        <w:r w:rsidRPr="0060082E">
          <w:rPr>
            <w:rFonts w:ascii="Palatino Linotype" w:hAnsi="Palatino Linotype"/>
            <w:b/>
            <w:bCs/>
            <w:sz w:val="22"/>
            <w:szCs w:val="22"/>
          </w:rPr>
          <w:instrText>PAGE</w:instrText>
        </w:r>
        <w:r w:rsidRPr="0060082E">
          <w:rPr>
            <w:rFonts w:ascii="Palatino Linotype" w:hAnsi="Palatino Linotype"/>
            <w:b/>
            <w:bCs/>
            <w:sz w:val="22"/>
            <w:szCs w:val="22"/>
          </w:rPr>
          <w:fldChar w:fldCharType="separate"/>
        </w:r>
        <w:r w:rsidR="00577D1E">
          <w:rPr>
            <w:rFonts w:ascii="Palatino Linotype" w:hAnsi="Palatino Linotype"/>
            <w:b/>
            <w:bCs/>
            <w:noProof/>
            <w:sz w:val="22"/>
            <w:szCs w:val="22"/>
          </w:rPr>
          <w:t>5</w:t>
        </w:r>
        <w:r w:rsidRPr="0060082E">
          <w:rPr>
            <w:rFonts w:ascii="Palatino Linotype" w:hAnsi="Palatino Linotype"/>
            <w:b/>
            <w:bCs/>
            <w:sz w:val="22"/>
            <w:szCs w:val="22"/>
          </w:rPr>
          <w:fldChar w:fldCharType="end"/>
        </w:r>
        <w:r w:rsidRPr="0060082E">
          <w:rPr>
            <w:rFonts w:ascii="Palatino Linotype" w:hAnsi="Palatino Linotype"/>
            <w:sz w:val="22"/>
            <w:szCs w:val="22"/>
            <w:lang w:val="es-ES"/>
          </w:rPr>
          <w:t xml:space="preserve"> de </w:t>
        </w:r>
        <w:r>
          <w:rPr>
            <w:rFonts w:ascii="Palatino Linotype" w:hAnsi="Palatino Linotype"/>
            <w:b/>
            <w:bCs/>
            <w:sz w:val="22"/>
            <w:szCs w:val="22"/>
          </w:rPr>
          <w:t>6</w:t>
        </w:r>
      </w:sdtContent>
    </w:sdt>
  </w:p>
  <w:p w:rsidR="007A2CF3" w:rsidRDefault="007A2CF3" w:rsidP="0060082E">
    <w:pPr>
      <w:pStyle w:val="Piedepgina"/>
      <w:jc w:val="right"/>
    </w:pPr>
  </w:p>
  <w:p w:rsidR="007A2CF3" w:rsidRPr="00C24528" w:rsidRDefault="007A2CF3" w:rsidP="0060082E">
    <w:pPr>
      <w:tabs>
        <w:tab w:val="left" w:pos="7817"/>
      </w:tabs>
      <w:jc w:val="left"/>
      <w:rPr>
        <w:rFonts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07520"/>
      <w:docPartObj>
        <w:docPartGallery w:val="Page Numbers (Bottom of Page)"/>
        <w:docPartUnique/>
      </w:docPartObj>
    </w:sdtPr>
    <w:sdtEndPr/>
    <w:sdtContent>
      <w:sdt>
        <w:sdtPr>
          <w:id w:val="-1769616900"/>
          <w:docPartObj>
            <w:docPartGallery w:val="Page Numbers (Top of Page)"/>
            <w:docPartUnique/>
          </w:docPartObj>
        </w:sdtPr>
        <w:sdtEndPr/>
        <w:sdtContent>
          <w:p w:rsidR="0060082E" w:rsidRDefault="0060082E">
            <w:pPr>
              <w:pStyle w:val="Piedepgina"/>
              <w:jc w:val="right"/>
            </w:pPr>
            <w:r w:rsidRPr="0060082E">
              <w:rPr>
                <w:rFonts w:ascii="Palatino Linotype" w:hAnsi="Palatino Linotype"/>
                <w:sz w:val="22"/>
                <w:szCs w:val="22"/>
                <w:lang w:val="es-ES"/>
              </w:rPr>
              <w:t xml:space="preserve">Página </w:t>
            </w:r>
            <w:r w:rsidRPr="0060082E">
              <w:rPr>
                <w:rFonts w:ascii="Palatino Linotype" w:hAnsi="Palatino Linotype"/>
                <w:b/>
                <w:bCs/>
                <w:sz w:val="22"/>
                <w:szCs w:val="22"/>
              </w:rPr>
              <w:fldChar w:fldCharType="begin"/>
            </w:r>
            <w:r w:rsidRPr="0060082E">
              <w:rPr>
                <w:rFonts w:ascii="Palatino Linotype" w:hAnsi="Palatino Linotype"/>
                <w:b/>
                <w:bCs/>
                <w:sz w:val="22"/>
                <w:szCs w:val="22"/>
              </w:rPr>
              <w:instrText>PAGE</w:instrText>
            </w:r>
            <w:r w:rsidRPr="0060082E">
              <w:rPr>
                <w:rFonts w:ascii="Palatino Linotype" w:hAnsi="Palatino Linotype"/>
                <w:b/>
                <w:bCs/>
                <w:sz w:val="22"/>
                <w:szCs w:val="22"/>
              </w:rPr>
              <w:fldChar w:fldCharType="separate"/>
            </w:r>
            <w:r w:rsidR="00577D1E">
              <w:rPr>
                <w:rFonts w:ascii="Palatino Linotype" w:hAnsi="Palatino Linotype"/>
                <w:b/>
                <w:bCs/>
                <w:noProof/>
                <w:sz w:val="22"/>
                <w:szCs w:val="22"/>
              </w:rPr>
              <w:t>1</w:t>
            </w:r>
            <w:r w:rsidRPr="0060082E">
              <w:rPr>
                <w:rFonts w:ascii="Palatino Linotype" w:hAnsi="Palatino Linotype"/>
                <w:b/>
                <w:bCs/>
                <w:sz w:val="22"/>
                <w:szCs w:val="22"/>
              </w:rPr>
              <w:fldChar w:fldCharType="end"/>
            </w:r>
            <w:r w:rsidRPr="0060082E">
              <w:rPr>
                <w:rFonts w:ascii="Palatino Linotype" w:hAnsi="Palatino Linotype"/>
                <w:sz w:val="22"/>
                <w:szCs w:val="22"/>
                <w:lang w:val="es-ES"/>
              </w:rPr>
              <w:t xml:space="preserve"> de </w:t>
            </w:r>
            <w:r w:rsidR="007A2CF3">
              <w:rPr>
                <w:rFonts w:ascii="Palatino Linotype" w:hAnsi="Palatino Linotype"/>
                <w:b/>
                <w:bCs/>
                <w:sz w:val="22"/>
                <w:szCs w:val="22"/>
              </w:rPr>
              <w:t>6</w:t>
            </w:r>
          </w:p>
        </w:sdtContent>
      </w:sdt>
    </w:sdtContent>
  </w:sdt>
  <w:p w:rsidR="0060082E" w:rsidRDefault="0060082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29" w:rsidRDefault="00890E29" w:rsidP="0060082E">
    <w:pPr>
      <w:pStyle w:val="Piedepgina"/>
      <w:jc w:val="right"/>
    </w:pPr>
    <w:r>
      <w:rPr>
        <w:rFonts w:cstheme="minorHAnsi"/>
        <w:sz w:val="16"/>
        <w:szCs w:val="16"/>
      </w:rPr>
      <w:tab/>
    </w:r>
  </w:p>
  <w:p w:rsidR="00890E29" w:rsidRPr="00C24528" w:rsidRDefault="00890E29" w:rsidP="0060082E">
    <w:pPr>
      <w:tabs>
        <w:tab w:val="left" w:pos="7817"/>
      </w:tabs>
      <w:jc w:val="lef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5C" w:rsidRDefault="003F105C" w:rsidP="00B06DD8">
      <w:r>
        <w:separator/>
      </w:r>
    </w:p>
  </w:footnote>
  <w:footnote w:type="continuationSeparator" w:id="0">
    <w:p w:rsidR="003F105C" w:rsidRDefault="003F105C" w:rsidP="00B0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2E" w:rsidRDefault="0060082E">
    <w:pPr>
      <w:pStyle w:val="Encabezado"/>
    </w:pPr>
  </w:p>
  <w:p w:rsidR="0060082E" w:rsidRDefault="0060082E">
    <w:pPr>
      <w:pStyle w:val="Encabezado"/>
    </w:pPr>
  </w:p>
  <w:p w:rsidR="0060082E" w:rsidRDefault="0060082E">
    <w:pPr>
      <w:pStyle w:val="Encabezado"/>
    </w:pPr>
  </w:p>
  <w:p w:rsidR="0060082E" w:rsidRDefault="0060082E" w:rsidP="007A2CF3">
    <w:pPr>
      <w:pStyle w:val="Encabezado"/>
      <w:jc w:val="right"/>
    </w:pPr>
  </w:p>
  <w:p w:rsidR="0060082E" w:rsidRDefault="0060082E" w:rsidP="0060082E">
    <w:pPr>
      <w:pStyle w:val="Encabezado"/>
    </w:pPr>
  </w:p>
  <w:p w:rsidR="0060082E" w:rsidRPr="0060082E" w:rsidRDefault="0060082E" w:rsidP="0060082E">
    <w:pPr>
      <w:pStyle w:val="Ttulo3"/>
      <w:spacing w:after="120" w:line="276" w:lineRule="auto"/>
      <w:rPr>
        <w:rFonts w:ascii="Palatino Linotype" w:hAnsi="Palatino Linotype"/>
        <w:sz w:val="22"/>
        <w:szCs w:val="22"/>
      </w:rPr>
    </w:pPr>
    <w:r>
      <w:rPr>
        <w:rFonts w:ascii="Palatino Linotype" w:hAnsi="Palatino Linotype"/>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Pr="00B97EBF" w:rsidRDefault="0060082E" w:rsidP="00B97EBF">
    <w:pPr>
      <w:pStyle w:val="Ttulo3"/>
      <w:spacing w:after="120" w:line="276" w:lineRule="auto"/>
      <w:rPr>
        <w:rFonts w:ascii="Palatino Linotype" w:hAnsi="Palatino Linotype"/>
        <w:sz w:val="22"/>
        <w:szCs w:val="22"/>
      </w:rPr>
    </w:pPr>
    <w:r>
      <w:rPr>
        <w:rFonts w:ascii="Palatino Linotype" w:hAnsi="Palatino Linotype"/>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F3" w:rsidRDefault="007A2CF3">
    <w:pPr>
      <w:pStyle w:val="Encabezado"/>
    </w:pPr>
  </w:p>
  <w:p w:rsidR="007A2CF3" w:rsidRDefault="007A2CF3">
    <w:pPr>
      <w:pStyle w:val="Encabezado"/>
    </w:pPr>
  </w:p>
  <w:p w:rsidR="007A2CF3" w:rsidRDefault="007A2CF3">
    <w:pPr>
      <w:pStyle w:val="Encabezado"/>
    </w:pPr>
  </w:p>
  <w:p w:rsidR="007A2CF3" w:rsidRDefault="007A2CF3" w:rsidP="007A2CF3">
    <w:pPr>
      <w:pStyle w:val="Encabezado"/>
      <w:jc w:val="right"/>
    </w:pPr>
  </w:p>
  <w:p w:rsidR="007A2CF3" w:rsidRDefault="007A2CF3" w:rsidP="0060082E">
    <w:pPr>
      <w:pStyle w:val="Encabezado"/>
    </w:pPr>
  </w:p>
  <w:p w:rsidR="007A2CF3" w:rsidRPr="0060082E" w:rsidRDefault="007A2CF3" w:rsidP="0060082E">
    <w:pPr>
      <w:pStyle w:val="Ttulo3"/>
      <w:spacing w:after="120" w:line="276" w:lineRule="auto"/>
      <w:rPr>
        <w:rFonts w:ascii="Palatino Linotype" w:hAnsi="Palatino Linotype"/>
        <w:sz w:val="22"/>
        <w:szCs w:val="22"/>
      </w:rPr>
    </w:pPr>
    <w:r>
      <w:rPr>
        <w:rFonts w:ascii="Palatino Linotype" w:hAnsi="Palatino Linotype"/>
        <w:sz w:val="22"/>
        <w:szCs w:val="22"/>
      </w:rPr>
      <w:t>ORDENANZA 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Default="0060082E">
    <w:pPr>
      <w:pStyle w:val="Encabezado"/>
    </w:pPr>
  </w:p>
  <w:p w:rsidR="0060082E" w:rsidRPr="00B97EBF" w:rsidRDefault="0060082E" w:rsidP="00B97EBF">
    <w:pPr>
      <w:pStyle w:val="Ttulo3"/>
      <w:spacing w:after="120" w:line="276" w:lineRule="auto"/>
      <w:rPr>
        <w:rFonts w:ascii="Palatino Linotype" w:hAnsi="Palatino Linotype"/>
        <w:sz w:val="22"/>
        <w:szCs w:val="22"/>
      </w:rPr>
    </w:pPr>
    <w:r>
      <w:rPr>
        <w:rFonts w:ascii="Palatino Linotype" w:hAnsi="Palatino Linotype"/>
        <w:sz w:val="22"/>
        <w:szCs w:val="22"/>
      </w:rPr>
      <w:t>ORDENANZA No.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1E" w:rsidRDefault="00577D1E">
    <w:pPr>
      <w:pStyle w:val="Encabezado"/>
    </w:pPr>
  </w:p>
  <w:p w:rsidR="00577D1E" w:rsidRDefault="00577D1E">
    <w:pPr>
      <w:pStyle w:val="Encabezado"/>
    </w:pPr>
  </w:p>
  <w:p w:rsidR="00577D1E" w:rsidRDefault="00577D1E">
    <w:pPr>
      <w:pStyle w:val="Encabezado"/>
    </w:pPr>
  </w:p>
  <w:p w:rsidR="00577D1E" w:rsidRDefault="00577D1E" w:rsidP="007A2CF3">
    <w:pPr>
      <w:pStyle w:val="Encabezado"/>
      <w:jc w:val="right"/>
    </w:pPr>
  </w:p>
  <w:p w:rsidR="00577D1E" w:rsidRDefault="00577D1E" w:rsidP="0060082E">
    <w:pPr>
      <w:pStyle w:val="Encabezado"/>
    </w:pPr>
  </w:p>
  <w:p w:rsidR="00577D1E" w:rsidRPr="0060082E" w:rsidRDefault="00577D1E" w:rsidP="0060082E">
    <w:pPr>
      <w:pStyle w:val="Ttulo3"/>
      <w:spacing w:after="120" w:line="276" w:lineRule="auto"/>
      <w:rPr>
        <w:rFonts w:ascii="Palatino Linotype" w:hAnsi="Palatino Linotype"/>
        <w:sz w:val="22"/>
        <w:szCs w:val="22"/>
      </w:rPr>
    </w:pPr>
    <w:r>
      <w:rPr>
        <w:rFonts w:ascii="Palatino Linotype" w:hAnsi="Palatino Linotype"/>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CA7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4AE8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888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2406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47225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A8B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1AB9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CE68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6CFE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0A0CC6"/>
    <w:lvl w:ilvl="0">
      <w:start w:val="1"/>
      <w:numFmt w:val="decimal"/>
      <w:lvlText w:val="%1."/>
      <w:lvlJc w:val="left"/>
      <w:pPr>
        <w:tabs>
          <w:tab w:val="num" w:pos="360"/>
        </w:tabs>
        <w:ind w:left="360" w:hanging="360"/>
      </w:pPr>
    </w:lvl>
  </w:abstractNum>
  <w:abstractNum w:abstractNumId="10" w15:restartNumberingAfterBreak="0">
    <w:nsid w:val="00000003"/>
    <w:multiLevelType w:val="multilevel"/>
    <w:tmpl w:val="00000003"/>
    <w:name w:val="WW8Num3"/>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3855DA"/>
    <w:multiLevelType w:val="multilevel"/>
    <w:tmpl w:val="2A021DC8"/>
    <w:name w:val="Título 1224"/>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FB5999"/>
    <w:multiLevelType w:val="multilevel"/>
    <w:tmpl w:val="EF9CE5DA"/>
    <w:name w:val="Título 12"/>
    <w:lvl w:ilvl="0">
      <w:start w:val="1"/>
      <w:numFmt w:val="decimal"/>
      <w:lvlText w:val="Artículo %1.-"/>
      <w:lvlJc w:val="left"/>
      <w:pPr>
        <w:tabs>
          <w:tab w:val="num" w:pos="170"/>
        </w:tabs>
        <w:ind w:left="0" w:firstLine="0"/>
      </w:pPr>
      <w:rPr>
        <w:rFonts w:hint="default"/>
      </w:rPr>
    </w:lvl>
    <w:lvl w:ilvl="1">
      <w:start w:val="1"/>
      <w:numFmt w:val="none"/>
      <w:lvlText w:val="§ 1."/>
      <w:lvlJc w:val="left"/>
      <w:pPr>
        <w:tabs>
          <w:tab w:val="num" w:pos="170"/>
        </w:tabs>
        <w:ind w:left="0" w:firstLine="0"/>
      </w:pPr>
      <w:rPr>
        <w:rFonts w:hint="default"/>
        <w:b/>
      </w:rPr>
    </w:lvl>
    <w:lvl w:ilvl="2">
      <w:start w:val="1"/>
      <w:numFmt w:val="lowerLetter"/>
      <w:lvlText w:val="(%3)"/>
      <w:lvlJc w:val="left"/>
      <w:pPr>
        <w:tabs>
          <w:tab w:val="num" w:pos="340"/>
        </w:tabs>
        <w:ind w:left="567" w:hanging="567"/>
      </w:pPr>
      <w:rPr>
        <w:rFonts w:hint="default"/>
        <w:b/>
      </w:rPr>
    </w:lvl>
    <w:lvl w:ilvl="3">
      <w:start w:val="1"/>
      <w:numFmt w:val="lowerRoman"/>
      <w:lvlText w:val="(%4)"/>
      <w:lvlJc w:val="left"/>
      <w:pPr>
        <w:ind w:left="1134"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DB62C6"/>
    <w:multiLevelType w:val="multilevel"/>
    <w:tmpl w:val="697EA8C4"/>
    <w:numStyleLink w:val="Textonormativo"/>
  </w:abstractNum>
  <w:abstractNum w:abstractNumId="14" w15:restartNumberingAfterBreak="0">
    <w:nsid w:val="16D10337"/>
    <w:multiLevelType w:val="multilevel"/>
    <w:tmpl w:val="2A021DC8"/>
    <w:name w:val="Título 1226"/>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693B18"/>
    <w:multiLevelType w:val="hybridMultilevel"/>
    <w:tmpl w:val="F9B65D1A"/>
    <w:lvl w:ilvl="0" w:tplc="176AC6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1EA019DA"/>
    <w:multiLevelType w:val="multilevel"/>
    <w:tmpl w:val="252E9B08"/>
    <w:lvl w:ilvl="0">
      <w:start w:val="1"/>
      <w:numFmt w:val="decimal"/>
      <w:pStyle w:val="Prrafodelista"/>
      <w:lvlText w:val="%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418"/>
        </w:tabs>
        <w:ind w:left="1418" w:hanging="28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1724AB1"/>
    <w:multiLevelType w:val="hybridMultilevel"/>
    <w:tmpl w:val="80EC5810"/>
    <w:name w:val="Título 1"/>
    <w:lvl w:ilvl="0" w:tplc="0409000F">
      <w:start w:val="1"/>
      <w:numFmt w:val="decimal"/>
      <w:lvlText w:val="%1."/>
      <w:lvlJc w:val="left"/>
      <w:pPr>
        <w:ind w:left="720" w:hanging="360"/>
      </w:pPr>
    </w:lvl>
    <w:lvl w:ilvl="1" w:tplc="EA160E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38F7"/>
    <w:multiLevelType w:val="multilevel"/>
    <w:tmpl w:val="2A021DC8"/>
    <w:name w:val="Título 1226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515A8B"/>
    <w:multiLevelType w:val="multilevel"/>
    <w:tmpl w:val="2A021DC8"/>
    <w:name w:val="Título 1226222"/>
    <w:lvl w:ilvl="0">
      <w:start w:val="49"/>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A4006C"/>
    <w:multiLevelType w:val="multilevel"/>
    <w:tmpl w:val="2C32C34C"/>
    <w:lvl w:ilvl="0">
      <w:start w:val="1"/>
      <w:numFmt w:val="decimal"/>
      <w:suff w:val="space"/>
      <w:lvlText w:val="Artículo %1.-"/>
      <w:lvlJc w:val="left"/>
      <w:pPr>
        <w:ind w:left="0" w:firstLine="0"/>
      </w:pPr>
      <w:rPr>
        <w:rFonts w:ascii="Adobe Garamond Pro" w:hAnsi="Adobe Garamond Pro" w:hint="default"/>
        <w:b/>
        <w:i w:val="0"/>
        <w:sz w:val="25"/>
        <w:szCs w:val="25"/>
      </w:rPr>
    </w:lvl>
    <w:lvl w:ilvl="1">
      <w:start w:val="1"/>
      <w:numFmt w:val="decimal"/>
      <w:suff w:val="space"/>
      <w:lvlText w:val="%2. "/>
      <w:lvlJc w:val="left"/>
      <w:pPr>
        <w:ind w:left="0" w:firstLine="0"/>
      </w:pPr>
      <w:rPr>
        <w:rFonts w:ascii="Garamond" w:hAnsi="Garamond" w:hint="default"/>
        <w:b w:val="0"/>
        <w:bCs w:val="0"/>
        <w:i w:val="0"/>
        <w:iCs w:val="0"/>
        <w:color w:val="auto"/>
        <w:sz w:val="24"/>
        <w:szCs w:val="24"/>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283"/>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0B78DD"/>
    <w:multiLevelType w:val="multilevel"/>
    <w:tmpl w:val="697EA8C4"/>
    <w:styleLink w:val="Textonormativo"/>
    <w:lvl w:ilvl="0">
      <w:start w:val="1"/>
      <w:numFmt w:val="decimal"/>
      <w:pStyle w:val="Etiqueta"/>
      <w:lvlText w:val="Artículo %1.-"/>
      <w:lvlJc w:val="left"/>
      <w:pPr>
        <w:tabs>
          <w:tab w:val="num" w:pos="1559"/>
        </w:tabs>
        <w:ind w:left="0" w:firstLine="0"/>
      </w:pPr>
      <w:rPr>
        <w:rFonts w:hint="default"/>
        <w:b/>
        <w:sz w:val="25"/>
      </w:rPr>
    </w:lvl>
    <w:lvl w:ilvl="1">
      <w:start w:val="1"/>
      <w:numFmt w:val="decimal"/>
      <w:lvlText w:val="%2. "/>
      <w:lvlJc w:val="left"/>
      <w:pPr>
        <w:tabs>
          <w:tab w:val="num" w:pos="284"/>
        </w:tabs>
        <w:ind w:left="0" w:firstLine="0"/>
      </w:pPr>
      <w:rPr>
        <w:rFonts w:hint="default"/>
        <w:b w:val="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559"/>
        </w:tabs>
        <w:ind w:left="1559" w:hanging="425"/>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2" w15:restartNumberingAfterBreak="0">
    <w:nsid w:val="428766A6"/>
    <w:multiLevelType w:val="multilevel"/>
    <w:tmpl w:val="2A021DC8"/>
    <w:name w:val="Título 1226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F74C7"/>
    <w:multiLevelType w:val="hybridMultilevel"/>
    <w:tmpl w:val="F7503D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06047A"/>
    <w:multiLevelType w:val="multilevel"/>
    <w:tmpl w:val="2A021DC8"/>
    <w:name w:val="Título 122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1412E7"/>
    <w:multiLevelType w:val="multilevel"/>
    <w:tmpl w:val="2A021DC8"/>
    <w:name w:val="Título 1225"/>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93577F"/>
    <w:multiLevelType w:val="hybridMultilevel"/>
    <w:tmpl w:val="31724B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EB06E4"/>
    <w:multiLevelType w:val="multilevel"/>
    <w:tmpl w:val="24B0E436"/>
    <w:lvl w:ilvl="0">
      <w:start w:val="1"/>
      <w:numFmt w:val="decimal"/>
      <w:lvlText w:val="Artículo %1.-"/>
      <w:lvlJc w:val="left"/>
      <w:pPr>
        <w:ind w:left="360" w:hanging="360"/>
      </w:pPr>
      <w:rPr>
        <w:rFonts w:hint="default"/>
        <w:b w:val="0"/>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8" w15:restartNumberingAfterBreak="0">
    <w:nsid w:val="65734682"/>
    <w:multiLevelType w:val="multilevel"/>
    <w:tmpl w:val="2A021DC8"/>
    <w:name w:val="Título 1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A564DA"/>
    <w:multiLevelType w:val="multilevel"/>
    <w:tmpl w:val="2A021DC8"/>
    <w:name w:val="Título 12222"/>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590F8D"/>
    <w:multiLevelType w:val="multilevel"/>
    <w:tmpl w:val="B6D480A0"/>
    <w:lvl w:ilvl="0">
      <w:start w:val="1"/>
      <w:numFmt w:val="decimal"/>
      <w:suff w:val="space"/>
      <w:lvlText w:val="Artículo %1.-"/>
      <w:lvlJc w:val="left"/>
      <w:pPr>
        <w:ind w:left="0" w:firstLine="0"/>
      </w:pPr>
      <w:rPr>
        <w:rFonts w:ascii="Goudy Old Style" w:hAnsi="Goudy Old Style" w:hint="default"/>
        <w:b/>
        <w:i w:val="0"/>
        <w:sz w:val="24"/>
        <w:szCs w:val="24"/>
      </w:rPr>
    </w:lvl>
    <w:lvl w:ilvl="1">
      <w:start w:val="1"/>
      <w:numFmt w:val="decimal"/>
      <w:suff w:val="space"/>
      <w:lvlText w:val="%2. "/>
      <w:lvlJc w:val="left"/>
      <w:pPr>
        <w:ind w:left="0" w:firstLine="0"/>
      </w:pPr>
      <w:rPr>
        <w:rFonts w:ascii="Goudy Old Style" w:hAnsi="Goudy Old Style" w:hint="default"/>
        <w:b w:val="0"/>
        <w:i w:val="0"/>
        <w:color w:val="auto"/>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283"/>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3F2E9C"/>
    <w:multiLevelType w:val="multilevel"/>
    <w:tmpl w:val="2A021DC8"/>
    <w:name w:val="Título 1223"/>
    <w:lvl w:ilvl="0">
      <w:start w:val="1"/>
      <w:numFmt w:val="decimal"/>
      <w:suff w:val="space"/>
      <w:lvlText w:val="Artículo %1.-"/>
      <w:lvlJc w:val="left"/>
      <w:pPr>
        <w:ind w:left="0" w:firstLine="0"/>
      </w:pPr>
      <w:rPr>
        <w:rFonts w:ascii="Goudy Old Style" w:hAnsi="Goudy Old Style" w:hint="default"/>
        <w:b/>
        <w:i w:val="0"/>
        <w:sz w:val="22"/>
      </w:rPr>
    </w:lvl>
    <w:lvl w:ilvl="1">
      <w:start w:val="1"/>
      <w:numFmt w:val="decimal"/>
      <w:suff w:val="space"/>
      <w:lvlText w:val="§%2. "/>
      <w:lvlJc w:val="left"/>
      <w:pPr>
        <w:ind w:left="0" w:firstLine="0"/>
      </w:pPr>
      <w:rPr>
        <w:rFonts w:ascii="Goudy Old Style" w:hAnsi="Goudy Old Style" w:hint="default"/>
        <w:b w:val="0"/>
        <w:i w:val="0"/>
        <w:sz w:val="18"/>
      </w:rPr>
    </w:lvl>
    <w:lvl w:ilvl="2">
      <w:start w:val="1"/>
      <w:numFmt w:val="lowerLetter"/>
      <w:suff w:val="space"/>
      <w:lvlText w:val="(%3)"/>
      <w:lvlJc w:val="left"/>
      <w:pPr>
        <w:ind w:left="567" w:firstLine="0"/>
      </w:pPr>
      <w:rPr>
        <w:rFonts w:ascii="Goudy Old Style" w:hAnsi="Goudy Old Style" w:hint="default"/>
        <w:b w:val="0"/>
        <w:i w:val="0"/>
        <w:sz w:val="22"/>
      </w:rPr>
    </w:lvl>
    <w:lvl w:ilvl="3">
      <w:start w:val="1"/>
      <w:numFmt w:val="lowerRoman"/>
      <w:lvlText w:val="(%4)"/>
      <w:lvlJc w:val="left"/>
      <w:pPr>
        <w:ind w:left="1134" w:hanging="567"/>
      </w:pPr>
      <w:rPr>
        <w:rFonts w:ascii="Goudy Old Style" w:hAnsi="Goudy Old Style"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5"/>
  </w:num>
  <w:num w:numId="11">
    <w:abstractNumId w:val="0"/>
  </w:num>
  <w:num w:numId="12">
    <w:abstractNumId w:val="20"/>
  </w:num>
  <w:num w:numId="13">
    <w:abstractNumId w:val="23"/>
  </w:num>
  <w:num w:numId="14">
    <w:abstractNumId w:val="26"/>
  </w:num>
  <w:num w:numId="15">
    <w:abstractNumId w:val="27"/>
  </w:num>
  <w:num w:numId="16">
    <w:abstractNumId w:val="30"/>
  </w:num>
  <w:num w:numId="17">
    <w:abstractNumId w:val="20"/>
  </w:num>
  <w:num w:numId="18">
    <w:abstractNumId w:val="21"/>
  </w:num>
  <w:num w:numId="19">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0">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1">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2">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3">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4">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5">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26">
    <w:abstractNumId w:val="16"/>
  </w:num>
  <w:num w:numId="27">
    <w:abstractNumId w:val="16"/>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2">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3">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4">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5">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6">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7">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38">
    <w:abstractNumId w:val="13"/>
    <w:lvlOverride w:ilvl="0">
      <w:lvl w:ilvl="0">
        <w:start w:val="1"/>
        <w:numFmt w:val="decimal"/>
        <w:pStyle w:val="Etiqueta"/>
        <w:lvlText w:val="Artículo %1.-"/>
        <w:lvlJc w:val="left"/>
        <w:pPr>
          <w:tabs>
            <w:tab w:val="num" w:pos="2269"/>
          </w:tabs>
          <w:ind w:left="710" w:firstLine="0"/>
        </w:pPr>
        <w:rPr>
          <w:rFonts w:hint="default"/>
          <w:b/>
          <w:sz w:val="25"/>
        </w:rPr>
      </w:lvl>
    </w:lvlOverride>
  </w:num>
  <w:num w:numId="39">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 w:numId="40">
    <w:abstractNumId w:val="15"/>
  </w:num>
  <w:num w:numId="41">
    <w:abstractNumId w:val="13"/>
    <w:lvlOverride w:ilvl="0">
      <w:lvl w:ilvl="0">
        <w:start w:val="1"/>
        <w:numFmt w:val="decimal"/>
        <w:pStyle w:val="Etiqueta"/>
        <w:lvlText w:val="Artículo %1.-"/>
        <w:lvlJc w:val="left"/>
        <w:pPr>
          <w:tabs>
            <w:tab w:val="num" w:pos="1559"/>
          </w:tabs>
          <w:ind w:left="0" w:firstLine="0"/>
        </w:pPr>
        <w:rPr>
          <w:rFonts w:hint="default"/>
          <w:b/>
          <w:sz w:val="25"/>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6F"/>
    <w:rsid w:val="00000E13"/>
    <w:rsid w:val="00001222"/>
    <w:rsid w:val="0000141B"/>
    <w:rsid w:val="0000150C"/>
    <w:rsid w:val="000051F6"/>
    <w:rsid w:val="00006C2E"/>
    <w:rsid w:val="000105C6"/>
    <w:rsid w:val="000124B8"/>
    <w:rsid w:val="0001338C"/>
    <w:rsid w:val="00015D3B"/>
    <w:rsid w:val="0001672F"/>
    <w:rsid w:val="000242C7"/>
    <w:rsid w:val="000253AE"/>
    <w:rsid w:val="00025964"/>
    <w:rsid w:val="00026B88"/>
    <w:rsid w:val="0003037E"/>
    <w:rsid w:val="00030FED"/>
    <w:rsid w:val="000323E5"/>
    <w:rsid w:val="00034B03"/>
    <w:rsid w:val="00035391"/>
    <w:rsid w:val="00036766"/>
    <w:rsid w:val="000377FA"/>
    <w:rsid w:val="00037FD9"/>
    <w:rsid w:val="00040810"/>
    <w:rsid w:val="0004170E"/>
    <w:rsid w:val="00041E21"/>
    <w:rsid w:val="00044110"/>
    <w:rsid w:val="00044494"/>
    <w:rsid w:val="0004559D"/>
    <w:rsid w:val="000469E9"/>
    <w:rsid w:val="0004713C"/>
    <w:rsid w:val="00050B33"/>
    <w:rsid w:val="00050E9A"/>
    <w:rsid w:val="00051B17"/>
    <w:rsid w:val="0005439F"/>
    <w:rsid w:val="0005500D"/>
    <w:rsid w:val="000603A4"/>
    <w:rsid w:val="00060457"/>
    <w:rsid w:val="0006066F"/>
    <w:rsid w:val="0006311E"/>
    <w:rsid w:val="000652C3"/>
    <w:rsid w:val="0006701A"/>
    <w:rsid w:val="00067F23"/>
    <w:rsid w:val="000701E7"/>
    <w:rsid w:val="000715E2"/>
    <w:rsid w:val="000723CA"/>
    <w:rsid w:val="00073292"/>
    <w:rsid w:val="00075218"/>
    <w:rsid w:val="00075B1C"/>
    <w:rsid w:val="00075C55"/>
    <w:rsid w:val="00076626"/>
    <w:rsid w:val="00076B90"/>
    <w:rsid w:val="00080145"/>
    <w:rsid w:val="00082197"/>
    <w:rsid w:val="000835E6"/>
    <w:rsid w:val="00085732"/>
    <w:rsid w:val="00085C0B"/>
    <w:rsid w:val="000860CF"/>
    <w:rsid w:val="00086663"/>
    <w:rsid w:val="000866DD"/>
    <w:rsid w:val="00093442"/>
    <w:rsid w:val="00094021"/>
    <w:rsid w:val="00096E6F"/>
    <w:rsid w:val="0009725F"/>
    <w:rsid w:val="00097ED1"/>
    <w:rsid w:val="000A118F"/>
    <w:rsid w:val="000A1402"/>
    <w:rsid w:val="000A2323"/>
    <w:rsid w:val="000A2926"/>
    <w:rsid w:val="000A390B"/>
    <w:rsid w:val="000A54AA"/>
    <w:rsid w:val="000A5AF6"/>
    <w:rsid w:val="000A5CEA"/>
    <w:rsid w:val="000A6A10"/>
    <w:rsid w:val="000B0E1E"/>
    <w:rsid w:val="000B3BEC"/>
    <w:rsid w:val="000B5DAE"/>
    <w:rsid w:val="000C1F52"/>
    <w:rsid w:val="000C334E"/>
    <w:rsid w:val="000C33FF"/>
    <w:rsid w:val="000C459B"/>
    <w:rsid w:val="000C4B78"/>
    <w:rsid w:val="000C53FD"/>
    <w:rsid w:val="000C5C5B"/>
    <w:rsid w:val="000D0028"/>
    <w:rsid w:val="000D101B"/>
    <w:rsid w:val="000D164E"/>
    <w:rsid w:val="000D1A06"/>
    <w:rsid w:val="000D1BF7"/>
    <w:rsid w:val="000D1EE4"/>
    <w:rsid w:val="000D4379"/>
    <w:rsid w:val="000D4A3A"/>
    <w:rsid w:val="000D5BD6"/>
    <w:rsid w:val="000E0A48"/>
    <w:rsid w:val="000E10BE"/>
    <w:rsid w:val="000E195F"/>
    <w:rsid w:val="000E23EB"/>
    <w:rsid w:val="000E7DA6"/>
    <w:rsid w:val="000F26C0"/>
    <w:rsid w:val="000F2F0E"/>
    <w:rsid w:val="000F34D3"/>
    <w:rsid w:val="000F483F"/>
    <w:rsid w:val="000F5842"/>
    <w:rsid w:val="000F672E"/>
    <w:rsid w:val="000F76F5"/>
    <w:rsid w:val="0010048B"/>
    <w:rsid w:val="00100519"/>
    <w:rsid w:val="001012DC"/>
    <w:rsid w:val="00101550"/>
    <w:rsid w:val="00102912"/>
    <w:rsid w:val="00103BD1"/>
    <w:rsid w:val="00105024"/>
    <w:rsid w:val="001079AE"/>
    <w:rsid w:val="00112293"/>
    <w:rsid w:val="00112ECE"/>
    <w:rsid w:val="00116E21"/>
    <w:rsid w:val="00117DB5"/>
    <w:rsid w:val="0012440B"/>
    <w:rsid w:val="001250FF"/>
    <w:rsid w:val="00125A0F"/>
    <w:rsid w:val="001267D7"/>
    <w:rsid w:val="001321F8"/>
    <w:rsid w:val="00132C65"/>
    <w:rsid w:val="00133A07"/>
    <w:rsid w:val="0013439F"/>
    <w:rsid w:val="00134AAF"/>
    <w:rsid w:val="00135184"/>
    <w:rsid w:val="0013607C"/>
    <w:rsid w:val="00137039"/>
    <w:rsid w:val="001371FB"/>
    <w:rsid w:val="001422F9"/>
    <w:rsid w:val="001423F5"/>
    <w:rsid w:val="00142F81"/>
    <w:rsid w:val="001431B1"/>
    <w:rsid w:val="0014336C"/>
    <w:rsid w:val="00144A66"/>
    <w:rsid w:val="001451D0"/>
    <w:rsid w:val="00146BF9"/>
    <w:rsid w:val="00147736"/>
    <w:rsid w:val="0014795A"/>
    <w:rsid w:val="0015022D"/>
    <w:rsid w:val="00150B3A"/>
    <w:rsid w:val="00154025"/>
    <w:rsid w:val="00156C07"/>
    <w:rsid w:val="001570AE"/>
    <w:rsid w:val="0015737F"/>
    <w:rsid w:val="001579C1"/>
    <w:rsid w:val="00160519"/>
    <w:rsid w:val="00162BC8"/>
    <w:rsid w:val="001644B7"/>
    <w:rsid w:val="00165AC6"/>
    <w:rsid w:val="00166BB8"/>
    <w:rsid w:val="00167459"/>
    <w:rsid w:val="00167C2B"/>
    <w:rsid w:val="001717AF"/>
    <w:rsid w:val="00171E2E"/>
    <w:rsid w:val="00172397"/>
    <w:rsid w:val="00172DD5"/>
    <w:rsid w:val="00173E7D"/>
    <w:rsid w:val="001754B5"/>
    <w:rsid w:val="00175937"/>
    <w:rsid w:val="00176191"/>
    <w:rsid w:val="00177AB4"/>
    <w:rsid w:val="00177E6B"/>
    <w:rsid w:val="00180526"/>
    <w:rsid w:val="001843B1"/>
    <w:rsid w:val="00186E10"/>
    <w:rsid w:val="00187B7A"/>
    <w:rsid w:val="001921BB"/>
    <w:rsid w:val="00192D19"/>
    <w:rsid w:val="00193F95"/>
    <w:rsid w:val="00195470"/>
    <w:rsid w:val="0019671A"/>
    <w:rsid w:val="00197375"/>
    <w:rsid w:val="00197A06"/>
    <w:rsid w:val="001A100F"/>
    <w:rsid w:val="001A28DB"/>
    <w:rsid w:val="001A2FED"/>
    <w:rsid w:val="001A3C10"/>
    <w:rsid w:val="001A3CDA"/>
    <w:rsid w:val="001A3E3F"/>
    <w:rsid w:val="001A3FD8"/>
    <w:rsid w:val="001A53F9"/>
    <w:rsid w:val="001A7B92"/>
    <w:rsid w:val="001A7C8D"/>
    <w:rsid w:val="001A7DF6"/>
    <w:rsid w:val="001B0D8D"/>
    <w:rsid w:val="001B2BB5"/>
    <w:rsid w:val="001B60FC"/>
    <w:rsid w:val="001B727E"/>
    <w:rsid w:val="001B7ECB"/>
    <w:rsid w:val="001C2FC3"/>
    <w:rsid w:val="001C4C23"/>
    <w:rsid w:val="001C5CC0"/>
    <w:rsid w:val="001C730F"/>
    <w:rsid w:val="001D475D"/>
    <w:rsid w:val="001D517B"/>
    <w:rsid w:val="001D5B99"/>
    <w:rsid w:val="001D680A"/>
    <w:rsid w:val="001D754C"/>
    <w:rsid w:val="001E0717"/>
    <w:rsid w:val="001E0780"/>
    <w:rsid w:val="001E173C"/>
    <w:rsid w:val="001E1DB7"/>
    <w:rsid w:val="001E2F0B"/>
    <w:rsid w:val="001E2F0F"/>
    <w:rsid w:val="001E55B5"/>
    <w:rsid w:val="001E55FA"/>
    <w:rsid w:val="001E66D2"/>
    <w:rsid w:val="001E6982"/>
    <w:rsid w:val="001F2C29"/>
    <w:rsid w:val="001F4706"/>
    <w:rsid w:val="001F63C6"/>
    <w:rsid w:val="001F6E57"/>
    <w:rsid w:val="001F7C47"/>
    <w:rsid w:val="00200445"/>
    <w:rsid w:val="002005ED"/>
    <w:rsid w:val="00203161"/>
    <w:rsid w:val="0020323F"/>
    <w:rsid w:val="002067FF"/>
    <w:rsid w:val="0020681D"/>
    <w:rsid w:val="002069DB"/>
    <w:rsid w:val="00207202"/>
    <w:rsid w:val="002077AE"/>
    <w:rsid w:val="00207AE5"/>
    <w:rsid w:val="002105B7"/>
    <w:rsid w:val="00211FA7"/>
    <w:rsid w:val="00216276"/>
    <w:rsid w:val="0022077D"/>
    <w:rsid w:val="00220CD3"/>
    <w:rsid w:val="00220EE2"/>
    <w:rsid w:val="00221C03"/>
    <w:rsid w:val="002220E5"/>
    <w:rsid w:val="002233FD"/>
    <w:rsid w:val="002240CC"/>
    <w:rsid w:val="00224665"/>
    <w:rsid w:val="00224F70"/>
    <w:rsid w:val="00225128"/>
    <w:rsid w:val="00225221"/>
    <w:rsid w:val="00225F13"/>
    <w:rsid w:val="00230419"/>
    <w:rsid w:val="0023125E"/>
    <w:rsid w:val="00232159"/>
    <w:rsid w:val="00232A02"/>
    <w:rsid w:val="00233B94"/>
    <w:rsid w:val="00240723"/>
    <w:rsid w:val="0024129B"/>
    <w:rsid w:val="002418EB"/>
    <w:rsid w:val="00245458"/>
    <w:rsid w:val="00245878"/>
    <w:rsid w:val="00245C45"/>
    <w:rsid w:val="002471E6"/>
    <w:rsid w:val="00247615"/>
    <w:rsid w:val="00250D94"/>
    <w:rsid w:val="00251CEE"/>
    <w:rsid w:val="002526B8"/>
    <w:rsid w:val="00252A3B"/>
    <w:rsid w:val="00253545"/>
    <w:rsid w:val="002536C8"/>
    <w:rsid w:val="002546DA"/>
    <w:rsid w:val="00254F19"/>
    <w:rsid w:val="00255706"/>
    <w:rsid w:val="00255C2C"/>
    <w:rsid w:val="00256C28"/>
    <w:rsid w:val="00257A61"/>
    <w:rsid w:val="00260AEC"/>
    <w:rsid w:val="00260E6A"/>
    <w:rsid w:val="00262709"/>
    <w:rsid w:val="00262E0E"/>
    <w:rsid w:val="00264DDB"/>
    <w:rsid w:val="00264FB7"/>
    <w:rsid w:val="0026580F"/>
    <w:rsid w:val="00265AA2"/>
    <w:rsid w:val="002670FF"/>
    <w:rsid w:val="002678E5"/>
    <w:rsid w:val="00267F40"/>
    <w:rsid w:val="002716D2"/>
    <w:rsid w:val="00271DA7"/>
    <w:rsid w:val="00273501"/>
    <w:rsid w:val="0027466F"/>
    <w:rsid w:val="00274A24"/>
    <w:rsid w:val="00276DF2"/>
    <w:rsid w:val="002801E8"/>
    <w:rsid w:val="00280200"/>
    <w:rsid w:val="002807C8"/>
    <w:rsid w:val="00280DE8"/>
    <w:rsid w:val="00281478"/>
    <w:rsid w:val="002835EC"/>
    <w:rsid w:val="00284EFF"/>
    <w:rsid w:val="0028516E"/>
    <w:rsid w:val="00286592"/>
    <w:rsid w:val="0028688F"/>
    <w:rsid w:val="002879B7"/>
    <w:rsid w:val="0029000D"/>
    <w:rsid w:val="002924F3"/>
    <w:rsid w:val="00294743"/>
    <w:rsid w:val="00295BBA"/>
    <w:rsid w:val="00297CA8"/>
    <w:rsid w:val="002A5042"/>
    <w:rsid w:val="002A5BFB"/>
    <w:rsid w:val="002B0133"/>
    <w:rsid w:val="002B2060"/>
    <w:rsid w:val="002B2ABA"/>
    <w:rsid w:val="002B326A"/>
    <w:rsid w:val="002B53DB"/>
    <w:rsid w:val="002B5A23"/>
    <w:rsid w:val="002B784E"/>
    <w:rsid w:val="002C32EA"/>
    <w:rsid w:val="002C37AC"/>
    <w:rsid w:val="002C4252"/>
    <w:rsid w:val="002C4D4E"/>
    <w:rsid w:val="002C78F4"/>
    <w:rsid w:val="002D004F"/>
    <w:rsid w:val="002D1207"/>
    <w:rsid w:val="002D1DE4"/>
    <w:rsid w:val="002D2F67"/>
    <w:rsid w:val="002D35D3"/>
    <w:rsid w:val="002D4EC2"/>
    <w:rsid w:val="002D546D"/>
    <w:rsid w:val="002D54C3"/>
    <w:rsid w:val="002D58DD"/>
    <w:rsid w:val="002D6400"/>
    <w:rsid w:val="002D741B"/>
    <w:rsid w:val="002D791B"/>
    <w:rsid w:val="002D7F20"/>
    <w:rsid w:val="002E021C"/>
    <w:rsid w:val="002E04AE"/>
    <w:rsid w:val="002E16B5"/>
    <w:rsid w:val="002E2504"/>
    <w:rsid w:val="002E2C89"/>
    <w:rsid w:val="002E434E"/>
    <w:rsid w:val="002E5A08"/>
    <w:rsid w:val="002E5DBF"/>
    <w:rsid w:val="002E7BE9"/>
    <w:rsid w:val="002F1740"/>
    <w:rsid w:val="002F23F9"/>
    <w:rsid w:val="002F44A8"/>
    <w:rsid w:val="002F524B"/>
    <w:rsid w:val="002F5AF2"/>
    <w:rsid w:val="002F766A"/>
    <w:rsid w:val="00301F17"/>
    <w:rsid w:val="003026CF"/>
    <w:rsid w:val="003034AB"/>
    <w:rsid w:val="00304BA6"/>
    <w:rsid w:val="003052B0"/>
    <w:rsid w:val="003053B1"/>
    <w:rsid w:val="003064E0"/>
    <w:rsid w:val="003120E0"/>
    <w:rsid w:val="00312FF5"/>
    <w:rsid w:val="0031500F"/>
    <w:rsid w:val="0031641B"/>
    <w:rsid w:val="00317C7E"/>
    <w:rsid w:val="003203FC"/>
    <w:rsid w:val="00321038"/>
    <w:rsid w:val="003213DF"/>
    <w:rsid w:val="00323382"/>
    <w:rsid w:val="00323A19"/>
    <w:rsid w:val="00327AE1"/>
    <w:rsid w:val="003302C2"/>
    <w:rsid w:val="003305C4"/>
    <w:rsid w:val="00332510"/>
    <w:rsid w:val="0033255F"/>
    <w:rsid w:val="003326F1"/>
    <w:rsid w:val="00332BC5"/>
    <w:rsid w:val="003340E1"/>
    <w:rsid w:val="00334855"/>
    <w:rsid w:val="003361DB"/>
    <w:rsid w:val="0033620F"/>
    <w:rsid w:val="00336637"/>
    <w:rsid w:val="003366EF"/>
    <w:rsid w:val="003402DB"/>
    <w:rsid w:val="00342A60"/>
    <w:rsid w:val="00342D99"/>
    <w:rsid w:val="00344FE1"/>
    <w:rsid w:val="00346390"/>
    <w:rsid w:val="00347902"/>
    <w:rsid w:val="003501F8"/>
    <w:rsid w:val="003508DC"/>
    <w:rsid w:val="00350DBA"/>
    <w:rsid w:val="00351896"/>
    <w:rsid w:val="00351F1E"/>
    <w:rsid w:val="003525B7"/>
    <w:rsid w:val="00353181"/>
    <w:rsid w:val="00353FB7"/>
    <w:rsid w:val="0035430D"/>
    <w:rsid w:val="0035466C"/>
    <w:rsid w:val="00354F2F"/>
    <w:rsid w:val="00356075"/>
    <w:rsid w:val="003563A0"/>
    <w:rsid w:val="003573DF"/>
    <w:rsid w:val="00357C7B"/>
    <w:rsid w:val="003606A1"/>
    <w:rsid w:val="0036345B"/>
    <w:rsid w:val="00364EE0"/>
    <w:rsid w:val="0036571D"/>
    <w:rsid w:val="00366747"/>
    <w:rsid w:val="00367576"/>
    <w:rsid w:val="00371990"/>
    <w:rsid w:val="003723A1"/>
    <w:rsid w:val="00373371"/>
    <w:rsid w:val="00373C6B"/>
    <w:rsid w:val="00375652"/>
    <w:rsid w:val="00375FF2"/>
    <w:rsid w:val="003769F7"/>
    <w:rsid w:val="00377786"/>
    <w:rsid w:val="00377CF7"/>
    <w:rsid w:val="00380A54"/>
    <w:rsid w:val="003816DB"/>
    <w:rsid w:val="00382140"/>
    <w:rsid w:val="0038220D"/>
    <w:rsid w:val="003822DE"/>
    <w:rsid w:val="00383243"/>
    <w:rsid w:val="0038426C"/>
    <w:rsid w:val="00384491"/>
    <w:rsid w:val="00384724"/>
    <w:rsid w:val="0038588B"/>
    <w:rsid w:val="0038677A"/>
    <w:rsid w:val="00386B72"/>
    <w:rsid w:val="003914AB"/>
    <w:rsid w:val="00393229"/>
    <w:rsid w:val="00393269"/>
    <w:rsid w:val="00394056"/>
    <w:rsid w:val="003976CD"/>
    <w:rsid w:val="00397774"/>
    <w:rsid w:val="003A2219"/>
    <w:rsid w:val="003A274A"/>
    <w:rsid w:val="003A2D10"/>
    <w:rsid w:val="003A3C72"/>
    <w:rsid w:val="003A3D9D"/>
    <w:rsid w:val="003A421F"/>
    <w:rsid w:val="003A4F98"/>
    <w:rsid w:val="003A5081"/>
    <w:rsid w:val="003A57F0"/>
    <w:rsid w:val="003A69D7"/>
    <w:rsid w:val="003A70BD"/>
    <w:rsid w:val="003A729F"/>
    <w:rsid w:val="003B114A"/>
    <w:rsid w:val="003B1881"/>
    <w:rsid w:val="003B2972"/>
    <w:rsid w:val="003B297B"/>
    <w:rsid w:val="003B40B0"/>
    <w:rsid w:val="003B4344"/>
    <w:rsid w:val="003B5A57"/>
    <w:rsid w:val="003B7F4A"/>
    <w:rsid w:val="003C060D"/>
    <w:rsid w:val="003C0A46"/>
    <w:rsid w:val="003C148E"/>
    <w:rsid w:val="003C1774"/>
    <w:rsid w:val="003C33F9"/>
    <w:rsid w:val="003C38E4"/>
    <w:rsid w:val="003C49A1"/>
    <w:rsid w:val="003C5E19"/>
    <w:rsid w:val="003C7213"/>
    <w:rsid w:val="003C7B9E"/>
    <w:rsid w:val="003C7D0C"/>
    <w:rsid w:val="003D0E1E"/>
    <w:rsid w:val="003D11AC"/>
    <w:rsid w:val="003D1765"/>
    <w:rsid w:val="003D4513"/>
    <w:rsid w:val="003D4EE2"/>
    <w:rsid w:val="003D6E05"/>
    <w:rsid w:val="003E08A1"/>
    <w:rsid w:val="003E22D2"/>
    <w:rsid w:val="003E2A6F"/>
    <w:rsid w:val="003E2F88"/>
    <w:rsid w:val="003E33CA"/>
    <w:rsid w:val="003E3E07"/>
    <w:rsid w:val="003E4589"/>
    <w:rsid w:val="003E71CE"/>
    <w:rsid w:val="003F105C"/>
    <w:rsid w:val="003F1D7D"/>
    <w:rsid w:val="003F2E1F"/>
    <w:rsid w:val="003F3AF6"/>
    <w:rsid w:val="003F53C1"/>
    <w:rsid w:val="0040253D"/>
    <w:rsid w:val="00402D01"/>
    <w:rsid w:val="004034DB"/>
    <w:rsid w:val="00404646"/>
    <w:rsid w:val="004058EE"/>
    <w:rsid w:val="00406B64"/>
    <w:rsid w:val="004102D8"/>
    <w:rsid w:val="00410354"/>
    <w:rsid w:val="00410DBB"/>
    <w:rsid w:val="00411742"/>
    <w:rsid w:val="00413754"/>
    <w:rsid w:val="0041417E"/>
    <w:rsid w:val="0041694C"/>
    <w:rsid w:val="00416BB6"/>
    <w:rsid w:val="00417BA3"/>
    <w:rsid w:val="00417CDA"/>
    <w:rsid w:val="00421DED"/>
    <w:rsid w:val="00422B5F"/>
    <w:rsid w:val="004243EB"/>
    <w:rsid w:val="00425CB6"/>
    <w:rsid w:val="004276FD"/>
    <w:rsid w:val="00430870"/>
    <w:rsid w:val="00431F74"/>
    <w:rsid w:val="00432100"/>
    <w:rsid w:val="00432E6F"/>
    <w:rsid w:val="00433EEC"/>
    <w:rsid w:val="004344D8"/>
    <w:rsid w:val="004420E5"/>
    <w:rsid w:val="0044307B"/>
    <w:rsid w:val="00443AE8"/>
    <w:rsid w:val="00443E0B"/>
    <w:rsid w:val="00443EE1"/>
    <w:rsid w:val="00450117"/>
    <w:rsid w:val="0045054A"/>
    <w:rsid w:val="00450757"/>
    <w:rsid w:val="004520B9"/>
    <w:rsid w:val="004520CD"/>
    <w:rsid w:val="00455FDD"/>
    <w:rsid w:val="00456A19"/>
    <w:rsid w:val="0045765F"/>
    <w:rsid w:val="00460F41"/>
    <w:rsid w:val="004615B8"/>
    <w:rsid w:val="004617FD"/>
    <w:rsid w:val="00466E76"/>
    <w:rsid w:val="00467B5B"/>
    <w:rsid w:val="00467FFE"/>
    <w:rsid w:val="00471CE0"/>
    <w:rsid w:val="00472950"/>
    <w:rsid w:val="00472FA3"/>
    <w:rsid w:val="00473B02"/>
    <w:rsid w:val="00474DD1"/>
    <w:rsid w:val="00475193"/>
    <w:rsid w:val="00476019"/>
    <w:rsid w:val="004843A6"/>
    <w:rsid w:val="00485473"/>
    <w:rsid w:val="004856A1"/>
    <w:rsid w:val="004861EC"/>
    <w:rsid w:val="004879F8"/>
    <w:rsid w:val="00487A3D"/>
    <w:rsid w:val="004907EB"/>
    <w:rsid w:val="00494881"/>
    <w:rsid w:val="00495757"/>
    <w:rsid w:val="0049674C"/>
    <w:rsid w:val="004967D9"/>
    <w:rsid w:val="00496823"/>
    <w:rsid w:val="00496A5C"/>
    <w:rsid w:val="00496E5B"/>
    <w:rsid w:val="004977C6"/>
    <w:rsid w:val="00497B99"/>
    <w:rsid w:val="004A093C"/>
    <w:rsid w:val="004A4B9E"/>
    <w:rsid w:val="004A6F40"/>
    <w:rsid w:val="004A77E8"/>
    <w:rsid w:val="004B1195"/>
    <w:rsid w:val="004B15E0"/>
    <w:rsid w:val="004B4F26"/>
    <w:rsid w:val="004B6326"/>
    <w:rsid w:val="004B6B93"/>
    <w:rsid w:val="004B70EC"/>
    <w:rsid w:val="004B71C8"/>
    <w:rsid w:val="004B76C1"/>
    <w:rsid w:val="004C0E8D"/>
    <w:rsid w:val="004C19D8"/>
    <w:rsid w:val="004C3D25"/>
    <w:rsid w:val="004C6CF4"/>
    <w:rsid w:val="004C7A35"/>
    <w:rsid w:val="004D10AF"/>
    <w:rsid w:val="004D1AAF"/>
    <w:rsid w:val="004D3FD1"/>
    <w:rsid w:val="004D4C8A"/>
    <w:rsid w:val="004D50A5"/>
    <w:rsid w:val="004D58DB"/>
    <w:rsid w:val="004D59AC"/>
    <w:rsid w:val="004D6009"/>
    <w:rsid w:val="004E1A96"/>
    <w:rsid w:val="004E2395"/>
    <w:rsid w:val="004E244A"/>
    <w:rsid w:val="004E25EB"/>
    <w:rsid w:val="004E3F0C"/>
    <w:rsid w:val="004E46D8"/>
    <w:rsid w:val="004E52EA"/>
    <w:rsid w:val="004E5ECA"/>
    <w:rsid w:val="004E7953"/>
    <w:rsid w:val="004E79F9"/>
    <w:rsid w:val="004F080D"/>
    <w:rsid w:val="004F4F85"/>
    <w:rsid w:val="004F566F"/>
    <w:rsid w:val="004F5960"/>
    <w:rsid w:val="004F5BA7"/>
    <w:rsid w:val="004F7661"/>
    <w:rsid w:val="00500309"/>
    <w:rsid w:val="00500816"/>
    <w:rsid w:val="00502D82"/>
    <w:rsid w:val="0050376A"/>
    <w:rsid w:val="00504CFF"/>
    <w:rsid w:val="00505B8C"/>
    <w:rsid w:val="00505F9C"/>
    <w:rsid w:val="00506CEE"/>
    <w:rsid w:val="00507728"/>
    <w:rsid w:val="00510A39"/>
    <w:rsid w:val="005113C5"/>
    <w:rsid w:val="00512CCE"/>
    <w:rsid w:val="00513E40"/>
    <w:rsid w:val="00514CD3"/>
    <w:rsid w:val="00515A63"/>
    <w:rsid w:val="005172E3"/>
    <w:rsid w:val="0051794D"/>
    <w:rsid w:val="005218B0"/>
    <w:rsid w:val="005247DB"/>
    <w:rsid w:val="00524E49"/>
    <w:rsid w:val="00526EAA"/>
    <w:rsid w:val="00527A73"/>
    <w:rsid w:val="00527AB1"/>
    <w:rsid w:val="0053019F"/>
    <w:rsid w:val="0053065B"/>
    <w:rsid w:val="00530E76"/>
    <w:rsid w:val="00531C26"/>
    <w:rsid w:val="00532753"/>
    <w:rsid w:val="00532FBE"/>
    <w:rsid w:val="00533C9A"/>
    <w:rsid w:val="00533EC8"/>
    <w:rsid w:val="00540358"/>
    <w:rsid w:val="00540D2A"/>
    <w:rsid w:val="00541811"/>
    <w:rsid w:val="005424E5"/>
    <w:rsid w:val="00544471"/>
    <w:rsid w:val="005450EF"/>
    <w:rsid w:val="00545168"/>
    <w:rsid w:val="00545554"/>
    <w:rsid w:val="005456DA"/>
    <w:rsid w:val="00546D4D"/>
    <w:rsid w:val="00546D51"/>
    <w:rsid w:val="0056022F"/>
    <w:rsid w:val="005617B9"/>
    <w:rsid w:val="00561E7F"/>
    <w:rsid w:val="00563064"/>
    <w:rsid w:val="00563AE5"/>
    <w:rsid w:val="005647BD"/>
    <w:rsid w:val="0057195B"/>
    <w:rsid w:val="00573445"/>
    <w:rsid w:val="00573962"/>
    <w:rsid w:val="00577CEC"/>
    <w:rsid w:val="00577D1E"/>
    <w:rsid w:val="005813AC"/>
    <w:rsid w:val="00581CAA"/>
    <w:rsid w:val="00582854"/>
    <w:rsid w:val="00583179"/>
    <w:rsid w:val="0058451A"/>
    <w:rsid w:val="00585693"/>
    <w:rsid w:val="00586A0F"/>
    <w:rsid w:val="00587BDC"/>
    <w:rsid w:val="005920BC"/>
    <w:rsid w:val="00596B04"/>
    <w:rsid w:val="00597747"/>
    <w:rsid w:val="00597948"/>
    <w:rsid w:val="005A024D"/>
    <w:rsid w:val="005A07FF"/>
    <w:rsid w:val="005A0A7B"/>
    <w:rsid w:val="005A0C4A"/>
    <w:rsid w:val="005A1ACA"/>
    <w:rsid w:val="005A2CD4"/>
    <w:rsid w:val="005A31F2"/>
    <w:rsid w:val="005A3F47"/>
    <w:rsid w:val="005A5432"/>
    <w:rsid w:val="005A6645"/>
    <w:rsid w:val="005A71A0"/>
    <w:rsid w:val="005B0253"/>
    <w:rsid w:val="005B0677"/>
    <w:rsid w:val="005B1023"/>
    <w:rsid w:val="005B2AB6"/>
    <w:rsid w:val="005B2E74"/>
    <w:rsid w:val="005B5346"/>
    <w:rsid w:val="005B6087"/>
    <w:rsid w:val="005C01E5"/>
    <w:rsid w:val="005C30FF"/>
    <w:rsid w:val="005C3776"/>
    <w:rsid w:val="005C3BB1"/>
    <w:rsid w:val="005C6C46"/>
    <w:rsid w:val="005D0ADD"/>
    <w:rsid w:val="005D0BD3"/>
    <w:rsid w:val="005D1D4F"/>
    <w:rsid w:val="005D32D3"/>
    <w:rsid w:val="005D4AB4"/>
    <w:rsid w:val="005D6400"/>
    <w:rsid w:val="005E0C0E"/>
    <w:rsid w:val="005E16C9"/>
    <w:rsid w:val="005E1F8D"/>
    <w:rsid w:val="005E35BB"/>
    <w:rsid w:val="005E524E"/>
    <w:rsid w:val="005E59C7"/>
    <w:rsid w:val="005E7D6E"/>
    <w:rsid w:val="005E7E51"/>
    <w:rsid w:val="005F110D"/>
    <w:rsid w:val="005F2372"/>
    <w:rsid w:val="005F276F"/>
    <w:rsid w:val="005F3515"/>
    <w:rsid w:val="005F370B"/>
    <w:rsid w:val="005F3F63"/>
    <w:rsid w:val="005F5ABA"/>
    <w:rsid w:val="005F6199"/>
    <w:rsid w:val="005F7261"/>
    <w:rsid w:val="005F7D4E"/>
    <w:rsid w:val="0060082E"/>
    <w:rsid w:val="00600D2F"/>
    <w:rsid w:val="0060151B"/>
    <w:rsid w:val="0060238C"/>
    <w:rsid w:val="00606203"/>
    <w:rsid w:val="00606228"/>
    <w:rsid w:val="0060641D"/>
    <w:rsid w:val="00607525"/>
    <w:rsid w:val="00607916"/>
    <w:rsid w:val="00607AF7"/>
    <w:rsid w:val="0061043C"/>
    <w:rsid w:val="0061092C"/>
    <w:rsid w:val="00611707"/>
    <w:rsid w:val="00611D51"/>
    <w:rsid w:val="00611E41"/>
    <w:rsid w:val="006125D3"/>
    <w:rsid w:val="00617453"/>
    <w:rsid w:val="00617868"/>
    <w:rsid w:val="00621063"/>
    <w:rsid w:val="00622A6D"/>
    <w:rsid w:val="00622FBC"/>
    <w:rsid w:val="00623BCD"/>
    <w:rsid w:val="00624043"/>
    <w:rsid w:val="00624684"/>
    <w:rsid w:val="00625371"/>
    <w:rsid w:val="00633373"/>
    <w:rsid w:val="00635DE1"/>
    <w:rsid w:val="00636132"/>
    <w:rsid w:val="006376B8"/>
    <w:rsid w:val="0064197F"/>
    <w:rsid w:val="0064232A"/>
    <w:rsid w:val="00642486"/>
    <w:rsid w:val="00642B2C"/>
    <w:rsid w:val="00643FF2"/>
    <w:rsid w:val="006555EA"/>
    <w:rsid w:val="00660B91"/>
    <w:rsid w:val="00661E0F"/>
    <w:rsid w:val="006643FA"/>
    <w:rsid w:val="00671A51"/>
    <w:rsid w:val="00672016"/>
    <w:rsid w:val="0067226D"/>
    <w:rsid w:val="0067258B"/>
    <w:rsid w:val="006734CF"/>
    <w:rsid w:val="00673B7A"/>
    <w:rsid w:val="00674E74"/>
    <w:rsid w:val="006753C6"/>
    <w:rsid w:val="00676499"/>
    <w:rsid w:val="00676638"/>
    <w:rsid w:val="00676E79"/>
    <w:rsid w:val="006820DB"/>
    <w:rsid w:val="0068304E"/>
    <w:rsid w:val="0068782F"/>
    <w:rsid w:val="00687863"/>
    <w:rsid w:val="0069008D"/>
    <w:rsid w:val="006900C3"/>
    <w:rsid w:val="006903A6"/>
    <w:rsid w:val="006918E9"/>
    <w:rsid w:val="00694111"/>
    <w:rsid w:val="00694553"/>
    <w:rsid w:val="006963B0"/>
    <w:rsid w:val="006973C0"/>
    <w:rsid w:val="00697925"/>
    <w:rsid w:val="00697C99"/>
    <w:rsid w:val="00697FA9"/>
    <w:rsid w:val="006A0218"/>
    <w:rsid w:val="006A07C0"/>
    <w:rsid w:val="006A1595"/>
    <w:rsid w:val="006A3CC6"/>
    <w:rsid w:val="006A3E1E"/>
    <w:rsid w:val="006A3F21"/>
    <w:rsid w:val="006A42D8"/>
    <w:rsid w:val="006A682C"/>
    <w:rsid w:val="006B09AE"/>
    <w:rsid w:val="006B0A69"/>
    <w:rsid w:val="006B19DB"/>
    <w:rsid w:val="006B3AFB"/>
    <w:rsid w:val="006B492B"/>
    <w:rsid w:val="006B49DB"/>
    <w:rsid w:val="006B62DD"/>
    <w:rsid w:val="006B6610"/>
    <w:rsid w:val="006B6A05"/>
    <w:rsid w:val="006C129A"/>
    <w:rsid w:val="006C15FA"/>
    <w:rsid w:val="006C4A1C"/>
    <w:rsid w:val="006C543A"/>
    <w:rsid w:val="006C7988"/>
    <w:rsid w:val="006C7E07"/>
    <w:rsid w:val="006D038C"/>
    <w:rsid w:val="006D25F6"/>
    <w:rsid w:val="006E2646"/>
    <w:rsid w:val="006E33B0"/>
    <w:rsid w:val="006E3614"/>
    <w:rsid w:val="006E462F"/>
    <w:rsid w:val="006E4DCD"/>
    <w:rsid w:val="006E6170"/>
    <w:rsid w:val="006F03F0"/>
    <w:rsid w:val="006F0E37"/>
    <w:rsid w:val="006F1B7F"/>
    <w:rsid w:val="006F25B7"/>
    <w:rsid w:val="006F293C"/>
    <w:rsid w:val="006F3707"/>
    <w:rsid w:val="006F380C"/>
    <w:rsid w:val="006F4069"/>
    <w:rsid w:val="006F43D3"/>
    <w:rsid w:val="006F519A"/>
    <w:rsid w:val="00700760"/>
    <w:rsid w:val="007008BA"/>
    <w:rsid w:val="007046C1"/>
    <w:rsid w:val="007050DB"/>
    <w:rsid w:val="0070657F"/>
    <w:rsid w:val="00706F9B"/>
    <w:rsid w:val="00712908"/>
    <w:rsid w:val="007131BB"/>
    <w:rsid w:val="00713A0F"/>
    <w:rsid w:val="00715DC1"/>
    <w:rsid w:val="00716F61"/>
    <w:rsid w:val="007176CC"/>
    <w:rsid w:val="00720DDE"/>
    <w:rsid w:val="007222A7"/>
    <w:rsid w:val="0072238E"/>
    <w:rsid w:val="00722B84"/>
    <w:rsid w:val="007238C9"/>
    <w:rsid w:val="00723923"/>
    <w:rsid w:val="00723C9F"/>
    <w:rsid w:val="0072602F"/>
    <w:rsid w:val="007262FE"/>
    <w:rsid w:val="00727986"/>
    <w:rsid w:val="00730E43"/>
    <w:rsid w:val="00731264"/>
    <w:rsid w:val="00732094"/>
    <w:rsid w:val="00735F7D"/>
    <w:rsid w:val="00740595"/>
    <w:rsid w:val="00740D43"/>
    <w:rsid w:val="0074119F"/>
    <w:rsid w:val="00742FD3"/>
    <w:rsid w:val="007430DF"/>
    <w:rsid w:val="007432CC"/>
    <w:rsid w:val="00743395"/>
    <w:rsid w:val="007434B8"/>
    <w:rsid w:val="00743819"/>
    <w:rsid w:val="0074603A"/>
    <w:rsid w:val="00746CBF"/>
    <w:rsid w:val="007474E7"/>
    <w:rsid w:val="00747B03"/>
    <w:rsid w:val="0075127A"/>
    <w:rsid w:val="00751668"/>
    <w:rsid w:val="007519B9"/>
    <w:rsid w:val="00751A5F"/>
    <w:rsid w:val="00753409"/>
    <w:rsid w:val="00755A06"/>
    <w:rsid w:val="00757D75"/>
    <w:rsid w:val="00760649"/>
    <w:rsid w:val="00760F4B"/>
    <w:rsid w:val="00761B4D"/>
    <w:rsid w:val="007625DB"/>
    <w:rsid w:val="0076354D"/>
    <w:rsid w:val="007646CD"/>
    <w:rsid w:val="0076497F"/>
    <w:rsid w:val="007652A6"/>
    <w:rsid w:val="007663E3"/>
    <w:rsid w:val="00767575"/>
    <w:rsid w:val="00772038"/>
    <w:rsid w:val="00772DE1"/>
    <w:rsid w:val="007748D6"/>
    <w:rsid w:val="00775E71"/>
    <w:rsid w:val="00775EB0"/>
    <w:rsid w:val="00780656"/>
    <w:rsid w:val="0078293B"/>
    <w:rsid w:val="00785075"/>
    <w:rsid w:val="00785A42"/>
    <w:rsid w:val="00787E7E"/>
    <w:rsid w:val="0079075E"/>
    <w:rsid w:val="00791EB6"/>
    <w:rsid w:val="00793418"/>
    <w:rsid w:val="00793D0D"/>
    <w:rsid w:val="00795267"/>
    <w:rsid w:val="00795953"/>
    <w:rsid w:val="00796F89"/>
    <w:rsid w:val="007A2CF3"/>
    <w:rsid w:val="007A3A1D"/>
    <w:rsid w:val="007A4A2C"/>
    <w:rsid w:val="007A4ECC"/>
    <w:rsid w:val="007A50AE"/>
    <w:rsid w:val="007A5CDE"/>
    <w:rsid w:val="007A63B0"/>
    <w:rsid w:val="007B1604"/>
    <w:rsid w:val="007B2FEE"/>
    <w:rsid w:val="007B3A90"/>
    <w:rsid w:val="007B4682"/>
    <w:rsid w:val="007B46DA"/>
    <w:rsid w:val="007B5399"/>
    <w:rsid w:val="007B6C6C"/>
    <w:rsid w:val="007B709D"/>
    <w:rsid w:val="007C07FE"/>
    <w:rsid w:val="007C24D4"/>
    <w:rsid w:val="007C2C7C"/>
    <w:rsid w:val="007C52CD"/>
    <w:rsid w:val="007C5697"/>
    <w:rsid w:val="007C6EFE"/>
    <w:rsid w:val="007C7192"/>
    <w:rsid w:val="007C7585"/>
    <w:rsid w:val="007C7612"/>
    <w:rsid w:val="007D1058"/>
    <w:rsid w:val="007D4895"/>
    <w:rsid w:val="007D5083"/>
    <w:rsid w:val="007D72A8"/>
    <w:rsid w:val="007D730B"/>
    <w:rsid w:val="007E0986"/>
    <w:rsid w:val="007E0AFD"/>
    <w:rsid w:val="007E21A5"/>
    <w:rsid w:val="007E46F1"/>
    <w:rsid w:val="007E553C"/>
    <w:rsid w:val="007E5A3C"/>
    <w:rsid w:val="007E5DF3"/>
    <w:rsid w:val="007E7ED6"/>
    <w:rsid w:val="007F0213"/>
    <w:rsid w:val="007F089A"/>
    <w:rsid w:val="007F0D02"/>
    <w:rsid w:val="007F1149"/>
    <w:rsid w:val="007F2543"/>
    <w:rsid w:val="007F2C32"/>
    <w:rsid w:val="007F3183"/>
    <w:rsid w:val="007F4E3B"/>
    <w:rsid w:val="007F5662"/>
    <w:rsid w:val="007F7C8A"/>
    <w:rsid w:val="00802282"/>
    <w:rsid w:val="00805016"/>
    <w:rsid w:val="0080736D"/>
    <w:rsid w:val="00807AFA"/>
    <w:rsid w:val="00813455"/>
    <w:rsid w:val="00813B05"/>
    <w:rsid w:val="008157EB"/>
    <w:rsid w:val="008163DB"/>
    <w:rsid w:val="00816427"/>
    <w:rsid w:val="008222E5"/>
    <w:rsid w:val="00823937"/>
    <w:rsid w:val="00826F2D"/>
    <w:rsid w:val="00832215"/>
    <w:rsid w:val="008330ED"/>
    <w:rsid w:val="008332A1"/>
    <w:rsid w:val="00833821"/>
    <w:rsid w:val="0083479E"/>
    <w:rsid w:val="00835D75"/>
    <w:rsid w:val="0083723D"/>
    <w:rsid w:val="008406F3"/>
    <w:rsid w:val="00840973"/>
    <w:rsid w:val="00841F4B"/>
    <w:rsid w:val="00842850"/>
    <w:rsid w:val="00846059"/>
    <w:rsid w:val="0084659D"/>
    <w:rsid w:val="0085051A"/>
    <w:rsid w:val="0085378C"/>
    <w:rsid w:val="00855863"/>
    <w:rsid w:val="00857CBC"/>
    <w:rsid w:val="008630BE"/>
    <w:rsid w:val="008654B5"/>
    <w:rsid w:val="00865B18"/>
    <w:rsid w:val="008717FF"/>
    <w:rsid w:val="00871EBB"/>
    <w:rsid w:val="00881347"/>
    <w:rsid w:val="00884DBE"/>
    <w:rsid w:val="0088538E"/>
    <w:rsid w:val="00885517"/>
    <w:rsid w:val="0088770D"/>
    <w:rsid w:val="00890107"/>
    <w:rsid w:val="0089063D"/>
    <w:rsid w:val="00890E29"/>
    <w:rsid w:val="00892298"/>
    <w:rsid w:val="00892359"/>
    <w:rsid w:val="00893446"/>
    <w:rsid w:val="00893F81"/>
    <w:rsid w:val="00896284"/>
    <w:rsid w:val="0089645D"/>
    <w:rsid w:val="00896CAC"/>
    <w:rsid w:val="0089728C"/>
    <w:rsid w:val="008972C6"/>
    <w:rsid w:val="00897720"/>
    <w:rsid w:val="008A1CEE"/>
    <w:rsid w:val="008A269B"/>
    <w:rsid w:val="008A2976"/>
    <w:rsid w:val="008A32D4"/>
    <w:rsid w:val="008A3713"/>
    <w:rsid w:val="008A6F1A"/>
    <w:rsid w:val="008A74E6"/>
    <w:rsid w:val="008A7594"/>
    <w:rsid w:val="008A78E4"/>
    <w:rsid w:val="008A7F6B"/>
    <w:rsid w:val="008B03BE"/>
    <w:rsid w:val="008B15A2"/>
    <w:rsid w:val="008B1E78"/>
    <w:rsid w:val="008B2334"/>
    <w:rsid w:val="008B353D"/>
    <w:rsid w:val="008B363F"/>
    <w:rsid w:val="008B3799"/>
    <w:rsid w:val="008B4215"/>
    <w:rsid w:val="008B4C1D"/>
    <w:rsid w:val="008B4DC1"/>
    <w:rsid w:val="008B5003"/>
    <w:rsid w:val="008B57F1"/>
    <w:rsid w:val="008B5CCD"/>
    <w:rsid w:val="008C0EF9"/>
    <w:rsid w:val="008C2F98"/>
    <w:rsid w:val="008C31E6"/>
    <w:rsid w:val="008C3A1F"/>
    <w:rsid w:val="008C3CFE"/>
    <w:rsid w:val="008C53C2"/>
    <w:rsid w:val="008C74A9"/>
    <w:rsid w:val="008D17A0"/>
    <w:rsid w:val="008D2580"/>
    <w:rsid w:val="008D472D"/>
    <w:rsid w:val="008D696D"/>
    <w:rsid w:val="008D69D1"/>
    <w:rsid w:val="008D6BE8"/>
    <w:rsid w:val="008E195E"/>
    <w:rsid w:val="008E276B"/>
    <w:rsid w:val="008E2C86"/>
    <w:rsid w:val="008E2CF2"/>
    <w:rsid w:val="008E2F22"/>
    <w:rsid w:val="008E41ED"/>
    <w:rsid w:val="008E54A6"/>
    <w:rsid w:val="008E5861"/>
    <w:rsid w:val="008E6429"/>
    <w:rsid w:val="008E734C"/>
    <w:rsid w:val="008F1204"/>
    <w:rsid w:val="008F1BEC"/>
    <w:rsid w:val="008F3FE3"/>
    <w:rsid w:val="008F451C"/>
    <w:rsid w:val="008F68D0"/>
    <w:rsid w:val="008F6B00"/>
    <w:rsid w:val="008F7BD2"/>
    <w:rsid w:val="008F7CA0"/>
    <w:rsid w:val="008F7E16"/>
    <w:rsid w:val="00901C65"/>
    <w:rsid w:val="00902220"/>
    <w:rsid w:val="00902FBD"/>
    <w:rsid w:val="0090328E"/>
    <w:rsid w:val="009036FA"/>
    <w:rsid w:val="009052FA"/>
    <w:rsid w:val="009110BC"/>
    <w:rsid w:val="00912954"/>
    <w:rsid w:val="00913BF0"/>
    <w:rsid w:val="00916362"/>
    <w:rsid w:val="009164AE"/>
    <w:rsid w:val="00917FA0"/>
    <w:rsid w:val="00920075"/>
    <w:rsid w:val="009207C0"/>
    <w:rsid w:val="00921CFF"/>
    <w:rsid w:val="00922498"/>
    <w:rsid w:val="009227DE"/>
    <w:rsid w:val="00922884"/>
    <w:rsid w:val="0092531D"/>
    <w:rsid w:val="00926184"/>
    <w:rsid w:val="00933006"/>
    <w:rsid w:val="00933F88"/>
    <w:rsid w:val="00934A95"/>
    <w:rsid w:val="00936232"/>
    <w:rsid w:val="009366DE"/>
    <w:rsid w:val="00937112"/>
    <w:rsid w:val="00940DD7"/>
    <w:rsid w:val="00941233"/>
    <w:rsid w:val="00941394"/>
    <w:rsid w:val="0094164A"/>
    <w:rsid w:val="00944EAF"/>
    <w:rsid w:val="009453F2"/>
    <w:rsid w:val="00945AA2"/>
    <w:rsid w:val="00947A3F"/>
    <w:rsid w:val="00950360"/>
    <w:rsid w:val="00950DB1"/>
    <w:rsid w:val="00952414"/>
    <w:rsid w:val="00952572"/>
    <w:rsid w:val="0095308B"/>
    <w:rsid w:val="0095425E"/>
    <w:rsid w:val="009618B0"/>
    <w:rsid w:val="00963141"/>
    <w:rsid w:val="00964953"/>
    <w:rsid w:val="00971045"/>
    <w:rsid w:val="00971588"/>
    <w:rsid w:val="009716C9"/>
    <w:rsid w:val="00971F30"/>
    <w:rsid w:val="00973165"/>
    <w:rsid w:val="0097382A"/>
    <w:rsid w:val="009753A0"/>
    <w:rsid w:val="00976B71"/>
    <w:rsid w:val="00976CF9"/>
    <w:rsid w:val="00977528"/>
    <w:rsid w:val="00983167"/>
    <w:rsid w:val="00984E54"/>
    <w:rsid w:val="00985EFC"/>
    <w:rsid w:val="00986E67"/>
    <w:rsid w:val="009877C5"/>
    <w:rsid w:val="00987997"/>
    <w:rsid w:val="009907D4"/>
    <w:rsid w:val="0099147F"/>
    <w:rsid w:val="00991A02"/>
    <w:rsid w:val="0099233A"/>
    <w:rsid w:val="00992D1E"/>
    <w:rsid w:val="0099425D"/>
    <w:rsid w:val="0099607D"/>
    <w:rsid w:val="009975BA"/>
    <w:rsid w:val="009A3E45"/>
    <w:rsid w:val="009A6917"/>
    <w:rsid w:val="009B09F1"/>
    <w:rsid w:val="009B1E08"/>
    <w:rsid w:val="009B214D"/>
    <w:rsid w:val="009B3ADE"/>
    <w:rsid w:val="009B3B96"/>
    <w:rsid w:val="009B6F3E"/>
    <w:rsid w:val="009C01D3"/>
    <w:rsid w:val="009C0353"/>
    <w:rsid w:val="009C0D0B"/>
    <w:rsid w:val="009C1AF5"/>
    <w:rsid w:val="009C33EA"/>
    <w:rsid w:val="009C7346"/>
    <w:rsid w:val="009D1254"/>
    <w:rsid w:val="009D3784"/>
    <w:rsid w:val="009D4CBB"/>
    <w:rsid w:val="009D4DC6"/>
    <w:rsid w:val="009D50C9"/>
    <w:rsid w:val="009D5C93"/>
    <w:rsid w:val="009E2A40"/>
    <w:rsid w:val="009E2F06"/>
    <w:rsid w:val="009E51FF"/>
    <w:rsid w:val="009E7294"/>
    <w:rsid w:val="009F1FDC"/>
    <w:rsid w:val="009F3B18"/>
    <w:rsid w:val="009F3C83"/>
    <w:rsid w:val="009F3F33"/>
    <w:rsid w:val="009F672F"/>
    <w:rsid w:val="009F699D"/>
    <w:rsid w:val="009F6B5D"/>
    <w:rsid w:val="009F7B99"/>
    <w:rsid w:val="00A0627C"/>
    <w:rsid w:val="00A065E3"/>
    <w:rsid w:val="00A06A6D"/>
    <w:rsid w:val="00A06A74"/>
    <w:rsid w:val="00A10703"/>
    <w:rsid w:val="00A11428"/>
    <w:rsid w:val="00A12191"/>
    <w:rsid w:val="00A12FCC"/>
    <w:rsid w:val="00A137A2"/>
    <w:rsid w:val="00A14F50"/>
    <w:rsid w:val="00A20B46"/>
    <w:rsid w:val="00A20F23"/>
    <w:rsid w:val="00A2305C"/>
    <w:rsid w:val="00A23192"/>
    <w:rsid w:val="00A25C43"/>
    <w:rsid w:val="00A25FEE"/>
    <w:rsid w:val="00A260A9"/>
    <w:rsid w:val="00A2783D"/>
    <w:rsid w:val="00A27B67"/>
    <w:rsid w:val="00A35135"/>
    <w:rsid w:val="00A35460"/>
    <w:rsid w:val="00A35B9B"/>
    <w:rsid w:val="00A43074"/>
    <w:rsid w:val="00A46E1C"/>
    <w:rsid w:val="00A5139A"/>
    <w:rsid w:val="00A51677"/>
    <w:rsid w:val="00A5189C"/>
    <w:rsid w:val="00A52113"/>
    <w:rsid w:val="00A52423"/>
    <w:rsid w:val="00A5278B"/>
    <w:rsid w:val="00A5305F"/>
    <w:rsid w:val="00A54819"/>
    <w:rsid w:val="00A551C0"/>
    <w:rsid w:val="00A55718"/>
    <w:rsid w:val="00A5593D"/>
    <w:rsid w:val="00A56A44"/>
    <w:rsid w:val="00A57F7D"/>
    <w:rsid w:val="00A60C67"/>
    <w:rsid w:val="00A60C81"/>
    <w:rsid w:val="00A620F8"/>
    <w:rsid w:val="00A62D35"/>
    <w:rsid w:val="00A64F00"/>
    <w:rsid w:val="00A656F6"/>
    <w:rsid w:val="00A674E1"/>
    <w:rsid w:val="00A675CD"/>
    <w:rsid w:val="00A71256"/>
    <w:rsid w:val="00A71790"/>
    <w:rsid w:val="00A71F1D"/>
    <w:rsid w:val="00A72C19"/>
    <w:rsid w:val="00A7615C"/>
    <w:rsid w:val="00A76DC6"/>
    <w:rsid w:val="00A77507"/>
    <w:rsid w:val="00A77A31"/>
    <w:rsid w:val="00A80020"/>
    <w:rsid w:val="00A807DE"/>
    <w:rsid w:val="00A81403"/>
    <w:rsid w:val="00A81DBB"/>
    <w:rsid w:val="00A8224C"/>
    <w:rsid w:val="00A834A3"/>
    <w:rsid w:val="00A900D0"/>
    <w:rsid w:val="00A925F9"/>
    <w:rsid w:val="00A93429"/>
    <w:rsid w:val="00A95343"/>
    <w:rsid w:val="00A9546B"/>
    <w:rsid w:val="00A95A40"/>
    <w:rsid w:val="00A96EEE"/>
    <w:rsid w:val="00A9789B"/>
    <w:rsid w:val="00AA1CFA"/>
    <w:rsid w:val="00AA3DE3"/>
    <w:rsid w:val="00AB002A"/>
    <w:rsid w:val="00AB407F"/>
    <w:rsid w:val="00AB5D53"/>
    <w:rsid w:val="00AB663E"/>
    <w:rsid w:val="00AC0448"/>
    <w:rsid w:val="00AC1602"/>
    <w:rsid w:val="00AC1BB8"/>
    <w:rsid w:val="00AC2753"/>
    <w:rsid w:val="00AC31E0"/>
    <w:rsid w:val="00AC3E84"/>
    <w:rsid w:val="00AC42DB"/>
    <w:rsid w:val="00AC696A"/>
    <w:rsid w:val="00AD0525"/>
    <w:rsid w:val="00AD2BF2"/>
    <w:rsid w:val="00AD45E2"/>
    <w:rsid w:val="00AD5111"/>
    <w:rsid w:val="00AD59F0"/>
    <w:rsid w:val="00AD5CC0"/>
    <w:rsid w:val="00AD710D"/>
    <w:rsid w:val="00AE0B2E"/>
    <w:rsid w:val="00AE0BEF"/>
    <w:rsid w:val="00AE3A9E"/>
    <w:rsid w:val="00AE44E8"/>
    <w:rsid w:val="00AE4F63"/>
    <w:rsid w:val="00AE5267"/>
    <w:rsid w:val="00AE5990"/>
    <w:rsid w:val="00AE709A"/>
    <w:rsid w:val="00AE7D07"/>
    <w:rsid w:val="00AF386E"/>
    <w:rsid w:val="00AF7D5C"/>
    <w:rsid w:val="00AF7F57"/>
    <w:rsid w:val="00B0010D"/>
    <w:rsid w:val="00B022E0"/>
    <w:rsid w:val="00B03EB8"/>
    <w:rsid w:val="00B04850"/>
    <w:rsid w:val="00B0521B"/>
    <w:rsid w:val="00B05475"/>
    <w:rsid w:val="00B05CEF"/>
    <w:rsid w:val="00B06C1E"/>
    <w:rsid w:val="00B06DD8"/>
    <w:rsid w:val="00B11D66"/>
    <w:rsid w:val="00B149DF"/>
    <w:rsid w:val="00B218BD"/>
    <w:rsid w:val="00B229B6"/>
    <w:rsid w:val="00B22DEA"/>
    <w:rsid w:val="00B2577D"/>
    <w:rsid w:val="00B27262"/>
    <w:rsid w:val="00B30A58"/>
    <w:rsid w:val="00B32A58"/>
    <w:rsid w:val="00B34F55"/>
    <w:rsid w:val="00B358DC"/>
    <w:rsid w:val="00B35D0C"/>
    <w:rsid w:val="00B363E2"/>
    <w:rsid w:val="00B40A5F"/>
    <w:rsid w:val="00B414E7"/>
    <w:rsid w:val="00B42615"/>
    <w:rsid w:val="00B45894"/>
    <w:rsid w:val="00B4705D"/>
    <w:rsid w:val="00B506CE"/>
    <w:rsid w:val="00B50D7E"/>
    <w:rsid w:val="00B50FE5"/>
    <w:rsid w:val="00B51C53"/>
    <w:rsid w:val="00B5218A"/>
    <w:rsid w:val="00B622C2"/>
    <w:rsid w:val="00B62DE1"/>
    <w:rsid w:val="00B62E67"/>
    <w:rsid w:val="00B63E0E"/>
    <w:rsid w:val="00B64B9F"/>
    <w:rsid w:val="00B6503E"/>
    <w:rsid w:val="00B65314"/>
    <w:rsid w:val="00B65D7E"/>
    <w:rsid w:val="00B709FF"/>
    <w:rsid w:val="00B71111"/>
    <w:rsid w:val="00B716D0"/>
    <w:rsid w:val="00B73244"/>
    <w:rsid w:val="00B74AF2"/>
    <w:rsid w:val="00B755E0"/>
    <w:rsid w:val="00B75EAB"/>
    <w:rsid w:val="00B814D5"/>
    <w:rsid w:val="00B84779"/>
    <w:rsid w:val="00B8575E"/>
    <w:rsid w:val="00B87D1C"/>
    <w:rsid w:val="00B9357F"/>
    <w:rsid w:val="00B94183"/>
    <w:rsid w:val="00B95437"/>
    <w:rsid w:val="00B95D42"/>
    <w:rsid w:val="00B968B3"/>
    <w:rsid w:val="00B97117"/>
    <w:rsid w:val="00B97EBF"/>
    <w:rsid w:val="00BA25DD"/>
    <w:rsid w:val="00BA3526"/>
    <w:rsid w:val="00BA35B9"/>
    <w:rsid w:val="00BA3AA9"/>
    <w:rsid w:val="00BA57EB"/>
    <w:rsid w:val="00BA6713"/>
    <w:rsid w:val="00BB0418"/>
    <w:rsid w:val="00BB09B0"/>
    <w:rsid w:val="00BB0E1B"/>
    <w:rsid w:val="00BB143A"/>
    <w:rsid w:val="00BB1551"/>
    <w:rsid w:val="00BB1711"/>
    <w:rsid w:val="00BB2C96"/>
    <w:rsid w:val="00BB32CD"/>
    <w:rsid w:val="00BB6425"/>
    <w:rsid w:val="00BC0026"/>
    <w:rsid w:val="00BC1C04"/>
    <w:rsid w:val="00BC1C64"/>
    <w:rsid w:val="00BC1E94"/>
    <w:rsid w:val="00BC2CDD"/>
    <w:rsid w:val="00BC32D5"/>
    <w:rsid w:val="00BC3F1F"/>
    <w:rsid w:val="00BC42CD"/>
    <w:rsid w:val="00BC5F3A"/>
    <w:rsid w:val="00BC73F9"/>
    <w:rsid w:val="00BC7ED3"/>
    <w:rsid w:val="00BD0CCE"/>
    <w:rsid w:val="00BD1204"/>
    <w:rsid w:val="00BD3E21"/>
    <w:rsid w:val="00BD5F84"/>
    <w:rsid w:val="00BD6789"/>
    <w:rsid w:val="00BD7E52"/>
    <w:rsid w:val="00BE105E"/>
    <w:rsid w:val="00BE1C37"/>
    <w:rsid w:val="00BE1DC8"/>
    <w:rsid w:val="00BE280B"/>
    <w:rsid w:val="00BE2851"/>
    <w:rsid w:val="00BE2F73"/>
    <w:rsid w:val="00BE3454"/>
    <w:rsid w:val="00BE4C60"/>
    <w:rsid w:val="00BE585B"/>
    <w:rsid w:val="00BE6B91"/>
    <w:rsid w:val="00BE7ABD"/>
    <w:rsid w:val="00BF0658"/>
    <w:rsid w:val="00BF134C"/>
    <w:rsid w:val="00BF1D97"/>
    <w:rsid w:val="00BF31D6"/>
    <w:rsid w:val="00BF576A"/>
    <w:rsid w:val="00BF5FC0"/>
    <w:rsid w:val="00BF65E6"/>
    <w:rsid w:val="00BF70C4"/>
    <w:rsid w:val="00C0003D"/>
    <w:rsid w:val="00C00275"/>
    <w:rsid w:val="00C01C96"/>
    <w:rsid w:val="00C027EC"/>
    <w:rsid w:val="00C02E4B"/>
    <w:rsid w:val="00C042E9"/>
    <w:rsid w:val="00C04DC1"/>
    <w:rsid w:val="00C0630A"/>
    <w:rsid w:val="00C0685B"/>
    <w:rsid w:val="00C06BC3"/>
    <w:rsid w:val="00C11720"/>
    <w:rsid w:val="00C13CA9"/>
    <w:rsid w:val="00C163DB"/>
    <w:rsid w:val="00C173D8"/>
    <w:rsid w:val="00C202C5"/>
    <w:rsid w:val="00C20E38"/>
    <w:rsid w:val="00C20E4C"/>
    <w:rsid w:val="00C24528"/>
    <w:rsid w:val="00C252A5"/>
    <w:rsid w:val="00C25BCC"/>
    <w:rsid w:val="00C26AD4"/>
    <w:rsid w:val="00C3007B"/>
    <w:rsid w:val="00C30A05"/>
    <w:rsid w:val="00C3181A"/>
    <w:rsid w:val="00C32050"/>
    <w:rsid w:val="00C33DB1"/>
    <w:rsid w:val="00C36DF6"/>
    <w:rsid w:val="00C401DB"/>
    <w:rsid w:val="00C401F7"/>
    <w:rsid w:val="00C42485"/>
    <w:rsid w:val="00C43B49"/>
    <w:rsid w:val="00C43BA3"/>
    <w:rsid w:val="00C43E0E"/>
    <w:rsid w:val="00C4484A"/>
    <w:rsid w:val="00C4489B"/>
    <w:rsid w:val="00C4582C"/>
    <w:rsid w:val="00C46413"/>
    <w:rsid w:val="00C4786D"/>
    <w:rsid w:val="00C47DA7"/>
    <w:rsid w:val="00C50277"/>
    <w:rsid w:val="00C50EC5"/>
    <w:rsid w:val="00C52010"/>
    <w:rsid w:val="00C52568"/>
    <w:rsid w:val="00C529F7"/>
    <w:rsid w:val="00C534DF"/>
    <w:rsid w:val="00C53F6E"/>
    <w:rsid w:val="00C55545"/>
    <w:rsid w:val="00C558BF"/>
    <w:rsid w:val="00C55A20"/>
    <w:rsid w:val="00C55A2E"/>
    <w:rsid w:val="00C55E1D"/>
    <w:rsid w:val="00C57636"/>
    <w:rsid w:val="00C602C1"/>
    <w:rsid w:val="00C607C7"/>
    <w:rsid w:val="00C60814"/>
    <w:rsid w:val="00C60DDA"/>
    <w:rsid w:val="00C62278"/>
    <w:rsid w:val="00C6558D"/>
    <w:rsid w:val="00C65A94"/>
    <w:rsid w:val="00C65B14"/>
    <w:rsid w:val="00C660DD"/>
    <w:rsid w:val="00C677BE"/>
    <w:rsid w:val="00C702CB"/>
    <w:rsid w:val="00C711D4"/>
    <w:rsid w:val="00C713C1"/>
    <w:rsid w:val="00C7284A"/>
    <w:rsid w:val="00C72995"/>
    <w:rsid w:val="00C73B12"/>
    <w:rsid w:val="00C7460C"/>
    <w:rsid w:val="00C76C99"/>
    <w:rsid w:val="00C80F47"/>
    <w:rsid w:val="00C82E9E"/>
    <w:rsid w:val="00C84EC6"/>
    <w:rsid w:val="00C85A6D"/>
    <w:rsid w:val="00C8652F"/>
    <w:rsid w:val="00C870BF"/>
    <w:rsid w:val="00C90349"/>
    <w:rsid w:val="00C91CF6"/>
    <w:rsid w:val="00C91D89"/>
    <w:rsid w:val="00C92F05"/>
    <w:rsid w:val="00C94E26"/>
    <w:rsid w:val="00C969A9"/>
    <w:rsid w:val="00CA134A"/>
    <w:rsid w:val="00CA13B8"/>
    <w:rsid w:val="00CA22BE"/>
    <w:rsid w:val="00CA2478"/>
    <w:rsid w:val="00CA2A7A"/>
    <w:rsid w:val="00CA6882"/>
    <w:rsid w:val="00CA7B8C"/>
    <w:rsid w:val="00CB01E5"/>
    <w:rsid w:val="00CB247B"/>
    <w:rsid w:val="00CB336E"/>
    <w:rsid w:val="00CB514D"/>
    <w:rsid w:val="00CB674D"/>
    <w:rsid w:val="00CB69D6"/>
    <w:rsid w:val="00CB6C98"/>
    <w:rsid w:val="00CB7B8A"/>
    <w:rsid w:val="00CC0275"/>
    <w:rsid w:val="00CC033C"/>
    <w:rsid w:val="00CC231F"/>
    <w:rsid w:val="00CC4606"/>
    <w:rsid w:val="00CC4B41"/>
    <w:rsid w:val="00CC6360"/>
    <w:rsid w:val="00CC6BE0"/>
    <w:rsid w:val="00CC6D7E"/>
    <w:rsid w:val="00CC79ED"/>
    <w:rsid w:val="00CD02B5"/>
    <w:rsid w:val="00CD098D"/>
    <w:rsid w:val="00CD2194"/>
    <w:rsid w:val="00CD4617"/>
    <w:rsid w:val="00CD5A3E"/>
    <w:rsid w:val="00CD7AD8"/>
    <w:rsid w:val="00CE0F2B"/>
    <w:rsid w:val="00CE4A4C"/>
    <w:rsid w:val="00CE5E6C"/>
    <w:rsid w:val="00CE77E1"/>
    <w:rsid w:val="00CF2137"/>
    <w:rsid w:val="00CF47EA"/>
    <w:rsid w:val="00CF4DA0"/>
    <w:rsid w:val="00D00B4B"/>
    <w:rsid w:val="00D00D92"/>
    <w:rsid w:val="00D01586"/>
    <w:rsid w:val="00D0208E"/>
    <w:rsid w:val="00D02278"/>
    <w:rsid w:val="00D037BC"/>
    <w:rsid w:val="00D03DF3"/>
    <w:rsid w:val="00D05141"/>
    <w:rsid w:val="00D055A1"/>
    <w:rsid w:val="00D07D16"/>
    <w:rsid w:val="00D07E53"/>
    <w:rsid w:val="00D11815"/>
    <w:rsid w:val="00D118D7"/>
    <w:rsid w:val="00D120D3"/>
    <w:rsid w:val="00D12B4E"/>
    <w:rsid w:val="00D15051"/>
    <w:rsid w:val="00D15A0D"/>
    <w:rsid w:val="00D15E6B"/>
    <w:rsid w:val="00D16409"/>
    <w:rsid w:val="00D16EB4"/>
    <w:rsid w:val="00D175EA"/>
    <w:rsid w:val="00D22ED6"/>
    <w:rsid w:val="00D24AAA"/>
    <w:rsid w:val="00D25524"/>
    <w:rsid w:val="00D256FC"/>
    <w:rsid w:val="00D26749"/>
    <w:rsid w:val="00D275F3"/>
    <w:rsid w:val="00D276FC"/>
    <w:rsid w:val="00D32199"/>
    <w:rsid w:val="00D345A7"/>
    <w:rsid w:val="00D34E0D"/>
    <w:rsid w:val="00D34FF2"/>
    <w:rsid w:val="00D35865"/>
    <w:rsid w:val="00D4069E"/>
    <w:rsid w:val="00D424F7"/>
    <w:rsid w:val="00D4420B"/>
    <w:rsid w:val="00D44C6D"/>
    <w:rsid w:val="00D4612D"/>
    <w:rsid w:val="00D51803"/>
    <w:rsid w:val="00D5194A"/>
    <w:rsid w:val="00D52C1E"/>
    <w:rsid w:val="00D5313E"/>
    <w:rsid w:val="00D5357E"/>
    <w:rsid w:val="00D53ABE"/>
    <w:rsid w:val="00D55004"/>
    <w:rsid w:val="00D56ED5"/>
    <w:rsid w:val="00D57C8E"/>
    <w:rsid w:val="00D62866"/>
    <w:rsid w:val="00D63394"/>
    <w:rsid w:val="00D63A62"/>
    <w:rsid w:val="00D63D14"/>
    <w:rsid w:val="00D63F58"/>
    <w:rsid w:val="00D67B66"/>
    <w:rsid w:val="00D702CA"/>
    <w:rsid w:val="00D70BF4"/>
    <w:rsid w:val="00D73720"/>
    <w:rsid w:val="00D74B86"/>
    <w:rsid w:val="00D74F8D"/>
    <w:rsid w:val="00D75C05"/>
    <w:rsid w:val="00D76208"/>
    <w:rsid w:val="00D7752F"/>
    <w:rsid w:val="00D81723"/>
    <w:rsid w:val="00D82A1F"/>
    <w:rsid w:val="00D8439B"/>
    <w:rsid w:val="00D85C95"/>
    <w:rsid w:val="00D876F7"/>
    <w:rsid w:val="00D91CC5"/>
    <w:rsid w:val="00D93CC4"/>
    <w:rsid w:val="00D94335"/>
    <w:rsid w:val="00D946FA"/>
    <w:rsid w:val="00D966A8"/>
    <w:rsid w:val="00D96C07"/>
    <w:rsid w:val="00D96CD2"/>
    <w:rsid w:val="00DA459A"/>
    <w:rsid w:val="00DA4768"/>
    <w:rsid w:val="00DA4A1F"/>
    <w:rsid w:val="00DA6709"/>
    <w:rsid w:val="00DA754F"/>
    <w:rsid w:val="00DA7A81"/>
    <w:rsid w:val="00DB0652"/>
    <w:rsid w:val="00DB50E3"/>
    <w:rsid w:val="00DB589B"/>
    <w:rsid w:val="00DB5A83"/>
    <w:rsid w:val="00DB7931"/>
    <w:rsid w:val="00DC0815"/>
    <w:rsid w:val="00DC446F"/>
    <w:rsid w:val="00DC57F0"/>
    <w:rsid w:val="00DC6EAA"/>
    <w:rsid w:val="00DE0C43"/>
    <w:rsid w:val="00DE0D43"/>
    <w:rsid w:val="00DE1951"/>
    <w:rsid w:val="00DE1DBA"/>
    <w:rsid w:val="00DE35B0"/>
    <w:rsid w:val="00DE728A"/>
    <w:rsid w:val="00DF0BE1"/>
    <w:rsid w:val="00DF1A56"/>
    <w:rsid w:val="00DF3073"/>
    <w:rsid w:val="00DF3B9B"/>
    <w:rsid w:val="00DF428B"/>
    <w:rsid w:val="00DF5C89"/>
    <w:rsid w:val="00E0392D"/>
    <w:rsid w:val="00E0406C"/>
    <w:rsid w:val="00E0441F"/>
    <w:rsid w:val="00E0598D"/>
    <w:rsid w:val="00E073CD"/>
    <w:rsid w:val="00E07FBF"/>
    <w:rsid w:val="00E11053"/>
    <w:rsid w:val="00E119F1"/>
    <w:rsid w:val="00E11E0F"/>
    <w:rsid w:val="00E1362A"/>
    <w:rsid w:val="00E156CA"/>
    <w:rsid w:val="00E15ADF"/>
    <w:rsid w:val="00E15BD4"/>
    <w:rsid w:val="00E17095"/>
    <w:rsid w:val="00E17608"/>
    <w:rsid w:val="00E201E3"/>
    <w:rsid w:val="00E21AF9"/>
    <w:rsid w:val="00E22A41"/>
    <w:rsid w:val="00E24C1E"/>
    <w:rsid w:val="00E25FD6"/>
    <w:rsid w:val="00E26798"/>
    <w:rsid w:val="00E3061B"/>
    <w:rsid w:val="00E31C95"/>
    <w:rsid w:val="00E34D7F"/>
    <w:rsid w:val="00E350B6"/>
    <w:rsid w:val="00E35D8E"/>
    <w:rsid w:val="00E35F04"/>
    <w:rsid w:val="00E371F8"/>
    <w:rsid w:val="00E37CB9"/>
    <w:rsid w:val="00E40A80"/>
    <w:rsid w:val="00E43036"/>
    <w:rsid w:val="00E43131"/>
    <w:rsid w:val="00E453DE"/>
    <w:rsid w:val="00E4653A"/>
    <w:rsid w:val="00E50712"/>
    <w:rsid w:val="00E52894"/>
    <w:rsid w:val="00E52DEB"/>
    <w:rsid w:val="00E545FF"/>
    <w:rsid w:val="00E562BC"/>
    <w:rsid w:val="00E57CBB"/>
    <w:rsid w:val="00E60F17"/>
    <w:rsid w:val="00E62635"/>
    <w:rsid w:val="00E62BA8"/>
    <w:rsid w:val="00E62E29"/>
    <w:rsid w:val="00E66076"/>
    <w:rsid w:val="00E6684B"/>
    <w:rsid w:val="00E66C3A"/>
    <w:rsid w:val="00E66CE8"/>
    <w:rsid w:val="00E67CE5"/>
    <w:rsid w:val="00E67CE6"/>
    <w:rsid w:val="00E70C8A"/>
    <w:rsid w:val="00E7179A"/>
    <w:rsid w:val="00E72A23"/>
    <w:rsid w:val="00E734D9"/>
    <w:rsid w:val="00E73C21"/>
    <w:rsid w:val="00E75830"/>
    <w:rsid w:val="00E809BA"/>
    <w:rsid w:val="00E81065"/>
    <w:rsid w:val="00E82376"/>
    <w:rsid w:val="00E8346E"/>
    <w:rsid w:val="00E83613"/>
    <w:rsid w:val="00E8580B"/>
    <w:rsid w:val="00E871D9"/>
    <w:rsid w:val="00E8789D"/>
    <w:rsid w:val="00E901F9"/>
    <w:rsid w:val="00E90427"/>
    <w:rsid w:val="00E91A22"/>
    <w:rsid w:val="00E974F6"/>
    <w:rsid w:val="00EA0F03"/>
    <w:rsid w:val="00EA1115"/>
    <w:rsid w:val="00EA16FE"/>
    <w:rsid w:val="00EA3118"/>
    <w:rsid w:val="00EA3960"/>
    <w:rsid w:val="00EA408B"/>
    <w:rsid w:val="00EA46C1"/>
    <w:rsid w:val="00EA484A"/>
    <w:rsid w:val="00EA4F75"/>
    <w:rsid w:val="00EA64F2"/>
    <w:rsid w:val="00EA71F4"/>
    <w:rsid w:val="00EB4531"/>
    <w:rsid w:val="00EB53E9"/>
    <w:rsid w:val="00EB5C9A"/>
    <w:rsid w:val="00EB7908"/>
    <w:rsid w:val="00EC096B"/>
    <w:rsid w:val="00EC18BF"/>
    <w:rsid w:val="00EC251B"/>
    <w:rsid w:val="00EC36EA"/>
    <w:rsid w:val="00EC44AF"/>
    <w:rsid w:val="00EC474C"/>
    <w:rsid w:val="00EC5B14"/>
    <w:rsid w:val="00EC5C98"/>
    <w:rsid w:val="00EC5F33"/>
    <w:rsid w:val="00EC7AC2"/>
    <w:rsid w:val="00ED1067"/>
    <w:rsid w:val="00ED13C0"/>
    <w:rsid w:val="00ED1D90"/>
    <w:rsid w:val="00ED42CB"/>
    <w:rsid w:val="00ED4B56"/>
    <w:rsid w:val="00ED520B"/>
    <w:rsid w:val="00ED54F4"/>
    <w:rsid w:val="00ED7DC1"/>
    <w:rsid w:val="00EE068F"/>
    <w:rsid w:val="00EE0698"/>
    <w:rsid w:val="00EE1AF9"/>
    <w:rsid w:val="00EE5723"/>
    <w:rsid w:val="00EE5D81"/>
    <w:rsid w:val="00EE689E"/>
    <w:rsid w:val="00EE79ED"/>
    <w:rsid w:val="00EF0793"/>
    <w:rsid w:val="00EF0810"/>
    <w:rsid w:val="00EF123E"/>
    <w:rsid w:val="00EF193F"/>
    <w:rsid w:val="00EF1FB9"/>
    <w:rsid w:val="00EF3DA9"/>
    <w:rsid w:val="00EF5EE7"/>
    <w:rsid w:val="00F00065"/>
    <w:rsid w:val="00F003E4"/>
    <w:rsid w:val="00F0054C"/>
    <w:rsid w:val="00F0199B"/>
    <w:rsid w:val="00F01E67"/>
    <w:rsid w:val="00F01EFF"/>
    <w:rsid w:val="00F03200"/>
    <w:rsid w:val="00F03411"/>
    <w:rsid w:val="00F034DA"/>
    <w:rsid w:val="00F04E0C"/>
    <w:rsid w:val="00F05FDD"/>
    <w:rsid w:val="00F06213"/>
    <w:rsid w:val="00F071E4"/>
    <w:rsid w:val="00F0793E"/>
    <w:rsid w:val="00F10781"/>
    <w:rsid w:val="00F12C7C"/>
    <w:rsid w:val="00F12F9A"/>
    <w:rsid w:val="00F1483D"/>
    <w:rsid w:val="00F1548A"/>
    <w:rsid w:val="00F1611B"/>
    <w:rsid w:val="00F16EAD"/>
    <w:rsid w:val="00F17087"/>
    <w:rsid w:val="00F22664"/>
    <w:rsid w:val="00F24007"/>
    <w:rsid w:val="00F24488"/>
    <w:rsid w:val="00F254A4"/>
    <w:rsid w:val="00F26769"/>
    <w:rsid w:val="00F26EE1"/>
    <w:rsid w:val="00F30330"/>
    <w:rsid w:val="00F31F10"/>
    <w:rsid w:val="00F31F5A"/>
    <w:rsid w:val="00F34787"/>
    <w:rsid w:val="00F417D0"/>
    <w:rsid w:val="00F42099"/>
    <w:rsid w:val="00F4251D"/>
    <w:rsid w:val="00F426D6"/>
    <w:rsid w:val="00F42C36"/>
    <w:rsid w:val="00F42DCC"/>
    <w:rsid w:val="00F44207"/>
    <w:rsid w:val="00F45570"/>
    <w:rsid w:val="00F460A2"/>
    <w:rsid w:val="00F46BED"/>
    <w:rsid w:val="00F4711F"/>
    <w:rsid w:val="00F50540"/>
    <w:rsid w:val="00F50FC2"/>
    <w:rsid w:val="00F53920"/>
    <w:rsid w:val="00F5550B"/>
    <w:rsid w:val="00F5562B"/>
    <w:rsid w:val="00F57564"/>
    <w:rsid w:val="00F61AF8"/>
    <w:rsid w:val="00F64C79"/>
    <w:rsid w:val="00F656AF"/>
    <w:rsid w:val="00F658BB"/>
    <w:rsid w:val="00F66AA8"/>
    <w:rsid w:val="00F673D1"/>
    <w:rsid w:val="00F675B7"/>
    <w:rsid w:val="00F675E6"/>
    <w:rsid w:val="00F67733"/>
    <w:rsid w:val="00F718A8"/>
    <w:rsid w:val="00F72511"/>
    <w:rsid w:val="00F73AD4"/>
    <w:rsid w:val="00F74570"/>
    <w:rsid w:val="00F76623"/>
    <w:rsid w:val="00F76712"/>
    <w:rsid w:val="00F769B8"/>
    <w:rsid w:val="00F801C0"/>
    <w:rsid w:val="00F82055"/>
    <w:rsid w:val="00F820AD"/>
    <w:rsid w:val="00F84E4E"/>
    <w:rsid w:val="00F861B7"/>
    <w:rsid w:val="00F86E6A"/>
    <w:rsid w:val="00F906D6"/>
    <w:rsid w:val="00F9251C"/>
    <w:rsid w:val="00F93BB0"/>
    <w:rsid w:val="00F93E06"/>
    <w:rsid w:val="00F94491"/>
    <w:rsid w:val="00F94ACB"/>
    <w:rsid w:val="00F95459"/>
    <w:rsid w:val="00F967EE"/>
    <w:rsid w:val="00FA03B2"/>
    <w:rsid w:val="00FA1E6F"/>
    <w:rsid w:val="00FA3099"/>
    <w:rsid w:val="00FA43D0"/>
    <w:rsid w:val="00FA575C"/>
    <w:rsid w:val="00FA710D"/>
    <w:rsid w:val="00FA73A9"/>
    <w:rsid w:val="00FB5649"/>
    <w:rsid w:val="00FB57AC"/>
    <w:rsid w:val="00FB69B8"/>
    <w:rsid w:val="00FC3271"/>
    <w:rsid w:val="00FC4229"/>
    <w:rsid w:val="00FC7A3B"/>
    <w:rsid w:val="00FD0575"/>
    <w:rsid w:val="00FD0DEF"/>
    <w:rsid w:val="00FD1F49"/>
    <w:rsid w:val="00FD27E8"/>
    <w:rsid w:val="00FD3214"/>
    <w:rsid w:val="00FD3D5B"/>
    <w:rsid w:val="00FD437B"/>
    <w:rsid w:val="00FD4E8E"/>
    <w:rsid w:val="00FD6DB8"/>
    <w:rsid w:val="00FD6FC5"/>
    <w:rsid w:val="00FE471C"/>
    <w:rsid w:val="00FE4C26"/>
    <w:rsid w:val="00FE4C65"/>
    <w:rsid w:val="00FE5895"/>
    <w:rsid w:val="00FE5911"/>
    <w:rsid w:val="00FE716D"/>
    <w:rsid w:val="00FF0BAC"/>
    <w:rsid w:val="00FF30F9"/>
    <w:rsid w:val="00FF5FD9"/>
    <w:rsid w:val="00FF606A"/>
    <w:rsid w:val="00FF7055"/>
    <w:rsid w:val="00FF70DB"/>
    <w:rsid w:val="00FF7D4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01E17C6E"/>
  <w15:docId w15:val="{FBDADE3F-8363-40D3-B477-0864562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Theme="minorEastAsia" w:hAnsi="Goudy Old Style" w:cstheme="minorBidi"/>
        <w:sz w:val="18"/>
        <w:szCs w:val="18"/>
        <w:lang w:val="en-US" w:eastAsia="en-US" w:bidi="en-US"/>
      </w:rPr>
    </w:rPrDefault>
    <w:pPrDefault>
      <w:pPr>
        <w:jc w:val="both"/>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40"/>
    <w:pPr>
      <w:spacing w:after="160"/>
    </w:pPr>
    <w:rPr>
      <w:rFonts w:ascii="Adobe Garamond Pro" w:hAnsi="Adobe Garamond Pro"/>
      <w:color w:val="000000" w:themeColor="text1"/>
      <w:sz w:val="25"/>
      <w:lang w:val="es-ES_tradnl"/>
    </w:rPr>
  </w:style>
  <w:style w:type="paragraph" w:styleId="Ttulo1">
    <w:name w:val="heading 1"/>
    <w:basedOn w:val="Normal"/>
    <w:next w:val="Normal"/>
    <w:link w:val="Ttulo1Car"/>
    <w:autoRedefine/>
    <w:uiPriority w:val="9"/>
    <w:qFormat/>
    <w:rsid w:val="00793D0D"/>
    <w:pPr>
      <w:keepNext/>
      <w:spacing w:before="480"/>
      <w:contextualSpacing/>
      <w:jc w:val="center"/>
      <w:outlineLvl w:val="0"/>
    </w:pPr>
    <w:rPr>
      <w:rFonts w:eastAsiaTheme="majorEastAsia" w:cstheme="majorBidi"/>
      <w:b/>
      <w:bCs/>
      <w:caps/>
      <w:sz w:val="26"/>
      <w:szCs w:val="28"/>
    </w:rPr>
  </w:style>
  <w:style w:type="paragraph" w:styleId="Ttulo2">
    <w:name w:val="heading 2"/>
    <w:basedOn w:val="Normal"/>
    <w:next w:val="Normal"/>
    <w:link w:val="Ttulo2Car"/>
    <w:uiPriority w:val="9"/>
    <w:unhideWhenUsed/>
    <w:qFormat/>
    <w:rsid w:val="00E8580B"/>
    <w:pPr>
      <w:keepNext/>
      <w:widowControl w:val="0"/>
      <w:spacing w:before="200" w:after="200"/>
      <w:contextualSpacing/>
      <w:jc w:val="center"/>
      <w:outlineLvl w:val="1"/>
    </w:pPr>
    <w:rPr>
      <w:rFonts w:ascii="Didot" w:eastAsiaTheme="majorEastAsia" w:hAnsi="Didot" w:cstheme="majorBidi"/>
      <w:b/>
      <w:bCs/>
      <w:smallCaps/>
      <w:sz w:val="24"/>
      <w:szCs w:val="24"/>
    </w:rPr>
  </w:style>
  <w:style w:type="paragraph" w:styleId="Ttulo3">
    <w:name w:val="heading 3"/>
    <w:basedOn w:val="Normal"/>
    <w:next w:val="Normal"/>
    <w:link w:val="Ttulo3Car"/>
    <w:autoRedefine/>
    <w:uiPriority w:val="9"/>
    <w:unhideWhenUsed/>
    <w:qFormat/>
    <w:rsid w:val="00B22DEA"/>
    <w:pPr>
      <w:spacing w:after="0"/>
      <w:jc w:val="center"/>
      <w:outlineLvl w:val="2"/>
    </w:pPr>
    <w:rPr>
      <w:rFonts w:ascii="Didot" w:eastAsiaTheme="majorEastAsia" w:hAnsi="Didot" w:cs="Didot"/>
      <w:b/>
      <w:bCs/>
      <w:sz w:val="28"/>
      <w:szCs w:val="28"/>
    </w:rPr>
  </w:style>
  <w:style w:type="paragraph" w:styleId="Ttulo4">
    <w:name w:val="heading 4"/>
    <w:basedOn w:val="Normal"/>
    <w:next w:val="Normal"/>
    <w:link w:val="Ttulo4Car"/>
    <w:uiPriority w:val="9"/>
    <w:unhideWhenUsed/>
    <w:qFormat/>
    <w:rsid w:val="00A12191"/>
    <w:pPr>
      <w:jc w:val="center"/>
      <w:outlineLvl w:val="3"/>
    </w:pPr>
    <w:rPr>
      <w:rFonts w:ascii="Didot" w:eastAsiaTheme="majorEastAsia" w:hAnsi="Didot" w:cstheme="majorBidi"/>
      <w:bCs/>
      <w:iCs/>
      <w:color w:val="auto"/>
      <w:sz w:val="24"/>
    </w:rPr>
  </w:style>
  <w:style w:type="paragraph" w:styleId="Ttulo5">
    <w:name w:val="heading 5"/>
    <w:basedOn w:val="Normal"/>
    <w:next w:val="Normal"/>
    <w:link w:val="Ttulo5Car"/>
    <w:uiPriority w:val="9"/>
    <w:semiHidden/>
    <w:unhideWhenUsed/>
    <w:qFormat/>
    <w:rsid w:val="005E16C9"/>
    <w:pPr>
      <w:spacing w:before="20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unhideWhenUsed/>
    <w:qFormat/>
    <w:rsid w:val="005E16C9"/>
    <w:p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5E16C9"/>
    <w:pPr>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5E16C9"/>
    <w:pPr>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5E16C9"/>
    <w:pPr>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3D0D"/>
    <w:rPr>
      <w:rFonts w:ascii="Adobe Garamond Pro" w:eastAsiaTheme="majorEastAsia" w:hAnsi="Adobe Garamond Pro" w:cstheme="majorBidi"/>
      <w:b/>
      <w:bCs/>
      <w:caps/>
      <w:color w:val="000000" w:themeColor="text1"/>
      <w:sz w:val="26"/>
      <w:szCs w:val="28"/>
      <w:lang w:val="es-ES_tradnl"/>
    </w:rPr>
  </w:style>
  <w:style w:type="character" w:customStyle="1" w:styleId="Ttulo2Car">
    <w:name w:val="Título 2 Car"/>
    <w:basedOn w:val="Fuentedeprrafopredeter"/>
    <w:link w:val="Ttulo2"/>
    <w:uiPriority w:val="9"/>
    <w:rsid w:val="00E8580B"/>
    <w:rPr>
      <w:rFonts w:ascii="Didot" w:eastAsiaTheme="majorEastAsia" w:hAnsi="Didot" w:cstheme="majorBidi"/>
      <w:b/>
      <w:bCs/>
      <w:smallCaps/>
      <w:color w:val="000000" w:themeColor="text1"/>
      <w:sz w:val="24"/>
      <w:szCs w:val="24"/>
      <w:lang w:val="es-ES_tradnl"/>
    </w:rPr>
  </w:style>
  <w:style w:type="character" w:customStyle="1" w:styleId="Ttulo3Car">
    <w:name w:val="Título 3 Car"/>
    <w:basedOn w:val="Fuentedeprrafopredeter"/>
    <w:link w:val="Ttulo3"/>
    <w:uiPriority w:val="9"/>
    <w:rsid w:val="00B22DEA"/>
    <w:rPr>
      <w:rFonts w:ascii="Didot" w:eastAsiaTheme="majorEastAsia" w:hAnsi="Didot" w:cs="Didot"/>
      <w:b/>
      <w:bCs/>
      <w:color w:val="000000" w:themeColor="text1"/>
      <w:sz w:val="28"/>
      <w:szCs w:val="28"/>
      <w:lang w:val="es-ES_tradnl"/>
    </w:rPr>
  </w:style>
  <w:style w:type="character" w:customStyle="1" w:styleId="Ttulo4Car">
    <w:name w:val="Título 4 Car"/>
    <w:basedOn w:val="Fuentedeprrafopredeter"/>
    <w:link w:val="Ttulo4"/>
    <w:uiPriority w:val="9"/>
    <w:rsid w:val="00A12191"/>
    <w:rPr>
      <w:rFonts w:ascii="Didot" w:eastAsiaTheme="majorEastAsia" w:hAnsi="Didot" w:cstheme="majorBidi"/>
      <w:bCs/>
      <w:iCs/>
      <w:sz w:val="24"/>
      <w:lang w:val="es-ES_tradnl"/>
    </w:rPr>
  </w:style>
  <w:style w:type="character" w:customStyle="1" w:styleId="Ttulo5Car">
    <w:name w:val="Título 5 Car"/>
    <w:basedOn w:val="Fuentedeprrafopredeter"/>
    <w:link w:val="Ttulo5"/>
    <w:uiPriority w:val="9"/>
    <w:semiHidden/>
    <w:rsid w:val="005E16C9"/>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5E16C9"/>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5E16C9"/>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5E16C9"/>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5E16C9"/>
    <w:rPr>
      <w:rFonts w:asciiTheme="majorHAnsi" w:eastAsiaTheme="majorEastAsia" w:hAnsiTheme="majorHAnsi" w:cstheme="majorBidi"/>
      <w:i/>
      <w:iCs/>
      <w:spacing w:val="5"/>
      <w:sz w:val="20"/>
      <w:szCs w:val="20"/>
    </w:rPr>
  </w:style>
  <w:style w:type="character" w:styleId="Ttulodellibro">
    <w:name w:val="Book Title"/>
    <w:uiPriority w:val="33"/>
    <w:qFormat/>
    <w:rsid w:val="005E16C9"/>
    <w:rPr>
      <w:i/>
      <w:iCs/>
      <w:smallCaps/>
      <w:spacing w:val="5"/>
    </w:rPr>
  </w:style>
  <w:style w:type="paragraph" w:styleId="TDC1">
    <w:name w:val="toc 1"/>
    <w:basedOn w:val="Normal"/>
    <w:next w:val="Normal"/>
    <w:autoRedefine/>
    <w:uiPriority w:val="39"/>
    <w:unhideWhenUsed/>
    <w:rsid w:val="000A5CEA"/>
    <w:pPr>
      <w:tabs>
        <w:tab w:val="right" w:pos="8828"/>
      </w:tabs>
      <w:spacing w:before="200" w:after="200"/>
      <w:contextualSpacing/>
      <w:jc w:val="center"/>
    </w:pPr>
    <w:rPr>
      <w:b/>
      <w:bCs/>
      <w:caps/>
      <w:noProof/>
      <w:sz w:val="24"/>
      <w:szCs w:val="24"/>
    </w:rPr>
  </w:style>
  <w:style w:type="paragraph" w:styleId="TDC2">
    <w:name w:val="toc 2"/>
    <w:basedOn w:val="Normal"/>
    <w:next w:val="Normal"/>
    <w:autoRedefine/>
    <w:uiPriority w:val="39"/>
    <w:unhideWhenUsed/>
    <w:rsid w:val="000A5CEA"/>
    <w:pPr>
      <w:spacing w:before="120" w:after="120"/>
      <w:contextualSpacing/>
      <w:jc w:val="left"/>
    </w:pPr>
    <w:rPr>
      <w:b/>
      <w:sz w:val="24"/>
      <w:szCs w:val="20"/>
    </w:rPr>
  </w:style>
  <w:style w:type="paragraph" w:styleId="TDC3">
    <w:name w:val="toc 3"/>
    <w:basedOn w:val="Normal"/>
    <w:next w:val="Normal"/>
    <w:autoRedefine/>
    <w:uiPriority w:val="39"/>
    <w:unhideWhenUsed/>
    <w:rsid w:val="000A5CEA"/>
    <w:pPr>
      <w:spacing w:before="120" w:after="0"/>
      <w:ind w:left="249"/>
      <w:contextualSpacing/>
      <w:jc w:val="left"/>
    </w:pPr>
    <w:rPr>
      <w:sz w:val="24"/>
      <w:szCs w:val="20"/>
    </w:rPr>
  </w:style>
  <w:style w:type="paragraph" w:styleId="TDC4">
    <w:name w:val="toc 4"/>
    <w:basedOn w:val="Normal"/>
    <w:next w:val="Normal"/>
    <w:autoRedefine/>
    <w:uiPriority w:val="39"/>
    <w:unhideWhenUsed/>
    <w:rsid w:val="000A5CEA"/>
    <w:pPr>
      <w:spacing w:before="120" w:after="0"/>
      <w:ind w:left="658"/>
      <w:contextualSpacing/>
      <w:jc w:val="left"/>
    </w:pPr>
    <w:rPr>
      <w:sz w:val="20"/>
      <w:szCs w:val="20"/>
    </w:rPr>
  </w:style>
  <w:style w:type="paragraph" w:styleId="TDC5">
    <w:name w:val="toc 5"/>
    <w:basedOn w:val="Normal"/>
    <w:next w:val="Normal"/>
    <w:autoRedefine/>
    <w:uiPriority w:val="39"/>
    <w:unhideWhenUsed/>
    <w:rsid w:val="00432100"/>
    <w:pPr>
      <w:ind w:left="880"/>
      <w:jc w:val="left"/>
    </w:pPr>
    <w:rPr>
      <w:sz w:val="20"/>
      <w:szCs w:val="20"/>
    </w:rPr>
  </w:style>
  <w:style w:type="paragraph" w:styleId="TDC6">
    <w:name w:val="toc 6"/>
    <w:basedOn w:val="Normal"/>
    <w:next w:val="Normal"/>
    <w:autoRedefine/>
    <w:uiPriority w:val="39"/>
    <w:unhideWhenUsed/>
    <w:rsid w:val="00432100"/>
    <w:pPr>
      <w:ind w:left="1100"/>
      <w:jc w:val="left"/>
    </w:pPr>
    <w:rPr>
      <w:sz w:val="20"/>
      <w:szCs w:val="20"/>
    </w:rPr>
  </w:style>
  <w:style w:type="paragraph" w:styleId="TDC7">
    <w:name w:val="toc 7"/>
    <w:basedOn w:val="Normal"/>
    <w:next w:val="Normal"/>
    <w:autoRedefine/>
    <w:uiPriority w:val="39"/>
    <w:unhideWhenUsed/>
    <w:rsid w:val="00432100"/>
    <w:pPr>
      <w:ind w:left="1320"/>
      <w:jc w:val="left"/>
    </w:pPr>
    <w:rPr>
      <w:sz w:val="20"/>
      <w:szCs w:val="20"/>
    </w:rPr>
  </w:style>
  <w:style w:type="paragraph" w:styleId="TDC8">
    <w:name w:val="toc 8"/>
    <w:basedOn w:val="Normal"/>
    <w:next w:val="Normal"/>
    <w:autoRedefine/>
    <w:uiPriority w:val="39"/>
    <w:unhideWhenUsed/>
    <w:rsid w:val="00432100"/>
    <w:pPr>
      <w:ind w:left="1540"/>
      <w:jc w:val="left"/>
    </w:pPr>
    <w:rPr>
      <w:sz w:val="20"/>
      <w:szCs w:val="20"/>
    </w:rPr>
  </w:style>
  <w:style w:type="paragraph" w:styleId="TDC9">
    <w:name w:val="toc 9"/>
    <w:basedOn w:val="Normal"/>
    <w:next w:val="Normal"/>
    <w:autoRedefine/>
    <w:uiPriority w:val="39"/>
    <w:unhideWhenUsed/>
    <w:rsid w:val="00432100"/>
    <w:pPr>
      <w:ind w:left="1760"/>
      <w:jc w:val="left"/>
    </w:pPr>
    <w:rPr>
      <w:sz w:val="20"/>
      <w:szCs w:val="20"/>
    </w:rPr>
  </w:style>
  <w:style w:type="paragraph" w:customStyle="1" w:styleId="Etiqueta">
    <w:name w:val="Etiqueta"/>
    <w:basedOn w:val="Normal"/>
    <w:qFormat/>
    <w:rsid w:val="00793D0D"/>
    <w:pPr>
      <w:keepNext/>
      <w:widowControl w:val="0"/>
      <w:numPr>
        <w:numId w:val="25"/>
      </w:numPr>
      <w:suppressLineNumbers/>
      <w:suppressAutoHyphens/>
      <w:spacing w:before="200" w:after="120"/>
    </w:pPr>
    <w:rPr>
      <w:rFonts w:eastAsia="Times New Roman" w:cs="Tahoma"/>
      <w:b/>
      <w:iCs/>
      <w:color w:val="auto"/>
      <w:szCs w:val="24"/>
      <w:lang w:val="es-EC" w:eastAsia="ar-SA" w:bidi="ar-SA"/>
    </w:rPr>
  </w:style>
  <w:style w:type="paragraph" w:styleId="Revisin">
    <w:name w:val="Revision"/>
    <w:hidden/>
    <w:uiPriority w:val="99"/>
    <w:rsid w:val="008C74A9"/>
    <w:pPr>
      <w:jc w:val="left"/>
    </w:pPr>
    <w:rPr>
      <w:rFonts w:ascii="Calibri" w:eastAsia="Calibri" w:hAnsi="Calibri" w:cs="Times New Roman"/>
      <w:sz w:val="22"/>
      <w:szCs w:val="22"/>
      <w:lang w:val="es-ES" w:bidi="ar-SA"/>
    </w:rPr>
  </w:style>
  <w:style w:type="paragraph" w:customStyle="1" w:styleId="LibrosparaCdigo">
    <w:name w:val="Libros para Código"/>
    <w:basedOn w:val="Normal"/>
    <w:next w:val="Normal"/>
    <w:qFormat/>
    <w:rsid w:val="00E70C8A"/>
    <w:pPr>
      <w:keepNext/>
      <w:suppressLineNumbers/>
      <w:pBdr>
        <w:bottom w:val="single" w:sz="4" w:space="1" w:color="auto"/>
      </w:pBdr>
      <w:suppressAutoHyphens/>
      <w:spacing w:after="240"/>
      <w:contextualSpacing/>
      <w:jc w:val="center"/>
    </w:pPr>
    <w:rPr>
      <w:rFonts w:ascii="Didot" w:eastAsiaTheme="majorEastAsia" w:hAnsi="Didot" w:cs="Didot"/>
      <w:color w:val="auto"/>
      <w:spacing w:val="5"/>
      <w:sz w:val="36"/>
      <w:szCs w:val="36"/>
    </w:rPr>
  </w:style>
  <w:style w:type="numbering" w:customStyle="1" w:styleId="Textonormativo">
    <w:name w:val="Texto normativo"/>
    <w:uiPriority w:val="99"/>
    <w:rsid w:val="007F089A"/>
    <w:pPr>
      <w:numPr>
        <w:numId w:val="18"/>
      </w:numPr>
    </w:pPr>
  </w:style>
  <w:style w:type="paragraph" w:styleId="Prrafodelista">
    <w:name w:val="List Paragraph"/>
    <w:basedOn w:val="Normal"/>
    <w:uiPriority w:val="34"/>
    <w:qFormat/>
    <w:rsid w:val="00F72511"/>
    <w:pPr>
      <w:numPr>
        <w:numId w:val="29"/>
      </w:numPr>
      <w:spacing w:after="120"/>
    </w:pPr>
  </w:style>
  <w:style w:type="paragraph" w:styleId="Encabezado">
    <w:name w:val="header"/>
    <w:basedOn w:val="Normal"/>
    <w:link w:val="EncabezadoCar"/>
    <w:uiPriority w:val="99"/>
    <w:rsid w:val="00FA1E6F"/>
    <w:pPr>
      <w:tabs>
        <w:tab w:val="center" w:pos="4252"/>
        <w:tab w:val="right" w:pos="8504"/>
      </w:tabs>
      <w:spacing w:after="0"/>
    </w:pPr>
  </w:style>
  <w:style w:type="character" w:customStyle="1" w:styleId="EncabezadoCar">
    <w:name w:val="Encabezado Car"/>
    <w:basedOn w:val="Fuentedeprrafopredeter"/>
    <w:link w:val="Encabezado"/>
    <w:uiPriority w:val="99"/>
    <w:rsid w:val="00FA1E6F"/>
    <w:rPr>
      <w:rFonts w:ascii="Adobe Garamond Pro" w:hAnsi="Adobe Garamond Pro"/>
      <w:color w:val="000000" w:themeColor="text1"/>
      <w:sz w:val="25"/>
      <w:lang w:val="es-ES_tradnl"/>
    </w:rPr>
  </w:style>
  <w:style w:type="paragraph" w:styleId="Piedepgina">
    <w:name w:val="footer"/>
    <w:basedOn w:val="Normal"/>
    <w:link w:val="PiedepginaCar"/>
    <w:uiPriority w:val="99"/>
    <w:rsid w:val="00FA1E6F"/>
    <w:pPr>
      <w:tabs>
        <w:tab w:val="center" w:pos="4252"/>
        <w:tab w:val="right" w:pos="8504"/>
      </w:tabs>
      <w:spacing w:after="0"/>
    </w:pPr>
  </w:style>
  <w:style w:type="character" w:customStyle="1" w:styleId="PiedepginaCar">
    <w:name w:val="Pie de página Car"/>
    <w:basedOn w:val="Fuentedeprrafopredeter"/>
    <w:link w:val="Piedepgina"/>
    <w:uiPriority w:val="99"/>
    <w:rsid w:val="00FA1E6F"/>
    <w:rPr>
      <w:rFonts w:ascii="Adobe Garamond Pro" w:hAnsi="Adobe Garamond Pro"/>
      <w:color w:val="000000" w:themeColor="text1"/>
      <w:sz w:val="25"/>
      <w:lang w:val="es-ES_tradnl"/>
    </w:rPr>
  </w:style>
  <w:style w:type="table" w:styleId="Tablaconcuadrcula">
    <w:name w:val="Table Grid"/>
    <w:basedOn w:val="Tablanormal"/>
    <w:rsid w:val="00A5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A5593D"/>
    <w:pPr>
      <w:spacing w:after="0"/>
      <w:jc w:val="left"/>
    </w:pPr>
    <w:rPr>
      <w:rFonts w:ascii="Times New Roman" w:eastAsia="Times New Roman" w:hAnsi="Times New Roman" w:cs="Times New Roman"/>
      <w:color w:val="auto"/>
      <w:sz w:val="24"/>
      <w:szCs w:val="20"/>
      <w:lang w:eastAsia="es-ES" w:bidi="ar-SA"/>
    </w:rPr>
  </w:style>
  <w:style w:type="paragraph" w:styleId="Textodeglobo">
    <w:name w:val="Balloon Text"/>
    <w:basedOn w:val="Normal"/>
    <w:link w:val="TextodegloboCar"/>
    <w:uiPriority w:val="99"/>
    <w:semiHidden/>
    <w:unhideWhenUsed/>
    <w:rsid w:val="006F293C"/>
    <w:pPr>
      <w:spacing w:after="0"/>
    </w:pPr>
    <w:rPr>
      <w:rFonts w:ascii="Segoe UI" w:hAnsi="Segoe UI" w:cs="Segoe UI"/>
      <w:sz w:val="18"/>
    </w:rPr>
  </w:style>
  <w:style w:type="character" w:customStyle="1" w:styleId="TextodegloboCar">
    <w:name w:val="Texto de globo Car"/>
    <w:basedOn w:val="Fuentedeprrafopredeter"/>
    <w:link w:val="Textodeglobo"/>
    <w:uiPriority w:val="99"/>
    <w:semiHidden/>
    <w:rsid w:val="006F293C"/>
    <w:rPr>
      <w:rFonts w:ascii="Segoe UI" w:hAnsi="Segoe UI" w:cs="Segoe UI"/>
      <w:color w:val="000000" w:themeColor="text1"/>
      <w:lang w:val="es-ES_tradnl"/>
    </w:rPr>
  </w:style>
  <w:style w:type="paragraph" w:styleId="Textosinformato">
    <w:name w:val="Plain Text"/>
    <w:basedOn w:val="Normal"/>
    <w:link w:val="TextosinformatoCar"/>
    <w:rsid w:val="00B97EBF"/>
    <w:pPr>
      <w:spacing w:after="0"/>
      <w:jc w:val="left"/>
    </w:pPr>
    <w:rPr>
      <w:rFonts w:ascii="Courier New" w:eastAsia="Times New Roman" w:hAnsi="Courier New" w:cs="Times New Roman"/>
      <w:color w:val="auto"/>
      <w:sz w:val="20"/>
      <w:szCs w:val="20"/>
      <w:lang w:val="es-ES" w:eastAsia="es-ES" w:bidi="ar-SA"/>
    </w:rPr>
  </w:style>
  <w:style w:type="character" w:customStyle="1" w:styleId="TextosinformatoCar">
    <w:name w:val="Texto sin formato Car"/>
    <w:basedOn w:val="Fuentedeprrafopredeter"/>
    <w:link w:val="Textosinformato"/>
    <w:rsid w:val="00B97EBF"/>
    <w:rPr>
      <w:rFonts w:ascii="Courier New" w:eastAsia="Times New Roman" w:hAnsi="Courier New" w:cs="Times New Roman"/>
      <w:sz w:val="20"/>
      <w:szCs w:val="20"/>
      <w:lang w:val="es-ES" w:eastAsia="es-ES" w:bidi="ar-SA"/>
    </w:rPr>
  </w:style>
  <w:style w:type="paragraph" w:styleId="Descripcin">
    <w:name w:val="caption"/>
    <w:basedOn w:val="Normal"/>
    <w:next w:val="Normal"/>
    <w:uiPriority w:val="35"/>
    <w:semiHidden/>
    <w:unhideWhenUsed/>
    <w:qFormat/>
    <w:rsid w:val="0060082E"/>
    <w:pPr>
      <w:spacing w:after="120"/>
      <w:jc w:val="left"/>
    </w:pPr>
    <w:rPr>
      <w:rFonts w:asciiTheme="minorHAnsi" w:hAnsiTheme="minorHAnsi"/>
      <w:b/>
      <w:bCs/>
      <w:smallCaps/>
      <w:color w:val="595959" w:themeColor="text1" w:themeTint="A6"/>
      <w:spacing w:val="6"/>
      <w:sz w:val="20"/>
      <w:szCs w:val="20"/>
      <w:lang w:val="es-EC" w:bidi="ar-SA"/>
    </w:rPr>
  </w:style>
  <w:style w:type="paragraph" w:styleId="Ttulo">
    <w:name w:val="Title"/>
    <w:basedOn w:val="Normal"/>
    <w:next w:val="Normal"/>
    <w:link w:val="TtuloCar"/>
    <w:uiPriority w:val="10"/>
    <w:qFormat/>
    <w:rsid w:val="0060082E"/>
    <w:pPr>
      <w:spacing w:after="0"/>
      <w:contextualSpacing/>
      <w:jc w:val="left"/>
    </w:pPr>
    <w:rPr>
      <w:rFonts w:asciiTheme="majorHAnsi" w:eastAsiaTheme="majorEastAsia" w:hAnsiTheme="majorHAnsi" w:cstheme="majorBidi"/>
      <w:color w:val="990000" w:themeColor="accent1"/>
      <w:spacing w:val="-10"/>
      <w:sz w:val="56"/>
      <w:szCs w:val="56"/>
      <w:lang w:val="es-EC" w:bidi="ar-SA"/>
    </w:rPr>
  </w:style>
  <w:style w:type="character" w:customStyle="1" w:styleId="TtuloCar">
    <w:name w:val="Título Car"/>
    <w:basedOn w:val="Fuentedeprrafopredeter"/>
    <w:link w:val="Ttulo"/>
    <w:uiPriority w:val="10"/>
    <w:rsid w:val="0060082E"/>
    <w:rPr>
      <w:rFonts w:asciiTheme="majorHAnsi" w:eastAsiaTheme="majorEastAsia" w:hAnsiTheme="majorHAnsi" w:cstheme="majorBidi"/>
      <w:color w:val="990000" w:themeColor="accent1"/>
      <w:spacing w:val="-10"/>
      <w:sz w:val="56"/>
      <w:szCs w:val="56"/>
      <w:lang w:val="es-EC" w:bidi="ar-SA"/>
    </w:rPr>
  </w:style>
  <w:style w:type="paragraph" w:styleId="Subttulo">
    <w:name w:val="Subtitle"/>
    <w:basedOn w:val="Normal"/>
    <w:next w:val="Normal"/>
    <w:link w:val="SubttuloCar"/>
    <w:uiPriority w:val="11"/>
    <w:qFormat/>
    <w:rsid w:val="0060082E"/>
    <w:pPr>
      <w:numPr>
        <w:ilvl w:val="1"/>
      </w:numPr>
      <w:spacing w:after="120"/>
      <w:jc w:val="left"/>
    </w:pPr>
    <w:rPr>
      <w:rFonts w:asciiTheme="majorHAnsi" w:eastAsiaTheme="majorEastAsia" w:hAnsiTheme="majorHAnsi" w:cstheme="majorBidi"/>
      <w:color w:val="auto"/>
      <w:sz w:val="24"/>
      <w:szCs w:val="24"/>
      <w:lang w:val="es-EC" w:bidi="ar-SA"/>
    </w:rPr>
  </w:style>
  <w:style w:type="character" w:customStyle="1" w:styleId="SubttuloCar">
    <w:name w:val="Subtítulo Car"/>
    <w:basedOn w:val="Fuentedeprrafopredeter"/>
    <w:link w:val="Subttulo"/>
    <w:uiPriority w:val="11"/>
    <w:rsid w:val="0060082E"/>
    <w:rPr>
      <w:rFonts w:asciiTheme="majorHAnsi" w:eastAsiaTheme="majorEastAsia" w:hAnsiTheme="majorHAnsi" w:cstheme="majorBidi"/>
      <w:sz w:val="24"/>
      <w:szCs w:val="24"/>
      <w:lang w:val="es-EC" w:bidi="ar-SA"/>
    </w:rPr>
  </w:style>
  <w:style w:type="character" w:styleId="Textoennegrita">
    <w:name w:val="Strong"/>
    <w:basedOn w:val="Fuentedeprrafopredeter"/>
    <w:uiPriority w:val="22"/>
    <w:qFormat/>
    <w:rsid w:val="0060082E"/>
    <w:rPr>
      <w:b/>
      <w:bCs/>
    </w:rPr>
  </w:style>
  <w:style w:type="character" w:styleId="nfasis">
    <w:name w:val="Emphasis"/>
    <w:basedOn w:val="Fuentedeprrafopredeter"/>
    <w:uiPriority w:val="20"/>
    <w:qFormat/>
    <w:rsid w:val="0060082E"/>
    <w:rPr>
      <w:i/>
      <w:iCs/>
    </w:rPr>
  </w:style>
  <w:style w:type="paragraph" w:styleId="Sinespaciado">
    <w:name w:val="No Spacing"/>
    <w:uiPriority w:val="1"/>
    <w:qFormat/>
    <w:rsid w:val="0060082E"/>
    <w:pPr>
      <w:jc w:val="left"/>
    </w:pPr>
    <w:rPr>
      <w:rFonts w:asciiTheme="minorHAnsi" w:hAnsiTheme="minorHAnsi"/>
      <w:sz w:val="20"/>
      <w:szCs w:val="20"/>
      <w:lang w:val="es-EC" w:bidi="ar-SA"/>
    </w:rPr>
  </w:style>
  <w:style w:type="paragraph" w:styleId="Cita">
    <w:name w:val="Quote"/>
    <w:basedOn w:val="Normal"/>
    <w:next w:val="Normal"/>
    <w:link w:val="CitaCar"/>
    <w:uiPriority w:val="29"/>
    <w:qFormat/>
    <w:rsid w:val="0060082E"/>
    <w:pPr>
      <w:spacing w:before="160" w:after="120" w:line="264" w:lineRule="auto"/>
      <w:ind w:left="720" w:right="720"/>
      <w:jc w:val="left"/>
    </w:pPr>
    <w:rPr>
      <w:rFonts w:asciiTheme="minorHAnsi" w:hAnsiTheme="minorHAnsi"/>
      <w:i/>
      <w:iCs/>
      <w:color w:val="404040" w:themeColor="text1" w:themeTint="BF"/>
      <w:sz w:val="20"/>
      <w:szCs w:val="20"/>
      <w:lang w:val="es-EC" w:bidi="ar-SA"/>
    </w:rPr>
  </w:style>
  <w:style w:type="character" w:customStyle="1" w:styleId="CitaCar">
    <w:name w:val="Cita Car"/>
    <w:basedOn w:val="Fuentedeprrafopredeter"/>
    <w:link w:val="Cita"/>
    <w:uiPriority w:val="29"/>
    <w:rsid w:val="0060082E"/>
    <w:rPr>
      <w:rFonts w:asciiTheme="minorHAnsi" w:hAnsiTheme="minorHAnsi"/>
      <w:i/>
      <w:iCs/>
      <w:color w:val="404040" w:themeColor="text1" w:themeTint="BF"/>
      <w:sz w:val="20"/>
      <w:szCs w:val="20"/>
      <w:lang w:val="es-EC" w:bidi="ar-SA"/>
    </w:rPr>
  </w:style>
  <w:style w:type="paragraph" w:styleId="Citadestacada">
    <w:name w:val="Intense Quote"/>
    <w:basedOn w:val="Normal"/>
    <w:next w:val="Normal"/>
    <w:link w:val="CitadestacadaCar"/>
    <w:uiPriority w:val="30"/>
    <w:qFormat/>
    <w:rsid w:val="0060082E"/>
    <w:pPr>
      <w:pBdr>
        <w:left w:val="single" w:sz="18" w:space="12" w:color="990000" w:themeColor="accent1"/>
      </w:pBdr>
      <w:spacing w:before="100" w:beforeAutospacing="1" w:after="120" w:line="300" w:lineRule="auto"/>
      <w:ind w:left="1224" w:right="1224"/>
      <w:jc w:val="left"/>
    </w:pPr>
    <w:rPr>
      <w:rFonts w:asciiTheme="majorHAnsi" w:eastAsiaTheme="majorEastAsia" w:hAnsiTheme="majorHAnsi" w:cstheme="majorBidi"/>
      <w:color w:val="990000" w:themeColor="accent1"/>
      <w:sz w:val="28"/>
      <w:szCs w:val="28"/>
      <w:lang w:val="es-EC" w:bidi="ar-SA"/>
    </w:rPr>
  </w:style>
  <w:style w:type="character" w:customStyle="1" w:styleId="CitadestacadaCar">
    <w:name w:val="Cita destacada Car"/>
    <w:basedOn w:val="Fuentedeprrafopredeter"/>
    <w:link w:val="Citadestacada"/>
    <w:uiPriority w:val="30"/>
    <w:rsid w:val="0060082E"/>
    <w:rPr>
      <w:rFonts w:asciiTheme="majorHAnsi" w:eastAsiaTheme="majorEastAsia" w:hAnsiTheme="majorHAnsi" w:cstheme="majorBidi"/>
      <w:color w:val="990000" w:themeColor="accent1"/>
      <w:sz w:val="28"/>
      <w:szCs w:val="28"/>
      <w:lang w:val="es-EC" w:bidi="ar-SA"/>
    </w:rPr>
  </w:style>
  <w:style w:type="character" w:styleId="nfasissutil">
    <w:name w:val="Subtle Emphasis"/>
    <w:basedOn w:val="Fuentedeprrafopredeter"/>
    <w:uiPriority w:val="19"/>
    <w:qFormat/>
    <w:rsid w:val="0060082E"/>
    <w:rPr>
      <w:i/>
      <w:iCs/>
      <w:color w:val="404040" w:themeColor="text1" w:themeTint="BF"/>
    </w:rPr>
  </w:style>
  <w:style w:type="character" w:styleId="nfasisintenso">
    <w:name w:val="Intense Emphasis"/>
    <w:basedOn w:val="Fuentedeprrafopredeter"/>
    <w:uiPriority w:val="21"/>
    <w:qFormat/>
    <w:rsid w:val="0060082E"/>
    <w:rPr>
      <w:b/>
      <w:bCs/>
      <w:i/>
      <w:iCs/>
    </w:rPr>
  </w:style>
  <w:style w:type="character" w:styleId="Referenciasutil">
    <w:name w:val="Subtle Reference"/>
    <w:basedOn w:val="Fuentedeprrafopredeter"/>
    <w:uiPriority w:val="31"/>
    <w:qFormat/>
    <w:rsid w:val="0060082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0082E"/>
    <w:rPr>
      <w:b/>
      <w:bCs/>
      <w:smallCaps/>
      <w:spacing w:val="5"/>
      <w:u w:val="single"/>
    </w:rPr>
  </w:style>
  <w:style w:type="paragraph" w:styleId="TtuloTDC">
    <w:name w:val="TOC Heading"/>
    <w:basedOn w:val="Ttulo1"/>
    <w:next w:val="Normal"/>
    <w:uiPriority w:val="39"/>
    <w:semiHidden/>
    <w:unhideWhenUsed/>
    <w:qFormat/>
    <w:rsid w:val="0060082E"/>
    <w:pPr>
      <w:keepLines/>
      <w:spacing w:before="320" w:after="0"/>
      <w:contextualSpacing w:val="0"/>
      <w:jc w:val="left"/>
      <w:outlineLvl w:val="9"/>
    </w:pPr>
    <w:rPr>
      <w:rFonts w:asciiTheme="majorHAnsi" w:hAnsiTheme="majorHAnsi"/>
      <w:b w:val="0"/>
      <w:bCs w:val="0"/>
      <w:caps w:val="0"/>
      <w:color w:val="720000" w:themeColor="accent1" w:themeShade="BF"/>
      <w:sz w:val="32"/>
      <w:szCs w:val="32"/>
      <w:lang w:val="es-EC"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13">
      <w:bodyDiv w:val="1"/>
      <w:marLeft w:val="0"/>
      <w:marRight w:val="0"/>
      <w:marTop w:val="0"/>
      <w:marBottom w:val="0"/>
      <w:divBdr>
        <w:top w:val="none" w:sz="0" w:space="0" w:color="auto"/>
        <w:left w:val="none" w:sz="0" w:space="0" w:color="auto"/>
        <w:bottom w:val="none" w:sz="0" w:space="0" w:color="auto"/>
        <w:right w:val="none" w:sz="0" w:space="0" w:color="auto"/>
      </w:divBdr>
    </w:div>
    <w:div w:id="51930697">
      <w:bodyDiv w:val="1"/>
      <w:marLeft w:val="0"/>
      <w:marRight w:val="0"/>
      <w:marTop w:val="0"/>
      <w:marBottom w:val="0"/>
      <w:divBdr>
        <w:top w:val="none" w:sz="0" w:space="0" w:color="auto"/>
        <w:left w:val="none" w:sz="0" w:space="0" w:color="auto"/>
        <w:bottom w:val="none" w:sz="0" w:space="0" w:color="auto"/>
        <w:right w:val="none" w:sz="0" w:space="0" w:color="auto"/>
      </w:divBdr>
    </w:div>
    <w:div w:id="61678583">
      <w:bodyDiv w:val="1"/>
      <w:marLeft w:val="0"/>
      <w:marRight w:val="0"/>
      <w:marTop w:val="0"/>
      <w:marBottom w:val="0"/>
      <w:divBdr>
        <w:top w:val="none" w:sz="0" w:space="0" w:color="auto"/>
        <w:left w:val="none" w:sz="0" w:space="0" w:color="auto"/>
        <w:bottom w:val="none" w:sz="0" w:space="0" w:color="auto"/>
        <w:right w:val="none" w:sz="0" w:space="0" w:color="auto"/>
      </w:divBdr>
    </w:div>
    <w:div w:id="329137135">
      <w:bodyDiv w:val="1"/>
      <w:marLeft w:val="0"/>
      <w:marRight w:val="0"/>
      <w:marTop w:val="0"/>
      <w:marBottom w:val="0"/>
      <w:divBdr>
        <w:top w:val="none" w:sz="0" w:space="0" w:color="auto"/>
        <w:left w:val="none" w:sz="0" w:space="0" w:color="auto"/>
        <w:bottom w:val="none" w:sz="0" w:space="0" w:color="auto"/>
        <w:right w:val="none" w:sz="0" w:space="0" w:color="auto"/>
      </w:divBdr>
    </w:div>
    <w:div w:id="392657144">
      <w:bodyDiv w:val="1"/>
      <w:marLeft w:val="0"/>
      <w:marRight w:val="0"/>
      <w:marTop w:val="0"/>
      <w:marBottom w:val="0"/>
      <w:divBdr>
        <w:top w:val="none" w:sz="0" w:space="0" w:color="auto"/>
        <w:left w:val="none" w:sz="0" w:space="0" w:color="auto"/>
        <w:bottom w:val="none" w:sz="0" w:space="0" w:color="auto"/>
        <w:right w:val="none" w:sz="0" w:space="0" w:color="auto"/>
      </w:divBdr>
    </w:div>
    <w:div w:id="545719531">
      <w:bodyDiv w:val="1"/>
      <w:marLeft w:val="0"/>
      <w:marRight w:val="0"/>
      <w:marTop w:val="0"/>
      <w:marBottom w:val="0"/>
      <w:divBdr>
        <w:top w:val="none" w:sz="0" w:space="0" w:color="auto"/>
        <w:left w:val="none" w:sz="0" w:space="0" w:color="auto"/>
        <w:bottom w:val="none" w:sz="0" w:space="0" w:color="auto"/>
        <w:right w:val="none" w:sz="0" w:space="0" w:color="auto"/>
      </w:divBdr>
    </w:div>
    <w:div w:id="560136957">
      <w:bodyDiv w:val="1"/>
      <w:marLeft w:val="0"/>
      <w:marRight w:val="0"/>
      <w:marTop w:val="0"/>
      <w:marBottom w:val="0"/>
      <w:divBdr>
        <w:top w:val="none" w:sz="0" w:space="0" w:color="auto"/>
        <w:left w:val="none" w:sz="0" w:space="0" w:color="auto"/>
        <w:bottom w:val="none" w:sz="0" w:space="0" w:color="auto"/>
        <w:right w:val="none" w:sz="0" w:space="0" w:color="auto"/>
      </w:divBdr>
    </w:div>
    <w:div w:id="705834584">
      <w:bodyDiv w:val="1"/>
      <w:marLeft w:val="0"/>
      <w:marRight w:val="0"/>
      <w:marTop w:val="0"/>
      <w:marBottom w:val="0"/>
      <w:divBdr>
        <w:top w:val="none" w:sz="0" w:space="0" w:color="auto"/>
        <w:left w:val="none" w:sz="0" w:space="0" w:color="auto"/>
        <w:bottom w:val="none" w:sz="0" w:space="0" w:color="auto"/>
        <w:right w:val="none" w:sz="0" w:space="0" w:color="auto"/>
      </w:divBdr>
    </w:div>
    <w:div w:id="768232204">
      <w:bodyDiv w:val="1"/>
      <w:marLeft w:val="0"/>
      <w:marRight w:val="0"/>
      <w:marTop w:val="0"/>
      <w:marBottom w:val="0"/>
      <w:divBdr>
        <w:top w:val="none" w:sz="0" w:space="0" w:color="auto"/>
        <w:left w:val="none" w:sz="0" w:space="0" w:color="auto"/>
        <w:bottom w:val="none" w:sz="0" w:space="0" w:color="auto"/>
        <w:right w:val="none" w:sz="0" w:space="0" w:color="auto"/>
      </w:divBdr>
    </w:div>
    <w:div w:id="833569769">
      <w:bodyDiv w:val="1"/>
      <w:marLeft w:val="0"/>
      <w:marRight w:val="0"/>
      <w:marTop w:val="0"/>
      <w:marBottom w:val="0"/>
      <w:divBdr>
        <w:top w:val="none" w:sz="0" w:space="0" w:color="auto"/>
        <w:left w:val="none" w:sz="0" w:space="0" w:color="auto"/>
        <w:bottom w:val="none" w:sz="0" w:space="0" w:color="auto"/>
        <w:right w:val="none" w:sz="0" w:space="0" w:color="auto"/>
      </w:divBdr>
    </w:div>
    <w:div w:id="907226081">
      <w:bodyDiv w:val="1"/>
      <w:marLeft w:val="0"/>
      <w:marRight w:val="0"/>
      <w:marTop w:val="0"/>
      <w:marBottom w:val="0"/>
      <w:divBdr>
        <w:top w:val="none" w:sz="0" w:space="0" w:color="auto"/>
        <w:left w:val="none" w:sz="0" w:space="0" w:color="auto"/>
        <w:bottom w:val="none" w:sz="0" w:space="0" w:color="auto"/>
        <w:right w:val="none" w:sz="0" w:space="0" w:color="auto"/>
      </w:divBdr>
    </w:div>
    <w:div w:id="1085347138">
      <w:bodyDiv w:val="1"/>
      <w:marLeft w:val="0"/>
      <w:marRight w:val="0"/>
      <w:marTop w:val="0"/>
      <w:marBottom w:val="0"/>
      <w:divBdr>
        <w:top w:val="none" w:sz="0" w:space="0" w:color="auto"/>
        <w:left w:val="none" w:sz="0" w:space="0" w:color="auto"/>
        <w:bottom w:val="none" w:sz="0" w:space="0" w:color="auto"/>
        <w:right w:val="none" w:sz="0" w:space="0" w:color="auto"/>
      </w:divBdr>
    </w:div>
    <w:div w:id="1297249714">
      <w:bodyDiv w:val="1"/>
      <w:marLeft w:val="0"/>
      <w:marRight w:val="0"/>
      <w:marTop w:val="0"/>
      <w:marBottom w:val="0"/>
      <w:divBdr>
        <w:top w:val="none" w:sz="0" w:space="0" w:color="auto"/>
        <w:left w:val="none" w:sz="0" w:space="0" w:color="auto"/>
        <w:bottom w:val="none" w:sz="0" w:space="0" w:color="auto"/>
        <w:right w:val="none" w:sz="0" w:space="0" w:color="auto"/>
      </w:divBdr>
    </w:div>
    <w:div w:id="1314262947">
      <w:bodyDiv w:val="1"/>
      <w:marLeft w:val="0"/>
      <w:marRight w:val="0"/>
      <w:marTop w:val="0"/>
      <w:marBottom w:val="0"/>
      <w:divBdr>
        <w:top w:val="none" w:sz="0" w:space="0" w:color="auto"/>
        <w:left w:val="none" w:sz="0" w:space="0" w:color="auto"/>
        <w:bottom w:val="none" w:sz="0" w:space="0" w:color="auto"/>
        <w:right w:val="none" w:sz="0" w:space="0" w:color="auto"/>
      </w:divBdr>
    </w:div>
    <w:div w:id="1417050170">
      <w:bodyDiv w:val="1"/>
      <w:marLeft w:val="0"/>
      <w:marRight w:val="0"/>
      <w:marTop w:val="0"/>
      <w:marBottom w:val="0"/>
      <w:divBdr>
        <w:top w:val="none" w:sz="0" w:space="0" w:color="auto"/>
        <w:left w:val="none" w:sz="0" w:space="0" w:color="auto"/>
        <w:bottom w:val="none" w:sz="0" w:space="0" w:color="auto"/>
        <w:right w:val="none" w:sz="0" w:space="0" w:color="auto"/>
      </w:divBdr>
    </w:div>
    <w:div w:id="1550264328">
      <w:bodyDiv w:val="1"/>
      <w:marLeft w:val="0"/>
      <w:marRight w:val="0"/>
      <w:marTop w:val="0"/>
      <w:marBottom w:val="0"/>
      <w:divBdr>
        <w:top w:val="none" w:sz="0" w:space="0" w:color="auto"/>
        <w:left w:val="none" w:sz="0" w:space="0" w:color="auto"/>
        <w:bottom w:val="none" w:sz="0" w:space="0" w:color="auto"/>
        <w:right w:val="none" w:sz="0" w:space="0" w:color="auto"/>
      </w:divBdr>
    </w:div>
    <w:div w:id="1597787861">
      <w:bodyDiv w:val="1"/>
      <w:marLeft w:val="0"/>
      <w:marRight w:val="0"/>
      <w:marTop w:val="0"/>
      <w:marBottom w:val="0"/>
      <w:divBdr>
        <w:top w:val="none" w:sz="0" w:space="0" w:color="auto"/>
        <w:left w:val="none" w:sz="0" w:space="0" w:color="auto"/>
        <w:bottom w:val="none" w:sz="0" w:space="0" w:color="auto"/>
        <w:right w:val="none" w:sz="0" w:space="0" w:color="auto"/>
      </w:divBdr>
    </w:div>
    <w:div w:id="1685203499">
      <w:bodyDiv w:val="1"/>
      <w:marLeft w:val="0"/>
      <w:marRight w:val="0"/>
      <w:marTop w:val="0"/>
      <w:marBottom w:val="0"/>
      <w:divBdr>
        <w:top w:val="none" w:sz="0" w:space="0" w:color="auto"/>
        <w:left w:val="none" w:sz="0" w:space="0" w:color="auto"/>
        <w:bottom w:val="none" w:sz="0" w:space="0" w:color="auto"/>
        <w:right w:val="none" w:sz="0" w:space="0" w:color="auto"/>
      </w:divBdr>
    </w:div>
    <w:div w:id="1836334809">
      <w:bodyDiv w:val="1"/>
      <w:marLeft w:val="0"/>
      <w:marRight w:val="0"/>
      <w:marTop w:val="0"/>
      <w:marBottom w:val="0"/>
      <w:divBdr>
        <w:top w:val="none" w:sz="0" w:space="0" w:color="auto"/>
        <w:left w:val="none" w:sz="0" w:space="0" w:color="auto"/>
        <w:bottom w:val="none" w:sz="0" w:space="0" w:color="auto"/>
        <w:right w:val="none" w:sz="0" w:space="0" w:color="auto"/>
      </w:divBdr>
    </w:div>
    <w:div w:id="19115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Codex">
      <a:dk1>
        <a:sysClr val="windowText" lastClr="000000"/>
      </a:dk1>
      <a:lt1>
        <a:sysClr val="window" lastClr="FFFFFF"/>
      </a:lt1>
      <a:dk2>
        <a:srgbClr val="59564B"/>
      </a:dk2>
      <a:lt2>
        <a:srgbClr val="DFDAC7"/>
      </a:lt2>
      <a:accent1>
        <a:srgbClr val="990000"/>
      </a:accent1>
      <a:accent2>
        <a:srgbClr val="EFAB16"/>
      </a:accent2>
      <a:accent3>
        <a:srgbClr val="78AC35"/>
      </a:accent3>
      <a:accent4>
        <a:srgbClr val="35ACA2"/>
      </a:accent4>
      <a:accent5>
        <a:srgbClr val="4083CF"/>
      </a:accent5>
      <a:accent6>
        <a:srgbClr val="0D335E"/>
      </a:accent6>
      <a:hlink>
        <a:srgbClr val="EF8E1C"/>
      </a:hlink>
      <a:folHlink>
        <a:srgbClr val="FEC60B"/>
      </a:folHlink>
    </a:clrScheme>
    <a:fontScheme name="Inkwell">
      <a:majorFont>
        <a:latin typeface="Goudy Old Style"/>
        <a:ea typeface=""/>
        <a:cs typeface=""/>
        <a:font script="Jpan" typeface="ＭＳ 明朝"/>
      </a:majorFont>
      <a:minorFont>
        <a:latin typeface="Goudy Old Style"/>
        <a:ea typeface=""/>
        <a:cs typeface=""/>
        <a:font script="Jpan" typeface="ＭＳ 明朝"/>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9BB7E-3AF1-430E-B2F9-63860ADB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20</Pages>
  <Words>3305</Words>
  <Characters>18182</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Ordenanza reformatoria a la Ordenanza número 0098, de 21 de enero de 2016</vt:lpstr>
      <vt:lpstr>Proyecto de Código Metropolitano</vt:lpstr>
    </vt:vector>
  </TitlesOfParts>
  <Manager/>
  <Company/>
  <LinksUpToDate>false</LinksUpToDate>
  <CharactersWithSpaces>21445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 reformatoria a la Ordenanza número 0098, de 21 de enero de 2016</dc:title>
  <dc:subject/>
  <dc:creator>Fabián Andrade Narváez</dc:creator>
  <cp:keywords/>
  <dc:description/>
  <cp:lastModifiedBy>Diego Sebastian Cevallos Salgado</cp:lastModifiedBy>
  <cp:revision>16</cp:revision>
  <cp:lastPrinted>2018-12-13T16:10:00Z</cp:lastPrinted>
  <dcterms:created xsi:type="dcterms:W3CDTF">2018-08-23T03:27:00Z</dcterms:created>
  <dcterms:modified xsi:type="dcterms:W3CDTF">2018-12-13T16:16:00Z</dcterms:modified>
  <cp:category/>
</cp:coreProperties>
</file>