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02561F" w:rsidRDefault="00361728" w:rsidP="0002561F">
      <w:pPr>
        <w:pStyle w:val="a"/>
        <w:spacing w:after="120" w:line="276" w:lineRule="auto"/>
        <w:rPr>
          <w:rFonts w:ascii="Palatino Linotype" w:hAnsi="Palatino Linotype" w:cs="Times New Roman"/>
          <w:sz w:val="22"/>
          <w:szCs w:val="22"/>
        </w:rPr>
      </w:pPr>
      <w:r w:rsidRPr="0002561F">
        <w:rPr>
          <w:rFonts w:ascii="Palatino Linotype" w:hAnsi="Palatino Linotype" w:cs="Times New Roman"/>
          <w:sz w:val="22"/>
          <w:szCs w:val="22"/>
        </w:rPr>
        <w:t>EXPOSICIÓN DE MOTIVOS</w:t>
      </w:r>
    </w:p>
    <w:p w:rsidR="00F935DB" w:rsidRPr="00F935DB" w:rsidRDefault="00F935DB" w:rsidP="00F935DB">
      <w:pPr>
        <w:spacing w:after="120" w:line="276" w:lineRule="auto"/>
        <w:ind w:firstLine="708"/>
        <w:jc w:val="both"/>
        <w:rPr>
          <w:rFonts w:ascii="Palatino Linotype" w:hAnsi="Palatino Linotype"/>
          <w:b/>
          <w:sz w:val="22"/>
          <w:szCs w:val="22"/>
        </w:rPr>
      </w:pPr>
      <w:r w:rsidRPr="00F935DB">
        <w:rPr>
          <w:rFonts w:ascii="Palatino Linotype" w:hAnsi="Palatino Linotype"/>
          <w:sz w:val="22"/>
          <w:szCs w:val="22"/>
        </w:rPr>
        <w:t>La Constitución de la República del Ecuador, en su artículo 30, garantiza a las personas el “</w:t>
      </w:r>
      <w:r w:rsidRPr="00F935DB">
        <w:rPr>
          <w:rFonts w:ascii="Palatino Linotype" w:hAnsi="Palatino Linotype"/>
          <w:i/>
          <w:sz w:val="22"/>
          <w:szCs w:val="22"/>
        </w:rPr>
        <w:t>derecho a un hábitat seguro y saludable, y a una vivienda adecuada y digna, con independencia de su situación social y económica</w:t>
      </w:r>
      <w:r w:rsidRPr="00F935DB">
        <w:rPr>
          <w:rFonts w:ascii="Palatino Linotype" w:hAnsi="Palatino Linotype"/>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F935DB" w:rsidRPr="00F935DB" w:rsidRDefault="00F935DB" w:rsidP="00F935DB">
      <w:pPr>
        <w:spacing w:after="120" w:line="276" w:lineRule="auto"/>
        <w:ind w:firstLine="708"/>
        <w:jc w:val="both"/>
        <w:rPr>
          <w:rFonts w:ascii="Palatino Linotype" w:hAnsi="Palatino Linotype"/>
          <w:b/>
          <w:sz w:val="22"/>
          <w:szCs w:val="22"/>
        </w:rPr>
      </w:pPr>
      <w:r w:rsidRPr="00F935DB">
        <w:rPr>
          <w:rFonts w:ascii="Palatino Linotype" w:hAnsi="Palatino Linotype"/>
          <w:sz w:val="22"/>
          <w:szCs w:val="22"/>
        </w:rPr>
        <w:t xml:space="preserve">La Administración Municipal, a través de la Unidad Especial Regula Tu Barrio, gestiona procesos tendientes a regularizar </w:t>
      </w:r>
      <w:r w:rsidRPr="00F935DB">
        <w:rPr>
          <w:rFonts w:ascii="Palatino Linotype" w:hAnsi="Palatino Linotype"/>
          <w:bCs/>
          <w:sz w:val="22"/>
          <w:szCs w:val="22"/>
        </w:rPr>
        <w:t>la ocupación informal del suelo</w:t>
      </w:r>
      <w:r w:rsidRPr="00F935DB">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F935DB" w:rsidRPr="00F935DB" w:rsidRDefault="00F935DB" w:rsidP="00F935DB">
      <w:pPr>
        <w:spacing w:after="120" w:line="276" w:lineRule="auto"/>
        <w:ind w:firstLine="708"/>
        <w:jc w:val="both"/>
        <w:rPr>
          <w:rFonts w:ascii="Palatino Linotype" w:hAnsi="Palatino Linotype"/>
          <w:b/>
          <w:color w:val="000000" w:themeColor="text1"/>
          <w:sz w:val="22"/>
          <w:szCs w:val="22"/>
        </w:rPr>
      </w:pPr>
      <w:r w:rsidRPr="00F935DB">
        <w:rPr>
          <w:rFonts w:ascii="Palatino Linotype" w:hAnsi="Palatino Linotype"/>
          <w:color w:val="000000" w:themeColor="text1"/>
          <w:sz w:val="22"/>
          <w:szCs w:val="22"/>
        </w:rPr>
        <w:t xml:space="preserve">La Urbanización de Interés Social de Desarrollo Progresivo denominado </w:t>
      </w:r>
      <w:r w:rsidRPr="00F935DB">
        <w:rPr>
          <w:rFonts w:ascii="Palatino Linotype" w:hAnsi="Palatino Linotype"/>
          <w:bCs/>
          <w:color w:val="000000" w:themeColor="text1"/>
          <w:sz w:val="22"/>
          <w:szCs w:val="22"/>
        </w:rPr>
        <w:t>Asociación de Vivienda “Nueva Vida”</w:t>
      </w:r>
      <w:r w:rsidRPr="00F935DB">
        <w:rPr>
          <w:rFonts w:ascii="Palatino Linotype" w:hAnsi="Palatino Linotype"/>
          <w:color w:val="000000" w:themeColor="text1"/>
          <w:sz w:val="22"/>
          <w:szCs w:val="22"/>
        </w:rPr>
        <w:t xml:space="preserve">, a favor de Zoila Marina Guevara y otros, </w:t>
      </w:r>
      <w:r w:rsidRPr="00F935DB">
        <w:rPr>
          <w:rFonts w:ascii="Palatino Linotype" w:hAnsi="Palatino Linotype"/>
          <w:sz w:val="22"/>
          <w:szCs w:val="22"/>
        </w:rPr>
        <w:t xml:space="preserve">al inicio del proceso de regularización contaba con 26 años de existencia; sin embargo, al momento </w:t>
      </w:r>
      <w:proofErr w:type="gramStart"/>
      <w:r w:rsidRPr="00F935DB">
        <w:rPr>
          <w:rFonts w:ascii="Palatino Linotype" w:hAnsi="Palatino Linotype"/>
          <w:sz w:val="22"/>
          <w:szCs w:val="22"/>
        </w:rPr>
        <w:t>de</w:t>
      </w:r>
      <w:proofErr w:type="gramEnd"/>
      <w:r w:rsidRPr="00F935DB">
        <w:rPr>
          <w:rFonts w:ascii="Palatino Linotype" w:hAnsi="Palatino Linotype"/>
          <w:sz w:val="22"/>
          <w:szCs w:val="22"/>
        </w:rPr>
        <w:t xml:space="preserve"> la sanción de la presente ordenanza, cuenta con 27 años de asentamiento y 100 beneficiarios.</w:t>
      </w:r>
      <w:r w:rsidRPr="00F935DB">
        <w:rPr>
          <w:rFonts w:ascii="Palatino Linotype" w:hAnsi="Palatino Linotype"/>
          <w:color w:val="000000" w:themeColor="text1"/>
          <w:sz w:val="22"/>
          <w:szCs w:val="22"/>
        </w:rPr>
        <w:t xml:space="preserve"> </w:t>
      </w:r>
    </w:p>
    <w:p w:rsidR="00F935DB" w:rsidRPr="00F935DB" w:rsidRDefault="00F935DB" w:rsidP="00F935DB">
      <w:pPr>
        <w:spacing w:after="120" w:line="276" w:lineRule="auto"/>
        <w:ind w:firstLine="708"/>
        <w:jc w:val="both"/>
        <w:rPr>
          <w:rFonts w:ascii="Palatino Linotype" w:hAnsi="Palatino Linotype"/>
          <w:color w:val="000000" w:themeColor="text1"/>
          <w:sz w:val="22"/>
          <w:szCs w:val="22"/>
        </w:rPr>
      </w:pPr>
      <w:r w:rsidRPr="00F935DB">
        <w:rPr>
          <w:rFonts w:ascii="Palatino Linotype" w:hAnsi="Palatino Linotype"/>
          <w:color w:val="000000" w:themeColor="text1"/>
          <w:sz w:val="22"/>
          <w:szCs w:val="22"/>
        </w:rPr>
        <w:t xml:space="preserve">La Urbanización de Interés Social de Desarrollo Progresivo denominado </w:t>
      </w:r>
      <w:r w:rsidRPr="00F935DB">
        <w:rPr>
          <w:rFonts w:ascii="Palatino Linotype" w:hAnsi="Palatino Linotype"/>
          <w:bCs/>
          <w:color w:val="000000" w:themeColor="text1"/>
          <w:sz w:val="22"/>
          <w:szCs w:val="22"/>
        </w:rPr>
        <w:t>Asociación de Vivienda “Nueva Vida”</w:t>
      </w:r>
      <w:r w:rsidRPr="00F935DB">
        <w:rPr>
          <w:rFonts w:ascii="Palatino Linotype" w:hAnsi="Palatino Linotype"/>
          <w:color w:val="000000" w:themeColor="text1"/>
          <w:sz w:val="22"/>
          <w:szCs w:val="22"/>
        </w:rPr>
        <w:t xml:space="preserve">, a favor de Zoila Marina Guevara y otros, fue reconocida a través de la Ordenanza No. 0085, sancionada el 22 de junio de 2011; posteriormente se realiza la Fe de Erratas No. 0085 dada el 10 de abril de 2012 por el Concejo Metropolitano de Quito; y, la Fe de Erratas No. 0085 dada por el Concejo Metropolitano de Quito el 10 de abril de 2013; sin embargo en la ordenanza sancionada se hace constar una área útil de lotes, área total de lotes, área verde comunal, área de vías y pasajes que no corresponden a la Urbanización de Interés Social de Desarrollo Progresivo denominado </w:t>
      </w:r>
      <w:r w:rsidRPr="00F935DB">
        <w:rPr>
          <w:rFonts w:ascii="Palatino Linotype" w:hAnsi="Palatino Linotype"/>
          <w:bCs/>
          <w:color w:val="000000" w:themeColor="text1"/>
          <w:sz w:val="22"/>
          <w:szCs w:val="22"/>
        </w:rPr>
        <w:t>Asociación de Vivienda “Nueva Vida”</w:t>
      </w:r>
      <w:r w:rsidRPr="00F935DB">
        <w:rPr>
          <w:rFonts w:ascii="Palatino Linotype" w:hAnsi="Palatino Linotype"/>
          <w:color w:val="000000" w:themeColor="text1"/>
          <w:sz w:val="22"/>
          <w:szCs w:val="22"/>
        </w:rPr>
        <w:t>, a favor de Zoila Marina Guevara y otros; existe un error en el año de ejecución de obras así como también en las obras a ejecutarse, por estos motivos la Unidad Especial Regula Tu Barrio realizó el proceso tendiente a reformar dicha Ordenanza, a fin de permitir que los legítimos propietarios cuenten con sus títulos de dominio que garanticen el ejercicio del derecho a la vivienda, adecuada y digna, conforme lo prevé la Constitución del Ecuador, adicionalmente en la Reforma de Ordenanza se eliminará el artículo sobre tasas retributivas; se sustituirá la palabra de “urbanización” por “obras civiles y de infraestructura; se agregará las recomendaciones de la secretaria de Riesgos; y se modificará la disposición de inscripción de la ordenanza en el Registro de la Propiedad,.</w:t>
      </w:r>
    </w:p>
    <w:p w:rsidR="002305D7" w:rsidRPr="00F935DB" w:rsidRDefault="00F935DB" w:rsidP="00F935DB">
      <w:pPr>
        <w:spacing w:after="120" w:line="276" w:lineRule="auto"/>
        <w:jc w:val="both"/>
        <w:rPr>
          <w:rFonts w:ascii="Palatino Linotype" w:hAnsi="Palatino Linotype"/>
          <w:sz w:val="22"/>
          <w:szCs w:val="22"/>
        </w:rPr>
      </w:pPr>
      <w:r w:rsidRPr="00F935DB">
        <w:rPr>
          <w:rFonts w:ascii="Palatino Linotype" w:hAnsi="Palatino Linotype"/>
          <w:color w:val="000000" w:themeColor="text1"/>
          <w:sz w:val="22"/>
          <w:szCs w:val="22"/>
        </w:rPr>
        <w:lastRenderedPageBreak/>
        <w:t>En este sentido, la presente Ordenanza Reformatoria contiene la normativa tendiente a la regularización de la Urbanización de Interés Social de Desarrollo Progresivo denominada Asociación de Vivienda “Nueva Vida”, a favor de Zoila Marina Guevara Torres y otros a fin de gar</w:t>
      </w:r>
      <w:r w:rsidRPr="00F935DB">
        <w:rPr>
          <w:rFonts w:ascii="Palatino Linotype" w:hAnsi="Palatino Linotype"/>
          <w:sz w:val="22"/>
          <w:szCs w:val="22"/>
        </w:rPr>
        <w:t>antizar a los beneficiarios el ejercicio de su derecho a la vivienda y el acceso a servicios básicos de calidad.</w:t>
      </w:r>
    </w:p>
    <w:p w:rsidR="0002561F" w:rsidRDefault="00361728" w:rsidP="0002561F">
      <w:pPr>
        <w:pStyle w:val="a"/>
        <w:spacing w:after="120" w:line="276" w:lineRule="auto"/>
        <w:ind w:firstLine="708"/>
        <w:jc w:val="both"/>
        <w:rPr>
          <w:rFonts w:ascii="Palatino Linotype" w:hAnsi="Palatino Linotype" w:cs="Times New Roman"/>
          <w:b w:val="0"/>
          <w:sz w:val="22"/>
          <w:szCs w:val="22"/>
        </w:rPr>
        <w:sectPr w:rsidR="0002561F" w:rsidSect="00201283">
          <w:headerReference w:type="default" r:id="rId9"/>
          <w:footerReference w:type="first" r:id="rId10"/>
          <w:pgSz w:w="11906" w:h="16838"/>
          <w:pgMar w:top="3402" w:right="1416" w:bottom="567" w:left="1701" w:header="709" w:footer="70" w:gutter="0"/>
          <w:cols w:space="708"/>
          <w:docGrid w:linePitch="360"/>
        </w:sectPr>
      </w:pPr>
      <w:r w:rsidRPr="0002561F">
        <w:rPr>
          <w:rFonts w:ascii="Palatino Linotype" w:hAnsi="Palatino Linotype" w:cs="Times New Roman"/>
          <w:b w:val="0"/>
          <w:sz w:val="22"/>
          <w:szCs w:val="22"/>
        </w:rPr>
        <w:t>.</w:t>
      </w:r>
    </w:p>
    <w:p w:rsidR="00361728" w:rsidRPr="0002561F" w:rsidRDefault="00361728" w:rsidP="0002561F">
      <w:pPr>
        <w:pStyle w:val="a"/>
        <w:spacing w:after="120" w:line="276" w:lineRule="auto"/>
        <w:rPr>
          <w:rFonts w:ascii="Palatino Linotype" w:hAnsi="Palatino Linotype" w:cs="Times New Roman"/>
          <w:sz w:val="22"/>
          <w:szCs w:val="22"/>
        </w:rPr>
      </w:pPr>
      <w:r w:rsidRPr="0002561F">
        <w:rPr>
          <w:rFonts w:ascii="Palatino Linotype" w:hAnsi="Palatino Linotype" w:cs="Times New Roman"/>
          <w:sz w:val="22"/>
          <w:szCs w:val="22"/>
        </w:rPr>
        <w:lastRenderedPageBreak/>
        <w:t>EL CONCEJO METROPOLITANO DE QUITO</w:t>
      </w:r>
    </w:p>
    <w:p w:rsidR="00361728" w:rsidRPr="0002561F" w:rsidRDefault="00361728"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 xml:space="preserve">Visto </w:t>
      </w:r>
      <w:r w:rsidR="002305D7">
        <w:rPr>
          <w:rFonts w:ascii="Palatino Linotype" w:hAnsi="Palatino Linotype"/>
          <w:sz w:val="22"/>
          <w:szCs w:val="22"/>
        </w:rPr>
        <w:t>e</w:t>
      </w:r>
      <w:r w:rsidR="0002561F">
        <w:rPr>
          <w:rFonts w:ascii="Palatino Linotype" w:hAnsi="Palatino Linotype"/>
          <w:sz w:val="22"/>
          <w:szCs w:val="22"/>
        </w:rPr>
        <w:t xml:space="preserve">l </w:t>
      </w:r>
      <w:r w:rsidRPr="0002561F">
        <w:rPr>
          <w:rFonts w:ascii="Palatino Linotype" w:hAnsi="Palatino Linotype"/>
          <w:sz w:val="22"/>
          <w:szCs w:val="22"/>
        </w:rPr>
        <w:t xml:space="preserve">Informe No. </w:t>
      </w:r>
      <w:proofErr w:type="spellStart"/>
      <w:r w:rsidR="0002561F">
        <w:rPr>
          <w:rFonts w:ascii="Palatino Linotype" w:hAnsi="Palatino Linotype"/>
          <w:sz w:val="22"/>
          <w:szCs w:val="22"/>
        </w:rPr>
        <w:t>IC</w:t>
      </w:r>
      <w:proofErr w:type="spellEnd"/>
      <w:r w:rsidR="0002561F">
        <w:rPr>
          <w:rFonts w:ascii="Palatino Linotype" w:hAnsi="Palatino Linotype"/>
          <w:sz w:val="22"/>
          <w:szCs w:val="22"/>
        </w:rPr>
        <w:t>-O-2017-</w:t>
      </w:r>
      <w:r w:rsidR="00F935DB">
        <w:rPr>
          <w:rFonts w:ascii="Palatino Linotype" w:hAnsi="Palatino Linotype"/>
          <w:sz w:val="22"/>
          <w:szCs w:val="22"/>
        </w:rPr>
        <w:t>143</w:t>
      </w:r>
      <w:r w:rsidR="0002561F">
        <w:rPr>
          <w:rFonts w:ascii="Palatino Linotype" w:hAnsi="Palatino Linotype"/>
          <w:sz w:val="22"/>
          <w:szCs w:val="22"/>
        </w:rPr>
        <w:t xml:space="preserve">, </w:t>
      </w:r>
      <w:r w:rsidRPr="0002561F">
        <w:rPr>
          <w:rFonts w:ascii="Palatino Linotype" w:hAnsi="Palatino Linotype"/>
          <w:sz w:val="22"/>
          <w:szCs w:val="22"/>
        </w:rPr>
        <w:t>de</w:t>
      </w:r>
      <w:r w:rsidR="0002561F">
        <w:rPr>
          <w:rFonts w:ascii="Palatino Linotype" w:hAnsi="Palatino Linotype"/>
          <w:sz w:val="22"/>
          <w:szCs w:val="22"/>
        </w:rPr>
        <w:t xml:space="preserve"> </w:t>
      </w:r>
      <w:r w:rsidR="002305D7">
        <w:rPr>
          <w:rFonts w:ascii="Palatino Linotype" w:hAnsi="Palatino Linotype"/>
          <w:sz w:val="22"/>
          <w:szCs w:val="22"/>
        </w:rPr>
        <w:t>2</w:t>
      </w:r>
      <w:r w:rsidR="00F935DB">
        <w:rPr>
          <w:rFonts w:ascii="Palatino Linotype" w:hAnsi="Palatino Linotype"/>
          <w:sz w:val="22"/>
          <w:szCs w:val="22"/>
        </w:rPr>
        <w:t>7</w:t>
      </w:r>
      <w:r w:rsidR="0002561F">
        <w:rPr>
          <w:rFonts w:ascii="Palatino Linotype" w:hAnsi="Palatino Linotype"/>
          <w:sz w:val="22"/>
          <w:szCs w:val="22"/>
        </w:rPr>
        <w:t xml:space="preserve"> de </w:t>
      </w:r>
      <w:r w:rsidR="00F935DB">
        <w:rPr>
          <w:rFonts w:ascii="Palatino Linotype" w:hAnsi="Palatino Linotype"/>
          <w:sz w:val="22"/>
          <w:szCs w:val="22"/>
        </w:rPr>
        <w:t xml:space="preserve">abril </w:t>
      </w:r>
      <w:r w:rsidR="0002561F">
        <w:rPr>
          <w:rFonts w:ascii="Palatino Linotype" w:hAnsi="Palatino Linotype"/>
          <w:sz w:val="22"/>
          <w:szCs w:val="22"/>
        </w:rPr>
        <w:t>de 2017</w:t>
      </w:r>
      <w:r w:rsidRPr="0002561F">
        <w:rPr>
          <w:rFonts w:ascii="Palatino Linotype" w:hAnsi="Palatino Linotype"/>
          <w:sz w:val="22"/>
          <w:szCs w:val="22"/>
        </w:rPr>
        <w:t>, expedido por la Comisi</w:t>
      </w:r>
      <w:r w:rsidR="002305D7">
        <w:rPr>
          <w:rFonts w:ascii="Palatino Linotype" w:hAnsi="Palatino Linotype"/>
          <w:sz w:val="22"/>
          <w:szCs w:val="22"/>
        </w:rPr>
        <w:t>ón</w:t>
      </w:r>
      <w:r w:rsidRPr="0002561F">
        <w:rPr>
          <w:rFonts w:ascii="Palatino Linotype" w:hAnsi="Palatino Linotype"/>
          <w:sz w:val="22"/>
          <w:szCs w:val="22"/>
        </w:rPr>
        <w:t xml:space="preserve"> de Ordenamiento Territorial.</w:t>
      </w:r>
    </w:p>
    <w:p w:rsidR="00361728" w:rsidRPr="0002561F" w:rsidRDefault="00361728" w:rsidP="0002561F">
      <w:pPr>
        <w:spacing w:after="120" w:line="276" w:lineRule="auto"/>
        <w:jc w:val="center"/>
        <w:rPr>
          <w:rFonts w:ascii="Palatino Linotype" w:hAnsi="Palatino Linotype"/>
          <w:b/>
          <w:sz w:val="22"/>
          <w:szCs w:val="22"/>
        </w:rPr>
      </w:pPr>
      <w:r w:rsidRPr="0002561F">
        <w:rPr>
          <w:rFonts w:ascii="Palatino Linotype" w:hAnsi="Palatino Linotype"/>
          <w:b/>
          <w:sz w:val="22"/>
          <w:szCs w:val="22"/>
        </w:rPr>
        <w:t>CONSIDERANDO:</w:t>
      </w:r>
    </w:p>
    <w:p w:rsidR="00F935DB" w:rsidRPr="00F935DB" w:rsidRDefault="00F935DB" w:rsidP="00F935DB">
      <w:pPr>
        <w:pStyle w:val="Sinespaciado"/>
        <w:spacing w:after="120" w:line="276" w:lineRule="auto"/>
        <w:ind w:left="709" w:hanging="709"/>
        <w:jc w:val="both"/>
        <w:rPr>
          <w:rFonts w:ascii="Palatino Linotype" w:hAnsi="Palatino Linotype"/>
        </w:rPr>
      </w:pPr>
      <w:r w:rsidRPr="00F935DB">
        <w:rPr>
          <w:rFonts w:ascii="Palatino Linotype" w:hAnsi="Palatino Linotype"/>
          <w:b/>
        </w:rPr>
        <w:t xml:space="preserve">Que, </w:t>
      </w:r>
      <w:r w:rsidRPr="00F935DB">
        <w:rPr>
          <w:rFonts w:ascii="Palatino Linotype" w:hAnsi="Palatino Linotype"/>
          <w:b/>
        </w:rPr>
        <w:tab/>
      </w:r>
      <w:r w:rsidRPr="00F935DB">
        <w:rPr>
          <w:rFonts w:ascii="Palatino Linotype" w:hAnsi="Palatino Linotype"/>
        </w:rPr>
        <w:t>el artículo 30 de la Constitución de la República del Ecuador (en adelante “Constitución”) establece que: “</w:t>
      </w:r>
      <w:r w:rsidRPr="00F935DB">
        <w:rPr>
          <w:rFonts w:ascii="Palatino Linotype" w:hAnsi="Palatino Linotype"/>
          <w:i/>
        </w:rPr>
        <w:t>Las personas tienen derecho a un hábitat seguro y saludable, y a una vivienda adecuada y digna, con independencia de su situación social y económica.</w:t>
      </w:r>
      <w:r w:rsidRPr="00F935DB">
        <w:rPr>
          <w:rFonts w:ascii="Palatino Linotype" w:hAnsi="Palatino Linotype"/>
        </w:rPr>
        <w:t>”;</w:t>
      </w:r>
    </w:p>
    <w:p w:rsidR="00F935DB" w:rsidRPr="00F935DB" w:rsidRDefault="00F935DB" w:rsidP="00F935DB">
      <w:pPr>
        <w:pStyle w:val="Sinespaciado"/>
        <w:spacing w:after="120" w:line="276" w:lineRule="auto"/>
        <w:ind w:left="709" w:hanging="709"/>
        <w:jc w:val="both"/>
        <w:rPr>
          <w:rFonts w:ascii="Palatino Linotype" w:hAnsi="Palatino Linotype"/>
          <w:bCs/>
        </w:rPr>
      </w:pPr>
      <w:r w:rsidRPr="00F935DB">
        <w:rPr>
          <w:rFonts w:ascii="Palatino Linotype" w:hAnsi="Palatino Linotype"/>
          <w:b/>
          <w:bCs/>
        </w:rPr>
        <w:t>Que,</w:t>
      </w:r>
      <w:r w:rsidRPr="00F935DB">
        <w:rPr>
          <w:rFonts w:ascii="Palatino Linotype" w:hAnsi="Palatino Linotype"/>
          <w:b/>
          <w:bCs/>
        </w:rPr>
        <w:tab/>
      </w:r>
      <w:r w:rsidRPr="00F935DB">
        <w:rPr>
          <w:rFonts w:ascii="Palatino Linotype" w:hAnsi="Palatino Linotype"/>
          <w:bCs/>
        </w:rPr>
        <w:t>el artículo 31 de la Constitución expresa que: “</w:t>
      </w:r>
      <w:r w:rsidRPr="00F935DB">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F935DB">
        <w:rPr>
          <w:rFonts w:ascii="Palatino Linotype" w:hAnsi="Palatino Linotype"/>
          <w:bCs/>
        </w:rPr>
        <w:t xml:space="preserve">”; </w:t>
      </w:r>
    </w:p>
    <w:p w:rsidR="00F935DB" w:rsidRPr="00F935DB" w:rsidRDefault="00F935DB" w:rsidP="00F935DB">
      <w:pPr>
        <w:pStyle w:val="Sinespaciado"/>
        <w:spacing w:after="120" w:line="276" w:lineRule="auto"/>
        <w:ind w:left="709" w:hanging="709"/>
        <w:jc w:val="both"/>
        <w:rPr>
          <w:rFonts w:ascii="Palatino Linotype" w:hAnsi="Palatino Linotype"/>
        </w:rPr>
      </w:pPr>
      <w:r w:rsidRPr="00F935DB">
        <w:rPr>
          <w:rFonts w:ascii="Palatino Linotype" w:hAnsi="Palatino Linotype"/>
          <w:b/>
          <w:bCs/>
        </w:rPr>
        <w:t>Que,</w:t>
      </w:r>
      <w:r w:rsidRPr="00F935DB">
        <w:rPr>
          <w:rFonts w:ascii="Palatino Linotype" w:hAnsi="Palatino Linotype"/>
          <w:b/>
          <w:bCs/>
        </w:rPr>
        <w:tab/>
      </w:r>
      <w:r w:rsidRPr="00F935DB">
        <w:rPr>
          <w:rFonts w:ascii="Palatino Linotype" w:hAnsi="Palatino Linotype"/>
        </w:rPr>
        <w:t>el artículo 240 de la Constitución establece que: “</w:t>
      </w:r>
      <w:r w:rsidRPr="00F935DB">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bookmarkStart w:id="0" w:name="_GoBack"/>
      <w:bookmarkEnd w:id="0"/>
      <w:r w:rsidRPr="00F935DB">
        <w:rPr>
          <w:rFonts w:ascii="Palatino Linotype" w:hAnsi="Palatino Linotype"/>
          <w:i/>
        </w:rPr>
        <w:t>)</w:t>
      </w:r>
      <w:r w:rsidRPr="00F935DB">
        <w:rPr>
          <w:rFonts w:ascii="Palatino Linotype" w:hAnsi="Palatino Linotype"/>
        </w:rPr>
        <w:t>”;</w:t>
      </w:r>
    </w:p>
    <w:p w:rsidR="00F935DB" w:rsidRPr="00F935DB" w:rsidRDefault="00F935DB" w:rsidP="00F935DB">
      <w:pPr>
        <w:pStyle w:val="Sinespaciado"/>
        <w:spacing w:after="120" w:line="276" w:lineRule="auto"/>
        <w:ind w:left="709" w:hanging="709"/>
        <w:jc w:val="both"/>
        <w:rPr>
          <w:rFonts w:ascii="Palatino Linotype" w:hAnsi="Palatino Linotype"/>
          <w:i/>
        </w:rPr>
      </w:pPr>
      <w:r w:rsidRPr="00F935DB">
        <w:rPr>
          <w:rFonts w:ascii="Palatino Linotype" w:hAnsi="Palatino Linotype"/>
          <w:b/>
          <w:bCs/>
        </w:rPr>
        <w:t>Que,</w:t>
      </w:r>
      <w:r w:rsidRPr="00F935DB">
        <w:rPr>
          <w:rFonts w:ascii="Palatino Linotype" w:hAnsi="Palatino Linotype"/>
        </w:rPr>
        <w:tab/>
        <w:t>el numeral 1 y 2 del artículo 264 de la Constitución manifiesta que: “</w:t>
      </w:r>
      <w:r w:rsidRPr="00F935DB">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F935DB">
        <w:rPr>
          <w:rFonts w:ascii="Palatino Linotype" w:hAnsi="Palatino Linotype"/>
        </w:rPr>
        <w:t xml:space="preserve">”; </w:t>
      </w:r>
      <w:r w:rsidRPr="00F935DB">
        <w:rPr>
          <w:rFonts w:ascii="Palatino Linotype" w:hAnsi="Palatino Linotype"/>
          <w:i/>
        </w:rPr>
        <w:t>(…)2.- “Ejercer el control sobre el uso y ocupación del suelo en el cantón (…)”.</w:t>
      </w:r>
    </w:p>
    <w:p w:rsidR="00F935DB" w:rsidRPr="00F935DB" w:rsidRDefault="00F935DB" w:rsidP="00F935DB">
      <w:pPr>
        <w:pStyle w:val="Sinespaciado"/>
        <w:spacing w:after="120" w:line="276" w:lineRule="auto"/>
        <w:ind w:left="709" w:hanging="709"/>
        <w:jc w:val="both"/>
        <w:rPr>
          <w:rFonts w:ascii="Palatino Linotype" w:hAnsi="Palatino Linotype"/>
        </w:rPr>
      </w:pPr>
      <w:r w:rsidRPr="00F935DB">
        <w:rPr>
          <w:rFonts w:ascii="Palatino Linotype" w:hAnsi="Palatino Linotype"/>
          <w:b/>
          <w:bCs/>
        </w:rPr>
        <w:t>Que,</w:t>
      </w:r>
      <w:r w:rsidRPr="00F935DB">
        <w:rPr>
          <w:rFonts w:ascii="Palatino Linotype" w:hAnsi="Palatino Linotype"/>
          <w:b/>
          <w:bCs/>
        </w:rPr>
        <w:tab/>
      </w:r>
      <w:r w:rsidRPr="00F935DB">
        <w:rPr>
          <w:rFonts w:ascii="Palatino Linotype" w:hAnsi="Palatino Linotype"/>
          <w:bCs/>
        </w:rPr>
        <w:t>el literal c) del artículo 54, en concordancia con el literal c) del artículo 84 del Código Orgánico de Organización Territorial, Autonomía y Descentralización (en adelante “</w:t>
      </w:r>
      <w:proofErr w:type="spellStart"/>
      <w:r w:rsidRPr="00F935DB">
        <w:rPr>
          <w:rFonts w:ascii="Palatino Linotype" w:hAnsi="Palatino Linotype"/>
          <w:bCs/>
        </w:rPr>
        <w:t>COOTAD</w:t>
      </w:r>
      <w:proofErr w:type="spellEnd"/>
      <w:r w:rsidRPr="00F935DB">
        <w:rPr>
          <w:rFonts w:ascii="Palatino Linotype" w:hAnsi="Palatino Linotype"/>
          <w:bCs/>
        </w:rPr>
        <w:t>”), señala como una función del gobierno autónomo descentralizado municipal</w:t>
      </w:r>
      <w:r w:rsidRPr="00F935DB">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F935DB" w:rsidRPr="00F935DB" w:rsidRDefault="00F935DB" w:rsidP="00F935DB">
      <w:pPr>
        <w:pStyle w:val="Sinespaciado"/>
        <w:spacing w:after="120" w:line="276" w:lineRule="auto"/>
        <w:ind w:left="709" w:hanging="709"/>
        <w:jc w:val="both"/>
        <w:rPr>
          <w:rFonts w:ascii="Palatino Linotype" w:hAnsi="Palatino Linotype"/>
        </w:rPr>
      </w:pPr>
      <w:r w:rsidRPr="00F935DB">
        <w:rPr>
          <w:rFonts w:ascii="Palatino Linotype" w:hAnsi="Palatino Linotype"/>
          <w:b/>
          <w:bCs/>
        </w:rPr>
        <w:t>Que,</w:t>
      </w:r>
      <w:r w:rsidRPr="00F935DB">
        <w:rPr>
          <w:rFonts w:ascii="Palatino Linotype" w:hAnsi="Palatino Linotype"/>
          <w:b/>
          <w:bCs/>
        </w:rPr>
        <w:tab/>
      </w:r>
      <w:r w:rsidRPr="00F935DB">
        <w:rPr>
          <w:rFonts w:ascii="Palatino Linotype" w:hAnsi="Palatino Linotype"/>
        </w:rPr>
        <w:t xml:space="preserve">el artículo 57, en concordancia con el artículo 87 del </w:t>
      </w:r>
      <w:proofErr w:type="spellStart"/>
      <w:r w:rsidRPr="00F935DB">
        <w:rPr>
          <w:rFonts w:ascii="Palatino Linotype" w:hAnsi="Palatino Linotype"/>
        </w:rPr>
        <w:t>COOTAD</w:t>
      </w:r>
      <w:proofErr w:type="spellEnd"/>
      <w:r w:rsidRPr="00F935DB">
        <w:rPr>
          <w:rFonts w:ascii="Palatino Linotype" w:hAnsi="Palatino Linotype"/>
        </w:rPr>
        <w:t xml:space="preserve">, establece que las funciones del Concejo Municipal, entre otras, son: </w:t>
      </w:r>
      <w:r w:rsidRPr="00F935DB">
        <w:rPr>
          <w:rFonts w:ascii="Palatino Linotype" w:hAnsi="Palatino Linotype"/>
          <w:iCs/>
        </w:rPr>
        <w:t>“</w:t>
      </w:r>
      <w:r w:rsidRPr="00F935DB">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w:t>
      </w:r>
      <w:r w:rsidRPr="00F935DB">
        <w:rPr>
          <w:rFonts w:ascii="Palatino Linotype" w:hAnsi="Palatino Linotype"/>
          <w:i/>
          <w:iCs/>
        </w:rPr>
        <w:lastRenderedPageBreak/>
        <w:t>del cantón, de conformidad con las leyes sobre la materia, y establecer el régimen urbanístico de la tierra;</w:t>
      </w:r>
      <w:r w:rsidRPr="00F935DB">
        <w:rPr>
          <w:rFonts w:ascii="Palatino Linotype" w:hAnsi="Palatino Linotype"/>
          <w:i/>
        </w:rPr>
        <w:t xml:space="preserve"> y, (…) </w:t>
      </w:r>
      <w:r w:rsidRPr="00F935DB">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F935DB">
        <w:rPr>
          <w:rFonts w:ascii="Palatino Linotype" w:hAnsi="Palatino Linotype"/>
          <w:i/>
          <w:iCs/>
        </w:rPr>
        <w:t>interbarrial</w:t>
      </w:r>
      <w:proofErr w:type="spellEnd"/>
      <w:r w:rsidRPr="00F935DB">
        <w:rPr>
          <w:rFonts w:ascii="Palatino Linotype" w:hAnsi="Palatino Linotype"/>
          <w:i/>
          <w:iCs/>
        </w:rPr>
        <w:t>.</w:t>
      </w:r>
      <w:r w:rsidRPr="00F935DB">
        <w:rPr>
          <w:rFonts w:ascii="Palatino Linotype" w:hAnsi="Palatino Linotype"/>
          <w:iCs/>
        </w:rPr>
        <w:t xml:space="preserve">”; </w:t>
      </w:r>
    </w:p>
    <w:p w:rsidR="00F935DB" w:rsidRPr="00F935DB" w:rsidRDefault="00F935DB" w:rsidP="00F935DB">
      <w:pPr>
        <w:pStyle w:val="Sinespaciado"/>
        <w:spacing w:after="120" w:line="276" w:lineRule="auto"/>
        <w:ind w:left="709" w:hanging="709"/>
        <w:jc w:val="both"/>
        <w:rPr>
          <w:rFonts w:ascii="Palatino Linotype" w:hAnsi="Palatino Linotype"/>
        </w:rPr>
      </w:pPr>
      <w:r w:rsidRPr="00F935DB">
        <w:rPr>
          <w:rFonts w:ascii="Palatino Linotype" w:hAnsi="Palatino Linotype"/>
          <w:b/>
          <w:bCs/>
        </w:rPr>
        <w:t>Que,</w:t>
      </w:r>
      <w:r w:rsidRPr="00F935DB">
        <w:rPr>
          <w:rFonts w:ascii="Palatino Linotype" w:hAnsi="Palatino Linotype"/>
          <w:b/>
          <w:bCs/>
        </w:rPr>
        <w:tab/>
      </w:r>
      <w:r w:rsidRPr="00F935DB">
        <w:rPr>
          <w:rFonts w:ascii="Palatino Linotype" w:hAnsi="Palatino Linotype"/>
        </w:rPr>
        <w:t xml:space="preserve">el artículo 322 del </w:t>
      </w:r>
      <w:proofErr w:type="spellStart"/>
      <w:r w:rsidRPr="00F935DB">
        <w:rPr>
          <w:rFonts w:ascii="Palatino Linotype" w:hAnsi="Palatino Linotype"/>
        </w:rPr>
        <w:t>COOTAD</w:t>
      </w:r>
      <w:proofErr w:type="spellEnd"/>
      <w:r w:rsidRPr="00F935DB">
        <w:rPr>
          <w:rFonts w:ascii="Palatino Linotype" w:hAnsi="Palatino Linotype"/>
        </w:rPr>
        <w:t xml:space="preserve"> establece el procedimiento para la aprobación de las ordenanzas municipales;</w:t>
      </w:r>
    </w:p>
    <w:p w:rsidR="00F935DB" w:rsidRPr="00F935DB" w:rsidRDefault="00F935DB" w:rsidP="00F935DB">
      <w:pPr>
        <w:pStyle w:val="Sinespaciado"/>
        <w:spacing w:after="120" w:line="276" w:lineRule="auto"/>
        <w:ind w:left="709" w:hanging="709"/>
        <w:jc w:val="both"/>
        <w:rPr>
          <w:rFonts w:ascii="Palatino Linotype" w:hAnsi="Palatino Linotype"/>
        </w:rPr>
      </w:pPr>
      <w:r w:rsidRPr="00F935DB">
        <w:rPr>
          <w:rFonts w:ascii="Palatino Linotype" w:hAnsi="Palatino Linotype"/>
          <w:b/>
          <w:bCs/>
        </w:rPr>
        <w:t>Que,</w:t>
      </w:r>
      <w:r w:rsidRPr="00F935DB">
        <w:rPr>
          <w:rFonts w:ascii="Palatino Linotype" w:hAnsi="Palatino Linotype"/>
          <w:b/>
          <w:bCs/>
        </w:rPr>
        <w:tab/>
      </w:r>
      <w:r w:rsidRPr="00F935DB">
        <w:rPr>
          <w:rFonts w:ascii="Palatino Linotype" w:hAnsi="Palatino Linotype"/>
          <w:bCs/>
        </w:rPr>
        <w:t xml:space="preserve">la Disposición Transitoria Décima Cuarta del </w:t>
      </w:r>
      <w:proofErr w:type="spellStart"/>
      <w:r w:rsidRPr="00F935DB">
        <w:rPr>
          <w:rFonts w:ascii="Palatino Linotype" w:hAnsi="Palatino Linotype"/>
          <w:bCs/>
        </w:rPr>
        <w:t>COOTAD</w:t>
      </w:r>
      <w:proofErr w:type="spellEnd"/>
      <w:r w:rsidRPr="00F935DB">
        <w:rPr>
          <w:rFonts w:ascii="Palatino Linotype" w:hAnsi="Palatino Linotype"/>
          <w:bCs/>
        </w:rPr>
        <w:t>, señala: “</w:t>
      </w:r>
      <w:r w:rsidRPr="00F935DB">
        <w:rPr>
          <w:rFonts w:ascii="Palatino Linotype" w:hAnsi="Palatino Linotype"/>
          <w:bCs/>
          <w:i/>
        </w:rPr>
        <w:t xml:space="preserve">(…) </w:t>
      </w:r>
      <w:r w:rsidRPr="00F935DB">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F935DB">
        <w:rPr>
          <w:rFonts w:ascii="Palatino Linotype" w:hAnsi="Palatino Linotype"/>
        </w:rPr>
        <w:t>.”;</w:t>
      </w:r>
    </w:p>
    <w:p w:rsidR="00F935DB" w:rsidRPr="00F935DB" w:rsidRDefault="00F935DB" w:rsidP="00F935DB">
      <w:pPr>
        <w:pStyle w:val="Sinespaciado"/>
        <w:spacing w:after="120" w:line="276" w:lineRule="auto"/>
        <w:ind w:left="709" w:hanging="709"/>
        <w:jc w:val="both"/>
        <w:rPr>
          <w:rFonts w:ascii="Palatino Linotype" w:hAnsi="Palatino Linotype"/>
          <w:bCs/>
        </w:rPr>
      </w:pPr>
      <w:r w:rsidRPr="00F935DB">
        <w:rPr>
          <w:rFonts w:ascii="Palatino Linotype" w:hAnsi="Palatino Linotype"/>
          <w:b/>
          <w:bCs/>
        </w:rPr>
        <w:t>Que,</w:t>
      </w:r>
      <w:r w:rsidRPr="00F935DB">
        <w:rPr>
          <w:rFonts w:ascii="Palatino Linotype" w:hAnsi="Palatino Linotype"/>
          <w:b/>
          <w:bCs/>
        </w:rPr>
        <w:tab/>
      </w:r>
      <w:r w:rsidRPr="00F935DB">
        <w:rPr>
          <w:rFonts w:ascii="Palatino Linotype" w:hAnsi="Palatino Linotype"/>
          <w:bCs/>
        </w:rPr>
        <w:t>el artículo 486 literal a) del Código Orgánico de Organización Territorial, Autonomía y Descentralización determina que: “El ejecutivo o su delegado, mediante acto administrativo, resolverá el inicio del procedimiento y dispondrá la inscripción de la declaratoria de partición administrativa para que el registrador de la propiedad se abstenga de inscribir cualquier acto traslaticio de dominio o gravamen, relacionado con el predio objeto de la declaratoria, salvo que sea a favor del Gobierno Autónomo Descentralizado municipal o metropolitano”;</w:t>
      </w:r>
    </w:p>
    <w:p w:rsidR="00F935DB" w:rsidRPr="00F935DB" w:rsidRDefault="00F935DB" w:rsidP="00F935DB">
      <w:pPr>
        <w:pStyle w:val="Sinespaciado"/>
        <w:spacing w:after="120" w:line="276" w:lineRule="auto"/>
        <w:ind w:left="709" w:hanging="709"/>
        <w:jc w:val="both"/>
        <w:rPr>
          <w:rFonts w:ascii="Palatino Linotype" w:hAnsi="Palatino Linotype"/>
          <w:bCs/>
        </w:rPr>
      </w:pPr>
      <w:r w:rsidRPr="00F935DB">
        <w:rPr>
          <w:rFonts w:ascii="Palatino Linotype" w:hAnsi="Palatino Linotype"/>
          <w:b/>
          <w:bCs/>
        </w:rPr>
        <w:t>Que,</w:t>
      </w:r>
      <w:r w:rsidRPr="00F935DB">
        <w:rPr>
          <w:rFonts w:ascii="Palatino Linotype" w:hAnsi="Palatino Linotype"/>
          <w:b/>
          <w:bCs/>
        </w:rPr>
        <w:tab/>
      </w:r>
      <w:r w:rsidRPr="00F935DB">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F935DB" w:rsidRPr="00F935DB" w:rsidRDefault="00F935DB" w:rsidP="00F935DB">
      <w:pPr>
        <w:pStyle w:val="Sinespaciado"/>
        <w:spacing w:after="120" w:line="276" w:lineRule="auto"/>
        <w:ind w:left="709" w:hanging="709"/>
        <w:jc w:val="both"/>
        <w:rPr>
          <w:rFonts w:ascii="Palatino Linotype" w:hAnsi="Palatino Linotype"/>
          <w:bCs/>
        </w:rPr>
      </w:pPr>
      <w:r w:rsidRPr="00F935DB">
        <w:rPr>
          <w:rFonts w:ascii="Palatino Linotype" w:hAnsi="Palatino Linotype"/>
          <w:b/>
          <w:bCs/>
        </w:rPr>
        <w:t>Que,</w:t>
      </w:r>
      <w:r w:rsidRPr="00F935DB">
        <w:rPr>
          <w:rFonts w:ascii="Palatino Linotype" w:hAnsi="Palatino Linotype"/>
          <w:b/>
          <w:bCs/>
        </w:rPr>
        <w:tab/>
      </w:r>
      <w:r w:rsidRPr="00F935DB">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935DB" w:rsidRPr="00F935DB" w:rsidRDefault="00F935DB" w:rsidP="00F935DB">
      <w:pPr>
        <w:pStyle w:val="Sinespaciado"/>
        <w:spacing w:after="120" w:line="276" w:lineRule="auto"/>
        <w:ind w:left="709" w:hanging="709"/>
        <w:jc w:val="both"/>
        <w:rPr>
          <w:rFonts w:ascii="Palatino Linotype" w:hAnsi="Palatino Linotype"/>
          <w:bCs/>
        </w:rPr>
      </w:pPr>
      <w:r w:rsidRPr="00F935DB">
        <w:rPr>
          <w:rFonts w:ascii="Palatino Linotype" w:hAnsi="Palatino Linotype"/>
          <w:b/>
          <w:bCs/>
        </w:rPr>
        <w:t>Que,</w:t>
      </w:r>
      <w:r w:rsidRPr="00F935DB">
        <w:rPr>
          <w:rFonts w:ascii="Palatino Linotype" w:hAnsi="Palatino Linotype"/>
          <w:bCs/>
        </w:rPr>
        <w:tab/>
        <w:t>mediante Ordenanza No. 0085, sancionada el 22 de junio de 2011, se reconoce la Urbanización de Interés Social de Desarrollo Progresivo denominado Asociación de Vivienda “Nueva Vida”, a favor de Zoila Marina Guevara y otros;</w:t>
      </w:r>
    </w:p>
    <w:p w:rsidR="00F935DB" w:rsidRPr="00F935DB" w:rsidRDefault="00F935DB" w:rsidP="00F935DB">
      <w:pPr>
        <w:pStyle w:val="Sinespaciado"/>
        <w:spacing w:after="120" w:line="276" w:lineRule="auto"/>
        <w:ind w:left="709" w:hanging="709"/>
        <w:jc w:val="both"/>
        <w:rPr>
          <w:rFonts w:ascii="Palatino Linotype" w:hAnsi="Palatino Linotype"/>
          <w:bCs/>
        </w:rPr>
      </w:pPr>
      <w:r w:rsidRPr="00F935DB">
        <w:rPr>
          <w:rFonts w:ascii="Palatino Linotype" w:hAnsi="Palatino Linotype"/>
          <w:b/>
          <w:bCs/>
        </w:rPr>
        <w:t>Que,</w:t>
      </w:r>
      <w:r w:rsidRPr="00F935DB">
        <w:rPr>
          <w:rFonts w:ascii="Palatino Linotype" w:hAnsi="Palatino Linotype"/>
          <w:b/>
          <w:bCs/>
        </w:rPr>
        <w:tab/>
      </w:r>
      <w:r w:rsidRPr="00F935DB">
        <w:rPr>
          <w:rFonts w:ascii="Palatino Linotype" w:hAnsi="Palatino Linotype"/>
          <w:bCs/>
        </w:rPr>
        <w:t xml:space="preserve">mediante Fe de Erratas No. 0085, dada el 10 de abril de 2012 por el Concejo Metropolitano de Quito, se incluye dentro de los Considerandos de la Ordenanza No. 0085 sancionada el 22 de junio de 2011 temas sobre: la constitución de la personería jurídica del barrio, forma de adquisición del predio a favor de varios copropietarios, situación del asentamiento humano en el aspecto económico y legal; </w:t>
      </w:r>
      <w:r w:rsidRPr="00F935DB">
        <w:rPr>
          <w:rFonts w:ascii="Palatino Linotype" w:hAnsi="Palatino Linotype"/>
          <w:bCs/>
        </w:rPr>
        <w:lastRenderedPageBreak/>
        <w:t>se sustituye el título de la Ordenanza No. 0085 , sancionada el 22 de junio de 2011; en los artículos 1,12,13 y 14 la frase “El Comité Pro Mejoras de la Asociación Nueva Vida” por “Los copropietarios del predio fraccionado, donde se asienta la Asociación de Vivienda Nueva Vida”; y, se incluye luego del Art. 15 de la Ordenanza No. 0085, “</w:t>
      </w:r>
      <w:r w:rsidRPr="00F935DB">
        <w:rPr>
          <w:rFonts w:ascii="Palatino Linotype" w:hAnsi="Palatino Linotype"/>
          <w:bCs/>
          <w:i/>
        </w:rPr>
        <w:t>Artículo 16.- Procesos de Gestión.- La Administración Zonal La Delicia estará a cargo del plan de intervención para el mejoramiento barrial</w:t>
      </w:r>
      <w:r w:rsidRPr="00F935DB">
        <w:rPr>
          <w:rFonts w:ascii="Palatino Linotype" w:hAnsi="Palatino Linotype"/>
          <w:bCs/>
        </w:rPr>
        <w:t>”</w:t>
      </w:r>
      <w:r>
        <w:rPr>
          <w:rFonts w:ascii="Palatino Linotype" w:hAnsi="Palatino Linotype"/>
          <w:bCs/>
        </w:rPr>
        <w:t>;</w:t>
      </w:r>
    </w:p>
    <w:p w:rsidR="00F935DB" w:rsidRPr="00F935DB" w:rsidRDefault="00F935DB" w:rsidP="00F935DB">
      <w:pPr>
        <w:pStyle w:val="Sinespaciado"/>
        <w:spacing w:after="120" w:line="276" w:lineRule="auto"/>
        <w:ind w:left="709" w:hanging="709"/>
        <w:jc w:val="both"/>
        <w:rPr>
          <w:rFonts w:ascii="Palatino Linotype" w:hAnsi="Palatino Linotype"/>
          <w:bCs/>
        </w:rPr>
      </w:pPr>
      <w:r w:rsidRPr="00F935DB">
        <w:rPr>
          <w:rFonts w:ascii="Palatino Linotype" w:hAnsi="Palatino Linotype"/>
          <w:b/>
          <w:bCs/>
        </w:rPr>
        <w:t>Que,</w:t>
      </w:r>
      <w:r w:rsidRPr="00F935DB">
        <w:rPr>
          <w:rFonts w:ascii="Palatino Linotype" w:hAnsi="Palatino Linotype"/>
          <w:b/>
          <w:bCs/>
        </w:rPr>
        <w:tab/>
      </w:r>
      <w:r w:rsidRPr="00F935DB">
        <w:rPr>
          <w:rFonts w:ascii="Palatino Linotype" w:hAnsi="Palatino Linotype"/>
          <w:bCs/>
        </w:rPr>
        <w:t xml:space="preserve">mediante Fe de Erratas No. 0085, dada el 10 de abril de 2013 por el Concejo Metropolitano de Quito, se sustituye en el informe No. </w:t>
      </w:r>
      <w:proofErr w:type="spellStart"/>
      <w:r w:rsidRPr="00F935DB">
        <w:rPr>
          <w:rFonts w:ascii="Palatino Linotype" w:hAnsi="Palatino Linotype"/>
          <w:bCs/>
        </w:rPr>
        <w:t>IC</w:t>
      </w:r>
      <w:proofErr w:type="spellEnd"/>
      <w:r w:rsidRPr="00F935DB">
        <w:rPr>
          <w:rFonts w:ascii="Palatino Linotype" w:hAnsi="Palatino Linotype"/>
          <w:bCs/>
        </w:rPr>
        <w:t>-O-2011-005 de 24 de enero de 2011, así como en el Art. 11 de la Ordenanza No. 0085 la frase “Vida Nueva” por “Nueva Vida”</w:t>
      </w:r>
      <w:r>
        <w:rPr>
          <w:rFonts w:ascii="Palatino Linotype" w:hAnsi="Palatino Linotype"/>
          <w:bCs/>
        </w:rPr>
        <w:t>;</w:t>
      </w:r>
    </w:p>
    <w:p w:rsidR="00F935DB" w:rsidRPr="00F935DB" w:rsidRDefault="00F935DB" w:rsidP="00F935DB">
      <w:pPr>
        <w:pStyle w:val="Sinespaciado"/>
        <w:spacing w:after="120" w:line="276" w:lineRule="auto"/>
        <w:ind w:left="709" w:hanging="709"/>
        <w:jc w:val="both"/>
        <w:rPr>
          <w:rFonts w:ascii="Palatino Linotype" w:hAnsi="Palatino Linotype"/>
        </w:rPr>
      </w:pPr>
      <w:r w:rsidRPr="00F935DB">
        <w:rPr>
          <w:rFonts w:ascii="Palatino Linotype" w:hAnsi="Palatino Linotype"/>
          <w:b/>
          <w:bCs/>
        </w:rPr>
        <w:t>Que,</w:t>
      </w:r>
      <w:r w:rsidRPr="00F935DB">
        <w:rPr>
          <w:rFonts w:ascii="Palatino Linotype" w:hAnsi="Palatino Linotype"/>
          <w:b/>
          <w:bCs/>
        </w:rPr>
        <w:tab/>
      </w:r>
      <w:r w:rsidRPr="00F935DB">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w:t>
      </w:r>
      <w:proofErr w:type="spellStart"/>
      <w:r w:rsidRPr="00F935DB">
        <w:rPr>
          <w:rFonts w:ascii="Palatino Linotype" w:hAnsi="Palatino Linotype"/>
        </w:rPr>
        <w:t>A0010</w:t>
      </w:r>
      <w:proofErr w:type="spellEnd"/>
      <w:r w:rsidRPr="00F935DB">
        <w:rPr>
          <w:rFonts w:ascii="Palatino Linotype" w:hAnsi="Palatino Linotype"/>
        </w:rPr>
        <w:t xml:space="preserve"> de 19 de marzo de 2010; </w:t>
      </w:r>
    </w:p>
    <w:p w:rsidR="00F935DB" w:rsidRPr="00F935DB" w:rsidRDefault="00F935DB" w:rsidP="00F935DB">
      <w:pPr>
        <w:spacing w:after="120" w:line="276" w:lineRule="auto"/>
        <w:ind w:left="705" w:hanging="705"/>
        <w:jc w:val="both"/>
        <w:rPr>
          <w:rFonts w:ascii="Palatino Linotype" w:hAnsi="Palatino Linotype"/>
          <w:b/>
          <w:bCs/>
          <w:sz w:val="22"/>
          <w:szCs w:val="22"/>
        </w:rPr>
      </w:pPr>
      <w:r w:rsidRPr="00F935DB">
        <w:rPr>
          <w:rFonts w:ascii="Palatino Linotype" w:hAnsi="Palatino Linotype"/>
          <w:b/>
          <w:bCs/>
          <w:sz w:val="22"/>
          <w:szCs w:val="22"/>
        </w:rPr>
        <w:t>Que,</w:t>
      </w:r>
      <w:r w:rsidRPr="00F935DB">
        <w:rPr>
          <w:rFonts w:ascii="Palatino Linotype" w:hAnsi="Palatino Linotype"/>
          <w:b/>
          <w:bCs/>
          <w:sz w:val="22"/>
          <w:szCs w:val="22"/>
        </w:rPr>
        <w:tab/>
      </w:r>
      <w:r w:rsidRPr="00F935DB">
        <w:rPr>
          <w:rFonts w:ascii="Palatino Linotype" w:hAnsi="Palatino Linotype"/>
          <w:bCs/>
          <w:sz w:val="22"/>
          <w:szCs w:val="22"/>
        </w:rPr>
        <w:t>la Ordenanza No. 147 de 9 de diciembre de 2016; en sus considerandos reconoce la creación de la Unidad Especial Regula Tu Barrio como el ente encargado de procesar, canalizar y resolver los procedimientos para la regularización de la ocupación informal del suelo;</w:t>
      </w:r>
    </w:p>
    <w:p w:rsidR="00F935DB" w:rsidRPr="00F935DB" w:rsidRDefault="00F935DB" w:rsidP="00F935DB">
      <w:pPr>
        <w:spacing w:after="120" w:line="276" w:lineRule="auto"/>
        <w:ind w:left="705" w:hanging="705"/>
        <w:jc w:val="both"/>
        <w:rPr>
          <w:rFonts w:ascii="Palatino Linotype" w:hAnsi="Palatino Linotype"/>
          <w:bCs/>
          <w:sz w:val="22"/>
          <w:szCs w:val="22"/>
        </w:rPr>
      </w:pPr>
      <w:r w:rsidRPr="00F935DB">
        <w:rPr>
          <w:rFonts w:ascii="Palatino Linotype" w:hAnsi="Palatino Linotype"/>
          <w:b/>
          <w:bCs/>
          <w:sz w:val="22"/>
          <w:szCs w:val="22"/>
        </w:rPr>
        <w:t>Que,</w:t>
      </w:r>
      <w:r w:rsidRPr="00F935DB">
        <w:rPr>
          <w:rFonts w:ascii="Palatino Linotype" w:hAnsi="Palatino Linotype"/>
          <w:b/>
          <w:bCs/>
          <w:sz w:val="22"/>
          <w:szCs w:val="22"/>
        </w:rPr>
        <w:tab/>
      </w:r>
      <w:r w:rsidRPr="00F935DB">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935DB" w:rsidRPr="00F935DB" w:rsidRDefault="00F935DB" w:rsidP="00F935DB">
      <w:pPr>
        <w:spacing w:after="120" w:line="276" w:lineRule="auto"/>
        <w:ind w:left="705" w:hanging="705"/>
        <w:jc w:val="both"/>
        <w:rPr>
          <w:rFonts w:ascii="Palatino Linotype" w:hAnsi="Palatino Linotype"/>
          <w:sz w:val="22"/>
          <w:szCs w:val="22"/>
        </w:rPr>
      </w:pPr>
      <w:r w:rsidRPr="00F935DB">
        <w:rPr>
          <w:rFonts w:ascii="Palatino Linotype" w:hAnsi="Palatino Linotype"/>
          <w:b/>
          <w:bCs/>
          <w:sz w:val="22"/>
          <w:szCs w:val="22"/>
        </w:rPr>
        <w:t xml:space="preserve">Que, </w:t>
      </w:r>
      <w:r w:rsidRPr="00F935DB">
        <w:rPr>
          <w:rFonts w:ascii="Palatino Linotype" w:hAnsi="Palatino Linotype"/>
          <w:b/>
          <w:bCs/>
          <w:sz w:val="22"/>
          <w:szCs w:val="22"/>
        </w:rPr>
        <w:tab/>
      </w:r>
      <w:r w:rsidRPr="00F935DB">
        <w:rPr>
          <w:rFonts w:ascii="Palatino Linotype" w:hAnsi="Palatino Linotype"/>
          <w:bCs/>
          <w:sz w:val="22"/>
          <w:szCs w:val="22"/>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y,</w:t>
      </w:r>
    </w:p>
    <w:p w:rsidR="00F935DB" w:rsidRPr="00F935DB" w:rsidRDefault="00F935DB" w:rsidP="00F935DB">
      <w:pPr>
        <w:spacing w:after="120" w:line="276" w:lineRule="auto"/>
        <w:ind w:left="705" w:hanging="705"/>
        <w:jc w:val="both"/>
        <w:rPr>
          <w:rFonts w:ascii="Palatino Linotype" w:hAnsi="Palatino Linotype"/>
          <w:bCs/>
          <w:color w:val="000000" w:themeColor="text1"/>
          <w:sz w:val="22"/>
          <w:szCs w:val="22"/>
        </w:rPr>
      </w:pPr>
      <w:r w:rsidRPr="00F935DB">
        <w:rPr>
          <w:rFonts w:ascii="Palatino Linotype" w:hAnsi="Palatino Linotype"/>
          <w:b/>
          <w:bCs/>
          <w:sz w:val="22"/>
          <w:szCs w:val="22"/>
        </w:rPr>
        <w:t>Que,</w:t>
      </w:r>
      <w:r w:rsidRPr="00F935DB">
        <w:rPr>
          <w:rFonts w:ascii="Palatino Linotype" w:hAnsi="Palatino Linotype"/>
          <w:sz w:val="22"/>
          <w:szCs w:val="22"/>
        </w:rPr>
        <w:tab/>
      </w:r>
      <w:r w:rsidRPr="00F935DB">
        <w:rPr>
          <w:rFonts w:ascii="Palatino Linotype" w:hAnsi="Palatino Linotype"/>
          <w:bCs/>
          <w:sz w:val="22"/>
          <w:szCs w:val="22"/>
        </w:rPr>
        <w:t xml:space="preserve">la Mesa Institucional de Trabajo, reunida el 17 de noviembre del 2016 en la Administración Zonal La Delicia, integrada por: el Sr. Humberto Almeida de Sucre, Administrador Zonal La Delicia; Abg. María Cristina </w:t>
      </w:r>
      <w:proofErr w:type="spellStart"/>
      <w:r w:rsidRPr="00F935DB">
        <w:rPr>
          <w:rFonts w:ascii="Palatino Linotype" w:hAnsi="Palatino Linotype"/>
          <w:bCs/>
          <w:sz w:val="22"/>
          <w:szCs w:val="22"/>
        </w:rPr>
        <w:t>Villacís</w:t>
      </w:r>
      <w:proofErr w:type="spellEnd"/>
      <w:r w:rsidRPr="00F935DB">
        <w:rPr>
          <w:rFonts w:ascii="Palatino Linotype" w:hAnsi="Palatino Linotype"/>
          <w:bCs/>
          <w:sz w:val="22"/>
          <w:szCs w:val="22"/>
        </w:rPr>
        <w:t xml:space="preserve"> Directora Jurídica de la Administración Zonal La Delicia; Arq. Ramiro Prado, Delegado de la Unidad de </w:t>
      </w:r>
      <w:r w:rsidRPr="00F935DB">
        <w:rPr>
          <w:rFonts w:ascii="Palatino Linotype" w:hAnsi="Palatino Linotype"/>
          <w:bCs/>
          <w:sz w:val="22"/>
          <w:szCs w:val="22"/>
        </w:rPr>
        <w:lastRenderedPageBreak/>
        <w:t xml:space="preserve">Territorio y Vivienda de la Administración Zonal La Delicia; Ing. Omar García Cedeño, Coordinador (e) </w:t>
      </w:r>
      <w:proofErr w:type="spellStart"/>
      <w:r w:rsidRPr="00F935DB">
        <w:rPr>
          <w:rFonts w:ascii="Palatino Linotype" w:hAnsi="Palatino Linotype"/>
          <w:bCs/>
          <w:sz w:val="22"/>
          <w:szCs w:val="22"/>
        </w:rPr>
        <w:t>UERB-AZLD</w:t>
      </w:r>
      <w:proofErr w:type="spellEnd"/>
      <w:r w:rsidRPr="00F935DB">
        <w:rPr>
          <w:rFonts w:ascii="Palatino Linotype" w:hAnsi="Palatino Linotype"/>
          <w:bCs/>
          <w:sz w:val="22"/>
          <w:szCs w:val="22"/>
        </w:rPr>
        <w:t xml:space="preserve">; Arq. Elizabeth Ortiz; Delgada de la Secretaría de Territorio Hábitat y Vivienda; Arq. Jorge Campaña, Delegado de la Dirección Metropolitana de Catastro; Ing. Doris </w:t>
      </w:r>
      <w:proofErr w:type="spellStart"/>
      <w:r w:rsidRPr="00F935DB">
        <w:rPr>
          <w:rFonts w:ascii="Palatino Linotype" w:hAnsi="Palatino Linotype"/>
          <w:bCs/>
          <w:sz w:val="22"/>
          <w:szCs w:val="22"/>
        </w:rPr>
        <w:t>Tatés</w:t>
      </w:r>
      <w:proofErr w:type="spellEnd"/>
      <w:r w:rsidRPr="00F935DB">
        <w:rPr>
          <w:rFonts w:ascii="Palatino Linotype" w:hAnsi="Palatino Linotype"/>
          <w:bCs/>
          <w:sz w:val="22"/>
          <w:szCs w:val="22"/>
        </w:rPr>
        <w:t xml:space="preserve">, Delegada de la Dirección Metropolitana de Catastro; Ing. Marco </w:t>
      </w:r>
      <w:proofErr w:type="spellStart"/>
      <w:r w:rsidRPr="00F935DB">
        <w:rPr>
          <w:rFonts w:ascii="Palatino Linotype" w:hAnsi="Palatino Linotype"/>
          <w:bCs/>
          <w:sz w:val="22"/>
          <w:szCs w:val="22"/>
        </w:rPr>
        <w:t>Manobanda</w:t>
      </w:r>
      <w:proofErr w:type="spellEnd"/>
      <w:r w:rsidRPr="00F935DB">
        <w:rPr>
          <w:rFonts w:ascii="Palatino Linotype" w:hAnsi="Palatino Linotype"/>
          <w:bCs/>
          <w:sz w:val="22"/>
          <w:szCs w:val="22"/>
        </w:rPr>
        <w:t xml:space="preserve">, Delegado de la Dirección Metropolitana de Gestión de Riesgos; Arq. Juan Carlos Echeverría, Responsable Técnico </w:t>
      </w:r>
      <w:proofErr w:type="spellStart"/>
      <w:r w:rsidRPr="00F935DB">
        <w:rPr>
          <w:rFonts w:ascii="Palatino Linotype" w:hAnsi="Palatino Linotype"/>
          <w:bCs/>
          <w:sz w:val="22"/>
          <w:szCs w:val="22"/>
        </w:rPr>
        <w:t>UERB-AZLD</w:t>
      </w:r>
      <w:proofErr w:type="spellEnd"/>
      <w:r w:rsidRPr="00F935DB">
        <w:rPr>
          <w:rFonts w:ascii="Palatino Linotype" w:hAnsi="Palatino Linotype"/>
          <w:bCs/>
          <w:sz w:val="22"/>
          <w:szCs w:val="22"/>
        </w:rPr>
        <w:t xml:space="preserve">; Abg. Sebastián Mata Responsable Legal </w:t>
      </w:r>
      <w:proofErr w:type="spellStart"/>
      <w:r w:rsidRPr="00F935DB">
        <w:rPr>
          <w:rFonts w:ascii="Palatino Linotype" w:hAnsi="Palatino Linotype"/>
          <w:bCs/>
          <w:sz w:val="22"/>
          <w:szCs w:val="22"/>
        </w:rPr>
        <w:t>UERB-AZLD</w:t>
      </w:r>
      <w:proofErr w:type="spellEnd"/>
      <w:r w:rsidRPr="00F935DB">
        <w:rPr>
          <w:rFonts w:ascii="Palatino Linotype" w:hAnsi="Palatino Linotype"/>
          <w:bCs/>
          <w:sz w:val="22"/>
          <w:szCs w:val="22"/>
        </w:rPr>
        <w:t>; Ab. Fernanda Durán, Delegada del Administrador Zonal La Delicia, aprobaron el Informe Socio Organizativo Legal y Técnico Nº 008-</w:t>
      </w:r>
      <w:proofErr w:type="spellStart"/>
      <w:r w:rsidRPr="00F935DB">
        <w:rPr>
          <w:rFonts w:ascii="Palatino Linotype" w:hAnsi="Palatino Linotype"/>
          <w:bCs/>
          <w:sz w:val="22"/>
          <w:szCs w:val="22"/>
        </w:rPr>
        <w:t>UERB</w:t>
      </w:r>
      <w:proofErr w:type="spellEnd"/>
      <w:r w:rsidRPr="00F935DB">
        <w:rPr>
          <w:rFonts w:ascii="Palatino Linotype" w:hAnsi="Palatino Linotype"/>
          <w:bCs/>
          <w:sz w:val="22"/>
          <w:szCs w:val="22"/>
        </w:rPr>
        <w:t>-</w:t>
      </w:r>
      <w:proofErr w:type="spellStart"/>
      <w:r w:rsidRPr="00F935DB">
        <w:rPr>
          <w:rFonts w:ascii="Palatino Linotype" w:hAnsi="Palatino Linotype"/>
          <w:bCs/>
          <w:sz w:val="22"/>
          <w:szCs w:val="22"/>
        </w:rPr>
        <w:t>AZLD</w:t>
      </w:r>
      <w:proofErr w:type="spellEnd"/>
      <w:r w:rsidRPr="00F935DB">
        <w:rPr>
          <w:rFonts w:ascii="Palatino Linotype" w:hAnsi="Palatino Linotype"/>
          <w:bCs/>
          <w:sz w:val="22"/>
          <w:szCs w:val="22"/>
        </w:rPr>
        <w:t>-</w:t>
      </w:r>
      <w:proofErr w:type="spellStart"/>
      <w:r w:rsidRPr="00F935DB">
        <w:rPr>
          <w:rFonts w:ascii="Palatino Linotype" w:hAnsi="Palatino Linotype"/>
          <w:bCs/>
          <w:sz w:val="22"/>
          <w:szCs w:val="22"/>
        </w:rPr>
        <w:t>SOLT</w:t>
      </w:r>
      <w:proofErr w:type="spellEnd"/>
      <w:r w:rsidRPr="00F935DB">
        <w:rPr>
          <w:rFonts w:ascii="Palatino Linotype" w:hAnsi="Palatino Linotype"/>
          <w:bCs/>
          <w:sz w:val="22"/>
          <w:szCs w:val="22"/>
        </w:rPr>
        <w:t>-2016, de 15 de noviembre del 2016, habilitante de la Ordenanza reformatoria de Reconocimiento de la Urbanización de Interés Social de Desarrollo Progresivo denominada Asociación de Vivienda “Nueva Vida</w:t>
      </w:r>
      <w:r w:rsidRPr="00F935DB">
        <w:rPr>
          <w:rFonts w:ascii="Palatino Linotype" w:hAnsi="Palatino Linotype"/>
          <w:bCs/>
          <w:color w:val="000000" w:themeColor="text1"/>
          <w:sz w:val="22"/>
          <w:szCs w:val="22"/>
        </w:rPr>
        <w:t xml:space="preserve">”,  </w:t>
      </w:r>
      <w:r w:rsidRPr="00F935DB">
        <w:rPr>
          <w:rFonts w:ascii="Palatino Linotype" w:hAnsi="Palatino Linotype"/>
          <w:color w:val="000000" w:themeColor="text1"/>
          <w:sz w:val="22"/>
          <w:szCs w:val="22"/>
        </w:rPr>
        <w:t>a favor de Zoila Marina Guevara y otros</w:t>
      </w:r>
      <w:r w:rsidRPr="00F935DB">
        <w:rPr>
          <w:rFonts w:ascii="Palatino Linotype" w:hAnsi="Palatino Linotype"/>
          <w:bCs/>
          <w:color w:val="000000" w:themeColor="text1"/>
          <w:sz w:val="22"/>
          <w:szCs w:val="22"/>
        </w:rPr>
        <w:t>.</w:t>
      </w:r>
    </w:p>
    <w:p w:rsidR="00F935DB" w:rsidRPr="00F935DB" w:rsidRDefault="00F935DB" w:rsidP="00F935DB">
      <w:pPr>
        <w:spacing w:after="120" w:line="276" w:lineRule="auto"/>
        <w:ind w:left="705" w:hanging="705"/>
        <w:jc w:val="both"/>
        <w:rPr>
          <w:rFonts w:ascii="Palatino Linotype" w:hAnsi="Palatino Linotype"/>
          <w:b/>
          <w:sz w:val="22"/>
          <w:szCs w:val="22"/>
        </w:rPr>
      </w:pPr>
      <w:r w:rsidRPr="00F935DB">
        <w:rPr>
          <w:rFonts w:ascii="Palatino Linotype" w:hAnsi="Palatino Linotype"/>
          <w:b/>
          <w:bCs/>
          <w:sz w:val="22"/>
          <w:szCs w:val="22"/>
        </w:rPr>
        <w:t xml:space="preserve">             En </w:t>
      </w:r>
      <w:r w:rsidRPr="00F935DB">
        <w:rPr>
          <w:rFonts w:ascii="Palatino Linotype" w:hAnsi="Palatino Linotype"/>
          <w:b/>
          <w:sz w:val="22"/>
          <w:szCs w:val="22"/>
        </w:rPr>
        <w:t>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w:t>
      </w:r>
    </w:p>
    <w:p w:rsidR="00F935DB" w:rsidRPr="00F935DB" w:rsidRDefault="00F935DB" w:rsidP="00F935DB">
      <w:pPr>
        <w:spacing w:after="120" w:line="276" w:lineRule="auto"/>
        <w:jc w:val="center"/>
        <w:rPr>
          <w:rFonts w:ascii="Palatino Linotype" w:hAnsi="Palatino Linotype"/>
          <w:b/>
          <w:color w:val="000000" w:themeColor="text1"/>
          <w:sz w:val="22"/>
          <w:szCs w:val="22"/>
        </w:rPr>
      </w:pPr>
      <w:r w:rsidRPr="00F935DB">
        <w:rPr>
          <w:rFonts w:ascii="Palatino Linotype" w:hAnsi="Palatino Linotype"/>
          <w:b/>
          <w:color w:val="000000" w:themeColor="text1"/>
          <w:sz w:val="22"/>
          <w:szCs w:val="22"/>
        </w:rPr>
        <w:t>EXPIDE LA SIGUIENTE:</w:t>
      </w:r>
    </w:p>
    <w:p w:rsidR="00F935DB" w:rsidRPr="00F935DB" w:rsidRDefault="00F935DB" w:rsidP="00F935DB">
      <w:pPr>
        <w:pStyle w:val="Sinespaciado"/>
        <w:spacing w:after="120" w:line="276" w:lineRule="auto"/>
        <w:jc w:val="center"/>
        <w:outlineLvl w:val="0"/>
        <w:rPr>
          <w:rFonts w:ascii="Palatino Linotype" w:hAnsi="Palatino Linotype"/>
          <w:b/>
          <w:color w:val="000000" w:themeColor="text1"/>
          <w:lang w:val="es-ES"/>
        </w:rPr>
      </w:pPr>
      <w:r w:rsidRPr="00F935DB">
        <w:rPr>
          <w:rFonts w:ascii="Palatino Linotype" w:hAnsi="Palatino Linotype"/>
          <w:b/>
          <w:color w:val="000000" w:themeColor="text1"/>
        </w:rPr>
        <w:t xml:space="preserve">ORDENANZA </w:t>
      </w:r>
      <w:r w:rsidRPr="00F935DB">
        <w:rPr>
          <w:rFonts w:ascii="Palatino Linotype" w:hAnsi="Palatino Linotype"/>
          <w:b/>
          <w:color w:val="000000" w:themeColor="text1"/>
          <w:lang w:val="es-ES"/>
        </w:rPr>
        <w:t xml:space="preserve">REFORMATORIA DE LA ORDENANZA </w:t>
      </w:r>
      <w:r w:rsidRPr="00F935DB">
        <w:rPr>
          <w:rFonts w:ascii="Palatino Linotype" w:hAnsi="Palatino Linotype"/>
          <w:b/>
          <w:color w:val="000000" w:themeColor="text1"/>
        </w:rPr>
        <w:t>No. 0085, SANCIONADA EL 22 DE JUNIO DE 2011</w:t>
      </w:r>
      <w:r w:rsidRPr="00F935DB">
        <w:rPr>
          <w:rFonts w:ascii="Palatino Linotype" w:hAnsi="Palatino Linotype"/>
          <w:b/>
          <w:color w:val="000000" w:themeColor="text1"/>
          <w:lang w:val="es-ES"/>
        </w:rPr>
        <w:t xml:space="preserve">; FE DE ERRATAS No. 0085 DADA EN EL DISTRITO METROPOLITANO DE QUITO EL 10 DE ABRIL DE 2012; Y, FE DE ERRATAS No. 0085 DADA EN EL DISTRITO METROPOLITANO DE QUITO EL 06 DE FEBRERO DE 2013 </w:t>
      </w:r>
      <w:r w:rsidRPr="00F935DB">
        <w:rPr>
          <w:rFonts w:ascii="Palatino Linotype" w:hAnsi="Palatino Linotype"/>
          <w:b/>
          <w:color w:val="000000" w:themeColor="text1"/>
        </w:rPr>
        <w:t xml:space="preserve">QUE RECONOCE Y </w:t>
      </w:r>
      <w:r w:rsidRPr="00F935DB">
        <w:rPr>
          <w:rFonts w:ascii="Palatino Linotype" w:hAnsi="Palatino Linotype"/>
          <w:b/>
          <w:color w:val="000000" w:themeColor="text1"/>
          <w:lang w:val="es-ES"/>
        </w:rPr>
        <w:t>APRUEBA LA URBANIZACIÓN DE INTERÉS SOCIAL DE DESARROLLO PROGRESIVO DENOMINADO ASOCIACIÓN DE VIVIENDA “NUEVA VIDA”, A FAVOR DE ZOILA</w:t>
      </w:r>
      <w:r>
        <w:rPr>
          <w:rFonts w:ascii="Palatino Linotype" w:hAnsi="Palatino Linotype"/>
          <w:b/>
          <w:color w:val="000000" w:themeColor="text1"/>
          <w:lang w:val="es-ES"/>
        </w:rPr>
        <w:t xml:space="preserve"> MARINA GUEVARA TORRES Y OTROS”</w:t>
      </w:r>
    </w:p>
    <w:p w:rsidR="00F935DB" w:rsidRPr="00F935DB" w:rsidRDefault="00F935DB" w:rsidP="00F935DB">
      <w:pPr>
        <w:pStyle w:val="Sinespaciado"/>
        <w:spacing w:after="120" w:line="276" w:lineRule="auto"/>
        <w:jc w:val="both"/>
        <w:outlineLvl w:val="0"/>
        <w:rPr>
          <w:rFonts w:ascii="Palatino Linotype" w:eastAsia="Times New Roman" w:hAnsi="Palatino Linotype"/>
          <w:bCs/>
          <w:color w:val="FF0000"/>
          <w:lang w:val="es-ES" w:eastAsia="es-ES"/>
        </w:rPr>
      </w:pPr>
      <w:r w:rsidRPr="00F935DB">
        <w:rPr>
          <w:rFonts w:ascii="Palatino Linotype" w:eastAsia="Times New Roman" w:hAnsi="Palatino Linotype"/>
          <w:b/>
          <w:bCs/>
          <w:lang w:val="es-ES" w:eastAsia="es-ES"/>
        </w:rPr>
        <w:t xml:space="preserve">Artículo 1.- </w:t>
      </w:r>
      <w:r w:rsidRPr="00F935DB">
        <w:rPr>
          <w:rFonts w:ascii="Palatino Linotype" w:eastAsia="Times New Roman" w:hAnsi="Palatino Linotype"/>
          <w:bCs/>
          <w:lang w:val="es-ES" w:eastAsia="es-ES"/>
        </w:rPr>
        <w:t>Sustitúyase</w:t>
      </w:r>
      <w:r w:rsidRPr="00F935DB">
        <w:rPr>
          <w:rFonts w:ascii="Palatino Linotype" w:eastAsia="Times New Roman" w:hAnsi="Palatino Linotype"/>
          <w:bCs/>
          <w:color w:val="000000" w:themeColor="text1"/>
          <w:lang w:val="es-ES" w:eastAsia="es-ES"/>
        </w:rPr>
        <w:t xml:space="preserve"> </w:t>
      </w:r>
      <w:r w:rsidRPr="00F935DB">
        <w:rPr>
          <w:rFonts w:ascii="Palatino Linotype" w:eastAsia="Times New Roman" w:hAnsi="Palatino Linotype"/>
          <w:bCs/>
          <w:lang w:val="es-ES" w:eastAsia="es-ES"/>
        </w:rPr>
        <w:t>el título de la Ordenanza No. 0085, dada el 22 de junio del 2011, por el siguiente: “</w:t>
      </w:r>
      <w:r w:rsidRPr="00F935DB">
        <w:rPr>
          <w:rFonts w:ascii="Palatino Linotype" w:eastAsia="Times New Roman" w:hAnsi="Palatino Linotype"/>
          <w:bCs/>
          <w:i/>
          <w:lang w:val="es-ES" w:eastAsia="es-ES"/>
        </w:rPr>
        <w:t>Ordenanza que Reconoce y Aprueba el Fraccionamiento del Predio Número 249448 sobre el que se encuentra el Asentamiento Humano de Hecho y Consolidado de Interés Social Denominado Asociación de Vivienda “Nueva Vida”, a favor de sus copropietarios</w:t>
      </w:r>
      <w:r w:rsidRPr="00F935DB">
        <w:rPr>
          <w:rFonts w:ascii="Palatino Linotype" w:eastAsia="Times New Roman" w:hAnsi="Palatino Linotype"/>
          <w:bCs/>
          <w:lang w:val="es-ES" w:eastAsia="es-ES"/>
        </w:rPr>
        <w:t>.</w:t>
      </w:r>
      <w:r>
        <w:rPr>
          <w:rFonts w:ascii="Palatino Linotype" w:eastAsia="Times New Roman" w:hAnsi="Palatino Linotype"/>
          <w:bCs/>
          <w:lang w:val="es-ES" w:eastAsia="es-ES"/>
        </w:rPr>
        <w:t>”</w:t>
      </w:r>
    </w:p>
    <w:p w:rsidR="00F935DB" w:rsidRPr="00F935DB" w:rsidRDefault="00F935DB" w:rsidP="00F935DB">
      <w:pPr>
        <w:spacing w:after="120" w:line="276" w:lineRule="auto"/>
        <w:jc w:val="both"/>
        <w:rPr>
          <w:rFonts w:ascii="Palatino Linotype" w:hAnsi="Palatino Linotype"/>
          <w:bCs/>
          <w:sz w:val="22"/>
          <w:szCs w:val="22"/>
        </w:rPr>
      </w:pPr>
      <w:r w:rsidRPr="00F935DB">
        <w:rPr>
          <w:rFonts w:ascii="Palatino Linotype" w:hAnsi="Palatino Linotype"/>
          <w:b/>
          <w:bCs/>
          <w:sz w:val="22"/>
          <w:szCs w:val="22"/>
        </w:rPr>
        <w:t xml:space="preserve">Artículo 2.- </w:t>
      </w:r>
      <w:r w:rsidRPr="00F935DB">
        <w:rPr>
          <w:rFonts w:ascii="Palatino Linotype" w:hAnsi="Palatino Linotype"/>
          <w:bCs/>
          <w:sz w:val="22"/>
          <w:szCs w:val="22"/>
        </w:rPr>
        <w:t>Sustitúyase en el artículo 2 de la Ordenanza No. 0085, sancionada el 22 de junio de 2011, desde el texto “</w:t>
      </w:r>
      <w:r w:rsidRPr="00F935DB">
        <w:rPr>
          <w:rFonts w:ascii="Palatino Linotype" w:hAnsi="Palatino Linotype"/>
          <w:bCs/>
          <w:i/>
          <w:sz w:val="22"/>
          <w:szCs w:val="22"/>
        </w:rPr>
        <w:t xml:space="preserve">área útil de lotes” hasta “Diferencia (Lev. </w:t>
      </w:r>
      <w:proofErr w:type="spellStart"/>
      <w:r w:rsidRPr="00F935DB">
        <w:rPr>
          <w:rFonts w:ascii="Palatino Linotype" w:hAnsi="Palatino Linotype"/>
          <w:bCs/>
          <w:i/>
          <w:sz w:val="22"/>
          <w:szCs w:val="22"/>
        </w:rPr>
        <w:t>Topog</w:t>
      </w:r>
      <w:proofErr w:type="spellEnd"/>
      <w:r w:rsidRPr="00F935DB">
        <w:rPr>
          <w:rFonts w:ascii="Palatino Linotype" w:hAnsi="Palatino Linotype"/>
          <w:bCs/>
          <w:i/>
          <w:sz w:val="22"/>
          <w:szCs w:val="22"/>
        </w:rPr>
        <w:t>.-</w:t>
      </w:r>
      <w:proofErr w:type="spellStart"/>
      <w:r w:rsidRPr="00F935DB">
        <w:rPr>
          <w:rFonts w:ascii="Palatino Linotype" w:hAnsi="Palatino Linotype"/>
          <w:bCs/>
          <w:i/>
          <w:sz w:val="22"/>
          <w:szCs w:val="22"/>
        </w:rPr>
        <w:t>Escrit</w:t>
      </w:r>
      <w:proofErr w:type="spellEnd"/>
      <w:r w:rsidRPr="00F935DB">
        <w:rPr>
          <w:rFonts w:ascii="Palatino Linotype" w:hAnsi="Palatino Linotype"/>
          <w:bCs/>
          <w:i/>
          <w:sz w:val="22"/>
          <w:szCs w:val="22"/>
        </w:rPr>
        <w:t>):</w:t>
      </w:r>
      <w:r w:rsidRPr="00F935DB">
        <w:rPr>
          <w:rFonts w:ascii="Palatino Linotype" w:hAnsi="Palatino Linotype"/>
          <w:bCs/>
          <w:sz w:val="22"/>
          <w:szCs w:val="22"/>
        </w:rPr>
        <w:t xml:space="preserve">”, por el siguiente: </w:t>
      </w:r>
    </w:p>
    <w:p w:rsidR="00F935DB" w:rsidRPr="00F935DB" w:rsidRDefault="00F935DB" w:rsidP="00F935DB">
      <w:pPr>
        <w:spacing w:after="120" w:line="276" w:lineRule="auto"/>
        <w:jc w:val="both"/>
        <w:rPr>
          <w:rFonts w:ascii="Palatino Linotype" w:hAnsi="Palatino Linotype"/>
          <w:bCs/>
          <w:sz w:val="22"/>
          <w:szCs w:val="22"/>
        </w:rPr>
      </w:pPr>
    </w:p>
    <w:p w:rsidR="00F935DB" w:rsidRPr="00F935DB" w:rsidRDefault="00F935DB" w:rsidP="00582054">
      <w:pPr>
        <w:pStyle w:val="Ttulo3"/>
        <w:spacing w:before="0" w:after="120" w:line="276" w:lineRule="auto"/>
        <w:ind w:left="708"/>
        <w:jc w:val="both"/>
        <w:rPr>
          <w:rFonts w:ascii="Palatino Linotype" w:hAnsi="Palatino Linotype" w:cs="Times New Roman"/>
          <w:b w:val="0"/>
          <w:i/>
          <w:sz w:val="22"/>
          <w:szCs w:val="22"/>
        </w:rPr>
      </w:pPr>
      <w:r w:rsidRPr="00F935DB">
        <w:rPr>
          <w:rFonts w:ascii="Palatino Linotype" w:hAnsi="Palatino Linotype" w:cs="Times New Roman"/>
          <w:i/>
          <w:sz w:val="22"/>
          <w:szCs w:val="22"/>
        </w:rPr>
        <w:lastRenderedPageBreak/>
        <w:t>“Área útil de lotes:</w:t>
      </w:r>
      <w:r w:rsidRPr="00F935DB">
        <w:rPr>
          <w:rFonts w:ascii="Palatino Linotype" w:hAnsi="Palatino Linotype" w:cs="Times New Roman"/>
          <w:i/>
          <w:sz w:val="22"/>
          <w:szCs w:val="22"/>
        </w:rPr>
        <w:tab/>
      </w:r>
      <w:r w:rsidRPr="00F935DB">
        <w:rPr>
          <w:rFonts w:ascii="Palatino Linotype" w:hAnsi="Palatino Linotype" w:cs="Times New Roman"/>
          <w:i/>
          <w:sz w:val="22"/>
          <w:szCs w:val="22"/>
        </w:rPr>
        <w:tab/>
        <w:t xml:space="preserve">        </w:t>
      </w:r>
      <w:r w:rsidRPr="00F935DB">
        <w:rPr>
          <w:rFonts w:ascii="Palatino Linotype" w:hAnsi="Palatino Linotype" w:cs="Times New Roman"/>
          <w:i/>
          <w:sz w:val="22"/>
          <w:szCs w:val="22"/>
        </w:rPr>
        <w:tab/>
      </w:r>
      <w:r w:rsidRPr="00F935DB">
        <w:rPr>
          <w:rFonts w:ascii="Palatino Linotype" w:hAnsi="Palatino Linotype" w:cs="Times New Roman"/>
          <w:b w:val="0"/>
          <w:i/>
          <w:sz w:val="22"/>
          <w:szCs w:val="22"/>
        </w:rPr>
        <w:t>2.798,51</w:t>
      </w:r>
      <w:r>
        <w:rPr>
          <w:rFonts w:ascii="Palatino Linotype" w:hAnsi="Palatino Linotype" w:cs="Times New Roman"/>
          <w:b w:val="0"/>
          <w:i/>
          <w:sz w:val="22"/>
          <w:szCs w:val="22"/>
        </w:rPr>
        <w:t xml:space="preserve"> </w:t>
      </w:r>
      <w:proofErr w:type="spellStart"/>
      <w:r w:rsidRPr="00F935DB">
        <w:rPr>
          <w:rFonts w:ascii="Palatino Linotype" w:hAnsi="Palatino Linotype" w:cs="Times New Roman"/>
          <w:b w:val="0"/>
          <w:i/>
          <w:sz w:val="22"/>
          <w:szCs w:val="22"/>
        </w:rPr>
        <w:t>m</w:t>
      </w:r>
      <w:r w:rsidRPr="00F935DB">
        <w:rPr>
          <w:rFonts w:ascii="Palatino Linotype" w:hAnsi="Palatino Linotype" w:cs="Times New Roman"/>
          <w:b w:val="0"/>
          <w:i/>
          <w:sz w:val="22"/>
          <w:szCs w:val="22"/>
          <w:vertAlign w:val="superscript"/>
        </w:rPr>
        <w:t>2</w:t>
      </w:r>
      <w:proofErr w:type="spellEnd"/>
    </w:p>
    <w:p w:rsidR="00F935DB" w:rsidRPr="00F935DB" w:rsidRDefault="00F935DB" w:rsidP="00582054">
      <w:pPr>
        <w:spacing w:after="120" w:line="276" w:lineRule="auto"/>
        <w:ind w:left="708"/>
        <w:jc w:val="both"/>
        <w:rPr>
          <w:rFonts w:ascii="Palatino Linotype" w:hAnsi="Palatino Linotype"/>
          <w:b/>
          <w:i/>
          <w:sz w:val="22"/>
          <w:szCs w:val="22"/>
        </w:rPr>
      </w:pPr>
      <w:r w:rsidRPr="00F935DB">
        <w:rPr>
          <w:rFonts w:ascii="Palatino Linotype" w:hAnsi="Palatino Linotype"/>
          <w:b/>
          <w:i/>
          <w:sz w:val="22"/>
          <w:szCs w:val="22"/>
        </w:rPr>
        <w:t xml:space="preserve">Área Verde y comunal: </w:t>
      </w:r>
      <w:r w:rsidRPr="00F935DB">
        <w:rPr>
          <w:rFonts w:ascii="Palatino Linotype" w:hAnsi="Palatino Linotype"/>
          <w:b/>
          <w:i/>
          <w:sz w:val="22"/>
          <w:szCs w:val="22"/>
        </w:rPr>
        <w:tab/>
      </w:r>
      <w:r w:rsidRPr="00F935DB">
        <w:rPr>
          <w:rFonts w:ascii="Palatino Linotype" w:hAnsi="Palatino Linotype"/>
          <w:b/>
          <w:i/>
          <w:sz w:val="22"/>
          <w:szCs w:val="22"/>
        </w:rPr>
        <w:tab/>
      </w:r>
      <w:r w:rsidRPr="00F935DB">
        <w:rPr>
          <w:rFonts w:ascii="Palatino Linotype" w:hAnsi="Palatino Linotype"/>
          <w:i/>
          <w:sz w:val="22"/>
          <w:szCs w:val="22"/>
        </w:rPr>
        <w:t>421,14</w:t>
      </w:r>
      <w:r>
        <w:rPr>
          <w:rFonts w:ascii="Palatino Linotype" w:hAnsi="Palatino Linotype"/>
          <w:i/>
          <w:sz w:val="22"/>
          <w:szCs w:val="22"/>
        </w:rPr>
        <w:t xml:space="preserve"> </w:t>
      </w:r>
      <w:proofErr w:type="spellStart"/>
      <w:r w:rsidRPr="00F935DB">
        <w:rPr>
          <w:rFonts w:ascii="Palatino Linotype" w:hAnsi="Palatino Linotype"/>
          <w:i/>
          <w:sz w:val="22"/>
          <w:szCs w:val="22"/>
        </w:rPr>
        <w:t>m</w:t>
      </w:r>
      <w:r w:rsidRPr="00F935DB">
        <w:rPr>
          <w:rFonts w:ascii="Palatino Linotype" w:hAnsi="Palatino Linotype"/>
          <w:i/>
          <w:sz w:val="22"/>
          <w:szCs w:val="22"/>
          <w:vertAlign w:val="superscript"/>
        </w:rPr>
        <w:t>2</w:t>
      </w:r>
      <w:proofErr w:type="spellEnd"/>
    </w:p>
    <w:p w:rsidR="00F935DB" w:rsidRDefault="00F935DB" w:rsidP="00582054">
      <w:pPr>
        <w:pStyle w:val="Ttulo3"/>
        <w:spacing w:before="0" w:after="120" w:line="276" w:lineRule="auto"/>
        <w:ind w:left="708"/>
        <w:jc w:val="both"/>
        <w:rPr>
          <w:rFonts w:ascii="Palatino Linotype" w:hAnsi="Palatino Linotype" w:cs="Times New Roman"/>
          <w:b w:val="0"/>
          <w:i/>
          <w:sz w:val="22"/>
          <w:szCs w:val="22"/>
        </w:rPr>
      </w:pPr>
      <w:r w:rsidRPr="00F935DB">
        <w:rPr>
          <w:rFonts w:ascii="Palatino Linotype" w:hAnsi="Palatino Linotype" w:cs="Times New Roman"/>
          <w:i/>
          <w:sz w:val="22"/>
          <w:szCs w:val="22"/>
        </w:rPr>
        <w:t>Área de vías y pasajes:</w:t>
      </w:r>
      <w:r w:rsidRPr="00F935DB">
        <w:rPr>
          <w:rFonts w:ascii="Palatino Linotype" w:hAnsi="Palatino Linotype" w:cs="Times New Roman"/>
          <w:i/>
          <w:sz w:val="22"/>
          <w:szCs w:val="22"/>
        </w:rPr>
        <w:tab/>
      </w:r>
      <w:r w:rsidRPr="00F935DB">
        <w:rPr>
          <w:rFonts w:ascii="Palatino Linotype" w:hAnsi="Palatino Linotype" w:cs="Times New Roman"/>
          <w:i/>
          <w:sz w:val="22"/>
          <w:szCs w:val="22"/>
        </w:rPr>
        <w:tab/>
      </w:r>
      <w:r w:rsidRPr="00F935DB">
        <w:rPr>
          <w:rFonts w:ascii="Palatino Linotype" w:hAnsi="Palatino Linotype" w:cs="Times New Roman"/>
          <w:b w:val="0"/>
          <w:i/>
          <w:sz w:val="22"/>
          <w:szCs w:val="22"/>
        </w:rPr>
        <w:t>1.423,58</w:t>
      </w:r>
      <w:r>
        <w:rPr>
          <w:rFonts w:ascii="Palatino Linotype" w:hAnsi="Palatino Linotype" w:cs="Times New Roman"/>
          <w:b w:val="0"/>
          <w:i/>
          <w:sz w:val="22"/>
          <w:szCs w:val="22"/>
        </w:rPr>
        <w:t xml:space="preserve"> </w:t>
      </w:r>
      <w:proofErr w:type="spellStart"/>
      <w:r w:rsidRPr="00F935DB">
        <w:rPr>
          <w:rFonts w:ascii="Palatino Linotype" w:hAnsi="Palatino Linotype" w:cs="Times New Roman"/>
          <w:b w:val="0"/>
          <w:i/>
          <w:sz w:val="22"/>
          <w:szCs w:val="22"/>
        </w:rPr>
        <w:t>m</w:t>
      </w:r>
      <w:r w:rsidRPr="00F935DB">
        <w:rPr>
          <w:rFonts w:ascii="Palatino Linotype" w:hAnsi="Palatino Linotype" w:cs="Times New Roman"/>
          <w:b w:val="0"/>
          <w:i/>
          <w:sz w:val="22"/>
          <w:szCs w:val="22"/>
          <w:vertAlign w:val="superscript"/>
        </w:rPr>
        <w:t>2</w:t>
      </w:r>
      <w:proofErr w:type="spellEnd"/>
    </w:p>
    <w:p w:rsidR="00F935DB" w:rsidRPr="00F935DB" w:rsidRDefault="00F935DB" w:rsidP="00582054">
      <w:pPr>
        <w:pStyle w:val="Ttulo3"/>
        <w:spacing w:before="0" w:after="120" w:line="276" w:lineRule="auto"/>
        <w:ind w:left="708"/>
        <w:jc w:val="both"/>
        <w:rPr>
          <w:rFonts w:ascii="Palatino Linotype" w:eastAsia="Calibri" w:hAnsi="Palatino Linotype" w:cs="Times New Roman"/>
          <w:b w:val="0"/>
          <w:i/>
          <w:kern w:val="24"/>
          <w:sz w:val="22"/>
          <w:szCs w:val="22"/>
        </w:rPr>
      </w:pPr>
      <w:r w:rsidRPr="00F935DB">
        <w:rPr>
          <w:rFonts w:ascii="Palatino Linotype" w:hAnsi="Palatino Linotype"/>
          <w:i/>
          <w:sz w:val="22"/>
          <w:szCs w:val="22"/>
        </w:rPr>
        <w:t>Área total de lote:</w:t>
      </w:r>
      <w:r>
        <w:rPr>
          <w:rFonts w:ascii="Palatino Linotype" w:hAnsi="Palatino Linotype"/>
          <w:i/>
          <w:sz w:val="22"/>
          <w:szCs w:val="22"/>
        </w:rPr>
        <w:tab/>
      </w:r>
      <w:r>
        <w:rPr>
          <w:rFonts w:ascii="Palatino Linotype" w:hAnsi="Palatino Linotype"/>
          <w:i/>
          <w:sz w:val="22"/>
          <w:szCs w:val="22"/>
        </w:rPr>
        <w:tab/>
      </w:r>
      <w:r>
        <w:rPr>
          <w:rFonts w:ascii="Palatino Linotype" w:hAnsi="Palatino Linotype"/>
          <w:i/>
          <w:sz w:val="22"/>
          <w:szCs w:val="22"/>
        </w:rPr>
        <w:tab/>
      </w:r>
      <w:r w:rsidRPr="00F935DB">
        <w:rPr>
          <w:rFonts w:ascii="Palatino Linotype" w:hAnsi="Palatino Linotype"/>
          <w:b w:val="0"/>
          <w:i/>
          <w:sz w:val="22"/>
          <w:szCs w:val="22"/>
        </w:rPr>
        <w:t>4.643,23</w:t>
      </w:r>
      <w:r>
        <w:rPr>
          <w:rFonts w:ascii="Palatino Linotype" w:hAnsi="Palatino Linotype"/>
          <w:b w:val="0"/>
          <w:i/>
          <w:sz w:val="22"/>
          <w:szCs w:val="22"/>
        </w:rPr>
        <w:t xml:space="preserve"> </w:t>
      </w:r>
      <w:proofErr w:type="spellStart"/>
      <w:r w:rsidRPr="00F935DB">
        <w:rPr>
          <w:rFonts w:ascii="Palatino Linotype" w:hAnsi="Palatino Linotype" w:cs="Times New Roman"/>
          <w:b w:val="0"/>
          <w:i/>
          <w:sz w:val="22"/>
          <w:szCs w:val="22"/>
        </w:rPr>
        <w:t>m</w:t>
      </w:r>
      <w:r w:rsidRPr="00F935DB">
        <w:rPr>
          <w:rFonts w:ascii="Palatino Linotype" w:hAnsi="Palatino Linotype" w:cs="Times New Roman"/>
          <w:b w:val="0"/>
          <w:i/>
          <w:sz w:val="22"/>
          <w:szCs w:val="22"/>
          <w:vertAlign w:val="superscript"/>
        </w:rPr>
        <w:t>2</w:t>
      </w:r>
      <w:proofErr w:type="spellEnd"/>
      <w:r>
        <w:rPr>
          <w:rFonts w:ascii="Palatino Linotype" w:hAnsi="Palatino Linotype" w:cs="Times New Roman"/>
          <w:b w:val="0"/>
          <w:i/>
          <w:sz w:val="22"/>
          <w:szCs w:val="22"/>
        </w:rPr>
        <w:t>”</w:t>
      </w:r>
    </w:p>
    <w:p w:rsidR="00F935DB" w:rsidRPr="00F935DB" w:rsidRDefault="00F935DB" w:rsidP="00F935DB">
      <w:pPr>
        <w:spacing w:after="120" w:line="276" w:lineRule="auto"/>
        <w:jc w:val="both"/>
        <w:rPr>
          <w:rFonts w:ascii="Palatino Linotype" w:hAnsi="Palatino Linotype"/>
          <w:sz w:val="22"/>
          <w:szCs w:val="22"/>
        </w:rPr>
      </w:pPr>
      <w:r w:rsidRPr="00F935DB">
        <w:rPr>
          <w:rFonts w:ascii="Palatino Linotype" w:hAnsi="Palatino Linotype"/>
          <w:bCs/>
          <w:sz w:val="22"/>
          <w:szCs w:val="22"/>
        </w:rPr>
        <w:t>Sustitúyase el segundo párrafo por el siguiente:</w:t>
      </w:r>
      <w:r w:rsidRPr="00F935DB">
        <w:rPr>
          <w:rFonts w:ascii="Palatino Linotype" w:hAnsi="Palatino Linotype"/>
          <w:sz w:val="22"/>
          <w:szCs w:val="22"/>
        </w:rPr>
        <w:t xml:space="preserve"> </w:t>
      </w:r>
      <w:r>
        <w:rPr>
          <w:rFonts w:ascii="Palatino Linotype" w:hAnsi="Palatino Linotype"/>
          <w:sz w:val="22"/>
          <w:szCs w:val="22"/>
        </w:rPr>
        <w:t>“</w:t>
      </w:r>
      <w:r w:rsidRPr="00F935DB">
        <w:rPr>
          <w:rFonts w:ascii="Palatino Linotype" w:hAnsi="Palatino Linotype"/>
          <w:i/>
          <w:sz w:val="22"/>
          <w:szCs w:val="22"/>
        </w:rPr>
        <w:t>El número total de lotes es de 25, signados del uno (1) al veinte y cinco (25), cuyo detalle es el que consta en los planos aprobatorios que forman parte de la presente Ordenanza.</w:t>
      </w:r>
      <w:r>
        <w:rPr>
          <w:rFonts w:ascii="Palatino Linotype" w:hAnsi="Palatino Linotype"/>
          <w:sz w:val="22"/>
          <w:szCs w:val="22"/>
        </w:rPr>
        <w:t>”</w:t>
      </w:r>
      <w:r w:rsidRPr="00F935DB">
        <w:rPr>
          <w:rFonts w:ascii="Palatino Linotype" w:hAnsi="Palatino Linotype"/>
          <w:sz w:val="22"/>
          <w:szCs w:val="22"/>
        </w:rPr>
        <w:t xml:space="preserve"> </w:t>
      </w:r>
    </w:p>
    <w:p w:rsidR="00F935DB" w:rsidRPr="00F935DB" w:rsidRDefault="00F935DB" w:rsidP="00F935DB">
      <w:pPr>
        <w:spacing w:after="120" w:line="276" w:lineRule="auto"/>
        <w:jc w:val="both"/>
        <w:rPr>
          <w:rFonts w:ascii="Palatino Linotype" w:hAnsi="Palatino Linotype"/>
          <w:sz w:val="22"/>
          <w:szCs w:val="22"/>
        </w:rPr>
      </w:pPr>
      <w:r w:rsidRPr="00F935DB">
        <w:rPr>
          <w:rFonts w:ascii="Palatino Linotype" w:hAnsi="Palatino Linotype"/>
          <w:sz w:val="22"/>
          <w:szCs w:val="22"/>
        </w:rPr>
        <w:t xml:space="preserve">Y, elimínese el tercer párrafo del </w:t>
      </w:r>
      <w:r>
        <w:rPr>
          <w:rFonts w:ascii="Palatino Linotype" w:hAnsi="Palatino Linotype"/>
          <w:sz w:val="22"/>
          <w:szCs w:val="22"/>
        </w:rPr>
        <w:t>artículo</w:t>
      </w:r>
      <w:r w:rsidRPr="00F935DB">
        <w:rPr>
          <w:rFonts w:ascii="Palatino Linotype" w:hAnsi="Palatino Linotype"/>
          <w:sz w:val="22"/>
          <w:szCs w:val="22"/>
        </w:rPr>
        <w:t xml:space="preserve"> 2 de </w:t>
      </w:r>
      <w:r w:rsidRPr="00F935DB">
        <w:rPr>
          <w:rFonts w:ascii="Palatino Linotype" w:hAnsi="Palatino Linotype"/>
          <w:bCs/>
          <w:sz w:val="22"/>
          <w:szCs w:val="22"/>
        </w:rPr>
        <w:t xml:space="preserve">la Ordenanza No. 0085, </w:t>
      </w:r>
      <w:r w:rsidRPr="00F935DB">
        <w:rPr>
          <w:rFonts w:ascii="Palatino Linotype" w:hAnsi="Palatino Linotype"/>
          <w:sz w:val="22"/>
          <w:szCs w:val="22"/>
        </w:rPr>
        <w:t>sancionada el 22 de junio de 2011</w:t>
      </w:r>
    </w:p>
    <w:p w:rsidR="00F935DB" w:rsidRPr="00F935DB" w:rsidRDefault="00F935DB" w:rsidP="00F935DB">
      <w:pPr>
        <w:tabs>
          <w:tab w:val="left" w:pos="4253"/>
          <w:tab w:val="center" w:pos="4394"/>
        </w:tabs>
        <w:spacing w:after="120" w:line="276" w:lineRule="auto"/>
        <w:jc w:val="both"/>
        <w:rPr>
          <w:rFonts w:ascii="Palatino Linotype" w:hAnsi="Palatino Linotype"/>
          <w:i/>
          <w:sz w:val="22"/>
          <w:szCs w:val="22"/>
        </w:rPr>
      </w:pPr>
      <w:r w:rsidRPr="00F935DB">
        <w:rPr>
          <w:rFonts w:ascii="Palatino Linotype" w:hAnsi="Palatino Linotype"/>
          <w:b/>
          <w:bCs/>
          <w:color w:val="000000"/>
          <w:sz w:val="22"/>
          <w:szCs w:val="22"/>
        </w:rPr>
        <w:t xml:space="preserve">Artículo 3.- </w:t>
      </w:r>
      <w:r w:rsidRPr="00F935DB">
        <w:rPr>
          <w:rFonts w:ascii="Palatino Linotype" w:hAnsi="Palatino Linotype"/>
          <w:bCs/>
          <w:sz w:val="22"/>
          <w:szCs w:val="22"/>
        </w:rPr>
        <w:t xml:space="preserve">Sustitúyase el artículo 4 de la Ordenanza No. 0085, </w:t>
      </w:r>
      <w:r w:rsidRPr="00F935DB">
        <w:rPr>
          <w:rFonts w:ascii="Palatino Linotype" w:hAnsi="Palatino Linotype"/>
          <w:sz w:val="22"/>
          <w:szCs w:val="22"/>
        </w:rPr>
        <w:t>sancionada el 22 de junio de 2011</w:t>
      </w:r>
      <w:r w:rsidRPr="00F935DB">
        <w:rPr>
          <w:rFonts w:ascii="Palatino Linotype" w:hAnsi="Palatino Linotype"/>
          <w:bCs/>
          <w:sz w:val="22"/>
          <w:szCs w:val="22"/>
        </w:rPr>
        <w:t>, por e</w:t>
      </w:r>
      <w:r w:rsidRPr="00F935DB">
        <w:rPr>
          <w:rFonts w:ascii="Palatino Linotype" w:hAnsi="Palatino Linotype"/>
          <w:bCs/>
          <w:i/>
          <w:sz w:val="22"/>
          <w:szCs w:val="22"/>
        </w:rPr>
        <w:t xml:space="preserve">l </w:t>
      </w:r>
      <w:r w:rsidRPr="00F935DB">
        <w:rPr>
          <w:rFonts w:ascii="Palatino Linotype" w:hAnsi="Palatino Linotype"/>
          <w:sz w:val="22"/>
          <w:szCs w:val="22"/>
        </w:rPr>
        <w:t>siguiente:</w:t>
      </w:r>
      <w:r w:rsidRPr="00F935DB">
        <w:rPr>
          <w:rFonts w:ascii="Palatino Linotype" w:hAnsi="Palatino Linotype"/>
          <w:i/>
          <w:sz w:val="22"/>
          <w:szCs w:val="22"/>
        </w:rPr>
        <w:t xml:space="preserve"> </w:t>
      </w:r>
    </w:p>
    <w:p w:rsidR="00F935DB" w:rsidRPr="00F935DB" w:rsidRDefault="00F935DB" w:rsidP="00582054">
      <w:pPr>
        <w:tabs>
          <w:tab w:val="left" w:pos="4253"/>
          <w:tab w:val="center" w:pos="4394"/>
        </w:tabs>
        <w:spacing w:after="120" w:line="276" w:lineRule="auto"/>
        <w:ind w:left="708"/>
        <w:jc w:val="both"/>
        <w:rPr>
          <w:rFonts w:ascii="Palatino Linotype" w:hAnsi="Palatino Linotype"/>
          <w:i/>
          <w:sz w:val="22"/>
          <w:szCs w:val="22"/>
        </w:rPr>
      </w:pPr>
      <w:r w:rsidRPr="00F935DB">
        <w:rPr>
          <w:rFonts w:ascii="Palatino Linotype" w:hAnsi="Palatino Linotype"/>
          <w:b/>
          <w:i/>
          <w:sz w:val="22"/>
          <w:szCs w:val="22"/>
        </w:rPr>
        <w:t>“Articulo 4.- Del área verde y comunal.-</w:t>
      </w:r>
      <w:r w:rsidRPr="00F935DB">
        <w:rPr>
          <w:rFonts w:ascii="Palatino Linotype" w:hAnsi="Palatino Linotype"/>
          <w:i/>
          <w:sz w:val="22"/>
          <w:szCs w:val="22"/>
        </w:rPr>
        <w:t xml:space="preserve"> El Asentamiento Humano de Hecho y Consolidado de Interés Social Denominado Asociación de Vivienda “Nueva Vida”, a favor de sus copropietarios, transfiere al Municipio del Distrito Metropolitano de Quito como contribución de áreas verdes y comunales un área total de 421,14</w:t>
      </w:r>
      <w:r>
        <w:rPr>
          <w:rFonts w:ascii="Palatino Linotype" w:hAnsi="Palatino Linotype"/>
          <w:i/>
          <w:sz w:val="22"/>
          <w:szCs w:val="22"/>
        </w:rPr>
        <w:t xml:space="preserve"> </w:t>
      </w:r>
      <w:r w:rsidRPr="00F935DB">
        <w:rPr>
          <w:rFonts w:ascii="Palatino Linotype" w:hAnsi="Palatino Linotype"/>
          <w:i/>
          <w:sz w:val="22"/>
          <w:szCs w:val="22"/>
        </w:rPr>
        <w:t xml:space="preserve">m², que corresponde al 15,05% en relación al área útil de lotes. </w:t>
      </w:r>
    </w:p>
    <w:tbl>
      <w:tblPr>
        <w:tblW w:w="5300" w:type="pct"/>
        <w:tblInd w:w="-34" w:type="dxa"/>
        <w:shd w:val="clear" w:color="auto" w:fill="FFFFFF" w:themeFill="background1"/>
        <w:tblCellMar>
          <w:left w:w="70" w:type="dxa"/>
          <w:right w:w="70" w:type="dxa"/>
        </w:tblCellMar>
        <w:tblLook w:val="04A0" w:firstRow="1" w:lastRow="0" w:firstColumn="1" w:lastColumn="0" w:noHBand="0" w:noVBand="1"/>
      </w:tblPr>
      <w:tblGrid>
        <w:gridCol w:w="1986"/>
        <w:gridCol w:w="985"/>
        <w:gridCol w:w="2588"/>
        <w:gridCol w:w="1317"/>
        <w:gridCol w:w="1283"/>
        <w:gridCol w:w="1456"/>
      </w:tblGrid>
      <w:tr w:rsidR="00F935DB" w:rsidRPr="00F935DB" w:rsidTr="00F935DB">
        <w:trPr>
          <w:trHeight w:val="300"/>
        </w:trPr>
        <w:tc>
          <w:tcPr>
            <w:tcW w:w="5000" w:type="pct"/>
            <w:gridSpan w:val="6"/>
            <w:tcBorders>
              <w:top w:val="single" w:sz="4" w:space="0" w:color="auto"/>
              <w:left w:val="single" w:sz="4" w:space="0" w:color="auto"/>
              <w:bottom w:val="single" w:sz="4" w:space="0" w:color="000000"/>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Área verde  1</w:t>
            </w:r>
          </w:p>
        </w:tc>
      </w:tr>
      <w:tr w:rsidR="00F935DB" w:rsidRPr="00F935DB" w:rsidTr="00F935DB">
        <w:trPr>
          <w:trHeight w:val="300"/>
        </w:trPr>
        <w:tc>
          <w:tcPr>
            <w:tcW w:w="1033" w:type="pct"/>
            <w:tcBorders>
              <w:top w:val="single" w:sz="4" w:space="0" w:color="auto"/>
              <w:left w:val="single" w:sz="4" w:space="0" w:color="auto"/>
              <w:bottom w:val="nil"/>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p>
        </w:tc>
        <w:tc>
          <w:tcPr>
            <w:tcW w:w="512" w:type="pct"/>
            <w:tcBorders>
              <w:top w:val="nil"/>
              <w:left w:val="nil"/>
              <w:bottom w:val="nil"/>
              <w:right w:val="single" w:sz="4" w:space="0" w:color="auto"/>
            </w:tcBorders>
            <w:shd w:val="clear" w:color="auto" w:fill="FFFFFF" w:themeFill="background1"/>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p>
        </w:tc>
        <w:tc>
          <w:tcPr>
            <w:tcW w:w="1346" w:type="pct"/>
            <w:tcBorders>
              <w:top w:val="nil"/>
              <w:left w:val="nil"/>
              <w:bottom w:val="single" w:sz="4" w:space="0" w:color="auto"/>
              <w:right w:val="single" w:sz="4" w:space="0" w:color="auto"/>
            </w:tcBorders>
            <w:shd w:val="clear" w:color="auto" w:fill="FFFFFF" w:themeFill="background1"/>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Lindero</w:t>
            </w:r>
          </w:p>
        </w:tc>
        <w:tc>
          <w:tcPr>
            <w:tcW w:w="685" w:type="pct"/>
            <w:tcBorders>
              <w:top w:val="nil"/>
              <w:left w:val="nil"/>
              <w:bottom w:val="single" w:sz="4" w:space="0" w:color="auto"/>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En parte</w:t>
            </w:r>
          </w:p>
        </w:tc>
        <w:tc>
          <w:tcPr>
            <w:tcW w:w="667" w:type="pct"/>
            <w:tcBorders>
              <w:top w:val="nil"/>
              <w:left w:val="nil"/>
              <w:bottom w:val="nil"/>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Total</w:t>
            </w:r>
          </w:p>
        </w:tc>
        <w:tc>
          <w:tcPr>
            <w:tcW w:w="758" w:type="pct"/>
            <w:tcBorders>
              <w:top w:val="nil"/>
              <w:left w:val="nil"/>
              <w:bottom w:val="nil"/>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Superficie</w:t>
            </w:r>
          </w:p>
        </w:tc>
      </w:tr>
      <w:tr w:rsidR="00F935DB" w:rsidRPr="00F935DB" w:rsidTr="00F935DB">
        <w:trPr>
          <w:trHeight w:val="315"/>
        </w:trPr>
        <w:tc>
          <w:tcPr>
            <w:tcW w:w="1033" w:type="pct"/>
            <w:tcBorders>
              <w:top w:val="nil"/>
              <w:left w:val="single" w:sz="4" w:space="0" w:color="auto"/>
              <w:bottom w:val="nil"/>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p>
        </w:tc>
        <w:tc>
          <w:tcPr>
            <w:tcW w:w="512" w:type="pct"/>
            <w:tcBorders>
              <w:top w:val="single" w:sz="4" w:space="0" w:color="auto"/>
              <w:left w:val="nil"/>
              <w:bottom w:val="nil"/>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Norte:</w:t>
            </w:r>
          </w:p>
        </w:tc>
        <w:tc>
          <w:tcPr>
            <w:tcW w:w="1346" w:type="pct"/>
            <w:tcBorders>
              <w:top w:val="nil"/>
              <w:left w:val="nil"/>
              <w:bottom w:val="single" w:sz="4" w:space="0" w:color="auto"/>
              <w:right w:val="single" w:sz="4" w:space="0" w:color="auto"/>
            </w:tcBorders>
            <w:shd w:val="clear" w:color="auto" w:fill="FFFFFF" w:themeFill="background1"/>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Barrio Fuente de Luz</w:t>
            </w:r>
          </w:p>
        </w:tc>
        <w:tc>
          <w:tcPr>
            <w:tcW w:w="685" w:type="pct"/>
            <w:tcBorders>
              <w:top w:val="nil"/>
              <w:left w:val="nil"/>
              <w:bottom w:val="single" w:sz="4" w:space="0" w:color="auto"/>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w:t>
            </w:r>
          </w:p>
        </w:tc>
        <w:tc>
          <w:tcPr>
            <w:tcW w:w="667" w:type="pct"/>
            <w:tcBorders>
              <w:top w:val="single" w:sz="4" w:space="0" w:color="auto"/>
              <w:left w:val="nil"/>
              <w:bottom w:val="nil"/>
              <w:right w:val="nil"/>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23,83 m</w:t>
            </w:r>
          </w:p>
        </w:tc>
        <w:tc>
          <w:tcPr>
            <w:tcW w:w="758" w:type="pct"/>
            <w:tcBorders>
              <w:top w:val="single" w:sz="4" w:space="0" w:color="auto"/>
              <w:left w:val="single" w:sz="4" w:space="0" w:color="auto"/>
              <w:bottom w:val="nil"/>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r>
      <w:tr w:rsidR="00F935DB" w:rsidRPr="00F935DB" w:rsidTr="00F935DB">
        <w:trPr>
          <w:trHeight w:val="351"/>
        </w:trPr>
        <w:tc>
          <w:tcPr>
            <w:tcW w:w="1033" w:type="pct"/>
            <w:tcBorders>
              <w:top w:val="nil"/>
              <w:left w:val="single" w:sz="4" w:space="0" w:color="auto"/>
              <w:bottom w:val="nil"/>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Área verde 1</w:t>
            </w:r>
          </w:p>
        </w:tc>
        <w:tc>
          <w:tcPr>
            <w:tcW w:w="512" w:type="pct"/>
            <w:tcBorders>
              <w:top w:val="single" w:sz="4" w:space="0" w:color="auto"/>
              <w:left w:val="nil"/>
              <w:bottom w:val="single" w:sz="4" w:space="0" w:color="auto"/>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Sur:</w:t>
            </w:r>
          </w:p>
        </w:tc>
        <w:tc>
          <w:tcPr>
            <w:tcW w:w="1346" w:type="pct"/>
            <w:tcBorders>
              <w:top w:val="nil"/>
              <w:left w:val="nil"/>
              <w:bottom w:val="single" w:sz="4" w:space="0" w:color="auto"/>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Pasaje C</w:t>
            </w:r>
          </w:p>
        </w:tc>
        <w:tc>
          <w:tcPr>
            <w:tcW w:w="685" w:type="pct"/>
            <w:tcBorders>
              <w:top w:val="nil"/>
              <w:left w:val="nil"/>
              <w:bottom w:val="single" w:sz="4" w:space="0" w:color="auto"/>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w:t>
            </w:r>
          </w:p>
        </w:tc>
        <w:tc>
          <w:tcPr>
            <w:tcW w:w="667"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1,63 m</w:t>
            </w:r>
          </w:p>
        </w:tc>
        <w:tc>
          <w:tcPr>
            <w:tcW w:w="758" w:type="pct"/>
            <w:tcBorders>
              <w:top w:val="nil"/>
              <w:left w:val="nil"/>
              <w:bottom w:val="nil"/>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Cs/>
                <w:i/>
                <w:sz w:val="22"/>
                <w:szCs w:val="22"/>
                <w:lang w:val="es-EC" w:eastAsia="es-EC"/>
              </w:rPr>
            </w:pPr>
            <w:r w:rsidRPr="00F935DB">
              <w:rPr>
                <w:rFonts w:ascii="Palatino Linotype" w:hAnsi="Palatino Linotype"/>
                <w:i/>
                <w:sz w:val="22"/>
                <w:szCs w:val="22"/>
              </w:rPr>
              <w:t xml:space="preserve">237,17 </w:t>
            </w:r>
            <w:proofErr w:type="spellStart"/>
            <w:r w:rsidRPr="00F935DB">
              <w:rPr>
                <w:rFonts w:ascii="Palatino Linotype" w:hAnsi="Palatino Linotype"/>
                <w:i/>
                <w:sz w:val="22"/>
                <w:szCs w:val="22"/>
              </w:rPr>
              <w:t>m</w:t>
            </w:r>
            <w:r w:rsidRPr="00F935DB">
              <w:rPr>
                <w:rFonts w:ascii="Palatino Linotype" w:hAnsi="Palatino Linotype"/>
                <w:i/>
                <w:sz w:val="22"/>
                <w:szCs w:val="22"/>
                <w:vertAlign w:val="superscript"/>
              </w:rPr>
              <w:t>2</w:t>
            </w:r>
            <w:proofErr w:type="spellEnd"/>
          </w:p>
        </w:tc>
      </w:tr>
      <w:tr w:rsidR="00F935DB" w:rsidRPr="00F935DB" w:rsidTr="00F935DB">
        <w:trPr>
          <w:trHeight w:val="351"/>
        </w:trPr>
        <w:tc>
          <w:tcPr>
            <w:tcW w:w="1033" w:type="pct"/>
            <w:tcBorders>
              <w:top w:val="nil"/>
              <w:left w:val="single" w:sz="4" w:space="0" w:color="auto"/>
              <w:bottom w:val="nil"/>
              <w:right w:val="single" w:sz="4" w:space="0" w:color="auto"/>
            </w:tcBorders>
            <w:shd w:val="clear" w:color="auto" w:fill="FFFFFF" w:themeFill="background1"/>
            <w:vAlign w:val="center"/>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p>
        </w:tc>
        <w:tc>
          <w:tcPr>
            <w:tcW w:w="512" w:type="pct"/>
            <w:tcBorders>
              <w:top w:val="single" w:sz="4" w:space="0" w:color="auto"/>
              <w:left w:val="nil"/>
              <w:bottom w:val="single" w:sz="4" w:space="0" w:color="auto"/>
              <w:right w:val="single" w:sz="4" w:space="0" w:color="auto"/>
            </w:tcBorders>
            <w:shd w:val="clear" w:color="auto" w:fill="FFFFFF" w:themeFill="background1"/>
            <w:vAlign w:val="bottom"/>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Este:</w:t>
            </w:r>
          </w:p>
        </w:tc>
        <w:tc>
          <w:tcPr>
            <w:tcW w:w="1346" w:type="pct"/>
            <w:tcBorders>
              <w:top w:val="nil"/>
              <w:left w:val="nil"/>
              <w:bottom w:val="single" w:sz="4" w:space="0" w:color="auto"/>
              <w:right w:val="single" w:sz="4" w:space="0" w:color="auto"/>
            </w:tcBorders>
            <w:shd w:val="clear" w:color="auto" w:fill="FFFFFF" w:themeFill="background1"/>
            <w:vAlign w:val="bottom"/>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Pasaje C</w:t>
            </w:r>
          </w:p>
        </w:tc>
        <w:tc>
          <w:tcPr>
            <w:tcW w:w="685" w:type="pct"/>
            <w:tcBorders>
              <w:top w:val="nil"/>
              <w:left w:val="nil"/>
              <w:bottom w:val="single" w:sz="4" w:space="0" w:color="auto"/>
              <w:right w:val="single" w:sz="4" w:space="0" w:color="auto"/>
            </w:tcBorders>
            <w:shd w:val="clear" w:color="auto" w:fill="FFFFFF" w:themeFill="background1"/>
            <w:noWrap/>
            <w:vAlign w:val="bottom"/>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w:t>
            </w:r>
          </w:p>
        </w:tc>
        <w:tc>
          <w:tcPr>
            <w:tcW w:w="667" w:type="pct"/>
            <w:tcBorders>
              <w:top w:val="single" w:sz="4" w:space="0" w:color="auto"/>
              <w:left w:val="nil"/>
              <w:bottom w:val="single" w:sz="4" w:space="0" w:color="auto"/>
              <w:right w:val="single" w:sz="4" w:space="0" w:color="auto"/>
            </w:tcBorders>
            <w:shd w:val="clear" w:color="auto" w:fill="FFFFFF" w:themeFill="background1"/>
            <w:noWrap/>
            <w:vAlign w:val="bottom"/>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roofErr w:type="spellStart"/>
            <w:r w:rsidRPr="00F935DB">
              <w:rPr>
                <w:rFonts w:ascii="Palatino Linotype" w:hAnsi="Palatino Linotype" w:cstheme="minorHAnsi"/>
                <w:i/>
                <w:sz w:val="22"/>
                <w:szCs w:val="22"/>
                <w:lang w:val="es-EC" w:eastAsia="es-EC"/>
              </w:rPr>
              <w:t>35,24m</w:t>
            </w:r>
            <w:proofErr w:type="spellEnd"/>
          </w:p>
        </w:tc>
        <w:tc>
          <w:tcPr>
            <w:tcW w:w="758" w:type="pct"/>
            <w:tcBorders>
              <w:top w:val="nil"/>
              <w:left w:val="nil"/>
              <w:bottom w:val="nil"/>
              <w:right w:val="single" w:sz="4" w:space="0" w:color="auto"/>
            </w:tcBorders>
            <w:shd w:val="clear" w:color="auto" w:fill="FFFFFF" w:themeFill="background1"/>
            <w:vAlign w:val="center"/>
          </w:tcPr>
          <w:p w:rsidR="00F935DB" w:rsidRPr="00F935DB" w:rsidRDefault="00F935DB" w:rsidP="00F935DB">
            <w:pPr>
              <w:shd w:val="clear" w:color="auto" w:fill="FFFFFF" w:themeFill="background1"/>
              <w:spacing w:after="120" w:line="276" w:lineRule="auto"/>
              <w:jc w:val="center"/>
              <w:rPr>
                <w:rFonts w:ascii="Palatino Linotype" w:hAnsi="Palatino Linotype"/>
                <w:b/>
                <w:i/>
                <w:sz w:val="22"/>
                <w:szCs w:val="22"/>
              </w:rPr>
            </w:pPr>
          </w:p>
        </w:tc>
      </w:tr>
      <w:tr w:rsidR="00F935DB" w:rsidRPr="00F935DB" w:rsidTr="00F935DB">
        <w:trPr>
          <w:trHeight w:val="495"/>
        </w:trPr>
        <w:tc>
          <w:tcPr>
            <w:tcW w:w="1033"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c>
          <w:tcPr>
            <w:tcW w:w="512" w:type="pct"/>
            <w:tcBorders>
              <w:top w:val="single" w:sz="4" w:space="0" w:color="auto"/>
              <w:left w:val="nil"/>
              <w:bottom w:val="single" w:sz="4" w:space="0" w:color="auto"/>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Oeste:</w:t>
            </w:r>
          </w:p>
        </w:tc>
        <w:tc>
          <w:tcPr>
            <w:tcW w:w="1346" w:type="pct"/>
            <w:tcBorders>
              <w:top w:val="nil"/>
              <w:left w:val="nil"/>
              <w:bottom w:val="single" w:sz="4" w:space="0" w:color="auto"/>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Lote 19</w:t>
            </w:r>
          </w:p>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Lote 18</w:t>
            </w:r>
          </w:p>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Lote 17</w:t>
            </w:r>
          </w:p>
        </w:tc>
        <w:tc>
          <w:tcPr>
            <w:tcW w:w="685" w:type="pct"/>
            <w:tcBorders>
              <w:top w:val="nil"/>
              <w:left w:val="nil"/>
              <w:bottom w:val="single" w:sz="4" w:space="0" w:color="auto"/>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roofErr w:type="spellStart"/>
            <w:r w:rsidRPr="00F935DB">
              <w:rPr>
                <w:rFonts w:ascii="Palatino Linotype" w:hAnsi="Palatino Linotype" w:cstheme="minorHAnsi"/>
                <w:i/>
                <w:sz w:val="22"/>
                <w:szCs w:val="22"/>
                <w:lang w:val="es-EC" w:eastAsia="es-EC"/>
              </w:rPr>
              <w:t>9,51m</w:t>
            </w:r>
            <w:proofErr w:type="spellEnd"/>
          </w:p>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roofErr w:type="spellStart"/>
            <w:r w:rsidRPr="00F935DB">
              <w:rPr>
                <w:rFonts w:ascii="Palatino Linotype" w:hAnsi="Palatino Linotype" w:cstheme="minorHAnsi"/>
                <w:i/>
                <w:sz w:val="22"/>
                <w:szCs w:val="22"/>
                <w:lang w:val="es-EC" w:eastAsia="es-EC"/>
              </w:rPr>
              <w:t>9,81m</w:t>
            </w:r>
            <w:proofErr w:type="spellEnd"/>
          </w:p>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roofErr w:type="spellStart"/>
            <w:r w:rsidRPr="00F935DB">
              <w:rPr>
                <w:rFonts w:ascii="Palatino Linotype" w:hAnsi="Palatino Linotype" w:cstheme="minorHAnsi"/>
                <w:i/>
                <w:sz w:val="22"/>
                <w:szCs w:val="22"/>
                <w:lang w:val="es-EC" w:eastAsia="es-EC"/>
              </w:rPr>
              <w:t>6,46m</w:t>
            </w:r>
            <w:proofErr w:type="spellEnd"/>
          </w:p>
        </w:tc>
        <w:tc>
          <w:tcPr>
            <w:tcW w:w="667" w:type="pct"/>
            <w:tcBorders>
              <w:top w:val="single" w:sz="4" w:space="0" w:color="auto"/>
              <w:left w:val="nil"/>
              <w:bottom w:val="single" w:sz="4" w:space="0" w:color="auto"/>
              <w:right w:val="nil"/>
            </w:tcBorders>
            <w:shd w:val="clear" w:color="auto" w:fill="FFFFFF" w:themeFill="background1"/>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25,78 m</w:t>
            </w:r>
          </w:p>
        </w:tc>
        <w:tc>
          <w:tcPr>
            <w:tcW w:w="75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r>
    </w:tbl>
    <w:p w:rsidR="00F935DB" w:rsidRPr="00F935DB" w:rsidRDefault="00F935DB" w:rsidP="00F935DB">
      <w:pPr>
        <w:shd w:val="clear" w:color="auto" w:fill="FFFFFF" w:themeFill="background1"/>
        <w:spacing w:after="120" w:line="276" w:lineRule="auto"/>
        <w:jc w:val="center"/>
        <w:rPr>
          <w:rFonts w:ascii="Palatino Linotype" w:hAnsi="Palatino Linotype"/>
          <w:b/>
          <w:i/>
          <w:sz w:val="22"/>
          <w:szCs w:val="22"/>
        </w:rPr>
      </w:pPr>
    </w:p>
    <w:tbl>
      <w:tblPr>
        <w:tblW w:w="5300" w:type="pct"/>
        <w:tblInd w:w="-34" w:type="dxa"/>
        <w:shd w:val="clear" w:color="auto" w:fill="FFFFFF" w:themeFill="background1"/>
        <w:tblCellMar>
          <w:left w:w="70" w:type="dxa"/>
          <w:right w:w="70" w:type="dxa"/>
        </w:tblCellMar>
        <w:tblLook w:val="04A0" w:firstRow="1" w:lastRow="0" w:firstColumn="1" w:lastColumn="0" w:noHBand="0" w:noVBand="1"/>
      </w:tblPr>
      <w:tblGrid>
        <w:gridCol w:w="2041"/>
        <w:gridCol w:w="1038"/>
        <w:gridCol w:w="2642"/>
        <w:gridCol w:w="1371"/>
        <w:gridCol w:w="1335"/>
        <w:gridCol w:w="1188"/>
      </w:tblGrid>
      <w:tr w:rsidR="00F935DB" w:rsidRPr="00F935DB" w:rsidTr="00F935DB">
        <w:trPr>
          <w:trHeight w:val="300"/>
        </w:trPr>
        <w:tc>
          <w:tcPr>
            <w:tcW w:w="5000" w:type="pct"/>
            <w:gridSpan w:val="6"/>
            <w:tcBorders>
              <w:top w:val="single" w:sz="4" w:space="0" w:color="auto"/>
              <w:left w:val="single" w:sz="4" w:space="0" w:color="auto"/>
              <w:bottom w:val="single" w:sz="4" w:space="0" w:color="000000"/>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Área verde  2</w:t>
            </w:r>
          </w:p>
        </w:tc>
      </w:tr>
      <w:tr w:rsidR="00F935DB" w:rsidRPr="00F935DB" w:rsidTr="00F935DB">
        <w:trPr>
          <w:trHeight w:val="300"/>
        </w:trPr>
        <w:tc>
          <w:tcPr>
            <w:tcW w:w="1061" w:type="pct"/>
            <w:tcBorders>
              <w:top w:val="single" w:sz="4" w:space="0" w:color="auto"/>
              <w:left w:val="single" w:sz="4" w:space="0" w:color="auto"/>
              <w:bottom w:val="nil"/>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p>
        </w:tc>
        <w:tc>
          <w:tcPr>
            <w:tcW w:w="540" w:type="pct"/>
            <w:tcBorders>
              <w:top w:val="nil"/>
              <w:left w:val="nil"/>
              <w:bottom w:val="nil"/>
              <w:right w:val="single" w:sz="4" w:space="0" w:color="auto"/>
            </w:tcBorders>
            <w:shd w:val="clear" w:color="auto" w:fill="FFFFFF" w:themeFill="background1"/>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p>
        </w:tc>
        <w:tc>
          <w:tcPr>
            <w:tcW w:w="1374" w:type="pct"/>
            <w:tcBorders>
              <w:top w:val="nil"/>
              <w:left w:val="nil"/>
              <w:bottom w:val="single" w:sz="4" w:space="0" w:color="auto"/>
              <w:right w:val="single" w:sz="4" w:space="0" w:color="auto"/>
            </w:tcBorders>
            <w:shd w:val="clear" w:color="auto" w:fill="FFFFFF" w:themeFill="background1"/>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Lindero</w:t>
            </w:r>
          </w:p>
        </w:tc>
        <w:tc>
          <w:tcPr>
            <w:tcW w:w="713" w:type="pct"/>
            <w:tcBorders>
              <w:top w:val="nil"/>
              <w:left w:val="nil"/>
              <w:bottom w:val="single" w:sz="4" w:space="0" w:color="auto"/>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En parte</w:t>
            </w:r>
          </w:p>
        </w:tc>
        <w:tc>
          <w:tcPr>
            <w:tcW w:w="694" w:type="pct"/>
            <w:tcBorders>
              <w:top w:val="nil"/>
              <w:left w:val="nil"/>
              <w:bottom w:val="nil"/>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Total</w:t>
            </w:r>
          </w:p>
        </w:tc>
        <w:tc>
          <w:tcPr>
            <w:tcW w:w="618" w:type="pct"/>
            <w:tcBorders>
              <w:top w:val="nil"/>
              <w:left w:val="nil"/>
              <w:bottom w:val="nil"/>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Superficie</w:t>
            </w:r>
          </w:p>
        </w:tc>
      </w:tr>
      <w:tr w:rsidR="00F935DB" w:rsidRPr="00F935DB" w:rsidTr="00F935DB">
        <w:trPr>
          <w:trHeight w:val="315"/>
        </w:trPr>
        <w:tc>
          <w:tcPr>
            <w:tcW w:w="1061" w:type="pct"/>
            <w:tcBorders>
              <w:top w:val="nil"/>
              <w:left w:val="single" w:sz="4" w:space="0" w:color="auto"/>
              <w:bottom w:val="nil"/>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p>
        </w:tc>
        <w:tc>
          <w:tcPr>
            <w:tcW w:w="540" w:type="pct"/>
            <w:tcBorders>
              <w:top w:val="single" w:sz="4" w:space="0" w:color="auto"/>
              <w:left w:val="nil"/>
              <w:bottom w:val="nil"/>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Norte:</w:t>
            </w:r>
          </w:p>
        </w:tc>
        <w:tc>
          <w:tcPr>
            <w:tcW w:w="1374" w:type="pct"/>
            <w:tcBorders>
              <w:top w:val="nil"/>
              <w:left w:val="nil"/>
              <w:bottom w:val="single" w:sz="4" w:space="0" w:color="auto"/>
              <w:right w:val="single" w:sz="4" w:space="0" w:color="auto"/>
            </w:tcBorders>
            <w:shd w:val="clear" w:color="auto" w:fill="FFFFFF" w:themeFill="background1"/>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Pasaje D</w:t>
            </w:r>
          </w:p>
        </w:tc>
        <w:tc>
          <w:tcPr>
            <w:tcW w:w="713" w:type="pct"/>
            <w:tcBorders>
              <w:top w:val="nil"/>
              <w:left w:val="nil"/>
              <w:bottom w:val="single" w:sz="4" w:space="0" w:color="auto"/>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w:t>
            </w:r>
          </w:p>
        </w:tc>
        <w:tc>
          <w:tcPr>
            <w:tcW w:w="694" w:type="pct"/>
            <w:tcBorders>
              <w:top w:val="single" w:sz="4" w:space="0" w:color="auto"/>
              <w:left w:val="nil"/>
              <w:bottom w:val="nil"/>
              <w:right w:val="nil"/>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21,74 m</w:t>
            </w:r>
          </w:p>
        </w:tc>
        <w:tc>
          <w:tcPr>
            <w:tcW w:w="618" w:type="pct"/>
            <w:tcBorders>
              <w:top w:val="single" w:sz="4" w:space="0" w:color="auto"/>
              <w:left w:val="single" w:sz="4" w:space="0" w:color="auto"/>
              <w:bottom w:val="nil"/>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r>
      <w:tr w:rsidR="00F935DB" w:rsidRPr="00F935DB" w:rsidTr="00F935DB">
        <w:trPr>
          <w:trHeight w:val="351"/>
        </w:trPr>
        <w:tc>
          <w:tcPr>
            <w:tcW w:w="1061" w:type="pct"/>
            <w:tcBorders>
              <w:top w:val="nil"/>
              <w:left w:val="single" w:sz="4" w:space="0" w:color="auto"/>
              <w:bottom w:val="nil"/>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lastRenderedPageBreak/>
              <w:t>Área verde 2</w:t>
            </w:r>
          </w:p>
        </w:tc>
        <w:tc>
          <w:tcPr>
            <w:tcW w:w="540" w:type="pct"/>
            <w:tcBorders>
              <w:top w:val="single" w:sz="4" w:space="0" w:color="auto"/>
              <w:left w:val="nil"/>
              <w:bottom w:val="nil"/>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Sur:</w:t>
            </w:r>
          </w:p>
        </w:tc>
        <w:tc>
          <w:tcPr>
            <w:tcW w:w="1374" w:type="pct"/>
            <w:tcBorders>
              <w:top w:val="nil"/>
              <w:left w:val="nil"/>
              <w:bottom w:val="single" w:sz="4" w:space="0" w:color="auto"/>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Calle de Las Avellanas</w:t>
            </w:r>
          </w:p>
        </w:tc>
        <w:tc>
          <w:tcPr>
            <w:tcW w:w="713" w:type="pct"/>
            <w:tcBorders>
              <w:top w:val="nil"/>
              <w:left w:val="nil"/>
              <w:bottom w:val="single" w:sz="4" w:space="0" w:color="auto"/>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w:t>
            </w:r>
          </w:p>
        </w:tc>
        <w:tc>
          <w:tcPr>
            <w:tcW w:w="694" w:type="pct"/>
            <w:tcBorders>
              <w:top w:val="single" w:sz="4" w:space="0" w:color="auto"/>
              <w:left w:val="nil"/>
              <w:bottom w:val="nil"/>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19,15 m</w:t>
            </w:r>
          </w:p>
        </w:tc>
        <w:tc>
          <w:tcPr>
            <w:tcW w:w="618" w:type="pct"/>
            <w:tcBorders>
              <w:top w:val="nil"/>
              <w:left w:val="nil"/>
              <w:bottom w:val="nil"/>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Cs/>
                <w:i/>
                <w:sz w:val="22"/>
                <w:szCs w:val="22"/>
                <w:lang w:val="es-EC" w:eastAsia="es-EC"/>
              </w:rPr>
            </w:pPr>
            <w:r w:rsidRPr="00F935DB">
              <w:rPr>
                <w:rFonts w:ascii="Palatino Linotype" w:hAnsi="Palatino Linotype"/>
                <w:i/>
                <w:sz w:val="22"/>
                <w:szCs w:val="22"/>
              </w:rPr>
              <w:t xml:space="preserve">89,77 </w:t>
            </w:r>
            <w:proofErr w:type="spellStart"/>
            <w:r w:rsidRPr="00F935DB">
              <w:rPr>
                <w:rFonts w:ascii="Palatino Linotype" w:hAnsi="Palatino Linotype"/>
                <w:i/>
                <w:sz w:val="22"/>
                <w:szCs w:val="22"/>
              </w:rPr>
              <w:t>m</w:t>
            </w:r>
            <w:r w:rsidRPr="00F935DB">
              <w:rPr>
                <w:rFonts w:ascii="Palatino Linotype" w:hAnsi="Palatino Linotype"/>
                <w:i/>
                <w:sz w:val="22"/>
                <w:szCs w:val="22"/>
                <w:vertAlign w:val="superscript"/>
              </w:rPr>
              <w:t>2</w:t>
            </w:r>
            <w:proofErr w:type="spellEnd"/>
          </w:p>
        </w:tc>
      </w:tr>
      <w:tr w:rsidR="00F935DB" w:rsidRPr="00F935DB" w:rsidTr="00F935DB">
        <w:trPr>
          <w:trHeight w:val="300"/>
        </w:trPr>
        <w:tc>
          <w:tcPr>
            <w:tcW w:w="1061" w:type="pct"/>
            <w:tcBorders>
              <w:top w:val="nil"/>
              <w:left w:val="single" w:sz="4" w:space="0" w:color="auto"/>
              <w:bottom w:val="nil"/>
              <w:right w:val="nil"/>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c>
          <w:tcPr>
            <w:tcW w:w="540" w:type="pct"/>
            <w:tcBorders>
              <w:top w:val="single" w:sz="4" w:space="0" w:color="auto"/>
              <w:left w:val="single" w:sz="4" w:space="0" w:color="auto"/>
              <w:bottom w:val="nil"/>
              <w:right w:val="single" w:sz="4" w:space="0" w:color="auto"/>
            </w:tcBorders>
            <w:shd w:val="clear" w:color="auto" w:fill="FFFFFF" w:themeFill="background1"/>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c>
          <w:tcPr>
            <w:tcW w:w="1374" w:type="pct"/>
            <w:vMerge w:val="restart"/>
            <w:tcBorders>
              <w:top w:val="nil"/>
              <w:left w:val="nil"/>
              <w:bottom w:val="single" w:sz="4" w:space="0" w:color="auto"/>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Barrio Fuente de Luz</w:t>
            </w:r>
          </w:p>
        </w:tc>
        <w:tc>
          <w:tcPr>
            <w:tcW w:w="713" w:type="pct"/>
            <w:vMerge w:val="restart"/>
            <w:tcBorders>
              <w:top w:val="nil"/>
              <w:left w:val="nil"/>
              <w:bottom w:val="single" w:sz="4" w:space="0" w:color="auto"/>
              <w:right w:val="nil"/>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9,37 m</w:t>
            </w:r>
          </w:p>
        </w:tc>
        <w:tc>
          <w:tcPr>
            <w:tcW w:w="618" w:type="pct"/>
            <w:tcBorders>
              <w:top w:val="nil"/>
              <w:left w:val="nil"/>
              <w:bottom w:val="nil"/>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r>
      <w:tr w:rsidR="00F935DB" w:rsidRPr="00F935DB" w:rsidTr="00F935DB">
        <w:trPr>
          <w:trHeight w:val="70"/>
        </w:trPr>
        <w:tc>
          <w:tcPr>
            <w:tcW w:w="1061" w:type="pct"/>
            <w:tcBorders>
              <w:top w:val="nil"/>
              <w:left w:val="single" w:sz="4" w:space="0" w:color="auto"/>
              <w:bottom w:val="nil"/>
              <w:right w:val="nil"/>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c>
          <w:tcPr>
            <w:tcW w:w="540" w:type="pct"/>
            <w:tcBorders>
              <w:top w:val="nil"/>
              <w:left w:val="single" w:sz="4" w:space="0" w:color="auto"/>
              <w:bottom w:val="single" w:sz="4" w:space="0" w:color="auto"/>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Este:</w:t>
            </w:r>
          </w:p>
        </w:tc>
        <w:tc>
          <w:tcPr>
            <w:tcW w:w="0" w:type="auto"/>
            <w:vMerge/>
            <w:tcBorders>
              <w:top w:val="nil"/>
              <w:left w:val="nil"/>
              <w:bottom w:val="single" w:sz="4" w:space="0" w:color="auto"/>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c>
          <w:tcPr>
            <w:tcW w:w="0" w:type="auto"/>
            <w:vMerge/>
            <w:tcBorders>
              <w:top w:val="nil"/>
              <w:left w:val="nil"/>
              <w:bottom w:val="single" w:sz="4" w:space="0" w:color="auto"/>
              <w:right w:val="nil"/>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c>
          <w:tcPr>
            <w:tcW w:w="618" w:type="pct"/>
            <w:tcBorders>
              <w:top w:val="nil"/>
              <w:left w:val="nil"/>
              <w:bottom w:val="nil"/>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r>
      <w:tr w:rsidR="00F935DB" w:rsidRPr="00F935DB" w:rsidTr="00F935DB">
        <w:trPr>
          <w:trHeight w:val="495"/>
        </w:trPr>
        <w:tc>
          <w:tcPr>
            <w:tcW w:w="1061"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c>
          <w:tcPr>
            <w:tcW w:w="540" w:type="pct"/>
            <w:tcBorders>
              <w:top w:val="nil"/>
              <w:left w:val="nil"/>
              <w:bottom w:val="single" w:sz="4" w:space="0" w:color="auto"/>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Oeste:</w:t>
            </w:r>
          </w:p>
        </w:tc>
        <w:tc>
          <w:tcPr>
            <w:tcW w:w="1374" w:type="pct"/>
            <w:tcBorders>
              <w:top w:val="nil"/>
              <w:left w:val="nil"/>
              <w:bottom w:val="single" w:sz="4" w:space="0" w:color="auto"/>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0,00 Punto de Intersección</w:t>
            </w:r>
          </w:p>
        </w:tc>
        <w:tc>
          <w:tcPr>
            <w:tcW w:w="713" w:type="pct"/>
            <w:tcBorders>
              <w:top w:val="nil"/>
              <w:left w:val="nil"/>
              <w:bottom w:val="single" w:sz="4" w:space="0" w:color="auto"/>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w:t>
            </w:r>
          </w:p>
        </w:tc>
        <w:tc>
          <w:tcPr>
            <w:tcW w:w="694" w:type="pct"/>
            <w:tcBorders>
              <w:top w:val="nil"/>
              <w:left w:val="nil"/>
              <w:bottom w:val="single" w:sz="4" w:space="0" w:color="auto"/>
              <w:right w:val="nil"/>
            </w:tcBorders>
            <w:shd w:val="clear" w:color="auto" w:fill="FFFFFF" w:themeFill="background1"/>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w:t>
            </w:r>
          </w:p>
        </w:tc>
        <w:tc>
          <w:tcPr>
            <w:tcW w:w="61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r>
    </w:tbl>
    <w:p w:rsidR="00F935DB" w:rsidRPr="00F935DB" w:rsidRDefault="00F935DB" w:rsidP="00F935DB">
      <w:pPr>
        <w:shd w:val="clear" w:color="auto" w:fill="FFFFFF" w:themeFill="background1"/>
        <w:spacing w:after="120" w:line="276" w:lineRule="auto"/>
        <w:jc w:val="center"/>
        <w:rPr>
          <w:rFonts w:ascii="Palatino Linotype" w:hAnsi="Palatino Linotype"/>
          <w:b/>
          <w:i/>
          <w:sz w:val="22"/>
          <w:szCs w:val="22"/>
        </w:rPr>
      </w:pPr>
    </w:p>
    <w:tbl>
      <w:tblPr>
        <w:tblW w:w="5300" w:type="pct"/>
        <w:tblInd w:w="-34" w:type="dxa"/>
        <w:shd w:val="clear" w:color="auto" w:fill="FFFFFF" w:themeFill="background1"/>
        <w:tblCellMar>
          <w:left w:w="70" w:type="dxa"/>
          <w:right w:w="70" w:type="dxa"/>
        </w:tblCellMar>
        <w:tblLook w:val="04A0" w:firstRow="1" w:lastRow="0" w:firstColumn="1" w:lastColumn="0" w:noHBand="0" w:noVBand="1"/>
      </w:tblPr>
      <w:tblGrid>
        <w:gridCol w:w="2041"/>
        <w:gridCol w:w="1038"/>
        <w:gridCol w:w="2642"/>
        <w:gridCol w:w="1371"/>
        <w:gridCol w:w="1335"/>
        <w:gridCol w:w="1188"/>
      </w:tblGrid>
      <w:tr w:rsidR="00F935DB" w:rsidRPr="00F935DB" w:rsidTr="00F935DB">
        <w:trPr>
          <w:trHeight w:val="300"/>
        </w:trPr>
        <w:tc>
          <w:tcPr>
            <w:tcW w:w="5000" w:type="pct"/>
            <w:gridSpan w:val="6"/>
            <w:tcBorders>
              <w:top w:val="single" w:sz="4" w:space="0" w:color="auto"/>
              <w:left w:val="single" w:sz="4" w:space="0" w:color="auto"/>
              <w:bottom w:val="single" w:sz="4" w:space="0" w:color="000000"/>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Área verde y comunal</w:t>
            </w:r>
          </w:p>
        </w:tc>
      </w:tr>
      <w:tr w:rsidR="00F935DB" w:rsidRPr="00F935DB" w:rsidTr="00F935DB">
        <w:trPr>
          <w:trHeight w:val="300"/>
        </w:trPr>
        <w:tc>
          <w:tcPr>
            <w:tcW w:w="1061" w:type="pct"/>
            <w:tcBorders>
              <w:top w:val="single" w:sz="4" w:space="0" w:color="auto"/>
              <w:left w:val="single" w:sz="4" w:space="0" w:color="auto"/>
              <w:bottom w:val="nil"/>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p>
        </w:tc>
        <w:tc>
          <w:tcPr>
            <w:tcW w:w="540" w:type="pct"/>
            <w:tcBorders>
              <w:top w:val="nil"/>
              <w:left w:val="nil"/>
              <w:bottom w:val="nil"/>
              <w:right w:val="single" w:sz="4" w:space="0" w:color="auto"/>
            </w:tcBorders>
            <w:shd w:val="clear" w:color="auto" w:fill="FFFFFF" w:themeFill="background1"/>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p>
        </w:tc>
        <w:tc>
          <w:tcPr>
            <w:tcW w:w="1374" w:type="pct"/>
            <w:tcBorders>
              <w:top w:val="nil"/>
              <w:left w:val="nil"/>
              <w:bottom w:val="single" w:sz="4" w:space="0" w:color="auto"/>
              <w:right w:val="single" w:sz="4" w:space="0" w:color="auto"/>
            </w:tcBorders>
            <w:shd w:val="clear" w:color="auto" w:fill="FFFFFF" w:themeFill="background1"/>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Lindero</w:t>
            </w:r>
          </w:p>
        </w:tc>
        <w:tc>
          <w:tcPr>
            <w:tcW w:w="713" w:type="pct"/>
            <w:tcBorders>
              <w:top w:val="nil"/>
              <w:left w:val="nil"/>
              <w:bottom w:val="single" w:sz="4" w:space="0" w:color="auto"/>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En parte</w:t>
            </w:r>
          </w:p>
        </w:tc>
        <w:tc>
          <w:tcPr>
            <w:tcW w:w="694" w:type="pct"/>
            <w:tcBorders>
              <w:top w:val="nil"/>
              <w:left w:val="nil"/>
              <w:bottom w:val="nil"/>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Total</w:t>
            </w:r>
          </w:p>
        </w:tc>
        <w:tc>
          <w:tcPr>
            <w:tcW w:w="618" w:type="pct"/>
            <w:tcBorders>
              <w:top w:val="nil"/>
              <w:left w:val="nil"/>
              <w:bottom w:val="nil"/>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Superficie</w:t>
            </w:r>
          </w:p>
        </w:tc>
      </w:tr>
      <w:tr w:rsidR="00F935DB" w:rsidRPr="00F935DB" w:rsidTr="00F935DB">
        <w:trPr>
          <w:trHeight w:val="315"/>
        </w:trPr>
        <w:tc>
          <w:tcPr>
            <w:tcW w:w="1061" w:type="pct"/>
            <w:tcBorders>
              <w:top w:val="nil"/>
              <w:left w:val="single" w:sz="4" w:space="0" w:color="auto"/>
              <w:bottom w:val="nil"/>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p>
        </w:tc>
        <w:tc>
          <w:tcPr>
            <w:tcW w:w="540" w:type="pct"/>
            <w:tcBorders>
              <w:top w:val="single" w:sz="4" w:space="0" w:color="auto"/>
              <w:left w:val="nil"/>
              <w:bottom w:val="nil"/>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Norte:</w:t>
            </w:r>
          </w:p>
        </w:tc>
        <w:tc>
          <w:tcPr>
            <w:tcW w:w="1374" w:type="pct"/>
            <w:tcBorders>
              <w:top w:val="nil"/>
              <w:left w:val="nil"/>
              <w:bottom w:val="single" w:sz="4" w:space="0" w:color="auto"/>
              <w:right w:val="single" w:sz="4" w:space="0" w:color="auto"/>
            </w:tcBorders>
            <w:shd w:val="clear" w:color="auto" w:fill="FFFFFF" w:themeFill="background1"/>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Pasaje C</w:t>
            </w:r>
          </w:p>
        </w:tc>
        <w:tc>
          <w:tcPr>
            <w:tcW w:w="713" w:type="pct"/>
            <w:tcBorders>
              <w:top w:val="nil"/>
              <w:left w:val="nil"/>
              <w:bottom w:val="single" w:sz="4" w:space="0" w:color="auto"/>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w:t>
            </w:r>
          </w:p>
        </w:tc>
        <w:tc>
          <w:tcPr>
            <w:tcW w:w="694" w:type="pct"/>
            <w:tcBorders>
              <w:top w:val="single" w:sz="4" w:space="0" w:color="auto"/>
              <w:left w:val="nil"/>
              <w:bottom w:val="nil"/>
              <w:right w:val="nil"/>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0,22 m</w:t>
            </w:r>
          </w:p>
        </w:tc>
        <w:tc>
          <w:tcPr>
            <w:tcW w:w="618" w:type="pct"/>
            <w:tcBorders>
              <w:top w:val="single" w:sz="4" w:space="0" w:color="auto"/>
              <w:left w:val="single" w:sz="4" w:space="0" w:color="auto"/>
              <w:bottom w:val="nil"/>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r>
      <w:tr w:rsidR="00F935DB" w:rsidRPr="00F935DB" w:rsidTr="00F935DB">
        <w:trPr>
          <w:trHeight w:val="351"/>
        </w:trPr>
        <w:tc>
          <w:tcPr>
            <w:tcW w:w="1061" w:type="pct"/>
            <w:tcBorders>
              <w:top w:val="nil"/>
              <w:left w:val="single" w:sz="4" w:space="0" w:color="auto"/>
              <w:bottom w:val="nil"/>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Área verde y comunal</w:t>
            </w:r>
          </w:p>
        </w:tc>
        <w:tc>
          <w:tcPr>
            <w:tcW w:w="540" w:type="pct"/>
            <w:tcBorders>
              <w:top w:val="single" w:sz="4" w:space="0" w:color="auto"/>
              <w:left w:val="nil"/>
              <w:bottom w:val="nil"/>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Sur:</w:t>
            </w:r>
          </w:p>
        </w:tc>
        <w:tc>
          <w:tcPr>
            <w:tcW w:w="1374" w:type="pct"/>
            <w:tcBorders>
              <w:top w:val="nil"/>
              <w:left w:val="nil"/>
              <w:bottom w:val="single" w:sz="4" w:space="0" w:color="auto"/>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Lote 20</w:t>
            </w:r>
          </w:p>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Lote 21</w:t>
            </w:r>
          </w:p>
        </w:tc>
        <w:tc>
          <w:tcPr>
            <w:tcW w:w="713" w:type="pct"/>
            <w:tcBorders>
              <w:top w:val="nil"/>
              <w:left w:val="nil"/>
              <w:bottom w:val="single" w:sz="4" w:space="0" w:color="auto"/>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roofErr w:type="spellStart"/>
            <w:r w:rsidRPr="00F935DB">
              <w:rPr>
                <w:rFonts w:ascii="Palatino Linotype" w:hAnsi="Palatino Linotype" w:cstheme="minorHAnsi"/>
                <w:i/>
                <w:sz w:val="22"/>
                <w:szCs w:val="22"/>
                <w:lang w:val="es-EC" w:eastAsia="es-EC"/>
              </w:rPr>
              <w:t>6,04m</w:t>
            </w:r>
            <w:proofErr w:type="spellEnd"/>
          </w:p>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roofErr w:type="spellStart"/>
            <w:r w:rsidRPr="00F935DB">
              <w:rPr>
                <w:rFonts w:ascii="Palatino Linotype" w:hAnsi="Palatino Linotype" w:cstheme="minorHAnsi"/>
                <w:i/>
                <w:sz w:val="22"/>
                <w:szCs w:val="22"/>
                <w:lang w:val="es-EC" w:eastAsia="es-EC"/>
              </w:rPr>
              <w:t>9,44m</w:t>
            </w:r>
            <w:proofErr w:type="spellEnd"/>
          </w:p>
        </w:tc>
        <w:tc>
          <w:tcPr>
            <w:tcW w:w="694" w:type="pct"/>
            <w:tcBorders>
              <w:top w:val="single" w:sz="4" w:space="0" w:color="auto"/>
              <w:left w:val="nil"/>
              <w:bottom w:val="nil"/>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15,48 m</w:t>
            </w:r>
          </w:p>
        </w:tc>
        <w:tc>
          <w:tcPr>
            <w:tcW w:w="618" w:type="pct"/>
            <w:tcBorders>
              <w:top w:val="nil"/>
              <w:left w:val="nil"/>
              <w:bottom w:val="nil"/>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Cs/>
                <w:i/>
                <w:sz w:val="22"/>
                <w:szCs w:val="22"/>
                <w:lang w:val="es-EC" w:eastAsia="es-EC"/>
              </w:rPr>
            </w:pPr>
            <w:r w:rsidRPr="00F935DB">
              <w:rPr>
                <w:rFonts w:ascii="Palatino Linotype" w:hAnsi="Palatino Linotype"/>
                <w:i/>
                <w:sz w:val="22"/>
                <w:szCs w:val="22"/>
              </w:rPr>
              <w:t xml:space="preserve">94,20 </w:t>
            </w:r>
            <w:proofErr w:type="spellStart"/>
            <w:r w:rsidRPr="00F935DB">
              <w:rPr>
                <w:rFonts w:ascii="Palatino Linotype" w:hAnsi="Palatino Linotype"/>
                <w:i/>
                <w:sz w:val="22"/>
                <w:szCs w:val="22"/>
              </w:rPr>
              <w:t>m</w:t>
            </w:r>
            <w:r w:rsidRPr="00F935DB">
              <w:rPr>
                <w:rFonts w:ascii="Palatino Linotype" w:hAnsi="Palatino Linotype"/>
                <w:i/>
                <w:sz w:val="22"/>
                <w:szCs w:val="22"/>
                <w:vertAlign w:val="superscript"/>
              </w:rPr>
              <w:t>2</w:t>
            </w:r>
            <w:proofErr w:type="spellEnd"/>
          </w:p>
        </w:tc>
      </w:tr>
      <w:tr w:rsidR="00F935DB" w:rsidRPr="00F935DB" w:rsidTr="00F935DB">
        <w:trPr>
          <w:trHeight w:val="300"/>
        </w:trPr>
        <w:tc>
          <w:tcPr>
            <w:tcW w:w="1061" w:type="pct"/>
            <w:tcBorders>
              <w:top w:val="nil"/>
              <w:left w:val="single" w:sz="4" w:space="0" w:color="auto"/>
              <w:bottom w:val="nil"/>
              <w:right w:val="nil"/>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c>
          <w:tcPr>
            <w:tcW w:w="540" w:type="pct"/>
            <w:tcBorders>
              <w:top w:val="single" w:sz="4" w:space="0" w:color="auto"/>
              <w:left w:val="single" w:sz="4" w:space="0" w:color="auto"/>
              <w:bottom w:val="nil"/>
              <w:right w:val="single" w:sz="4" w:space="0" w:color="auto"/>
            </w:tcBorders>
            <w:shd w:val="clear" w:color="auto" w:fill="FFFFFF" w:themeFill="background1"/>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c>
          <w:tcPr>
            <w:tcW w:w="1374" w:type="pct"/>
            <w:vMerge w:val="restart"/>
            <w:tcBorders>
              <w:top w:val="nil"/>
              <w:left w:val="nil"/>
              <w:bottom w:val="single" w:sz="4" w:space="0" w:color="auto"/>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Lote 25</w:t>
            </w:r>
          </w:p>
        </w:tc>
        <w:tc>
          <w:tcPr>
            <w:tcW w:w="713" w:type="pct"/>
            <w:vMerge w:val="restart"/>
            <w:tcBorders>
              <w:top w:val="nil"/>
              <w:left w:val="nil"/>
              <w:bottom w:val="single" w:sz="4" w:space="0" w:color="auto"/>
              <w:right w:val="nil"/>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12,00 m</w:t>
            </w:r>
          </w:p>
        </w:tc>
        <w:tc>
          <w:tcPr>
            <w:tcW w:w="618" w:type="pct"/>
            <w:tcBorders>
              <w:top w:val="nil"/>
              <w:left w:val="nil"/>
              <w:bottom w:val="nil"/>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r>
      <w:tr w:rsidR="00F935DB" w:rsidRPr="00F935DB" w:rsidTr="00F935DB">
        <w:trPr>
          <w:trHeight w:val="70"/>
        </w:trPr>
        <w:tc>
          <w:tcPr>
            <w:tcW w:w="1061" w:type="pct"/>
            <w:tcBorders>
              <w:top w:val="nil"/>
              <w:left w:val="single" w:sz="4" w:space="0" w:color="auto"/>
              <w:bottom w:val="nil"/>
              <w:right w:val="nil"/>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c>
          <w:tcPr>
            <w:tcW w:w="540" w:type="pct"/>
            <w:tcBorders>
              <w:top w:val="nil"/>
              <w:left w:val="single" w:sz="4" w:space="0" w:color="auto"/>
              <w:bottom w:val="single" w:sz="4" w:space="0" w:color="auto"/>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Este:</w:t>
            </w:r>
          </w:p>
        </w:tc>
        <w:tc>
          <w:tcPr>
            <w:tcW w:w="0" w:type="auto"/>
            <w:vMerge/>
            <w:tcBorders>
              <w:top w:val="nil"/>
              <w:left w:val="nil"/>
              <w:bottom w:val="single" w:sz="4" w:space="0" w:color="auto"/>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c>
          <w:tcPr>
            <w:tcW w:w="0" w:type="auto"/>
            <w:vMerge/>
            <w:tcBorders>
              <w:top w:val="nil"/>
              <w:left w:val="nil"/>
              <w:bottom w:val="single" w:sz="4" w:space="0" w:color="auto"/>
              <w:right w:val="nil"/>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c>
          <w:tcPr>
            <w:tcW w:w="618" w:type="pct"/>
            <w:tcBorders>
              <w:top w:val="nil"/>
              <w:left w:val="nil"/>
              <w:bottom w:val="nil"/>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r>
      <w:tr w:rsidR="00F935DB" w:rsidRPr="00F935DB" w:rsidTr="00F935DB">
        <w:trPr>
          <w:trHeight w:val="495"/>
        </w:trPr>
        <w:tc>
          <w:tcPr>
            <w:tcW w:w="1061"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c>
          <w:tcPr>
            <w:tcW w:w="540" w:type="pct"/>
            <w:tcBorders>
              <w:top w:val="nil"/>
              <w:left w:val="nil"/>
              <w:bottom w:val="single" w:sz="4" w:space="0" w:color="auto"/>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b/>
                <w:bCs/>
                <w:i/>
                <w:sz w:val="22"/>
                <w:szCs w:val="22"/>
                <w:lang w:val="es-EC" w:eastAsia="es-EC"/>
              </w:rPr>
            </w:pPr>
            <w:r w:rsidRPr="00F935DB">
              <w:rPr>
                <w:rFonts w:ascii="Palatino Linotype" w:hAnsi="Palatino Linotype" w:cstheme="minorHAnsi"/>
                <w:b/>
                <w:bCs/>
                <w:i/>
                <w:sz w:val="22"/>
                <w:szCs w:val="22"/>
                <w:lang w:val="es-EC" w:eastAsia="es-EC"/>
              </w:rPr>
              <w:t>Oeste:</w:t>
            </w:r>
          </w:p>
        </w:tc>
        <w:tc>
          <w:tcPr>
            <w:tcW w:w="1374" w:type="pct"/>
            <w:tcBorders>
              <w:top w:val="nil"/>
              <w:left w:val="nil"/>
              <w:bottom w:val="single" w:sz="4" w:space="0" w:color="auto"/>
              <w:right w:val="single" w:sz="4" w:space="0" w:color="auto"/>
            </w:tcBorders>
            <w:shd w:val="clear" w:color="auto" w:fill="FFFFFF" w:themeFill="background1"/>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Pasaje C</w:t>
            </w:r>
          </w:p>
        </w:tc>
        <w:tc>
          <w:tcPr>
            <w:tcW w:w="713" w:type="pct"/>
            <w:tcBorders>
              <w:top w:val="nil"/>
              <w:left w:val="nil"/>
              <w:bottom w:val="single" w:sz="4" w:space="0" w:color="auto"/>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w:t>
            </w:r>
          </w:p>
        </w:tc>
        <w:tc>
          <w:tcPr>
            <w:tcW w:w="694" w:type="pct"/>
            <w:tcBorders>
              <w:top w:val="nil"/>
              <w:left w:val="nil"/>
              <w:bottom w:val="single" w:sz="4" w:space="0" w:color="auto"/>
              <w:right w:val="nil"/>
            </w:tcBorders>
            <w:shd w:val="clear" w:color="auto" w:fill="FFFFFF" w:themeFill="background1"/>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r w:rsidRPr="00F935DB">
              <w:rPr>
                <w:rFonts w:ascii="Palatino Linotype" w:hAnsi="Palatino Linotype" w:cstheme="minorHAnsi"/>
                <w:i/>
                <w:sz w:val="22"/>
                <w:szCs w:val="22"/>
                <w:lang w:val="es-EC" w:eastAsia="es-EC"/>
              </w:rPr>
              <w:t>19,53 m</w:t>
            </w:r>
          </w:p>
        </w:tc>
        <w:tc>
          <w:tcPr>
            <w:tcW w:w="61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F935DB" w:rsidRPr="00F935DB" w:rsidRDefault="00F935DB" w:rsidP="00F935DB">
            <w:pPr>
              <w:shd w:val="clear" w:color="auto" w:fill="FFFFFF" w:themeFill="background1"/>
              <w:spacing w:after="120" w:line="276" w:lineRule="auto"/>
              <w:jc w:val="center"/>
              <w:rPr>
                <w:rFonts w:ascii="Palatino Linotype" w:hAnsi="Palatino Linotype" w:cstheme="minorHAnsi"/>
                <w:i/>
                <w:sz w:val="22"/>
                <w:szCs w:val="22"/>
                <w:lang w:val="es-EC" w:eastAsia="es-EC"/>
              </w:rPr>
            </w:pPr>
          </w:p>
        </w:tc>
      </w:tr>
    </w:tbl>
    <w:p w:rsidR="00F935DB" w:rsidRDefault="00F935DB" w:rsidP="00F935DB">
      <w:pPr>
        <w:tabs>
          <w:tab w:val="left" w:pos="4253"/>
          <w:tab w:val="center" w:pos="4394"/>
        </w:tabs>
        <w:spacing w:after="120" w:line="276" w:lineRule="auto"/>
        <w:jc w:val="both"/>
        <w:rPr>
          <w:rFonts w:ascii="Palatino Linotype" w:hAnsi="Palatino Linotype"/>
          <w:b/>
          <w:bCs/>
          <w:color w:val="000000"/>
          <w:sz w:val="22"/>
          <w:szCs w:val="22"/>
        </w:rPr>
      </w:pPr>
    </w:p>
    <w:p w:rsidR="00F935DB" w:rsidRPr="00F935DB" w:rsidRDefault="00F935DB" w:rsidP="00F935DB">
      <w:pPr>
        <w:tabs>
          <w:tab w:val="left" w:pos="4253"/>
          <w:tab w:val="center" w:pos="4394"/>
        </w:tabs>
        <w:spacing w:after="120" w:line="276" w:lineRule="auto"/>
        <w:jc w:val="both"/>
        <w:rPr>
          <w:rFonts w:ascii="Palatino Linotype" w:hAnsi="Palatino Linotype"/>
          <w:i/>
          <w:sz w:val="22"/>
          <w:szCs w:val="22"/>
        </w:rPr>
      </w:pPr>
      <w:r w:rsidRPr="00F935DB">
        <w:rPr>
          <w:rFonts w:ascii="Palatino Linotype" w:hAnsi="Palatino Linotype"/>
          <w:b/>
          <w:bCs/>
          <w:color w:val="000000"/>
          <w:sz w:val="22"/>
          <w:szCs w:val="22"/>
        </w:rPr>
        <w:t xml:space="preserve">Artículo 4.- </w:t>
      </w:r>
      <w:r w:rsidRPr="00F935DB">
        <w:rPr>
          <w:rFonts w:ascii="Palatino Linotype" w:hAnsi="Palatino Linotype"/>
          <w:sz w:val="22"/>
          <w:szCs w:val="22"/>
        </w:rPr>
        <w:t xml:space="preserve">Sustitúyase </w:t>
      </w:r>
      <w:r w:rsidRPr="00F935DB">
        <w:rPr>
          <w:rFonts w:ascii="Palatino Linotype" w:hAnsi="Palatino Linotype"/>
          <w:bCs/>
          <w:sz w:val="22"/>
          <w:szCs w:val="22"/>
        </w:rPr>
        <w:t xml:space="preserve">el texto del artículo 5 de la Ordenanza No. 0085, </w:t>
      </w:r>
      <w:r w:rsidRPr="00F935DB">
        <w:rPr>
          <w:rFonts w:ascii="Palatino Linotype" w:hAnsi="Palatino Linotype"/>
          <w:sz w:val="22"/>
          <w:szCs w:val="22"/>
        </w:rPr>
        <w:t>sancionada el 22 de junio de 2011</w:t>
      </w:r>
      <w:r>
        <w:rPr>
          <w:rFonts w:ascii="Palatino Linotype" w:hAnsi="Palatino Linotype"/>
          <w:sz w:val="22"/>
          <w:szCs w:val="22"/>
        </w:rPr>
        <w:t>,</w:t>
      </w:r>
      <w:r w:rsidRPr="00F935DB">
        <w:rPr>
          <w:rFonts w:ascii="Palatino Linotype" w:hAnsi="Palatino Linotype"/>
          <w:sz w:val="22"/>
          <w:szCs w:val="22"/>
        </w:rPr>
        <w:t xml:space="preserve"> </w:t>
      </w:r>
      <w:r>
        <w:rPr>
          <w:rFonts w:ascii="Palatino Linotype" w:hAnsi="Palatino Linotype"/>
          <w:sz w:val="22"/>
          <w:szCs w:val="22"/>
        </w:rPr>
        <w:t>p</w:t>
      </w:r>
      <w:r w:rsidRPr="00F935DB">
        <w:rPr>
          <w:rFonts w:ascii="Palatino Linotype" w:hAnsi="Palatino Linotype"/>
          <w:sz w:val="22"/>
          <w:szCs w:val="22"/>
        </w:rPr>
        <w:t>or el siguiente:</w:t>
      </w:r>
      <w:r w:rsidRPr="00F935DB">
        <w:rPr>
          <w:rFonts w:ascii="Palatino Linotype" w:hAnsi="Palatino Linotype"/>
          <w:i/>
          <w:sz w:val="22"/>
          <w:szCs w:val="22"/>
        </w:rPr>
        <w:t xml:space="preserve"> </w:t>
      </w:r>
    </w:p>
    <w:p w:rsidR="00F935DB" w:rsidRPr="00F935DB" w:rsidRDefault="00F935DB" w:rsidP="00F935DB">
      <w:pPr>
        <w:tabs>
          <w:tab w:val="left" w:pos="4253"/>
          <w:tab w:val="center" w:pos="4394"/>
        </w:tabs>
        <w:spacing w:after="120" w:line="276" w:lineRule="auto"/>
        <w:ind w:left="708"/>
        <w:jc w:val="both"/>
        <w:rPr>
          <w:rFonts w:ascii="Palatino Linotype" w:hAnsi="Palatino Linotype"/>
          <w:i/>
          <w:sz w:val="22"/>
          <w:szCs w:val="22"/>
        </w:rPr>
      </w:pPr>
      <w:r w:rsidRPr="00F935DB">
        <w:rPr>
          <w:rFonts w:ascii="Palatino Linotype" w:hAnsi="Palatino Linotype"/>
          <w:i/>
          <w:sz w:val="22"/>
          <w:szCs w:val="22"/>
        </w:rPr>
        <w:t>“</w:t>
      </w:r>
      <w:r w:rsidRPr="00F935DB">
        <w:rPr>
          <w:rFonts w:ascii="Palatino Linotype" w:hAnsi="Palatino Linotype"/>
          <w:b/>
          <w:i/>
          <w:sz w:val="22"/>
          <w:szCs w:val="22"/>
          <w:lang w:val="es-EC"/>
        </w:rPr>
        <w:t xml:space="preserve">Artículo 5.- </w:t>
      </w:r>
      <w:r w:rsidRPr="00F935DB">
        <w:rPr>
          <w:rFonts w:ascii="Palatino Linotype" w:hAnsi="Palatino Linotype"/>
          <w:b/>
          <w:bCs/>
          <w:i/>
          <w:sz w:val="22"/>
          <w:szCs w:val="22"/>
        </w:rPr>
        <w:t xml:space="preserve">Informe Técnico de Evaluación de Riesgos de la Secretaría General de Seguridad y Gobernabilidad.- </w:t>
      </w:r>
      <w:r w:rsidRPr="00F935DB">
        <w:rPr>
          <w:rFonts w:ascii="Palatino Linotype" w:hAnsi="Palatino Linotype"/>
          <w:bCs/>
          <w:i/>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La Delicia</w:t>
      </w:r>
      <w:r w:rsidRPr="00F935DB">
        <w:rPr>
          <w:rFonts w:ascii="Palatino Linotype" w:hAnsi="Palatino Linotype"/>
          <w:i/>
          <w:color w:val="2A2A2A"/>
          <w:sz w:val="22"/>
          <w:szCs w:val="22"/>
        </w:rPr>
        <w:t xml:space="preserve">, </w:t>
      </w:r>
      <w:r w:rsidRPr="00F935DB">
        <w:rPr>
          <w:rFonts w:ascii="Palatino Linotype" w:hAnsi="Palatino Linotype"/>
          <w:i/>
          <w:sz w:val="22"/>
          <w:szCs w:val="22"/>
        </w:rPr>
        <w:t>caso contrario el Concejo Metropolitano podrá revocar la presente ordenanza, notificándose del particular a la Agencia Metropolitana de Control, para que se inicie las acciones pertinentes.</w:t>
      </w:r>
    </w:p>
    <w:p w:rsidR="00F935DB" w:rsidRPr="00F935DB" w:rsidRDefault="00F935DB" w:rsidP="00F935DB">
      <w:pPr>
        <w:spacing w:after="120" w:line="276" w:lineRule="auto"/>
        <w:ind w:left="708"/>
        <w:jc w:val="both"/>
        <w:rPr>
          <w:rFonts w:ascii="Palatino Linotype" w:hAnsi="Palatino Linotype"/>
          <w:i/>
          <w:color w:val="2A2A2A"/>
          <w:sz w:val="22"/>
          <w:szCs w:val="22"/>
        </w:rPr>
      </w:pPr>
      <w:r w:rsidRPr="00F935DB">
        <w:rPr>
          <w:rFonts w:ascii="Palatino Linotype" w:hAnsi="Palatino Linotype"/>
          <w:i/>
          <w:color w:val="2A2A2A"/>
          <w:sz w:val="22"/>
          <w:szCs w:val="22"/>
        </w:rPr>
        <w:t xml:space="preserve">La Agencia Metropolitana de Control realizará el seguimiento en la ejecución y avance de las obras de mitigación hasta la terminación de las mismas. </w:t>
      </w:r>
    </w:p>
    <w:p w:rsidR="00F935DB" w:rsidRPr="00F935DB" w:rsidRDefault="00F935DB" w:rsidP="00F935DB">
      <w:pPr>
        <w:spacing w:after="120" w:line="276" w:lineRule="auto"/>
        <w:ind w:left="708"/>
        <w:jc w:val="both"/>
        <w:rPr>
          <w:rFonts w:ascii="Palatino Linotype" w:hAnsi="Palatino Linotype"/>
          <w:bCs/>
          <w:i/>
          <w:sz w:val="22"/>
          <w:szCs w:val="22"/>
        </w:rPr>
      </w:pPr>
      <w:r w:rsidRPr="00F935DB">
        <w:rPr>
          <w:rFonts w:ascii="Palatino Linotype" w:hAnsi="Palatino Linotype"/>
          <w:i/>
          <w:sz w:val="22"/>
          <w:szCs w:val="22"/>
        </w:rPr>
        <w:lastRenderedPageBreak/>
        <w:t xml:space="preserve">La asociación de Vivienda “Nueva Vida” </w:t>
      </w:r>
      <w:r w:rsidRPr="00F935DB">
        <w:rPr>
          <w:rFonts w:ascii="Palatino Linotype" w:hAnsi="Palatino Linotype"/>
          <w:bCs/>
          <w:i/>
          <w:sz w:val="22"/>
          <w:szCs w:val="22"/>
          <w:lang w:val="es-EC"/>
        </w:rPr>
        <w:t xml:space="preserve">deberá cumplir con lo establecido  dentro de la calificación del riesgo y acatar las recomendaciones que se encuentran determinadas </w:t>
      </w:r>
      <w:r w:rsidRPr="00F935DB">
        <w:rPr>
          <w:rFonts w:ascii="Palatino Linotype" w:hAnsi="Palatino Linotype"/>
          <w:i/>
          <w:color w:val="000000"/>
          <w:sz w:val="22"/>
          <w:szCs w:val="22"/>
          <w:shd w:val="clear" w:color="auto" w:fill="FFFFFF"/>
        </w:rPr>
        <w:t xml:space="preserve">en el informe de la Dirección Metropolitana de Gestión de Riesgos </w:t>
      </w:r>
      <w:r w:rsidRPr="00F935DB">
        <w:rPr>
          <w:rFonts w:ascii="Palatino Linotype" w:hAnsi="Palatino Linotype"/>
          <w:bCs/>
          <w:i/>
          <w:sz w:val="22"/>
          <w:szCs w:val="22"/>
        </w:rPr>
        <w:t xml:space="preserve">No. </w:t>
      </w:r>
      <w:r w:rsidRPr="00F935DB">
        <w:rPr>
          <w:rFonts w:ascii="Palatino Linotype" w:eastAsia="Calibri" w:hAnsi="Palatino Linotype"/>
          <w:i/>
          <w:sz w:val="22"/>
          <w:szCs w:val="22"/>
        </w:rPr>
        <w:t>171-AT-</w:t>
      </w:r>
      <w:proofErr w:type="spellStart"/>
      <w:r w:rsidRPr="00F935DB">
        <w:rPr>
          <w:rFonts w:ascii="Palatino Linotype" w:eastAsia="Calibri" w:hAnsi="Palatino Linotype"/>
          <w:i/>
          <w:sz w:val="22"/>
          <w:szCs w:val="22"/>
        </w:rPr>
        <w:t>DMGR</w:t>
      </w:r>
      <w:proofErr w:type="spellEnd"/>
      <w:r w:rsidRPr="00F935DB">
        <w:rPr>
          <w:rFonts w:ascii="Palatino Linotype" w:eastAsia="Calibri" w:hAnsi="Palatino Linotype"/>
          <w:i/>
          <w:sz w:val="22"/>
          <w:szCs w:val="22"/>
        </w:rPr>
        <w:t>-2016, de fecha 26 de octubre de 2016</w:t>
      </w:r>
      <w:r w:rsidRPr="00F935DB">
        <w:rPr>
          <w:rFonts w:ascii="Palatino Linotype" w:hAnsi="Palatino Linotype"/>
          <w:i/>
          <w:sz w:val="22"/>
          <w:szCs w:val="22"/>
        </w:rPr>
        <w:t xml:space="preserve"> </w:t>
      </w:r>
      <w:r w:rsidRPr="00F935DB">
        <w:rPr>
          <w:rFonts w:ascii="Palatino Linotype" w:hAnsi="Palatino Linotype"/>
          <w:bCs/>
          <w:i/>
          <w:sz w:val="22"/>
          <w:szCs w:val="22"/>
        </w:rPr>
        <w:t xml:space="preserve"> </w:t>
      </w:r>
      <w:r w:rsidRPr="00F935DB">
        <w:rPr>
          <w:rFonts w:ascii="Palatino Linotype" w:hAnsi="Palatino Linotype"/>
          <w:bCs/>
          <w:i/>
          <w:sz w:val="22"/>
          <w:szCs w:val="22"/>
          <w:lang w:val="es-EC"/>
        </w:rPr>
        <w:t>el mismo establece que</w:t>
      </w:r>
      <w:r w:rsidRPr="00F935DB">
        <w:rPr>
          <w:rFonts w:ascii="Palatino Linotype" w:hAnsi="Palatino Linotype"/>
          <w:bCs/>
          <w:i/>
          <w:sz w:val="22"/>
          <w:szCs w:val="22"/>
        </w:rPr>
        <w:t>:</w:t>
      </w:r>
    </w:p>
    <w:p w:rsidR="00F935DB" w:rsidRPr="00F935DB" w:rsidRDefault="00F935DB" w:rsidP="00F935DB">
      <w:pPr>
        <w:spacing w:after="120" w:line="276" w:lineRule="auto"/>
        <w:ind w:left="708"/>
        <w:jc w:val="both"/>
        <w:rPr>
          <w:rFonts w:ascii="Palatino Linotype" w:hAnsi="Palatino Linotype"/>
          <w:b/>
          <w:bCs/>
          <w:i/>
          <w:sz w:val="22"/>
          <w:szCs w:val="22"/>
        </w:rPr>
      </w:pPr>
      <w:r w:rsidRPr="00F935DB">
        <w:rPr>
          <w:rFonts w:ascii="Palatino Linotype" w:hAnsi="Palatino Linotype"/>
          <w:b/>
          <w:bCs/>
          <w:i/>
          <w:sz w:val="22"/>
          <w:szCs w:val="22"/>
        </w:rPr>
        <w:t>“6 CALIFICACIÓN DEL RIESGO</w:t>
      </w:r>
    </w:p>
    <w:p w:rsidR="00F935DB" w:rsidRPr="00F935DB" w:rsidRDefault="00F935DB" w:rsidP="00F935DB">
      <w:pPr>
        <w:spacing w:after="120" w:line="276" w:lineRule="auto"/>
        <w:ind w:left="1275"/>
        <w:jc w:val="both"/>
        <w:rPr>
          <w:rFonts w:ascii="Palatino Linotype" w:hAnsi="Palatino Linotype"/>
          <w:i/>
          <w:sz w:val="22"/>
          <w:szCs w:val="22"/>
        </w:rPr>
      </w:pPr>
      <w:r w:rsidRPr="00F935DB">
        <w:rPr>
          <w:rFonts w:ascii="Palatino Linotype" w:hAnsi="Palatino Linotype"/>
          <w:i/>
          <w:sz w:val="22"/>
          <w:szCs w:val="22"/>
        </w:rPr>
        <w:t xml:space="preserve">“La zona en estudio, una vez realizada la inspección técnica al </w:t>
      </w:r>
      <w:proofErr w:type="spellStart"/>
      <w:r w:rsidRPr="00F935DB">
        <w:rPr>
          <w:rFonts w:ascii="Palatino Linotype" w:hAnsi="Palatino Linotype"/>
          <w:i/>
          <w:sz w:val="22"/>
          <w:szCs w:val="22"/>
        </w:rPr>
        <w:t>AHHYC</w:t>
      </w:r>
      <w:proofErr w:type="spellEnd"/>
      <w:r w:rsidRPr="00F935DB">
        <w:rPr>
          <w:rFonts w:ascii="Palatino Linotype" w:hAnsi="Palatino Linotype"/>
          <w:i/>
          <w:sz w:val="22"/>
          <w:szCs w:val="22"/>
        </w:rPr>
        <w:t xml:space="preserve"> Asociación de Vivienda “Nueva Vida” que se encuentra dentro de la Parroquia Comité del Pueblo, considerando las amenazas, elementos expuestos y vulnerabilidades se determina que:</w:t>
      </w:r>
    </w:p>
    <w:p w:rsidR="00F935DB" w:rsidRPr="00F935DB" w:rsidRDefault="00F935DB" w:rsidP="00F935DB">
      <w:pPr>
        <w:spacing w:after="120" w:line="276" w:lineRule="auto"/>
        <w:ind w:left="1275"/>
        <w:jc w:val="both"/>
        <w:rPr>
          <w:rFonts w:ascii="Palatino Linotype" w:hAnsi="Palatino Linotype"/>
          <w:i/>
          <w:sz w:val="22"/>
          <w:szCs w:val="22"/>
        </w:rPr>
      </w:pPr>
      <w:r w:rsidRPr="00F935DB">
        <w:rPr>
          <w:rFonts w:ascii="Palatino Linotype" w:hAnsi="Palatino Linotype"/>
          <w:i/>
          <w:sz w:val="22"/>
          <w:szCs w:val="22"/>
        </w:rPr>
        <w:t>“De acuerdo a las condiciones morfológicas, litológicas y elementos expuestos se manifiesta que presenta un Riesgo Alto Mitigable frente a movimientos de remoción en masa.”</w:t>
      </w:r>
    </w:p>
    <w:p w:rsidR="00F935DB" w:rsidRPr="00F935DB" w:rsidRDefault="00F935DB" w:rsidP="00F935DB">
      <w:pPr>
        <w:spacing w:after="120" w:line="276" w:lineRule="auto"/>
        <w:ind w:left="1275"/>
        <w:jc w:val="both"/>
        <w:rPr>
          <w:rFonts w:ascii="Palatino Linotype" w:hAnsi="Palatino Linotype"/>
          <w:i/>
          <w:sz w:val="22"/>
          <w:szCs w:val="22"/>
        </w:rPr>
      </w:pPr>
      <w:r w:rsidRPr="00F935DB">
        <w:rPr>
          <w:rFonts w:ascii="Palatino Linotype" w:hAnsi="Palatino Linotype"/>
          <w:i/>
          <w:sz w:val="22"/>
          <w:szCs w:val="22"/>
        </w:rPr>
        <w:t xml:space="preserve">“Con respecto a la amenaza sísmica el </w:t>
      </w:r>
      <w:proofErr w:type="spellStart"/>
      <w:r w:rsidRPr="00F935DB">
        <w:rPr>
          <w:rFonts w:ascii="Palatino Linotype" w:hAnsi="Palatino Linotype"/>
          <w:i/>
          <w:sz w:val="22"/>
          <w:szCs w:val="22"/>
        </w:rPr>
        <w:t>AHHYC</w:t>
      </w:r>
      <w:proofErr w:type="spellEnd"/>
      <w:r w:rsidRPr="00F935DB">
        <w:rPr>
          <w:rFonts w:ascii="Palatino Linotype" w:hAnsi="Palatino Linotype"/>
          <w:i/>
          <w:sz w:val="22"/>
          <w:szCs w:val="22"/>
        </w:rPr>
        <w:t xml:space="preserve"> Asociación de Vivienda “Nueva Vida” de la Parroquia Comité del Pueblo, presenta un nivel de riesgo Alto por cuanto al ser construcciones informales, no cumplen la NEC y se consideran viviendas con alta vulnerabilidad.”</w:t>
      </w:r>
    </w:p>
    <w:p w:rsidR="00F935DB" w:rsidRPr="00F935DB" w:rsidRDefault="00F935DB" w:rsidP="00F935DB">
      <w:pPr>
        <w:spacing w:after="120" w:line="276" w:lineRule="auto"/>
        <w:ind w:left="1275"/>
        <w:jc w:val="both"/>
        <w:rPr>
          <w:rFonts w:ascii="Palatino Linotype" w:hAnsi="Palatino Linotype"/>
          <w:i/>
          <w:sz w:val="22"/>
          <w:szCs w:val="22"/>
        </w:rPr>
      </w:pPr>
      <w:r w:rsidRPr="00F935DB">
        <w:rPr>
          <w:rFonts w:ascii="Palatino Linotype" w:hAnsi="Palatino Linotype"/>
          <w:i/>
          <w:sz w:val="22"/>
          <w:szCs w:val="22"/>
        </w:rPr>
        <w:t xml:space="preserve">“Adicionalmente, con respecto a la amenaza volcánica el </w:t>
      </w:r>
      <w:proofErr w:type="spellStart"/>
      <w:r w:rsidRPr="00F935DB">
        <w:rPr>
          <w:rFonts w:ascii="Palatino Linotype" w:hAnsi="Palatino Linotype"/>
          <w:i/>
          <w:sz w:val="22"/>
          <w:szCs w:val="22"/>
        </w:rPr>
        <w:t>AHHYC</w:t>
      </w:r>
      <w:proofErr w:type="spellEnd"/>
      <w:r w:rsidRPr="00F935DB">
        <w:rPr>
          <w:rFonts w:ascii="Palatino Linotype" w:hAnsi="Palatino Linotype"/>
          <w:i/>
          <w:sz w:val="22"/>
          <w:szCs w:val="22"/>
        </w:rPr>
        <w:t xml:space="preserve"> Asociación de Vivienda “Nueva Vida” de la Parroquia Comité del Pueblo, presenta un nivel de riesgo Alto por la probable caída de </w:t>
      </w:r>
      <w:proofErr w:type="spellStart"/>
      <w:r w:rsidRPr="00F935DB">
        <w:rPr>
          <w:rFonts w:ascii="Palatino Linotype" w:hAnsi="Palatino Linotype"/>
          <w:i/>
          <w:sz w:val="22"/>
          <w:szCs w:val="22"/>
        </w:rPr>
        <w:t>piroclastos</w:t>
      </w:r>
      <w:proofErr w:type="spellEnd"/>
      <w:r w:rsidRPr="00F935DB">
        <w:rPr>
          <w:rFonts w:ascii="Palatino Linotype" w:hAnsi="Palatino Linotype"/>
          <w:i/>
          <w:sz w:val="22"/>
          <w:szCs w:val="22"/>
        </w:rPr>
        <w:t xml:space="preserve"> (ceniza y lapilli de los volcanes Cotopaxi, Guagua Pichincha y Reventador.”</w:t>
      </w:r>
    </w:p>
    <w:p w:rsidR="00F935DB" w:rsidRPr="00F935DB" w:rsidRDefault="00F935DB" w:rsidP="00F935DB">
      <w:pPr>
        <w:spacing w:after="120" w:line="276" w:lineRule="auto"/>
        <w:ind w:left="1275"/>
        <w:jc w:val="both"/>
        <w:rPr>
          <w:rFonts w:ascii="Palatino Linotype" w:hAnsi="Palatino Linotype"/>
          <w:i/>
          <w:sz w:val="22"/>
          <w:szCs w:val="22"/>
        </w:rPr>
      </w:pPr>
      <w:r w:rsidRPr="00F935DB">
        <w:rPr>
          <w:rFonts w:ascii="Palatino Linotype" w:hAnsi="Palatino Linotype"/>
          <w:i/>
          <w:sz w:val="22"/>
          <w:szCs w:val="22"/>
        </w:rPr>
        <w:t xml:space="preserve">“La calificación de la evaluación de la condición del riesgo está dada en base a la probabilidad de ocurrencia de eventos adversos y a las perdidas con su consecuente afectación. Por lo tanto, desde el análisis de la </w:t>
      </w:r>
      <w:proofErr w:type="spellStart"/>
      <w:r w:rsidRPr="00F935DB">
        <w:rPr>
          <w:rFonts w:ascii="Palatino Linotype" w:hAnsi="Palatino Linotype"/>
          <w:i/>
          <w:sz w:val="22"/>
          <w:szCs w:val="22"/>
        </w:rPr>
        <w:t>DMGR</w:t>
      </w:r>
      <w:proofErr w:type="spellEnd"/>
      <w:r w:rsidRPr="00F935DB">
        <w:rPr>
          <w:rFonts w:ascii="Palatino Linotype" w:hAnsi="Palatino Linotype"/>
          <w:i/>
          <w:sz w:val="22"/>
          <w:szCs w:val="22"/>
        </w:rPr>
        <w:t xml:space="preserve"> se expresa que es Factible un proceso de regularización del </w:t>
      </w:r>
      <w:proofErr w:type="spellStart"/>
      <w:r w:rsidRPr="00F935DB">
        <w:rPr>
          <w:rFonts w:ascii="Palatino Linotype" w:hAnsi="Palatino Linotype"/>
          <w:i/>
          <w:sz w:val="22"/>
          <w:szCs w:val="22"/>
        </w:rPr>
        <w:t>AHHYC</w:t>
      </w:r>
      <w:proofErr w:type="spellEnd"/>
      <w:r w:rsidRPr="00F935DB">
        <w:rPr>
          <w:rFonts w:ascii="Palatino Linotype" w:hAnsi="Palatino Linotype"/>
          <w:i/>
          <w:sz w:val="22"/>
          <w:szCs w:val="22"/>
        </w:rPr>
        <w:t xml:space="preserve">. Ya que siguiendo las recomendaciones que se describen en este informe a continuación contribuirá a garantizar la reducción del riesgo en la zona en análisis.” </w:t>
      </w:r>
    </w:p>
    <w:p w:rsidR="00F935DB" w:rsidRPr="00F935DB" w:rsidRDefault="00F935DB" w:rsidP="00F935DB">
      <w:pPr>
        <w:spacing w:after="120" w:line="276" w:lineRule="auto"/>
        <w:ind w:left="1275"/>
        <w:jc w:val="both"/>
        <w:rPr>
          <w:rFonts w:ascii="Palatino Linotype" w:hAnsi="Palatino Linotype"/>
          <w:b/>
          <w:i/>
          <w:sz w:val="22"/>
          <w:szCs w:val="22"/>
        </w:rPr>
      </w:pPr>
      <w:r w:rsidRPr="00F935DB">
        <w:rPr>
          <w:rFonts w:ascii="Palatino Linotype" w:hAnsi="Palatino Linotype"/>
          <w:b/>
          <w:i/>
          <w:sz w:val="22"/>
          <w:szCs w:val="22"/>
        </w:rPr>
        <w:t>7 RECOMENDACIONES</w:t>
      </w:r>
    </w:p>
    <w:p w:rsidR="00F935DB" w:rsidRPr="00F935DB" w:rsidRDefault="00F935DB" w:rsidP="00F935DB">
      <w:pPr>
        <w:spacing w:after="120" w:line="276" w:lineRule="auto"/>
        <w:ind w:left="1351"/>
        <w:contextualSpacing/>
        <w:jc w:val="both"/>
        <w:rPr>
          <w:rFonts w:ascii="Palatino Linotype" w:hAnsi="Palatino Linotype"/>
          <w:b/>
          <w:i/>
          <w:sz w:val="22"/>
          <w:szCs w:val="22"/>
        </w:rPr>
      </w:pPr>
      <w:r w:rsidRPr="00F935DB">
        <w:rPr>
          <w:rFonts w:ascii="Palatino Linotype" w:hAnsi="Palatino Linotype"/>
          <w:b/>
          <w:i/>
          <w:sz w:val="22"/>
          <w:szCs w:val="22"/>
        </w:rPr>
        <w:t>NORMATIVA VIGENTE:</w:t>
      </w:r>
    </w:p>
    <w:p w:rsidR="00F935DB" w:rsidRPr="00F935DB" w:rsidRDefault="00F935DB" w:rsidP="00F935DB">
      <w:pPr>
        <w:pStyle w:val="Prrafodelista"/>
        <w:numPr>
          <w:ilvl w:val="0"/>
          <w:numId w:val="2"/>
        </w:numPr>
        <w:spacing w:after="120" w:line="276" w:lineRule="auto"/>
        <w:contextualSpacing/>
        <w:jc w:val="both"/>
        <w:rPr>
          <w:rFonts w:ascii="Palatino Linotype" w:hAnsi="Palatino Linotype"/>
          <w:b/>
          <w:i/>
          <w:sz w:val="22"/>
          <w:szCs w:val="22"/>
        </w:rPr>
      </w:pPr>
      <w:r w:rsidRPr="00F935DB">
        <w:rPr>
          <w:rFonts w:ascii="Palatino Linotype" w:hAnsi="Palatino Linotype"/>
          <w:i/>
          <w:sz w:val="22"/>
          <w:szCs w:val="22"/>
        </w:rPr>
        <w:t xml:space="preserve">“Tomar en cuenta el Artículo 13.- de Ley Orgánica Reformatoria al </w:t>
      </w:r>
      <w:proofErr w:type="spellStart"/>
      <w:r w:rsidRPr="00F935DB">
        <w:rPr>
          <w:rFonts w:ascii="Palatino Linotype" w:hAnsi="Palatino Linotype"/>
          <w:i/>
          <w:sz w:val="22"/>
          <w:szCs w:val="22"/>
        </w:rPr>
        <w:t>COOTAD</w:t>
      </w:r>
      <w:proofErr w:type="spellEnd"/>
      <w:r w:rsidRPr="00F935DB">
        <w:rPr>
          <w:rFonts w:ascii="Palatino Linotype" w:hAnsi="Palatino Linotype"/>
          <w:i/>
          <w:sz w:val="22"/>
          <w:szCs w:val="22"/>
        </w:rPr>
        <w:t xml:space="preserve"> en su Artículo 140.-  sobre el Ejercicio de la competencia de gestión de riesgos.- establece que: “La gestión de riesgos que incluye las acciones de prevención, reacción, mitigación, reconstrucción y transferencia, para enfrentar todas las amenazas de origen natural o antrópico que afecten el territorio se gestionarán de manera </w:t>
      </w:r>
      <w:r w:rsidRPr="00F935DB">
        <w:rPr>
          <w:rFonts w:ascii="Palatino Linotype" w:hAnsi="Palatino Linotype"/>
          <w:i/>
          <w:sz w:val="22"/>
          <w:szCs w:val="22"/>
        </w:rPr>
        <w:lastRenderedPageBreak/>
        <w:t>concurrente y de forma articulada por todos los niveles de gobierno de acuerdo con las políticas y los planes emitidos por el organismo nacional responsable, de acuerdo con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F935DB" w:rsidRPr="00F935DB" w:rsidRDefault="00F935DB" w:rsidP="00F935DB">
      <w:pPr>
        <w:pStyle w:val="Prrafodelista"/>
        <w:numPr>
          <w:ilvl w:val="0"/>
          <w:numId w:val="2"/>
        </w:numPr>
        <w:spacing w:after="120" w:line="276" w:lineRule="auto"/>
        <w:contextualSpacing/>
        <w:jc w:val="both"/>
        <w:rPr>
          <w:rFonts w:ascii="Palatino Linotype" w:hAnsi="Palatino Linotype"/>
          <w:i/>
          <w:sz w:val="22"/>
          <w:szCs w:val="22"/>
        </w:rPr>
      </w:pPr>
      <w:r w:rsidRPr="00F935DB">
        <w:rPr>
          <w:rFonts w:ascii="Palatino Linotype" w:hAnsi="Palatino Linotype"/>
          <w:i/>
          <w:sz w:val="22"/>
          <w:szCs w:val="22"/>
        </w:rPr>
        <w:t>“Todos los procesos dentro del proyecto de regularización deben respetar la normativa vigente de las Ordenanzas Metropolitanas de: aprobación de los Planes Metropolitanos de Ordenamiento Territorial, (</w:t>
      </w:r>
      <w:proofErr w:type="spellStart"/>
      <w:r w:rsidRPr="00F935DB">
        <w:rPr>
          <w:rFonts w:ascii="Palatino Linotype" w:hAnsi="Palatino Linotype"/>
          <w:i/>
          <w:sz w:val="22"/>
          <w:szCs w:val="22"/>
        </w:rPr>
        <w:t>PMOT</w:t>
      </w:r>
      <w:proofErr w:type="spellEnd"/>
      <w:r w:rsidRPr="00F935DB">
        <w:rPr>
          <w:rFonts w:ascii="Palatino Linotype" w:hAnsi="Palatino Linotype"/>
          <w:i/>
          <w:sz w:val="22"/>
          <w:szCs w:val="22"/>
        </w:rPr>
        <w:t>),  Uso y Ocupación del Suelo, (</w:t>
      </w:r>
      <w:proofErr w:type="spellStart"/>
      <w:r w:rsidRPr="00F935DB">
        <w:rPr>
          <w:rFonts w:ascii="Palatino Linotype" w:hAnsi="Palatino Linotype"/>
          <w:i/>
          <w:sz w:val="22"/>
          <w:szCs w:val="22"/>
        </w:rPr>
        <w:t>PUOS</w:t>
      </w:r>
      <w:proofErr w:type="spellEnd"/>
      <w:r w:rsidRPr="00F935DB">
        <w:rPr>
          <w:rFonts w:ascii="Palatino Linotype" w:hAnsi="Palatino Linotype"/>
          <w:i/>
          <w:sz w:val="22"/>
          <w:szCs w:val="22"/>
        </w:rPr>
        <w:t xml:space="preserve">) y Régimen Administrativo del Suelo en el </w:t>
      </w:r>
      <w:proofErr w:type="spellStart"/>
      <w:r w:rsidRPr="00F935DB">
        <w:rPr>
          <w:rFonts w:ascii="Palatino Linotype" w:hAnsi="Palatino Linotype"/>
          <w:i/>
          <w:sz w:val="22"/>
          <w:szCs w:val="22"/>
        </w:rPr>
        <w:t>D.M.Q</w:t>
      </w:r>
      <w:proofErr w:type="spellEnd"/>
      <w:r w:rsidRPr="00F935DB">
        <w:rPr>
          <w:rFonts w:ascii="Palatino Linotype" w:hAnsi="Palatino Linotype"/>
          <w:i/>
          <w:sz w:val="22"/>
          <w:szCs w:val="22"/>
        </w:rPr>
        <w:t xml:space="preserve">. (Ordenanzas Metropolitanas </w:t>
      </w:r>
      <w:proofErr w:type="spellStart"/>
      <w:r w:rsidRPr="00F935DB">
        <w:rPr>
          <w:rFonts w:ascii="Palatino Linotype" w:hAnsi="Palatino Linotype"/>
          <w:i/>
          <w:sz w:val="22"/>
          <w:szCs w:val="22"/>
        </w:rPr>
        <w:t>N°171</w:t>
      </w:r>
      <w:proofErr w:type="spellEnd"/>
      <w:r w:rsidRPr="00F935DB">
        <w:rPr>
          <w:rFonts w:ascii="Palatino Linotype" w:hAnsi="Palatino Linotype"/>
          <w:i/>
          <w:sz w:val="22"/>
          <w:szCs w:val="22"/>
        </w:rPr>
        <w:t xml:space="preserve"> y </w:t>
      </w:r>
      <w:proofErr w:type="spellStart"/>
      <w:r w:rsidRPr="00F935DB">
        <w:rPr>
          <w:rFonts w:ascii="Palatino Linotype" w:hAnsi="Palatino Linotype"/>
          <w:i/>
          <w:sz w:val="22"/>
          <w:szCs w:val="22"/>
        </w:rPr>
        <w:t>N°172</w:t>
      </w:r>
      <w:proofErr w:type="spellEnd"/>
      <w:r w:rsidRPr="00F935DB">
        <w:rPr>
          <w:rFonts w:ascii="Palatino Linotype" w:hAnsi="Palatino Linotype"/>
          <w:i/>
          <w:sz w:val="22"/>
          <w:szCs w:val="22"/>
        </w:rPr>
        <w:t xml:space="preserve">, y sus Reformatorias </w:t>
      </w:r>
      <w:proofErr w:type="spellStart"/>
      <w:r w:rsidRPr="00F935DB">
        <w:rPr>
          <w:rFonts w:ascii="Palatino Linotype" w:hAnsi="Palatino Linotype"/>
          <w:i/>
          <w:sz w:val="22"/>
          <w:szCs w:val="22"/>
        </w:rPr>
        <w:t>N°.447</w:t>
      </w:r>
      <w:proofErr w:type="spellEnd"/>
      <w:r w:rsidRPr="00F935DB">
        <w:rPr>
          <w:rFonts w:ascii="Palatino Linotype" w:hAnsi="Palatino Linotype"/>
          <w:i/>
          <w:sz w:val="22"/>
          <w:szCs w:val="22"/>
        </w:rPr>
        <w:t xml:space="preserve"> y </w:t>
      </w:r>
      <w:proofErr w:type="spellStart"/>
      <w:r w:rsidRPr="00F935DB">
        <w:rPr>
          <w:rFonts w:ascii="Palatino Linotype" w:hAnsi="Palatino Linotype"/>
          <w:i/>
          <w:sz w:val="22"/>
          <w:szCs w:val="22"/>
        </w:rPr>
        <w:t>N°.432</w:t>
      </w:r>
      <w:proofErr w:type="spellEnd"/>
      <w:r w:rsidRPr="00F935DB">
        <w:rPr>
          <w:rFonts w:ascii="Palatino Linotype" w:hAnsi="Palatino Linotype"/>
          <w:i/>
          <w:sz w:val="22"/>
          <w:szCs w:val="22"/>
        </w:rPr>
        <w:t>);”</w:t>
      </w:r>
    </w:p>
    <w:p w:rsidR="00F935DB" w:rsidRPr="00F935DB" w:rsidRDefault="00F935DB" w:rsidP="00F935DB">
      <w:pPr>
        <w:pStyle w:val="Prrafodelista"/>
        <w:numPr>
          <w:ilvl w:val="0"/>
          <w:numId w:val="2"/>
        </w:numPr>
        <w:spacing w:after="120" w:line="276" w:lineRule="auto"/>
        <w:contextualSpacing/>
        <w:jc w:val="both"/>
        <w:rPr>
          <w:rFonts w:ascii="Palatino Linotype" w:hAnsi="Palatino Linotype"/>
          <w:i/>
          <w:sz w:val="22"/>
          <w:szCs w:val="22"/>
        </w:rPr>
      </w:pPr>
      <w:r w:rsidRPr="00F935DB">
        <w:rPr>
          <w:rFonts w:ascii="Palatino Linotype" w:hAnsi="Palatino Linotype"/>
          <w:i/>
          <w:sz w:val="22"/>
          <w:szCs w:val="22"/>
        </w:rPr>
        <w:t xml:space="preserve">“Incluir en el Informe de Regulación Metropolitana, </w:t>
      </w:r>
      <w:proofErr w:type="spellStart"/>
      <w:r w:rsidRPr="00F935DB">
        <w:rPr>
          <w:rFonts w:ascii="Palatino Linotype" w:hAnsi="Palatino Linotype"/>
          <w:i/>
          <w:sz w:val="22"/>
          <w:szCs w:val="22"/>
        </w:rPr>
        <w:t>IRM</w:t>
      </w:r>
      <w:proofErr w:type="spellEnd"/>
      <w:r w:rsidRPr="00F935DB">
        <w:rPr>
          <w:rFonts w:ascii="Palatino Linotype" w:hAnsi="Palatino Linotype"/>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F935DB" w:rsidRPr="00F935DB" w:rsidRDefault="00F935DB" w:rsidP="00F935DB">
      <w:pPr>
        <w:pStyle w:val="Prrafodelista"/>
        <w:spacing w:after="120" w:line="276" w:lineRule="auto"/>
        <w:ind w:left="1351"/>
        <w:jc w:val="both"/>
        <w:rPr>
          <w:rFonts w:ascii="Palatino Linotype" w:hAnsi="Palatino Linotype"/>
          <w:b/>
          <w:i/>
          <w:sz w:val="22"/>
          <w:szCs w:val="22"/>
        </w:rPr>
      </w:pPr>
      <w:r w:rsidRPr="00F935DB">
        <w:rPr>
          <w:rFonts w:ascii="Palatino Linotype" w:hAnsi="Palatino Linotype"/>
          <w:b/>
          <w:i/>
          <w:sz w:val="22"/>
          <w:szCs w:val="22"/>
        </w:rPr>
        <w:t>PARA LAS CONSTRUCCIONES</w:t>
      </w:r>
    </w:p>
    <w:p w:rsidR="00F935DB" w:rsidRPr="00F935DB" w:rsidRDefault="00F935DB" w:rsidP="00F935DB">
      <w:pPr>
        <w:pStyle w:val="Prrafodelista"/>
        <w:numPr>
          <w:ilvl w:val="0"/>
          <w:numId w:val="2"/>
        </w:numPr>
        <w:spacing w:after="120" w:line="276" w:lineRule="auto"/>
        <w:contextualSpacing/>
        <w:jc w:val="both"/>
        <w:rPr>
          <w:rFonts w:ascii="Palatino Linotype" w:hAnsi="Palatino Linotype"/>
          <w:i/>
          <w:sz w:val="22"/>
          <w:szCs w:val="22"/>
        </w:rPr>
      </w:pPr>
      <w:r w:rsidRPr="00F935DB">
        <w:rPr>
          <w:rFonts w:ascii="Palatino Linotype" w:hAnsi="Palatino Linotype"/>
          <w:i/>
          <w:sz w:val="22"/>
          <w:szCs w:val="22"/>
        </w:rPr>
        <w:t>“Para reducir el riesgo sísmico se debe tomar en cuenta la calidad de los materiales, el proceso constructivo y tipo de suelo sobre el cual se cimienta, además de un diseño estructural en planta y elevación; los materiales idóneos que brinden resistencia suficiente para soportar la acción de las fuerzas causadas por sismos; por lo que las futuras edificaciones deberán contar con un diseño estructural basado en la Norma Ecuatoriana de la Construcción (NEC), sobretodo, en lo que se refiere a diseños sismo resistente – Cargas Sísmicas (NEC-SE-</w:t>
      </w:r>
      <w:proofErr w:type="spellStart"/>
      <w:r w:rsidRPr="00F935DB">
        <w:rPr>
          <w:rFonts w:ascii="Palatino Linotype" w:hAnsi="Palatino Linotype"/>
          <w:i/>
          <w:sz w:val="22"/>
          <w:szCs w:val="22"/>
        </w:rPr>
        <w:t>DS</w:t>
      </w:r>
      <w:proofErr w:type="spellEnd"/>
      <w:r w:rsidRPr="00F935DB">
        <w:rPr>
          <w:rFonts w:ascii="Palatino Linotype" w:hAnsi="Palatino Linotype"/>
          <w:i/>
          <w:sz w:val="22"/>
          <w:szCs w:val="22"/>
        </w:rPr>
        <w:t xml:space="preserve">), teniendo la Agencia Metropolitana de Control hacer cumplir esta disposición,” </w:t>
      </w:r>
    </w:p>
    <w:p w:rsidR="00F935DB" w:rsidRPr="00F935DB" w:rsidRDefault="00F935DB" w:rsidP="00F935DB">
      <w:pPr>
        <w:pStyle w:val="Prrafodelista"/>
        <w:numPr>
          <w:ilvl w:val="0"/>
          <w:numId w:val="2"/>
        </w:numPr>
        <w:spacing w:after="120" w:line="276" w:lineRule="auto"/>
        <w:contextualSpacing/>
        <w:jc w:val="both"/>
        <w:rPr>
          <w:rFonts w:ascii="Palatino Linotype" w:hAnsi="Palatino Linotype"/>
          <w:i/>
          <w:sz w:val="22"/>
          <w:szCs w:val="22"/>
        </w:rPr>
      </w:pPr>
      <w:r w:rsidRPr="00F935DB">
        <w:rPr>
          <w:rFonts w:ascii="Palatino Linotype" w:hAnsi="Palatino Linotype"/>
          <w:i/>
          <w:sz w:val="22"/>
          <w:szCs w:val="22"/>
        </w:rPr>
        <w:t xml:space="preserve">“En edificaciones en proceso de construcción, proyecciones a otro nivel y demás edificaciones dentro del área en análisis que no dispongan con un diseño estructural y no cuenten con algún tipo de asesoría técnica, el propietario deberá contratar a un especialista (Ingeniero Civil con experiencia en Estructuras) para que evalué el estado actual del sistema estructural de viviendas y proponga una solución a cada caso, como puede ser un diseño estructural </w:t>
      </w:r>
      <w:proofErr w:type="spellStart"/>
      <w:r w:rsidRPr="00F935DB">
        <w:rPr>
          <w:rFonts w:ascii="Palatino Linotype" w:hAnsi="Palatino Linotype"/>
          <w:i/>
          <w:sz w:val="22"/>
          <w:szCs w:val="22"/>
        </w:rPr>
        <w:t>ó</w:t>
      </w:r>
      <w:proofErr w:type="spellEnd"/>
      <w:r w:rsidRPr="00F935DB">
        <w:rPr>
          <w:rFonts w:ascii="Palatino Linotype" w:hAnsi="Palatino Linotype"/>
          <w:i/>
          <w:sz w:val="22"/>
          <w:szCs w:val="22"/>
        </w:rPr>
        <w:t xml:space="preserve"> un sistema de reforzamiento estructural en el caso de ameritarlo.”</w:t>
      </w:r>
    </w:p>
    <w:p w:rsidR="00F935DB" w:rsidRPr="00F935DB" w:rsidRDefault="00F935DB" w:rsidP="00F935DB">
      <w:pPr>
        <w:pStyle w:val="Prrafodelista"/>
        <w:numPr>
          <w:ilvl w:val="0"/>
          <w:numId w:val="2"/>
        </w:numPr>
        <w:spacing w:after="120" w:line="276" w:lineRule="auto"/>
        <w:contextualSpacing/>
        <w:jc w:val="both"/>
        <w:rPr>
          <w:rFonts w:ascii="Palatino Linotype" w:hAnsi="Palatino Linotype"/>
          <w:i/>
          <w:sz w:val="22"/>
          <w:szCs w:val="22"/>
        </w:rPr>
      </w:pPr>
      <w:r w:rsidRPr="00F935DB">
        <w:rPr>
          <w:rFonts w:ascii="Palatino Linotype" w:hAnsi="Palatino Linotype"/>
          <w:i/>
          <w:sz w:val="22"/>
          <w:szCs w:val="22"/>
        </w:rPr>
        <w:t xml:space="preserve">“En edificaciones en proceso de construcción, proyecciones a otro nivel y demás edificaciones dentro del área en análisis que se encuentren cerca de taludes, el propietario deberá contratar a un especialista (Ingeniero Civil con experiencia en </w:t>
      </w:r>
      <w:r w:rsidRPr="00F935DB">
        <w:rPr>
          <w:rFonts w:ascii="Palatino Linotype" w:hAnsi="Palatino Linotype"/>
          <w:i/>
          <w:sz w:val="22"/>
          <w:szCs w:val="22"/>
        </w:rPr>
        <w:lastRenderedPageBreak/>
        <w:t>Estructuras) para que el mismo realice los diseños de las obras de mitigación necesarios, con la finalidad de brindar seguridad a las personas que habitan en el inmueble y que circulan por el sector.”</w:t>
      </w:r>
    </w:p>
    <w:p w:rsidR="00F935DB" w:rsidRPr="00F935DB" w:rsidRDefault="00F935DB" w:rsidP="00F935DB">
      <w:pPr>
        <w:pStyle w:val="Prrafodelista"/>
        <w:spacing w:after="120" w:line="276" w:lineRule="auto"/>
        <w:ind w:left="1351"/>
        <w:jc w:val="both"/>
        <w:rPr>
          <w:rFonts w:ascii="Palatino Linotype" w:hAnsi="Palatino Linotype"/>
          <w:b/>
          <w:i/>
          <w:sz w:val="22"/>
          <w:szCs w:val="22"/>
        </w:rPr>
      </w:pPr>
      <w:r w:rsidRPr="00F935DB">
        <w:rPr>
          <w:rFonts w:ascii="Palatino Linotype" w:hAnsi="Palatino Linotype"/>
          <w:b/>
          <w:i/>
          <w:sz w:val="22"/>
          <w:szCs w:val="22"/>
        </w:rPr>
        <w:t>PARA LOS SUELOS O TERRENOS</w:t>
      </w:r>
    </w:p>
    <w:p w:rsidR="00F935DB" w:rsidRPr="00F935DB" w:rsidRDefault="00F935DB" w:rsidP="00F935DB">
      <w:pPr>
        <w:pStyle w:val="Prrafodelista"/>
        <w:numPr>
          <w:ilvl w:val="0"/>
          <w:numId w:val="6"/>
        </w:numPr>
        <w:spacing w:after="120" w:line="276" w:lineRule="auto"/>
        <w:ind w:left="1428"/>
        <w:contextualSpacing/>
        <w:jc w:val="both"/>
        <w:rPr>
          <w:rFonts w:ascii="Palatino Linotype" w:hAnsi="Palatino Linotype"/>
          <w:i/>
          <w:sz w:val="22"/>
          <w:szCs w:val="22"/>
        </w:rPr>
      </w:pPr>
      <w:r w:rsidRPr="00F935DB">
        <w:rPr>
          <w:rFonts w:ascii="Palatino Linotype" w:hAnsi="Palatino Linotype"/>
          <w:i/>
          <w:sz w:val="22"/>
          <w:szCs w:val="22"/>
        </w:rPr>
        <w:t>“La Dirección Metropolitana de Gestión de Riesgos (</w:t>
      </w:r>
      <w:proofErr w:type="spellStart"/>
      <w:r w:rsidRPr="00F935DB">
        <w:rPr>
          <w:rFonts w:ascii="Palatino Linotype" w:hAnsi="Palatino Linotype"/>
          <w:i/>
          <w:sz w:val="22"/>
          <w:szCs w:val="22"/>
        </w:rPr>
        <w:t>DMGR</w:t>
      </w:r>
      <w:proofErr w:type="spellEnd"/>
      <w:r w:rsidRPr="00F935DB">
        <w:rPr>
          <w:rFonts w:ascii="Palatino Linotype" w:hAnsi="Palatino Linotype"/>
          <w:i/>
          <w:sz w:val="22"/>
          <w:szCs w:val="22"/>
        </w:rPr>
        <w:t>) recomienda cumplir con la Ordenanza Metropolitana No. 0127, de 25 de julio de 2016, y su Anexo: Plan de Uso y Ocupación del Suelo (</w:t>
      </w:r>
      <w:proofErr w:type="spellStart"/>
      <w:r w:rsidRPr="00F935DB">
        <w:rPr>
          <w:rFonts w:ascii="Palatino Linotype" w:hAnsi="Palatino Linotype"/>
          <w:i/>
          <w:sz w:val="22"/>
          <w:szCs w:val="22"/>
        </w:rPr>
        <w:t>PUOS</w:t>
      </w:r>
      <w:proofErr w:type="spellEnd"/>
      <w:r w:rsidRPr="00F935DB">
        <w:rPr>
          <w:rFonts w:ascii="Palatino Linotype" w:hAnsi="Palatino Linotype"/>
          <w:i/>
          <w:sz w:val="22"/>
          <w:szCs w:val="22"/>
        </w:rPr>
        <w:t>), sub numeral 1.3 RIESGOS, debe cumplir las Condiciones generales de edificabilidad para zonas susceptibles a amenazas naturales, cumplirán las siguientes condiciones conforme lo corresponde:”</w:t>
      </w:r>
    </w:p>
    <w:p w:rsidR="00F935DB" w:rsidRPr="00F935DB" w:rsidRDefault="00F935DB" w:rsidP="00F935DB">
      <w:pPr>
        <w:pStyle w:val="Prrafodelista"/>
        <w:numPr>
          <w:ilvl w:val="0"/>
          <w:numId w:val="6"/>
        </w:numPr>
        <w:spacing w:after="120" w:line="276" w:lineRule="auto"/>
        <w:ind w:left="1428"/>
        <w:contextualSpacing/>
        <w:jc w:val="both"/>
        <w:rPr>
          <w:rFonts w:ascii="Palatino Linotype" w:hAnsi="Palatino Linotype"/>
          <w:i/>
          <w:sz w:val="22"/>
          <w:szCs w:val="22"/>
        </w:rPr>
      </w:pPr>
      <w:r w:rsidRPr="00F935DB">
        <w:rPr>
          <w:rFonts w:ascii="Palatino Linotype" w:hAnsi="Palatino Linotype"/>
          <w:i/>
          <w:sz w:val="22"/>
          <w:szCs w:val="22"/>
        </w:rPr>
        <w:t>“La Topografía del terreno ha sido alterada al realizar cortes para implementar vías, caminos y construcciones, por lo que se recomienda que la comunidad realice las obras de mitigación analizando parámetros como cohesión, ángulo de fricción, capacidad portante o de carga, así como la estabilidad del terreno considerando distintos escenarios (saturación de agua y cargas dinámicas ejercidas por sismos) y de ser necesario, que proponga el diseño estructural  y la ejecución de las obras de mitigación que se requieran con un  profesional responsable y estas obras de mitigación en sus costos serán asumidos por la comunidad.”</w:t>
      </w:r>
    </w:p>
    <w:p w:rsidR="00F935DB" w:rsidRPr="00F935DB" w:rsidRDefault="00F935DB" w:rsidP="00F935DB">
      <w:pPr>
        <w:pStyle w:val="Prrafodelista"/>
        <w:numPr>
          <w:ilvl w:val="0"/>
          <w:numId w:val="6"/>
        </w:numPr>
        <w:spacing w:after="120" w:line="276" w:lineRule="auto"/>
        <w:ind w:left="1428"/>
        <w:contextualSpacing/>
        <w:jc w:val="both"/>
        <w:rPr>
          <w:rFonts w:ascii="Palatino Linotype" w:hAnsi="Palatino Linotype"/>
          <w:i/>
          <w:sz w:val="22"/>
          <w:szCs w:val="22"/>
        </w:rPr>
      </w:pPr>
      <w:r w:rsidRPr="00F935DB">
        <w:rPr>
          <w:rFonts w:ascii="Palatino Linotype" w:hAnsi="Palatino Linotype"/>
          <w:i/>
          <w:sz w:val="22"/>
          <w:szCs w:val="22"/>
        </w:rPr>
        <w:t>“La Dirección Metropolitana de Gestión de Riesgos (</w:t>
      </w:r>
      <w:proofErr w:type="spellStart"/>
      <w:r w:rsidRPr="00F935DB">
        <w:rPr>
          <w:rFonts w:ascii="Palatino Linotype" w:hAnsi="Palatino Linotype"/>
          <w:i/>
          <w:sz w:val="22"/>
          <w:szCs w:val="22"/>
        </w:rPr>
        <w:t>DMGR</w:t>
      </w:r>
      <w:proofErr w:type="spellEnd"/>
      <w:r w:rsidRPr="00F935DB">
        <w:rPr>
          <w:rFonts w:ascii="Palatino Linotype" w:hAnsi="Palatino Linotype"/>
          <w:i/>
          <w:sz w:val="22"/>
          <w:szCs w:val="22"/>
        </w:rPr>
        <w:t>) recomienda que en las edificaciones levantadas informalmente no se realice más ampliaciones verticales por cuanto se desconoce la capacidad portante del suelo y el sistema constructivo de cada una vivienda, ya que a futuro pueden tener problemas de resistencia y seguridad,  para lo cual la Agencia Metropolitana de Control deberá hacer cumplir la normativa vigente; Además el agua y el viento contribuyen a ocasionar cárcavas que con el paso del tiempo son factores detonantes para un deslizamiento.”</w:t>
      </w:r>
    </w:p>
    <w:p w:rsidR="00F935DB" w:rsidRPr="00F935DB" w:rsidRDefault="00F935DB" w:rsidP="00F935DB">
      <w:pPr>
        <w:pStyle w:val="Prrafodelista"/>
        <w:numPr>
          <w:ilvl w:val="0"/>
          <w:numId w:val="6"/>
        </w:numPr>
        <w:spacing w:after="120" w:line="276" w:lineRule="auto"/>
        <w:ind w:left="1428"/>
        <w:contextualSpacing/>
        <w:jc w:val="both"/>
        <w:rPr>
          <w:rFonts w:ascii="Palatino Linotype" w:hAnsi="Palatino Linotype"/>
          <w:i/>
          <w:sz w:val="22"/>
          <w:szCs w:val="22"/>
        </w:rPr>
      </w:pPr>
      <w:r w:rsidRPr="00F935DB">
        <w:rPr>
          <w:rFonts w:ascii="Palatino Linotype" w:hAnsi="Palatino Linotype"/>
          <w:i/>
          <w:sz w:val="22"/>
          <w:szCs w:val="22"/>
        </w:rPr>
        <w:t>“Realizar un estudio técnico que determine las medidas de mitigación frente a la amenaza o amenazas identificadas en el sector, con los respectivos diseños estructurales de las obras planteadas, que deberán ser sustentadas mediante un estudio geotécnico del suelo; así como un análisis estructural de la(s) edificaciones existentes (siempre que sea aplicable), la factibilidad de construcciones nuevas o ampliaciones o que impliquen cambio estructural.”</w:t>
      </w:r>
    </w:p>
    <w:p w:rsidR="00F935DB" w:rsidRPr="00F935DB" w:rsidRDefault="00F935DB" w:rsidP="00F935DB">
      <w:pPr>
        <w:pStyle w:val="Prrafodelista"/>
        <w:numPr>
          <w:ilvl w:val="0"/>
          <w:numId w:val="6"/>
        </w:numPr>
        <w:spacing w:after="120" w:line="276" w:lineRule="auto"/>
        <w:ind w:left="1428"/>
        <w:contextualSpacing/>
        <w:jc w:val="both"/>
        <w:rPr>
          <w:rFonts w:ascii="Palatino Linotype" w:hAnsi="Palatino Linotype"/>
          <w:i/>
          <w:sz w:val="22"/>
          <w:szCs w:val="22"/>
        </w:rPr>
      </w:pPr>
      <w:r w:rsidRPr="00F935DB">
        <w:rPr>
          <w:rFonts w:ascii="Palatino Linotype" w:hAnsi="Palatino Linotype"/>
          <w:i/>
          <w:sz w:val="22"/>
          <w:szCs w:val="22"/>
        </w:rPr>
        <w:t>“En caso de que el propietario del lote afectado tenga que construir obras de mitigación como muros de contención, estabilización de taludes, sistema de conducción de agua lluvias, aguas servidas, entre otros, deberá solicitar la autorización a la Administración Zonal correspondiente.”</w:t>
      </w:r>
    </w:p>
    <w:p w:rsidR="00F935DB" w:rsidRPr="00F935DB" w:rsidRDefault="00F935DB" w:rsidP="00F935DB">
      <w:pPr>
        <w:pStyle w:val="Prrafodelista"/>
        <w:numPr>
          <w:ilvl w:val="0"/>
          <w:numId w:val="6"/>
        </w:numPr>
        <w:spacing w:after="120" w:line="276" w:lineRule="auto"/>
        <w:ind w:left="1428"/>
        <w:contextualSpacing/>
        <w:jc w:val="both"/>
        <w:rPr>
          <w:rFonts w:ascii="Palatino Linotype" w:hAnsi="Palatino Linotype"/>
          <w:i/>
          <w:sz w:val="22"/>
          <w:szCs w:val="22"/>
        </w:rPr>
      </w:pPr>
      <w:r w:rsidRPr="00F935DB">
        <w:rPr>
          <w:rFonts w:ascii="Palatino Linotype" w:hAnsi="Palatino Linotype"/>
          <w:i/>
          <w:sz w:val="22"/>
          <w:szCs w:val="22"/>
        </w:rPr>
        <w:lastRenderedPageBreak/>
        <w:t>“En caso que los estudios técnicos establezcan que no se cumplen con las condiciones necesarias e indispensables para la habilitación de suelo y construcción, las administraciones zonales que emiten los permisos de construcción, certificarán la prohibición correspondiente.”</w:t>
      </w:r>
    </w:p>
    <w:p w:rsidR="00F935DB" w:rsidRPr="00F935DB" w:rsidRDefault="00F935DB" w:rsidP="00F935DB">
      <w:pPr>
        <w:pStyle w:val="Prrafodelista"/>
        <w:numPr>
          <w:ilvl w:val="0"/>
          <w:numId w:val="6"/>
        </w:numPr>
        <w:spacing w:after="120" w:line="276" w:lineRule="auto"/>
        <w:ind w:left="1428"/>
        <w:contextualSpacing/>
        <w:jc w:val="both"/>
        <w:rPr>
          <w:rFonts w:ascii="Palatino Linotype" w:hAnsi="Palatino Linotype"/>
          <w:i/>
          <w:sz w:val="22"/>
          <w:szCs w:val="22"/>
        </w:rPr>
      </w:pPr>
      <w:r w:rsidRPr="00F935DB">
        <w:rPr>
          <w:rFonts w:ascii="Palatino Linotype" w:hAnsi="Palatino Linotype"/>
          <w:i/>
          <w:sz w:val="22"/>
          <w:szCs w:val="22"/>
        </w:rPr>
        <w:t xml:space="preserve">“Realizar un estudio técnico que determine las medidas de mitigación frente a la amenaza o amenazas identificadas en el sector, con los respectivos diseños estructurales de las obras planteadas, que deberán ser sustentadas mediante un estudio geotécnico del suelo; así como un análisis estructural de la(s) edificaciones existentes (siempre que sea aplicable), la factibilidad de construcciones nuevas o ampliaciones o que impliquen cambio estructural.” </w:t>
      </w:r>
    </w:p>
    <w:p w:rsidR="00F935DB" w:rsidRPr="00F935DB" w:rsidRDefault="00F935DB" w:rsidP="00F935DB">
      <w:pPr>
        <w:pStyle w:val="Prrafodelista"/>
        <w:numPr>
          <w:ilvl w:val="0"/>
          <w:numId w:val="6"/>
        </w:numPr>
        <w:spacing w:after="120" w:line="276" w:lineRule="auto"/>
        <w:ind w:left="1428"/>
        <w:contextualSpacing/>
        <w:jc w:val="both"/>
        <w:rPr>
          <w:rFonts w:ascii="Palatino Linotype" w:hAnsi="Palatino Linotype"/>
          <w:i/>
          <w:sz w:val="22"/>
          <w:szCs w:val="22"/>
        </w:rPr>
      </w:pPr>
      <w:r w:rsidRPr="00F935DB">
        <w:rPr>
          <w:rFonts w:ascii="Palatino Linotype" w:hAnsi="Palatino Linotype"/>
          <w:i/>
          <w:sz w:val="22"/>
          <w:szCs w:val="22"/>
        </w:rPr>
        <w:t xml:space="preserve">“Conforme se puede evidenciar en la parte cartográfica del informe solicitado se debe tener especial consideración con los bordes de quebrada que limita el área de estudio por cuanto a futuro pueden causar hundimientos por los procesos de erosión y/o asentamientos diferenciales que afectarían a las edificaciones que se levanten cerca a estos espacios. como corresponde a los predios 17, 18, 19, colindantes al lado norte y 20, 21, del lado oriental, el cual deberá establecer el factor de seguridad en distintos escenarios que permitirá conocer las condiciones de mecánicas del suelo, estudios que serán validados posteriormente por la </w:t>
      </w:r>
      <w:proofErr w:type="spellStart"/>
      <w:r w:rsidRPr="00F935DB">
        <w:rPr>
          <w:rFonts w:ascii="Palatino Linotype" w:hAnsi="Palatino Linotype"/>
          <w:i/>
          <w:sz w:val="22"/>
          <w:szCs w:val="22"/>
        </w:rPr>
        <w:t>DMGR</w:t>
      </w:r>
      <w:proofErr w:type="spellEnd"/>
      <w:r w:rsidRPr="00F935DB">
        <w:rPr>
          <w:rFonts w:ascii="Palatino Linotype" w:hAnsi="Palatino Linotype"/>
          <w:i/>
          <w:sz w:val="22"/>
          <w:szCs w:val="22"/>
        </w:rPr>
        <w:t>, debido a la característica litológica Desfavorable que se observó en varios sitios.”</w:t>
      </w:r>
    </w:p>
    <w:p w:rsidR="00F935DB" w:rsidRPr="00F935DB" w:rsidRDefault="00F935DB" w:rsidP="00F935DB">
      <w:pPr>
        <w:pStyle w:val="Prrafodelista"/>
        <w:numPr>
          <w:ilvl w:val="0"/>
          <w:numId w:val="6"/>
        </w:numPr>
        <w:spacing w:after="120" w:line="276" w:lineRule="auto"/>
        <w:ind w:left="1428"/>
        <w:contextualSpacing/>
        <w:jc w:val="both"/>
        <w:rPr>
          <w:rFonts w:ascii="Palatino Linotype" w:hAnsi="Palatino Linotype"/>
          <w:i/>
          <w:sz w:val="22"/>
          <w:szCs w:val="22"/>
        </w:rPr>
      </w:pPr>
      <w:r w:rsidRPr="00F935DB">
        <w:rPr>
          <w:rFonts w:ascii="Palatino Linotype" w:hAnsi="Palatino Linotype"/>
          <w:i/>
          <w:sz w:val="22"/>
          <w:szCs w:val="22"/>
        </w:rPr>
        <w:t xml:space="preserve">“Coordinar con la </w:t>
      </w:r>
      <w:proofErr w:type="spellStart"/>
      <w:r w:rsidRPr="00F935DB">
        <w:rPr>
          <w:rFonts w:ascii="Palatino Linotype" w:hAnsi="Palatino Linotype"/>
          <w:i/>
          <w:sz w:val="22"/>
          <w:szCs w:val="22"/>
        </w:rPr>
        <w:t>EPMMOP</w:t>
      </w:r>
      <w:proofErr w:type="spellEnd"/>
      <w:r w:rsidRPr="00F935DB">
        <w:rPr>
          <w:rFonts w:ascii="Palatino Linotype" w:hAnsi="Palatino Linotype"/>
          <w:i/>
          <w:sz w:val="22"/>
          <w:szCs w:val="22"/>
        </w:rPr>
        <w:t xml:space="preserve"> para mejorar el trazado de la red vial tanto para calles como pasajes, asegurando la estabilidad de taludes generados en los cortes para la apertura de calles y edificaciones; y considerar el criterio técnico de la </w:t>
      </w:r>
      <w:proofErr w:type="spellStart"/>
      <w:r w:rsidRPr="00F935DB">
        <w:rPr>
          <w:rFonts w:ascii="Palatino Linotype" w:hAnsi="Palatino Linotype"/>
          <w:i/>
          <w:sz w:val="22"/>
          <w:szCs w:val="22"/>
        </w:rPr>
        <w:t>EPMAPS</w:t>
      </w:r>
      <w:proofErr w:type="spellEnd"/>
      <w:r w:rsidRPr="00F935DB">
        <w:rPr>
          <w:rFonts w:ascii="Palatino Linotype" w:hAnsi="Palatino Linotype"/>
          <w:i/>
          <w:sz w:val="22"/>
          <w:szCs w:val="22"/>
        </w:rPr>
        <w:t xml:space="preserve"> para que realice el mantenimiento permanente del  alcantarillado pluvial y sanitario que evite el colapso de esta infraestructura y evitar la evacuación superficial de aguas servidas y de escorrentía mismas que pueden ser las causantes de la erosión y movimientos en masa, por ser toda la zona muy inclinada y en épocas de lluvia genera mayor inestabilidad al terreno.”</w:t>
      </w:r>
    </w:p>
    <w:p w:rsidR="00F935DB" w:rsidRPr="00F935DB" w:rsidRDefault="00F935DB" w:rsidP="00F935DB">
      <w:pPr>
        <w:tabs>
          <w:tab w:val="left" w:pos="4253"/>
          <w:tab w:val="center" w:pos="4394"/>
        </w:tabs>
        <w:spacing w:after="120" w:line="276" w:lineRule="auto"/>
        <w:ind w:left="708"/>
        <w:jc w:val="both"/>
        <w:rPr>
          <w:rFonts w:ascii="Palatino Linotype" w:hAnsi="Palatino Linotype"/>
          <w:bCs/>
          <w:color w:val="000000"/>
          <w:sz w:val="22"/>
          <w:szCs w:val="22"/>
        </w:rPr>
      </w:pPr>
      <w:r w:rsidRPr="00F935DB">
        <w:rPr>
          <w:rFonts w:ascii="Palatino Linotype" w:hAnsi="Palatino Linotype"/>
          <w:i/>
          <w:sz w:val="22"/>
          <w:szCs w:val="22"/>
        </w:rPr>
        <w:t>Coordinar con la Comisaría de construcciones de la Administración Eugenio Espejo para la inspección del área y verificar las edificaciones existentes si cuentan con los respectivos permisos y puedan emitir un informe correspondiente.””</w:t>
      </w:r>
    </w:p>
    <w:p w:rsidR="00F935DB" w:rsidRPr="00F935DB" w:rsidRDefault="00F935DB" w:rsidP="00F935DB">
      <w:pPr>
        <w:tabs>
          <w:tab w:val="left" w:pos="4253"/>
          <w:tab w:val="center" w:pos="4394"/>
        </w:tabs>
        <w:spacing w:after="120" w:line="276" w:lineRule="auto"/>
        <w:jc w:val="both"/>
        <w:rPr>
          <w:rFonts w:ascii="Palatino Linotype" w:hAnsi="Palatino Linotype"/>
          <w:bCs/>
          <w:sz w:val="22"/>
          <w:szCs w:val="22"/>
        </w:rPr>
      </w:pPr>
      <w:r w:rsidRPr="00F935DB">
        <w:rPr>
          <w:rFonts w:ascii="Palatino Linotype" w:hAnsi="Palatino Linotype"/>
          <w:b/>
          <w:bCs/>
          <w:color w:val="000000"/>
          <w:sz w:val="22"/>
          <w:szCs w:val="22"/>
        </w:rPr>
        <w:t xml:space="preserve">Artículo 5.- </w:t>
      </w:r>
      <w:r w:rsidRPr="00F935DB">
        <w:rPr>
          <w:rFonts w:ascii="Palatino Linotype" w:hAnsi="Palatino Linotype"/>
          <w:bCs/>
          <w:sz w:val="22"/>
          <w:szCs w:val="22"/>
        </w:rPr>
        <w:t xml:space="preserve">Sustitúyase el artículo 6 de la Ordenanza No. 0085, </w:t>
      </w:r>
      <w:r w:rsidRPr="00F935DB">
        <w:rPr>
          <w:rFonts w:ascii="Palatino Linotype" w:hAnsi="Palatino Linotype"/>
          <w:sz w:val="22"/>
          <w:szCs w:val="22"/>
        </w:rPr>
        <w:t>sancionada el 22 de junio de 2011</w:t>
      </w:r>
      <w:r w:rsidRPr="00F935DB">
        <w:rPr>
          <w:rFonts w:ascii="Palatino Linotype" w:hAnsi="Palatino Linotype"/>
          <w:bCs/>
          <w:sz w:val="22"/>
          <w:szCs w:val="22"/>
        </w:rPr>
        <w:t xml:space="preserve">, por el siguiente: </w:t>
      </w:r>
    </w:p>
    <w:p w:rsidR="00F935DB" w:rsidRPr="00F935DB" w:rsidRDefault="00F935DB" w:rsidP="00F935DB">
      <w:pPr>
        <w:tabs>
          <w:tab w:val="left" w:pos="4253"/>
          <w:tab w:val="center" w:pos="4394"/>
        </w:tabs>
        <w:spacing w:after="120" w:line="276" w:lineRule="auto"/>
        <w:ind w:left="708"/>
        <w:jc w:val="both"/>
        <w:rPr>
          <w:rFonts w:ascii="Palatino Linotype" w:hAnsi="Palatino Linotype"/>
          <w:i/>
          <w:sz w:val="22"/>
          <w:szCs w:val="22"/>
        </w:rPr>
      </w:pPr>
      <w:r w:rsidRPr="00F935DB">
        <w:rPr>
          <w:rFonts w:ascii="Palatino Linotype" w:hAnsi="Palatino Linotype"/>
          <w:bCs/>
          <w:sz w:val="22"/>
          <w:szCs w:val="22"/>
        </w:rPr>
        <w:t>“</w:t>
      </w:r>
      <w:r w:rsidRPr="00F935DB">
        <w:rPr>
          <w:rFonts w:ascii="Palatino Linotype" w:hAnsi="Palatino Linotype"/>
          <w:b/>
          <w:i/>
          <w:sz w:val="22"/>
          <w:szCs w:val="22"/>
        </w:rPr>
        <w:t>Artículo 6.-</w:t>
      </w:r>
      <w:r w:rsidRPr="00F935DB">
        <w:rPr>
          <w:rFonts w:ascii="Palatino Linotype" w:hAnsi="Palatino Linotype"/>
          <w:i/>
          <w:sz w:val="22"/>
          <w:szCs w:val="22"/>
        </w:rPr>
        <w:t xml:space="preserve"> </w:t>
      </w:r>
      <w:r w:rsidRPr="00F935DB">
        <w:rPr>
          <w:rFonts w:ascii="Palatino Linotype" w:hAnsi="Palatino Linotype"/>
          <w:b/>
          <w:bCs/>
          <w:i/>
          <w:sz w:val="22"/>
          <w:szCs w:val="22"/>
        </w:rPr>
        <w:t xml:space="preserve">De las vías.- </w:t>
      </w:r>
      <w:r w:rsidRPr="00F935DB">
        <w:rPr>
          <w:rFonts w:ascii="Palatino Linotype" w:hAnsi="Palatino Linotype"/>
          <w:i/>
          <w:sz w:val="22"/>
          <w:szCs w:val="22"/>
        </w:rPr>
        <w:t xml:space="preserve">El Asentamiento Humano de Hecho y Consolidado de Interés Social Denominado Asociación de Vivienda “Nueva Vida”, a favor de sus copropietarios, </w:t>
      </w:r>
      <w:r w:rsidRPr="00F935DB">
        <w:rPr>
          <w:rFonts w:ascii="Palatino Linotype" w:hAnsi="Palatino Linotype"/>
          <w:i/>
          <w:sz w:val="22"/>
          <w:szCs w:val="22"/>
        </w:rPr>
        <w:lastRenderedPageBreak/>
        <w:t xml:space="preserve">contempla un sistema vial de uso público, debido a que éste es un asentamiento humano de hecho y consolidado de interés social  </w:t>
      </w:r>
      <w:r w:rsidRPr="00F935DB">
        <w:rPr>
          <w:rFonts w:ascii="Palatino Linotype" w:hAnsi="Palatino Linotype"/>
          <w:i/>
          <w:color w:val="000000" w:themeColor="text1"/>
          <w:sz w:val="22"/>
          <w:szCs w:val="22"/>
        </w:rPr>
        <w:t xml:space="preserve">de 27 años </w:t>
      </w:r>
      <w:r w:rsidRPr="00F935DB">
        <w:rPr>
          <w:rFonts w:ascii="Palatino Linotype" w:hAnsi="Palatino Linotype"/>
          <w:i/>
          <w:sz w:val="22"/>
          <w:szCs w:val="22"/>
        </w:rPr>
        <w:t xml:space="preserve">de existencia, con 76% de consolidación de viviendas y se encuentra ejecutando obras de infraestructura, razón por la cual los anchos viales se sujetarán al plano adjunto a la presente ordenanza. </w:t>
      </w:r>
    </w:p>
    <w:p w:rsidR="00F935DB" w:rsidRPr="00F935DB" w:rsidRDefault="00F935DB" w:rsidP="00F935DB">
      <w:pPr>
        <w:spacing w:after="120" w:line="276" w:lineRule="auto"/>
        <w:ind w:left="708"/>
        <w:jc w:val="both"/>
        <w:rPr>
          <w:rFonts w:ascii="Palatino Linotype" w:hAnsi="Palatino Linotype"/>
          <w:i/>
          <w:sz w:val="22"/>
          <w:szCs w:val="22"/>
        </w:rPr>
      </w:pPr>
      <w:r w:rsidRPr="00F935DB">
        <w:rPr>
          <w:rFonts w:ascii="Palatino Linotype" w:hAnsi="Palatino Linotype"/>
          <w:i/>
          <w:sz w:val="22"/>
          <w:szCs w:val="22"/>
        </w:rPr>
        <w:t xml:space="preserve">Se aprueban las vías con los siguientes anchos: </w:t>
      </w:r>
    </w:p>
    <w:p w:rsidR="00F935DB" w:rsidRPr="00F935DB" w:rsidRDefault="00F935DB" w:rsidP="00F935DB">
      <w:pPr>
        <w:spacing w:after="120" w:line="276" w:lineRule="auto"/>
        <w:ind w:left="708"/>
        <w:jc w:val="both"/>
        <w:rPr>
          <w:rFonts w:ascii="Palatino Linotype" w:hAnsi="Palatino Linotype"/>
          <w:i/>
          <w:sz w:val="22"/>
          <w:szCs w:val="22"/>
          <w:lang w:val="es-EC"/>
        </w:rPr>
      </w:pPr>
      <w:r w:rsidRPr="00F935DB">
        <w:rPr>
          <w:rFonts w:ascii="Palatino Linotype" w:hAnsi="Palatino Linotype"/>
          <w:i/>
          <w:sz w:val="22"/>
          <w:szCs w:val="22"/>
          <w:lang w:val="es-EC"/>
        </w:rPr>
        <w:t>PASAJE A                                         6,25 m Variable</w:t>
      </w:r>
    </w:p>
    <w:p w:rsidR="00F935DB" w:rsidRPr="00F935DB" w:rsidRDefault="00F935DB" w:rsidP="00F935DB">
      <w:pPr>
        <w:spacing w:after="120" w:line="276" w:lineRule="auto"/>
        <w:ind w:left="708"/>
        <w:jc w:val="both"/>
        <w:rPr>
          <w:rFonts w:ascii="Palatino Linotype" w:hAnsi="Palatino Linotype"/>
          <w:i/>
          <w:sz w:val="22"/>
          <w:szCs w:val="22"/>
          <w:lang w:val="es-EC"/>
        </w:rPr>
      </w:pPr>
      <w:r w:rsidRPr="00F935DB">
        <w:rPr>
          <w:rFonts w:ascii="Palatino Linotype" w:hAnsi="Palatino Linotype"/>
          <w:i/>
          <w:sz w:val="22"/>
          <w:szCs w:val="22"/>
          <w:lang w:val="es-EC"/>
        </w:rPr>
        <w:t>PASAJE B                                         6,24 m Variable</w:t>
      </w:r>
    </w:p>
    <w:p w:rsidR="00F935DB" w:rsidRPr="00F935DB" w:rsidRDefault="00F935DB" w:rsidP="00F935DB">
      <w:pPr>
        <w:spacing w:after="120" w:line="276" w:lineRule="auto"/>
        <w:ind w:left="708"/>
        <w:jc w:val="both"/>
        <w:rPr>
          <w:rFonts w:ascii="Palatino Linotype" w:hAnsi="Palatino Linotype"/>
          <w:i/>
          <w:sz w:val="22"/>
          <w:szCs w:val="22"/>
          <w:lang w:val="es-EC"/>
        </w:rPr>
      </w:pPr>
      <w:r w:rsidRPr="00F935DB">
        <w:rPr>
          <w:rFonts w:ascii="Palatino Linotype" w:hAnsi="Palatino Linotype"/>
          <w:i/>
          <w:sz w:val="22"/>
          <w:szCs w:val="22"/>
          <w:lang w:val="es-EC"/>
        </w:rPr>
        <w:t>PASAJE C                                         8,00 m Variable</w:t>
      </w:r>
    </w:p>
    <w:p w:rsidR="00F935DB" w:rsidRPr="00F935DB" w:rsidRDefault="00F935DB" w:rsidP="00F935DB">
      <w:pPr>
        <w:spacing w:after="120" w:line="276" w:lineRule="auto"/>
        <w:ind w:left="708"/>
        <w:jc w:val="both"/>
        <w:rPr>
          <w:rFonts w:ascii="Palatino Linotype" w:hAnsi="Palatino Linotype"/>
          <w:i/>
          <w:sz w:val="22"/>
          <w:szCs w:val="22"/>
          <w:lang w:val="es-EC"/>
        </w:rPr>
      </w:pPr>
      <w:r w:rsidRPr="00F935DB">
        <w:rPr>
          <w:rFonts w:ascii="Palatino Linotype" w:hAnsi="Palatino Linotype"/>
          <w:i/>
          <w:sz w:val="22"/>
          <w:szCs w:val="22"/>
          <w:lang w:val="es-EC"/>
        </w:rPr>
        <w:t>PASAJE D                                         9,00 m”</w:t>
      </w:r>
    </w:p>
    <w:p w:rsidR="00F935DB" w:rsidRPr="00F935DB" w:rsidRDefault="00F935DB" w:rsidP="00F935DB">
      <w:pPr>
        <w:tabs>
          <w:tab w:val="left" w:pos="4253"/>
          <w:tab w:val="center" w:pos="4394"/>
        </w:tabs>
        <w:spacing w:after="120" w:line="276" w:lineRule="auto"/>
        <w:jc w:val="both"/>
        <w:rPr>
          <w:rFonts w:ascii="Palatino Linotype" w:hAnsi="Palatino Linotype"/>
          <w:bCs/>
          <w:sz w:val="22"/>
          <w:szCs w:val="22"/>
        </w:rPr>
      </w:pPr>
      <w:r w:rsidRPr="00F935DB">
        <w:rPr>
          <w:rFonts w:ascii="Palatino Linotype" w:hAnsi="Palatino Linotype"/>
          <w:b/>
          <w:sz w:val="22"/>
          <w:szCs w:val="22"/>
          <w:lang w:val="es-EC"/>
        </w:rPr>
        <w:t xml:space="preserve">Artículo 6.- </w:t>
      </w:r>
      <w:r w:rsidRPr="00F935DB">
        <w:rPr>
          <w:rFonts w:ascii="Palatino Linotype" w:hAnsi="Palatino Linotype"/>
          <w:sz w:val="22"/>
          <w:szCs w:val="22"/>
          <w:lang w:val="es-EC"/>
        </w:rPr>
        <w:t xml:space="preserve">Sustitúyase el </w:t>
      </w:r>
      <w:r>
        <w:rPr>
          <w:rFonts w:ascii="Palatino Linotype" w:hAnsi="Palatino Linotype"/>
          <w:sz w:val="22"/>
          <w:szCs w:val="22"/>
          <w:lang w:val="es-EC"/>
        </w:rPr>
        <w:t>a</w:t>
      </w:r>
      <w:r w:rsidRPr="00F935DB">
        <w:rPr>
          <w:rFonts w:ascii="Palatino Linotype" w:hAnsi="Palatino Linotype"/>
          <w:sz w:val="22"/>
          <w:szCs w:val="22"/>
          <w:lang w:val="es-EC"/>
        </w:rPr>
        <w:t xml:space="preserve">rtículo 7 </w:t>
      </w:r>
      <w:r w:rsidRPr="00F935DB">
        <w:rPr>
          <w:rFonts w:ascii="Palatino Linotype" w:hAnsi="Palatino Linotype"/>
          <w:bCs/>
          <w:sz w:val="22"/>
          <w:szCs w:val="22"/>
        </w:rPr>
        <w:t xml:space="preserve">de la Ordenanza No. 0085, </w:t>
      </w:r>
      <w:r w:rsidRPr="00F935DB">
        <w:rPr>
          <w:rFonts w:ascii="Palatino Linotype" w:hAnsi="Palatino Linotype"/>
          <w:sz w:val="22"/>
          <w:szCs w:val="22"/>
        </w:rPr>
        <w:t>sancionada el 22 de junio de 2011</w:t>
      </w:r>
      <w:r w:rsidRPr="00F935DB">
        <w:rPr>
          <w:rFonts w:ascii="Palatino Linotype" w:hAnsi="Palatino Linotype"/>
          <w:bCs/>
          <w:sz w:val="22"/>
          <w:szCs w:val="22"/>
        </w:rPr>
        <w:t xml:space="preserve">, por el siguiente: </w:t>
      </w:r>
    </w:p>
    <w:p w:rsidR="00F935DB" w:rsidRPr="00F935DB" w:rsidRDefault="00F935DB" w:rsidP="00F935DB">
      <w:pPr>
        <w:tabs>
          <w:tab w:val="left" w:pos="4253"/>
          <w:tab w:val="center" w:pos="4394"/>
        </w:tabs>
        <w:spacing w:after="120" w:line="276" w:lineRule="auto"/>
        <w:ind w:left="708"/>
        <w:jc w:val="both"/>
        <w:rPr>
          <w:rFonts w:ascii="Palatino Linotype" w:hAnsi="Palatino Linotype"/>
          <w:i/>
          <w:sz w:val="22"/>
          <w:szCs w:val="22"/>
        </w:rPr>
      </w:pPr>
      <w:r w:rsidRPr="00F935DB">
        <w:rPr>
          <w:rFonts w:ascii="Palatino Linotype" w:hAnsi="Palatino Linotype"/>
          <w:bCs/>
          <w:i/>
          <w:sz w:val="22"/>
          <w:szCs w:val="22"/>
        </w:rPr>
        <w:t>“</w:t>
      </w:r>
      <w:r w:rsidRPr="00F935DB">
        <w:rPr>
          <w:rFonts w:ascii="Palatino Linotype" w:hAnsi="Palatino Linotype"/>
          <w:b/>
          <w:i/>
          <w:sz w:val="22"/>
          <w:szCs w:val="22"/>
          <w:lang w:val="es-EC"/>
        </w:rPr>
        <w:t xml:space="preserve">Artículo 7.- </w:t>
      </w:r>
      <w:r w:rsidRPr="00F935DB">
        <w:rPr>
          <w:rFonts w:ascii="Palatino Linotype" w:hAnsi="Palatino Linotype"/>
          <w:b/>
          <w:bCs/>
          <w:i/>
          <w:sz w:val="22"/>
          <w:szCs w:val="22"/>
        </w:rPr>
        <w:t xml:space="preserve">De las obras a ejecutarse.- </w:t>
      </w:r>
      <w:r w:rsidRPr="00F935DB">
        <w:rPr>
          <w:rFonts w:ascii="Palatino Linotype" w:hAnsi="Palatino Linotype"/>
          <w:i/>
          <w:sz w:val="22"/>
          <w:szCs w:val="22"/>
        </w:rPr>
        <w:t xml:space="preserve">Las obras a ejecutarse en el asentamiento humano de hecho y consolidado de interés social, son las siguientes: </w:t>
      </w:r>
    </w:p>
    <w:p w:rsidR="00F935DB" w:rsidRPr="00F935DB" w:rsidRDefault="00F935DB" w:rsidP="00F935DB">
      <w:pPr>
        <w:tabs>
          <w:tab w:val="left" w:pos="4253"/>
          <w:tab w:val="center" w:pos="4394"/>
        </w:tabs>
        <w:spacing w:after="120" w:line="276" w:lineRule="auto"/>
        <w:ind w:left="708"/>
        <w:jc w:val="both"/>
        <w:rPr>
          <w:rFonts w:ascii="Palatino Linotype" w:hAnsi="Palatino Linotype"/>
          <w:i/>
          <w:sz w:val="22"/>
          <w:szCs w:val="22"/>
          <w:lang w:val="es-EC"/>
        </w:rPr>
      </w:pPr>
      <w:r w:rsidRPr="00F935DB">
        <w:rPr>
          <w:rFonts w:ascii="Palatino Linotype" w:hAnsi="Palatino Linotype"/>
          <w:i/>
          <w:sz w:val="22"/>
          <w:szCs w:val="22"/>
        </w:rPr>
        <w:t>Energía Eléctrica:</w:t>
      </w:r>
      <w:r w:rsidRPr="00F935DB">
        <w:rPr>
          <w:rFonts w:ascii="Palatino Linotype" w:hAnsi="Palatino Linotype"/>
          <w:i/>
          <w:sz w:val="22"/>
          <w:szCs w:val="22"/>
        </w:rPr>
        <w:tab/>
        <w:t>100%</w:t>
      </w:r>
      <w:r>
        <w:rPr>
          <w:rFonts w:ascii="Palatino Linotype" w:hAnsi="Palatino Linotype"/>
          <w:i/>
          <w:sz w:val="22"/>
          <w:szCs w:val="22"/>
        </w:rPr>
        <w:tab/>
      </w:r>
      <w:r w:rsidRPr="00F935DB">
        <w:rPr>
          <w:rFonts w:ascii="Palatino Linotype" w:hAnsi="Palatino Linotype"/>
          <w:i/>
          <w:sz w:val="22"/>
          <w:szCs w:val="22"/>
        </w:rPr>
        <w:t>Alcantarillado:</w:t>
      </w:r>
      <w:r w:rsidRPr="00F935DB">
        <w:rPr>
          <w:rFonts w:ascii="Palatino Linotype" w:hAnsi="Palatino Linotype"/>
          <w:i/>
          <w:sz w:val="22"/>
          <w:szCs w:val="22"/>
        </w:rPr>
        <w:tab/>
      </w:r>
      <w:r>
        <w:rPr>
          <w:rFonts w:ascii="Palatino Linotype" w:hAnsi="Palatino Linotype"/>
          <w:i/>
          <w:sz w:val="22"/>
          <w:szCs w:val="22"/>
        </w:rPr>
        <w:tab/>
      </w:r>
      <w:r w:rsidRPr="00F935DB">
        <w:rPr>
          <w:rFonts w:ascii="Palatino Linotype" w:hAnsi="Palatino Linotype"/>
          <w:i/>
          <w:sz w:val="22"/>
          <w:szCs w:val="22"/>
        </w:rPr>
        <w:t>100%</w:t>
      </w:r>
      <w:r w:rsidRPr="00F935DB">
        <w:rPr>
          <w:rFonts w:ascii="Palatino Linotype" w:hAnsi="Palatino Linotype"/>
          <w:i/>
          <w:sz w:val="22"/>
          <w:szCs w:val="22"/>
          <w:lang w:val="es-EC"/>
        </w:rPr>
        <w:t xml:space="preserve">   </w:t>
      </w:r>
    </w:p>
    <w:p w:rsidR="00F935DB" w:rsidRPr="00F935DB" w:rsidRDefault="00F935DB" w:rsidP="00F935DB">
      <w:pPr>
        <w:tabs>
          <w:tab w:val="left" w:pos="4253"/>
          <w:tab w:val="center" w:pos="4394"/>
        </w:tabs>
        <w:spacing w:after="120" w:line="276" w:lineRule="auto"/>
        <w:ind w:left="708"/>
        <w:jc w:val="both"/>
        <w:rPr>
          <w:rFonts w:ascii="Palatino Linotype" w:hAnsi="Palatino Linotype"/>
          <w:i/>
          <w:sz w:val="22"/>
          <w:szCs w:val="22"/>
          <w:lang w:val="es-EC"/>
        </w:rPr>
      </w:pPr>
      <w:r w:rsidRPr="00F935DB">
        <w:rPr>
          <w:rFonts w:ascii="Palatino Linotype" w:hAnsi="Palatino Linotype"/>
          <w:i/>
          <w:sz w:val="22"/>
          <w:szCs w:val="22"/>
          <w:lang w:val="es-EC"/>
        </w:rPr>
        <w:t>Agua Potable:</w:t>
      </w:r>
      <w:r w:rsidRPr="00F935DB">
        <w:rPr>
          <w:rFonts w:ascii="Palatino Linotype" w:hAnsi="Palatino Linotype"/>
          <w:i/>
          <w:sz w:val="22"/>
          <w:szCs w:val="22"/>
          <w:lang w:val="es-EC"/>
        </w:rPr>
        <w:tab/>
        <w:t>100%</w:t>
      </w:r>
      <w:r>
        <w:rPr>
          <w:rFonts w:ascii="Palatino Linotype" w:hAnsi="Palatino Linotype"/>
          <w:i/>
          <w:sz w:val="22"/>
          <w:szCs w:val="22"/>
          <w:lang w:val="es-EC"/>
        </w:rPr>
        <w:tab/>
      </w:r>
      <w:r w:rsidRPr="00F935DB">
        <w:rPr>
          <w:rFonts w:ascii="Palatino Linotype" w:hAnsi="Palatino Linotype"/>
          <w:i/>
          <w:sz w:val="22"/>
          <w:szCs w:val="22"/>
          <w:lang w:val="es-EC"/>
        </w:rPr>
        <w:t>Bordillos:</w:t>
      </w:r>
      <w:r w:rsidRPr="00F935DB">
        <w:rPr>
          <w:rFonts w:ascii="Palatino Linotype" w:hAnsi="Palatino Linotype"/>
          <w:i/>
          <w:sz w:val="22"/>
          <w:szCs w:val="22"/>
          <w:lang w:val="es-EC"/>
        </w:rPr>
        <w:tab/>
      </w:r>
      <w:r>
        <w:rPr>
          <w:rFonts w:ascii="Palatino Linotype" w:hAnsi="Palatino Linotype"/>
          <w:i/>
          <w:sz w:val="22"/>
          <w:szCs w:val="22"/>
          <w:lang w:val="es-EC"/>
        </w:rPr>
        <w:tab/>
      </w:r>
      <w:r w:rsidRPr="00F935DB">
        <w:rPr>
          <w:rFonts w:ascii="Palatino Linotype" w:hAnsi="Palatino Linotype"/>
          <w:i/>
          <w:sz w:val="22"/>
          <w:szCs w:val="22"/>
          <w:lang w:val="es-EC"/>
        </w:rPr>
        <w:t>40%</w:t>
      </w:r>
    </w:p>
    <w:p w:rsidR="00F935DB" w:rsidRPr="00F935DB" w:rsidRDefault="00F935DB" w:rsidP="00F935DB">
      <w:pPr>
        <w:tabs>
          <w:tab w:val="left" w:pos="4253"/>
          <w:tab w:val="center" w:pos="4394"/>
        </w:tabs>
        <w:spacing w:after="120" w:line="276" w:lineRule="auto"/>
        <w:ind w:left="708"/>
        <w:jc w:val="both"/>
        <w:rPr>
          <w:rFonts w:ascii="Palatino Linotype" w:hAnsi="Palatino Linotype"/>
          <w:i/>
          <w:sz w:val="22"/>
          <w:szCs w:val="22"/>
          <w:lang w:val="es-EC"/>
        </w:rPr>
      </w:pPr>
      <w:r w:rsidRPr="00F935DB">
        <w:rPr>
          <w:rFonts w:ascii="Palatino Linotype" w:hAnsi="Palatino Linotype"/>
          <w:i/>
          <w:sz w:val="22"/>
          <w:szCs w:val="22"/>
          <w:lang w:val="es-EC"/>
        </w:rPr>
        <w:t>Calzadas:</w:t>
      </w:r>
      <w:r w:rsidRPr="00F935DB">
        <w:rPr>
          <w:rFonts w:ascii="Palatino Linotype" w:hAnsi="Palatino Linotype"/>
          <w:i/>
          <w:sz w:val="22"/>
          <w:szCs w:val="22"/>
          <w:lang w:val="es-EC"/>
        </w:rPr>
        <w:tab/>
        <w:t>100%</w:t>
      </w:r>
      <w:r>
        <w:rPr>
          <w:rFonts w:ascii="Palatino Linotype" w:hAnsi="Palatino Linotype"/>
          <w:i/>
          <w:sz w:val="22"/>
          <w:szCs w:val="22"/>
          <w:lang w:val="es-EC"/>
        </w:rPr>
        <w:tab/>
      </w:r>
      <w:r w:rsidRPr="00F935DB">
        <w:rPr>
          <w:rFonts w:ascii="Palatino Linotype" w:hAnsi="Palatino Linotype"/>
          <w:i/>
          <w:sz w:val="22"/>
          <w:szCs w:val="22"/>
          <w:lang w:val="es-EC"/>
        </w:rPr>
        <w:t>Aceras:</w:t>
      </w:r>
      <w:r w:rsidRPr="00F935DB">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F935DB">
        <w:rPr>
          <w:rFonts w:ascii="Palatino Linotype" w:hAnsi="Palatino Linotype"/>
          <w:i/>
          <w:sz w:val="22"/>
          <w:szCs w:val="22"/>
          <w:lang w:val="es-EC"/>
        </w:rPr>
        <w:t>100%</w:t>
      </w:r>
    </w:p>
    <w:p w:rsidR="00F935DB" w:rsidRPr="00F935DB" w:rsidRDefault="00F935DB" w:rsidP="00F935DB">
      <w:pPr>
        <w:tabs>
          <w:tab w:val="left" w:pos="4253"/>
          <w:tab w:val="center" w:pos="4394"/>
        </w:tabs>
        <w:spacing w:after="120" w:line="276" w:lineRule="auto"/>
        <w:ind w:left="708"/>
        <w:jc w:val="both"/>
        <w:rPr>
          <w:rFonts w:ascii="Palatino Linotype" w:hAnsi="Palatino Linotype"/>
          <w:sz w:val="22"/>
          <w:szCs w:val="22"/>
          <w:lang w:val="es-EC"/>
        </w:rPr>
      </w:pPr>
      <w:r w:rsidRPr="00F935DB">
        <w:rPr>
          <w:rFonts w:ascii="Palatino Linotype" w:hAnsi="Palatino Linotype"/>
          <w:i/>
          <w:sz w:val="22"/>
          <w:szCs w:val="22"/>
          <w:lang w:val="es-EC"/>
        </w:rPr>
        <w:t>Equipamiento del área Comunal:</w:t>
      </w:r>
      <w:r w:rsidRPr="00F935DB">
        <w:rPr>
          <w:rFonts w:ascii="Palatino Linotype" w:hAnsi="Palatino Linotype"/>
          <w:i/>
          <w:sz w:val="22"/>
          <w:szCs w:val="22"/>
          <w:lang w:val="es-EC"/>
        </w:rPr>
        <w:tab/>
        <w:t>100%”</w:t>
      </w:r>
    </w:p>
    <w:p w:rsidR="00F935DB" w:rsidRPr="00F935DB" w:rsidRDefault="00F935DB" w:rsidP="00F935DB">
      <w:pPr>
        <w:tabs>
          <w:tab w:val="left" w:pos="4253"/>
          <w:tab w:val="center" w:pos="4394"/>
        </w:tabs>
        <w:spacing w:after="120" w:line="276" w:lineRule="auto"/>
        <w:jc w:val="both"/>
        <w:rPr>
          <w:rFonts w:ascii="Palatino Linotype" w:hAnsi="Palatino Linotype"/>
          <w:bCs/>
          <w:sz w:val="22"/>
          <w:szCs w:val="22"/>
        </w:rPr>
      </w:pPr>
      <w:r w:rsidRPr="00F935DB">
        <w:rPr>
          <w:rFonts w:ascii="Palatino Linotype" w:hAnsi="Palatino Linotype"/>
          <w:b/>
          <w:sz w:val="22"/>
          <w:szCs w:val="22"/>
          <w:lang w:val="es-EC"/>
        </w:rPr>
        <w:t xml:space="preserve">Artículo 7.- </w:t>
      </w:r>
      <w:r w:rsidRPr="00F935DB">
        <w:rPr>
          <w:rFonts w:ascii="Palatino Linotype" w:hAnsi="Palatino Linotype"/>
          <w:bCs/>
          <w:sz w:val="22"/>
          <w:szCs w:val="22"/>
        </w:rPr>
        <w:t xml:space="preserve">Sustitúyase el </w:t>
      </w:r>
      <w:r>
        <w:rPr>
          <w:rFonts w:ascii="Palatino Linotype" w:hAnsi="Palatino Linotype"/>
          <w:bCs/>
          <w:sz w:val="22"/>
          <w:szCs w:val="22"/>
        </w:rPr>
        <w:t>artículo</w:t>
      </w:r>
      <w:r w:rsidRPr="00F935DB">
        <w:rPr>
          <w:rFonts w:ascii="Palatino Linotype" w:hAnsi="Palatino Linotype"/>
          <w:bCs/>
          <w:sz w:val="22"/>
          <w:szCs w:val="22"/>
        </w:rPr>
        <w:t xml:space="preserve"> 8 de la Ordenanza No. 0085, </w:t>
      </w:r>
      <w:r w:rsidRPr="00F935DB">
        <w:rPr>
          <w:rFonts w:ascii="Palatino Linotype" w:hAnsi="Palatino Linotype"/>
          <w:sz w:val="22"/>
          <w:szCs w:val="22"/>
        </w:rPr>
        <w:t>sancionada el 22 de junio de 2011,</w:t>
      </w:r>
      <w:r w:rsidRPr="00F935DB">
        <w:rPr>
          <w:rFonts w:ascii="Palatino Linotype" w:hAnsi="Palatino Linotype"/>
          <w:bCs/>
          <w:sz w:val="22"/>
          <w:szCs w:val="22"/>
        </w:rPr>
        <w:t xml:space="preserve"> por el siguiente texto:</w:t>
      </w:r>
    </w:p>
    <w:p w:rsidR="00F935DB" w:rsidRPr="00F935DB" w:rsidRDefault="00F935DB" w:rsidP="00F935DB">
      <w:pPr>
        <w:spacing w:after="120" w:line="276" w:lineRule="auto"/>
        <w:ind w:left="708"/>
        <w:jc w:val="both"/>
        <w:rPr>
          <w:rFonts w:ascii="Palatino Linotype" w:hAnsi="Palatino Linotype"/>
          <w:i/>
          <w:iCs/>
          <w:sz w:val="22"/>
          <w:szCs w:val="22"/>
        </w:rPr>
      </w:pPr>
      <w:r w:rsidRPr="00F935DB">
        <w:rPr>
          <w:rFonts w:ascii="Palatino Linotype" w:hAnsi="Palatino Linotype"/>
          <w:b/>
          <w:bCs/>
          <w:i/>
          <w:sz w:val="22"/>
          <w:szCs w:val="22"/>
        </w:rPr>
        <w:t>“Artículo 8.- Del plazo de ejecución de las obras.-</w:t>
      </w:r>
      <w:r w:rsidRPr="00F935DB">
        <w:rPr>
          <w:rFonts w:ascii="Palatino Linotype" w:hAnsi="Palatino Linotype"/>
          <w:i/>
          <w:sz w:val="22"/>
          <w:szCs w:val="22"/>
          <w:lang w:val="es-EC"/>
        </w:rPr>
        <w:t xml:space="preserve">El plazo de ejecución de la totalidad de las obras civiles y de infraestructura, será de cuatro (4) años, </w:t>
      </w:r>
      <w:r w:rsidRPr="00F935DB">
        <w:rPr>
          <w:rFonts w:ascii="Palatino Linotype" w:hAnsi="Palatino Linotype"/>
          <w:i/>
          <w:iCs/>
          <w:sz w:val="22"/>
          <w:szCs w:val="22"/>
        </w:rPr>
        <w:t xml:space="preserve">de conformidad al cronograma de obras presentado por </w:t>
      </w:r>
      <w:r w:rsidRPr="00F935DB">
        <w:rPr>
          <w:rFonts w:ascii="Palatino Linotype" w:hAnsi="Palatino Linotype"/>
          <w:i/>
          <w:color w:val="0D0D0D"/>
          <w:sz w:val="22"/>
          <w:szCs w:val="22"/>
        </w:rPr>
        <w:t xml:space="preserve">los copropietarios del inmueble donde se ubica </w:t>
      </w:r>
      <w:r w:rsidRPr="00F935DB">
        <w:rPr>
          <w:rFonts w:ascii="Palatino Linotype" w:hAnsi="Palatino Linotype"/>
          <w:i/>
          <w:sz w:val="22"/>
          <w:szCs w:val="22"/>
        </w:rPr>
        <w:t>el asentamiento humano de hecho y consolidado de interés social</w:t>
      </w:r>
      <w:r w:rsidRPr="00F935DB">
        <w:rPr>
          <w:rFonts w:ascii="Palatino Linotype" w:hAnsi="Palatino Linotype"/>
          <w:b/>
          <w:i/>
          <w:sz w:val="22"/>
          <w:szCs w:val="22"/>
        </w:rPr>
        <w:t xml:space="preserve">, </w:t>
      </w:r>
      <w:r w:rsidRPr="00F935DB">
        <w:rPr>
          <w:rFonts w:ascii="Palatino Linotype" w:hAnsi="Palatino Linotype"/>
          <w:i/>
          <w:iCs/>
          <w:sz w:val="22"/>
          <w:szCs w:val="22"/>
        </w:rPr>
        <w:t>plazo que se contará a partir de la fecha de inscripción de la presente Ordenanza en el Registro de la Propiedad del Distrito Metropolitano de Quito.</w:t>
      </w:r>
    </w:p>
    <w:p w:rsidR="00F935DB" w:rsidRPr="00F935DB" w:rsidRDefault="00F935DB" w:rsidP="00F935DB">
      <w:pPr>
        <w:spacing w:after="120" w:line="276" w:lineRule="auto"/>
        <w:ind w:left="708"/>
        <w:jc w:val="both"/>
        <w:rPr>
          <w:rFonts w:ascii="Palatino Linotype" w:hAnsi="Palatino Linotype"/>
          <w:iCs/>
          <w:sz w:val="22"/>
          <w:szCs w:val="22"/>
        </w:rPr>
      </w:pPr>
      <w:r w:rsidRPr="00F935DB">
        <w:rPr>
          <w:rFonts w:ascii="Palatino Linotype" w:hAnsi="Palatino Linotype"/>
          <w:i/>
          <w:iCs/>
          <w:sz w:val="22"/>
          <w:szCs w:val="22"/>
        </w:rPr>
        <w:t>Cuando las obras se ejecutaren por autogestión de los copropietarios del inmueble donde se ubica el asentamiento, el valor por contribución especial a mejoras se establecerá de conformidad con la ley.</w:t>
      </w:r>
      <w:r w:rsidRPr="00F935DB">
        <w:rPr>
          <w:rFonts w:ascii="Palatino Linotype" w:hAnsi="Palatino Linotype"/>
          <w:bCs/>
          <w:sz w:val="22"/>
          <w:szCs w:val="22"/>
        </w:rPr>
        <w:t>”</w:t>
      </w:r>
    </w:p>
    <w:p w:rsidR="00F935DB" w:rsidRPr="00F935DB" w:rsidRDefault="00F935DB" w:rsidP="00F935DB">
      <w:pPr>
        <w:spacing w:after="120" w:line="276" w:lineRule="auto"/>
        <w:jc w:val="both"/>
        <w:rPr>
          <w:rFonts w:ascii="Palatino Linotype" w:hAnsi="Palatino Linotype"/>
          <w:b/>
          <w:sz w:val="22"/>
          <w:szCs w:val="22"/>
          <w:lang w:val="es-EC"/>
        </w:rPr>
      </w:pPr>
      <w:r w:rsidRPr="00F935DB">
        <w:rPr>
          <w:rFonts w:ascii="Palatino Linotype" w:hAnsi="Palatino Linotype"/>
          <w:b/>
          <w:sz w:val="22"/>
          <w:szCs w:val="22"/>
          <w:lang w:val="es-EC"/>
        </w:rPr>
        <w:lastRenderedPageBreak/>
        <w:t xml:space="preserve">Artículo 8.- </w:t>
      </w:r>
      <w:r w:rsidRPr="00F935DB">
        <w:rPr>
          <w:rFonts w:ascii="Palatino Linotype" w:hAnsi="Palatino Linotype"/>
          <w:sz w:val="22"/>
          <w:szCs w:val="22"/>
          <w:lang w:val="es-EC"/>
        </w:rPr>
        <w:t xml:space="preserve">Sustitúyase en el </w:t>
      </w:r>
      <w:r>
        <w:rPr>
          <w:rFonts w:ascii="Palatino Linotype" w:hAnsi="Palatino Linotype"/>
          <w:sz w:val="22"/>
          <w:szCs w:val="22"/>
          <w:lang w:val="es-EC"/>
        </w:rPr>
        <w:t>a</w:t>
      </w:r>
      <w:r w:rsidRPr="00F935DB">
        <w:rPr>
          <w:rFonts w:ascii="Palatino Linotype" w:hAnsi="Palatino Linotype"/>
          <w:sz w:val="22"/>
          <w:szCs w:val="22"/>
          <w:lang w:val="es-EC"/>
        </w:rPr>
        <w:t>rt</w:t>
      </w:r>
      <w:r>
        <w:rPr>
          <w:rFonts w:ascii="Palatino Linotype" w:hAnsi="Palatino Linotype"/>
          <w:sz w:val="22"/>
          <w:szCs w:val="22"/>
          <w:lang w:val="es-EC"/>
        </w:rPr>
        <w:t>ículo</w:t>
      </w:r>
      <w:r w:rsidRPr="00F935DB">
        <w:rPr>
          <w:rFonts w:ascii="Palatino Linotype" w:hAnsi="Palatino Linotype"/>
          <w:sz w:val="22"/>
          <w:szCs w:val="22"/>
          <w:lang w:val="es-EC"/>
        </w:rPr>
        <w:t xml:space="preserve"> 9</w:t>
      </w:r>
      <w:r w:rsidRPr="00F935DB">
        <w:rPr>
          <w:rFonts w:ascii="Palatino Linotype" w:hAnsi="Palatino Linotype"/>
          <w:b/>
          <w:sz w:val="22"/>
          <w:szCs w:val="22"/>
          <w:lang w:val="es-EC"/>
        </w:rPr>
        <w:t xml:space="preserve"> </w:t>
      </w:r>
      <w:r w:rsidRPr="00F935DB">
        <w:rPr>
          <w:rFonts w:ascii="Palatino Linotype" w:hAnsi="Palatino Linotype"/>
          <w:bCs/>
          <w:sz w:val="22"/>
          <w:szCs w:val="22"/>
        </w:rPr>
        <w:t xml:space="preserve">de la Ordenanza No. 0085, </w:t>
      </w:r>
      <w:r w:rsidRPr="00F935DB">
        <w:rPr>
          <w:rFonts w:ascii="Palatino Linotype" w:hAnsi="Palatino Linotype"/>
          <w:sz w:val="22"/>
          <w:szCs w:val="22"/>
        </w:rPr>
        <w:t xml:space="preserve">sancionada el 22 de junio de 2011, </w:t>
      </w:r>
      <w:r w:rsidRPr="00F935DB">
        <w:rPr>
          <w:rFonts w:ascii="Palatino Linotype" w:hAnsi="Palatino Linotype"/>
          <w:sz w:val="22"/>
          <w:szCs w:val="22"/>
          <w:lang w:val="es-EC"/>
        </w:rPr>
        <w:t>el texto: “</w:t>
      </w:r>
      <w:r w:rsidRPr="00F935DB">
        <w:rPr>
          <w:rFonts w:ascii="Palatino Linotype" w:hAnsi="Palatino Linotype"/>
          <w:i/>
          <w:sz w:val="22"/>
          <w:szCs w:val="22"/>
          <w:lang w:val="es-EC"/>
        </w:rPr>
        <w:t>de las obras de urbanización</w:t>
      </w:r>
      <w:r w:rsidRPr="00F935DB">
        <w:rPr>
          <w:rFonts w:ascii="Palatino Linotype" w:hAnsi="Palatino Linotype"/>
          <w:sz w:val="22"/>
          <w:szCs w:val="22"/>
          <w:lang w:val="es-EC"/>
        </w:rPr>
        <w:t xml:space="preserve">” por el texto: </w:t>
      </w:r>
      <w:r w:rsidRPr="00F935DB">
        <w:rPr>
          <w:rFonts w:ascii="Palatino Linotype" w:hAnsi="Palatino Linotype"/>
          <w:i/>
          <w:sz w:val="22"/>
          <w:szCs w:val="22"/>
          <w:lang w:val="es-EC"/>
        </w:rPr>
        <w:t>“de las obras civiles y de infraestructura e incluido el equipamiento del área comunal”.</w:t>
      </w:r>
    </w:p>
    <w:p w:rsidR="00F935DB" w:rsidRPr="00F935DB" w:rsidRDefault="00F935DB" w:rsidP="00F935DB">
      <w:pPr>
        <w:tabs>
          <w:tab w:val="left" w:pos="4253"/>
          <w:tab w:val="center" w:pos="4394"/>
        </w:tabs>
        <w:spacing w:after="120" w:line="276" w:lineRule="auto"/>
        <w:jc w:val="both"/>
        <w:rPr>
          <w:rFonts w:ascii="Palatino Linotype" w:hAnsi="Palatino Linotype"/>
          <w:sz w:val="22"/>
          <w:szCs w:val="22"/>
          <w:lang w:val="es-EC"/>
        </w:rPr>
      </w:pPr>
      <w:r w:rsidRPr="00F935DB">
        <w:rPr>
          <w:rFonts w:ascii="Palatino Linotype" w:hAnsi="Palatino Linotype"/>
          <w:b/>
          <w:sz w:val="22"/>
          <w:szCs w:val="22"/>
          <w:lang w:val="es-EC"/>
        </w:rPr>
        <w:t xml:space="preserve">Artículo 9.- </w:t>
      </w:r>
      <w:r w:rsidRPr="00F935DB">
        <w:rPr>
          <w:rFonts w:ascii="Palatino Linotype" w:hAnsi="Palatino Linotype"/>
          <w:bCs/>
          <w:sz w:val="22"/>
          <w:szCs w:val="22"/>
        </w:rPr>
        <w:t xml:space="preserve">Sustitúyase el artículo 10 de la Ordenanza No. 0085, </w:t>
      </w:r>
      <w:r w:rsidRPr="00F935DB">
        <w:rPr>
          <w:rFonts w:ascii="Palatino Linotype" w:hAnsi="Palatino Linotype"/>
          <w:sz w:val="22"/>
          <w:szCs w:val="22"/>
        </w:rPr>
        <w:t>sancionada el 22 de junio de 2011</w:t>
      </w:r>
      <w:r w:rsidRPr="00F935DB">
        <w:rPr>
          <w:rFonts w:ascii="Palatino Linotype" w:hAnsi="Palatino Linotype"/>
          <w:bCs/>
          <w:sz w:val="22"/>
          <w:szCs w:val="22"/>
        </w:rPr>
        <w:t>, por el siguiente</w:t>
      </w:r>
      <w:r w:rsidRPr="00F935DB">
        <w:rPr>
          <w:rFonts w:ascii="Palatino Linotype" w:hAnsi="Palatino Linotype"/>
          <w:sz w:val="22"/>
          <w:szCs w:val="22"/>
          <w:lang w:val="es-EC"/>
        </w:rPr>
        <w:t xml:space="preserve"> texto:</w:t>
      </w:r>
    </w:p>
    <w:p w:rsidR="00F935DB" w:rsidRPr="00F935DB" w:rsidRDefault="00F935DB" w:rsidP="00F935DB">
      <w:pPr>
        <w:shd w:val="clear" w:color="auto" w:fill="FFFFFF"/>
        <w:spacing w:after="120" w:line="276" w:lineRule="auto"/>
        <w:ind w:left="708"/>
        <w:jc w:val="both"/>
        <w:rPr>
          <w:rFonts w:ascii="Palatino Linotype" w:hAnsi="Palatino Linotype"/>
          <w:bCs/>
          <w:i/>
          <w:color w:val="000000"/>
          <w:sz w:val="22"/>
          <w:szCs w:val="22"/>
        </w:rPr>
      </w:pPr>
      <w:r w:rsidRPr="00F935DB">
        <w:rPr>
          <w:rFonts w:ascii="Palatino Linotype" w:eastAsia="Calibri" w:hAnsi="Palatino Linotype"/>
          <w:b/>
          <w:i/>
          <w:sz w:val="22"/>
          <w:szCs w:val="22"/>
          <w:lang w:val="es-EC"/>
        </w:rPr>
        <w:t>“</w:t>
      </w:r>
      <w:r w:rsidRPr="00F935DB">
        <w:rPr>
          <w:rFonts w:ascii="Palatino Linotype" w:eastAsia="Calibri" w:hAnsi="Palatino Linotype"/>
          <w:b/>
          <w:i/>
          <w:sz w:val="22"/>
          <w:szCs w:val="22"/>
        </w:rPr>
        <w:t xml:space="preserve">Artículo 10.- </w:t>
      </w:r>
      <w:r w:rsidRPr="00F935DB">
        <w:rPr>
          <w:rFonts w:ascii="Palatino Linotype" w:hAnsi="Palatino Linotype"/>
          <w:b/>
          <w:bCs/>
          <w:i/>
          <w:sz w:val="22"/>
          <w:szCs w:val="22"/>
          <w:lang w:val="es-ES_tradnl"/>
        </w:rPr>
        <w:t xml:space="preserve">De la multa por retraso en ejecución de obras.- </w:t>
      </w:r>
      <w:r w:rsidRPr="00F935DB">
        <w:rPr>
          <w:rFonts w:ascii="Palatino Linotype" w:hAnsi="Palatino Linotype"/>
          <w:i/>
          <w:sz w:val="22"/>
          <w:szCs w:val="22"/>
          <w:lang w:val="es-ES_tradnl"/>
        </w:rPr>
        <w:t xml:space="preserve">En caso de retraso en la ejecución de las obras </w:t>
      </w:r>
      <w:r w:rsidRPr="00F935DB">
        <w:rPr>
          <w:rFonts w:ascii="Palatino Linotype" w:hAnsi="Palatino Linotype"/>
          <w:i/>
          <w:sz w:val="22"/>
          <w:szCs w:val="22"/>
          <w:lang w:val="es-EC"/>
        </w:rPr>
        <w:t>civiles y de infraestructura</w:t>
      </w:r>
      <w:r w:rsidRPr="00F935DB">
        <w:rPr>
          <w:rFonts w:ascii="Palatino Linotype" w:hAnsi="Palatino Linotype"/>
          <w:i/>
          <w:sz w:val="22"/>
          <w:szCs w:val="22"/>
          <w:lang w:val="es-ES_tradnl"/>
        </w:rPr>
        <w:t>,</w:t>
      </w:r>
      <w:r w:rsidRPr="00F935DB">
        <w:rPr>
          <w:rFonts w:ascii="Palatino Linotype" w:hAnsi="Palatino Linotype"/>
          <w:i/>
          <w:color w:val="0D0D0D"/>
          <w:sz w:val="22"/>
          <w:szCs w:val="22"/>
        </w:rPr>
        <w:t xml:space="preserve"> los copropietarios del inmueble sobre el cual se ubica </w:t>
      </w:r>
      <w:r w:rsidRPr="00F935DB">
        <w:rPr>
          <w:rFonts w:ascii="Palatino Linotype" w:hAnsi="Palatino Linotype"/>
          <w:i/>
          <w:sz w:val="22"/>
          <w:szCs w:val="22"/>
        </w:rPr>
        <w:t>la</w:t>
      </w:r>
      <w:r w:rsidRPr="00F935DB">
        <w:rPr>
          <w:rFonts w:ascii="Palatino Linotype" w:hAnsi="Palatino Linotype"/>
          <w:bCs/>
          <w:i/>
          <w:sz w:val="22"/>
          <w:szCs w:val="22"/>
        </w:rPr>
        <w:t xml:space="preserve"> </w:t>
      </w:r>
      <w:r w:rsidRPr="00F935DB">
        <w:rPr>
          <w:rFonts w:ascii="Palatino Linotype" w:hAnsi="Palatino Linotype"/>
          <w:i/>
          <w:sz w:val="22"/>
          <w:szCs w:val="22"/>
        </w:rPr>
        <w:t>El Asentamiento Humano de Hecho y Consolidado de Interés Social Denominado Asociación de Vivienda “Nueva Vida”, a favor de sus copropietarios,</w:t>
      </w:r>
      <w:r w:rsidRPr="00F935DB">
        <w:rPr>
          <w:rFonts w:ascii="Palatino Linotype" w:hAnsi="Palatino Linotype"/>
          <w:bCs/>
          <w:i/>
          <w:color w:val="000000"/>
          <w:sz w:val="22"/>
          <w:szCs w:val="22"/>
        </w:rPr>
        <w:t xml:space="preserve"> se sujetará a las sanciones contempladas en el Ordenamiento Jurídico Nacional y Metropolitano.”</w:t>
      </w:r>
    </w:p>
    <w:p w:rsidR="00F935DB" w:rsidRPr="00F935DB" w:rsidRDefault="00F935DB" w:rsidP="00F935DB">
      <w:pPr>
        <w:tabs>
          <w:tab w:val="left" w:pos="4253"/>
          <w:tab w:val="center" w:pos="4394"/>
        </w:tabs>
        <w:spacing w:after="120" w:line="276" w:lineRule="auto"/>
        <w:jc w:val="both"/>
        <w:rPr>
          <w:rFonts w:ascii="Palatino Linotype" w:hAnsi="Palatino Linotype"/>
          <w:sz w:val="22"/>
          <w:szCs w:val="22"/>
          <w:lang w:val="es-EC"/>
        </w:rPr>
      </w:pPr>
      <w:r w:rsidRPr="00F935DB">
        <w:rPr>
          <w:rFonts w:ascii="Palatino Linotype" w:hAnsi="Palatino Linotype"/>
          <w:b/>
          <w:sz w:val="22"/>
          <w:szCs w:val="22"/>
          <w:lang w:val="es-EC"/>
        </w:rPr>
        <w:t xml:space="preserve">Artículo 10.- </w:t>
      </w:r>
      <w:r w:rsidRPr="00F935DB">
        <w:rPr>
          <w:rFonts w:ascii="Palatino Linotype" w:hAnsi="Palatino Linotype"/>
          <w:bCs/>
          <w:sz w:val="22"/>
          <w:szCs w:val="22"/>
        </w:rPr>
        <w:t xml:space="preserve">Sustitúyase el artículo 11 de la Ordenanza No. 0085, </w:t>
      </w:r>
      <w:r w:rsidRPr="00F935DB">
        <w:rPr>
          <w:rFonts w:ascii="Palatino Linotype" w:hAnsi="Palatino Linotype"/>
          <w:sz w:val="22"/>
          <w:szCs w:val="22"/>
        </w:rPr>
        <w:t>sancionada el 22 de junio de 2012</w:t>
      </w:r>
      <w:r w:rsidRPr="00F935DB">
        <w:rPr>
          <w:rFonts w:ascii="Palatino Linotype" w:hAnsi="Palatino Linotype"/>
          <w:bCs/>
          <w:sz w:val="22"/>
          <w:szCs w:val="22"/>
        </w:rPr>
        <w:t>, por el siguiente</w:t>
      </w:r>
      <w:r w:rsidRPr="00F935DB">
        <w:rPr>
          <w:rFonts w:ascii="Palatino Linotype" w:hAnsi="Palatino Linotype"/>
          <w:sz w:val="22"/>
          <w:szCs w:val="22"/>
          <w:lang w:val="es-EC"/>
        </w:rPr>
        <w:t xml:space="preserve"> texto:</w:t>
      </w:r>
    </w:p>
    <w:p w:rsidR="00F935DB" w:rsidRPr="00F935DB" w:rsidRDefault="00F935DB" w:rsidP="00F935DB">
      <w:pPr>
        <w:pStyle w:val="yiv9032731769msobodytext"/>
        <w:shd w:val="clear" w:color="auto" w:fill="FFFFFF"/>
        <w:spacing w:before="0" w:beforeAutospacing="0" w:after="120" w:afterAutospacing="0" w:line="276" w:lineRule="auto"/>
        <w:ind w:left="708"/>
        <w:jc w:val="both"/>
        <w:rPr>
          <w:rFonts w:ascii="Palatino Linotype" w:hAnsi="Palatino Linotype"/>
          <w:i/>
          <w:color w:val="000000"/>
          <w:sz w:val="22"/>
          <w:szCs w:val="22"/>
        </w:rPr>
      </w:pPr>
      <w:r w:rsidRPr="00F935DB">
        <w:rPr>
          <w:rFonts w:ascii="Palatino Linotype" w:hAnsi="Palatino Linotype"/>
          <w:b/>
          <w:bCs/>
          <w:i/>
          <w:color w:val="000000"/>
          <w:sz w:val="22"/>
          <w:szCs w:val="22"/>
          <w:lang w:val="es-ES"/>
        </w:rPr>
        <w:t>“Artículo 11.- De la garantía de ejecución de las obras.-</w:t>
      </w:r>
      <w:r w:rsidRPr="00F935DB">
        <w:rPr>
          <w:rStyle w:val="apple-converted-space"/>
          <w:rFonts w:ascii="Palatino Linotype" w:hAnsi="Palatino Linotype"/>
          <w:i/>
          <w:color w:val="000000"/>
          <w:sz w:val="22"/>
          <w:szCs w:val="22"/>
        </w:rPr>
        <w:t> </w:t>
      </w:r>
      <w:r w:rsidRPr="00F935DB">
        <w:rPr>
          <w:rFonts w:ascii="Palatino Linotype" w:hAnsi="Palatino Linotype"/>
          <w:i/>
          <w:color w:val="000000"/>
          <w:sz w:val="22"/>
          <w:szCs w:val="22"/>
          <w:lang w:val="es-ES"/>
        </w:rPr>
        <w:t>Los lotes</w:t>
      </w:r>
      <w:r w:rsidRPr="00F935DB">
        <w:rPr>
          <w:rStyle w:val="apple-converted-space"/>
          <w:rFonts w:ascii="Palatino Linotype" w:hAnsi="Palatino Linotype"/>
          <w:i/>
          <w:color w:val="000000"/>
          <w:sz w:val="22"/>
          <w:szCs w:val="22"/>
        </w:rPr>
        <w:t> </w:t>
      </w:r>
      <w:r w:rsidRPr="00F935DB">
        <w:rPr>
          <w:rFonts w:ascii="Palatino Linotype" w:hAnsi="Palatino Linotype"/>
          <w:i/>
          <w:color w:val="000000"/>
          <w:sz w:val="22"/>
          <w:szCs w:val="22"/>
        </w:rPr>
        <w:t xml:space="preserve">Producto del fraccionamiento donde se encuentra ubicado el asentamiento humano de hecho y consolidado de interés social </w:t>
      </w:r>
      <w:r w:rsidRPr="00F935DB">
        <w:rPr>
          <w:rFonts w:ascii="Palatino Linotype" w:hAnsi="Palatino Linotype"/>
          <w:i/>
          <w:sz w:val="22"/>
          <w:szCs w:val="22"/>
          <w:lang w:val="es-ES" w:eastAsia="es-ES"/>
        </w:rPr>
        <w:t xml:space="preserve">Denominado Asociación de Vivienda “Nueva Vida”, a favor de sus </w:t>
      </w:r>
      <w:proofErr w:type="spellStart"/>
      <w:r w:rsidRPr="00F935DB">
        <w:rPr>
          <w:rFonts w:ascii="Palatino Linotype" w:hAnsi="Palatino Linotype"/>
          <w:i/>
          <w:sz w:val="22"/>
          <w:szCs w:val="22"/>
          <w:lang w:val="es-ES" w:eastAsia="es-ES"/>
        </w:rPr>
        <w:t>co</w:t>
      </w:r>
      <w:proofErr w:type="spellEnd"/>
      <w:r w:rsidRPr="00F935DB">
        <w:rPr>
          <w:rFonts w:ascii="Palatino Linotype" w:hAnsi="Palatino Linotype"/>
          <w:i/>
          <w:sz w:val="22"/>
          <w:szCs w:val="22"/>
        </w:rPr>
        <w:t>propietarios,</w:t>
      </w:r>
      <w:r w:rsidRPr="00F935DB">
        <w:rPr>
          <w:rStyle w:val="apple-converted-space"/>
          <w:rFonts w:ascii="Palatino Linotype" w:hAnsi="Palatino Linotype"/>
          <w:i/>
          <w:color w:val="000000"/>
          <w:sz w:val="22"/>
          <w:szCs w:val="22"/>
        </w:rPr>
        <w:t> </w:t>
      </w:r>
      <w:r w:rsidRPr="00F935DB">
        <w:rPr>
          <w:rFonts w:ascii="Palatino Linotype" w:hAnsi="Palatino Linotype"/>
          <w:i/>
          <w:color w:val="000000"/>
          <w:sz w:val="22"/>
          <w:szCs w:val="22"/>
          <w:lang w:val="es-ES"/>
        </w:rPr>
        <w:t>quedan gravados con primera, especial y preferente hipoteca a favor del Municipio del Distrito Metropolitano de Quito, gravamen que regirá una vez que se adjudiquen los lotes a sus respectivos beneficiarios y que subsistirá hasta la terminación de la ejecución de las obras</w:t>
      </w:r>
      <w:r w:rsidRPr="00F935DB">
        <w:rPr>
          <w:rStyle w:val="apple-converted-space"/>
          <w:rFonts w:ascii="Palatino Linotype" w:hAnsi="Palatino Linotype"/>
          <w:i/>
          <w:color w:val="000000"/>
          <w:sz w:val="22"/>
          <w:szCs w:val="22"/>
        </w:rPr>
        <w:t> </w:t>
      </w:r>
      <w:r w:rsidRPr="00F935DB">
        <w:rPr>
          <w:rFonts w:ascii="Palatino Linotype" w:hAnsi="Palatino Linotype"/>
          <w:i/>
          <w:color w:val="000000"/>
          <w:sz w:val="22"/>
          <w:szCs w:val="22"/>
        </w:rPr>
        <w:t>obras civiles y de infraestructura.”</w:t>
      </w:r>
    </w:p>
    <w:p w:rsidR="00F935DB" w:rsidRPr="00F935DB" w:rsidRDefault="00F935DB" w:rsidP="00F935DB">
      <w:pPr>
        <w:tabs>
          <w:tab w:val="left" w:pos="4253"/>
          <w:tab w:val="center" w:pos="4394"/>
        </w:tabs>
        <w:spacing w:after="120" w:line="276" w:lineRule="auto"/>
        <w:jc w:val="both"/>
        <w:rPr>
          <w:rFonts w:ascii="Palatino Linotype" w:hAnsi="Palatino Linotype"/>
          <w:b/>
          <w:sz w:val="22"/>
          <w:szCs w:val="22"/>
          <w:lang w:val="es-EC"/>
        </w:rPr>
      </w:pPr>
      <w:r w:rsidRPr="00F935DB">
        <w:rPr>
          <w:rFonts w:ascii="Palatino Linotype" w:hAnsi="Palatino Linotype"/>
          <w:b/>
          <w:sz w:val="22"/>
          <w:szCs w:val="22"/>
          <w:lang w:val="es-EC"/>
        </w:rPr>
        <w:t xml:space="preserve">Artículo 11.- </w:t>
      </w:r>
      <w:r w:rsidRPr="00F935DB">
        <w:rPr>
          <w:rFonts w:ascii="Palatino Linotype" w:hAnsi="Palatino Linotype"/>
          <w:sz w:val="22"/>
          <w:szCs w:val="22"/>
          <w:lang w:val="es-EC"/>
        </w:rPr>
        <w:t>Elimínese</w:t>
      </w:r>
      <w:r w:rsidRPr="00F935DB">
        <w:rPr>
          <w:rFonts w:ascii="Palatino Linotype" w:hAnsi="Palatino Linotype"/>
          <w:b/>
          <w:sz w:val="22"/>
          <w:szCs w:val="22"/>
          <w:lang w:val="es-EC"/>
        </w:rPr>
        <w:t xml:space="preserve"> </w:t>
      </w:r>
      <w:r w:rsidRPr="00F935DB">
        <w:rPr>
          <w:rFonts w:ascii="Palatino Linotype" w:hAnsi="Palatino Linotype"/>
          <w:sz w:val="22"/>
          <w:szCs w:val="22"/>
          <w:lang w:val="es-EC"/>
        </w:rPr>
        <w:t xml:space="preserve">el </w:t>
      </w:r>
      <w:r>
        <w:rPr>
          <w:rFonts w:ascii="Palatino Linotype" w:hAnsi="Palatino Linotype"/>
          <w:sz w:val="22"/>
          <w:szCs w:val="22"/>
          <w:lang w:val="es-EC"/>
        </w:rPr>
        <w:t>a</w:t>
      </w:r>
      <w:r w:rsidRPr="00F935DB">
        <w:rPr>
          <w:rFonts w:ascii="Palatino Linotype" w:hAnsi="Palatino Linotype"/>
          <w:sz w:val="22"/>
          <w:szCs w:val="22"/>
          <w:lang w:val="es-EC"/>
        </w:rPr>
        <w:t>rt</w:t>
      </w:r>
      <w:r>
        <w:rPr>
          <w:rFonts w:ascii="Palatino Linotype" w:hAnsi="Palatino Linotype"/>
          <w:sz w:val="22"/>
          <w:szCs w:val="22"/>
          <w:lang w:val="es-EC"/>
        </w:rPr>
        <w:t>ículo</w:t>
      </w:r>
      <w:r w:rsidRPr="00F935DB">
        <w:rPr>
          <w:rFonts w:ascii="Palatino Linotype" w:hAnsi="Palatino Linotype"/>
          <w:sz w:val="22"/>
          <w:szCs w:val="22"/>
          <w:lang w:val="es-EC"/>
        </w:rPr>
        <w:t xml:space="preserve"> 12 de</w:t>
      </w:r>
      <w:r w:rsidRPr="00F935DB">
        <w:rPr>
          <w:rFonts w:ascii="Palatino Linotype" w:hAnsi="Palatino Linotype"/>
          <w:bCs/>
          <w:sz w:val="22"/>
          <w:szCs w:val="22"/>
        </w:rPr>
        <w:t xml:space="preserve"> la Ordenanza No. 0085, </w:t>
      </w:r>
      <w:r w:rsidRPr="00F935DB">
        <w:rPr>
          <w:rFonts w:ascii="Palatino Linotype" w:hAnsi="Palatino Linotype"/>
          <w:sz w:val="22"/>
          <w:szCs w:val="22"/>
        </w:rPr>
        <w:t>sancionada el 22 de junio de 2011.</w:t>
      </w:r>
    </w:p>
    <w:p w:rsidR="00F935DB" w:rsidRPr="00F935DB" w:rsidRDefault="00F935DB" w:rsidP="00F935DB">
      <w:pPr>
        <w:tabs>
          <w:tab w:val="left" w:pos="4253"/>
          <w:tab w:val="center" w:pos="4394"/>
        </w:tabs>
        <w:spacing w:after="120" w:line="276" w:lineRule="auto"/>
        <w:jc w:val="both"/>
        <w:rPr>
          <w:rFonts w:ascii="Palatino Linotype" w:hAnsi="Palatino Linotype"/>
          <w:sz w:val="22"/>
          <w:szCs w:val="22"/>
          <w:lang w:val="es-EC"/>
        </w:rPr>
      </w:pPr>
      <w:r w:rsidRPr="00F935DB">
        <w:rPr>
          <w:rFonts w:ascii="Palatino Linotype" w:hAnsi="Palatino Linotype"/>
          <w:b/>
          <w:sz w:val="22"/>
          <w:szCs w:val="22"/>
          <w:lang w:val="es-EC"/>
        </w:rPr>
        <w:t xml:space="preserve">Artículo 12.- </w:t>
      </w:r>
      <w:r w:rsidRPr="00F935DB">
        <w:rPr>
          <w:rFonts w:ascii="Palatino Linotype" w:hAnsi="Palatino Linotype"/>
          <w:bCs/>
          <w:sz w:val="22"/>
          <w:szCs w:val="22"/>
        </w:rPr>
        <w:t xml:space="preserve">Sustitúyase el artículo 13 de la Ordenanza No. 0085, </w:t>
      </w:r>
      <w:r w:rsidRPr="00F935DB">
        <w:rPr>
          <w:rFonts w:ascii="Palatino Linotype" w:hAnsi="Palatino Linotype"/>
          <w:sz w:val="22"/>
          <w:szCs w:val="22"/>
        </w:rPr>
        <w:t>sancionada el 22 de junio de 2011</w:t>
      </w:r>
      <w:r w:rsidRPr="00F935DB">
        <w:rPr>
          <w:rFonts w:ascii="Palatino Linotype" w:hAnsi="Palatino Linotype"/>
          <w:bCs/>
          <w:sz w:val="22"/>
          <w:szCs w:val="22"/>
        </w:rPr>
        <w:t>, por el siguiente</w:t>
      </w:r>
      <w:r w:rsidRPr="00F935DB">
        <w:rPr>
          <w:rFonts w:ascii="Palatino Linotype" w:hAnsi="Palatino Linotype"/>
          <w:sz w:val="22"/>
          <w:szCs w:val="22"/>
          <w:lang w:val="es-EC"/>
        </w:rPr>
        <w:t xml:space="preserve"> texto:</w:t>
      </w:r>
    </w:p>
    <w:p w:rsidR="00F935DB" w:rsidRPr="00F935DB" w:rsidRDefault="00F935DB" w:rsidP="00F935DB">
      <w:pPr>
        <w:pStyle w:val="Textoindependiente"/>
        <w:tabs>
          <w:tab w:val="left" w:pos="1306"/>
        </w:tabs>
        <w:spacing w:line="276" w:lineRule="auto"/>
        <w:ind w:left="708"/>
        <w:jc w:val="both"/>
        <w:rPr>
          <w:rFonts w:ascii="Palatino Linotype" w:hAnsi="Palatino Linotype"/>
          <w:i/>
          <w:sz w:val="22"/>
          <w:szCs w:val="22"/>
        </w:rPr>
      </w:pPr>
      <w:r w:rsidRPr="00F935DB">
        <w:rPr>
          <w:rFonts w:ascii="Palatino Linotype" w:hAnsi="Palatino Linotype"/>
          <w:b/>
          <w:bCs/>
          <w:i/>
          <w:sz w:val="22"/>
          <w:szCs w:val="22"/>
        </w:rPr>
        <w:t>“Artículo</w:t>
      </w:r>
      <w:r w:rsidRPr="00F935DB">
        <w:rPr>
          <w:rFonts w:ascii="Palatino Linotype" w:hAnsi="Palatino Linotype"/>
          <w:b/>
          <w:bCs/>
          <w:i/>
          <w:sz w:val="22"/>
          <w:szCs w:val="22"/>
          <w:lang w:val="es-ES_tradnl"/>
        </w:rPr>
        <w:t xml:space="preserve"> 13.- De la </w:t>
      </w:r>
      <w:r>
        <w:rPr>
          <w:rFonts w:ascii="Palatino Linotype" w:hAnsi="Palatino Linotype"/>
          <w:b/>
          <w:bCs/>
          <w:i/>
          <w:sz w:val="22"/>
          <w:szCs w:val="22"/>
          <w:lang w:val="es-ES_tradnl"/>
        </w:rPr>
        <w:t>p</w:t>
      </w:r>
      <w:r w:rsidRPr="00F935DB">
        <w:rPr>
          <w:rFonts w:ascii="Palatino Linotype" w:hAnsi="Palatino Linotype"/>
          <w:b/>
          <w:bCs/>
          <w:i/>
          <w:sz w:val="22"/>
          <w:szCs w:val="22"/>
          <w:lang w:val="es-ES_tradnl"/>
        </w:rPr>
        <w:t xml:space="preserve">rotocolización e inscripción de la Ordenanza.-  </w:t>
      </w:r>
      <w:r w:rsidRPr="00F935DB">
        <w:rPr>
          <w:rFonts w:ascii="Palatino Linotype" w:hAnsi="Palatino Linotype"/>
          <w:i/>
          <w:sz w:val="22"/>
          <w:szCs w:val="22"/>
        </w:rPr>
        <w:t>Los copropietarios del Asentamiento Humano de Hecho y Consolidado de Interés Social denominado Asociación de Vivienda “Nueva Vida”, a favor de sus copropietarios, deberán protocolizar la presente Ordenanza ante Notario Público e inscribirla en el Registro de la Propiedad del Distrito Metropolitano de Quito, con todos sus documentos habilitantes.</w:t>
      </w:r>
    </w:p>
    <w:p w:rsidR="00F935DB" w:rsidRPr="00F935DB" w:rsidRDefault="00F935DB" w:rsidP="00F935DB">
      <w:pPr>
        <w:pStyle w:val="Textoindependiente"/>
        <w:tabs>
          <w:tab w:val="left" w:pos="1306"/>
        </w:tabs>
        <w:spacing w:line="276" w:lineRule="auto"/>
        <w:ind w:left="708"/>
        <w:jc w:val="both"/>
        <w:rPr>
          <w:rFonts w:ascii="Palatino Linotype" w:hAnsi="Palatino Linotype"/>
          <w:i/>
          <w:sz w:val="22"/>
          <w:szCs w:val="22"/>
        </w:rPr>
      </w:pPr>
      <w:r w:rsidRPr="00F935DB">
        <w:rPr>
          <w:rFonts w:ascii="Palatino Linotype" w:hAnsi="Palatino Linotype"/>
          <w:i/>
          <w:sz w:val="22"/>
          <w:szCs w:val="22"/>
        </w:rPr>
        <w:t>En caso no legalizar la presente ordenanza, ésta caducará conforme lo determinado en la normativa nacional vigente.</w:t>
      </w:r>
    </w:p>
    <w:p w:rsidR="00F935DB" w:rsidRPr="00F935DB" w:rsidRDefault="00F935DB" w:rsidP="00F935DB">
      <w:pPr>
        <w:pStyle w:val="Textoindependiente"/>
        <w:tabs>
          <w:tab w:val="left" w:pos="1306"/>
        </w:tabs>
        <w:spacing w:line="276" w:lineRule="auto"/>
        <w:ind w:left="708"/>
        <w:jc w:val="both"/>
        <w:rPr>
          <w:rFonts w:ascii="Palatino Linotype" w:hAnsi="Palatino Linotype"/>
          <w:i/>
          <w:sz w:val="22"/>
          <w:szCs w:val="22"/>
        </w:rPr>
      </w:pPr>
      <w:r w:rsidRPr="00F935DB">
        <w:rPr>
          <w:rFonts w:ascii="Palatino Linotype" w:hAnsi="Palatino Linotype"/>
          <w:i/>
          <w:sz w:val="22"/>
          <w:szCs w:val="22"/>
        </w:rPr>
        <w:lastRenderedPageBreak/>
        <w:t>La inscripción de la presente ordenanza servirá como título de dominio para efectos de la transferencia de áreas verdes, en caso de que existan.”</w:t>
      </w:r>
    </w:p>
    <w:p w:rsidR="00F935DB" w:rsidRPr="00F935DB" w:rsidRDefault="00F935DB" w:rsidP="00F935DB">
      <w:pPr>
        <w:tabs>
          <w:tab w:val="left" w:pos="4253"/>
          <w:tab w:val="center" w:pos="4394"/>
        </w:tabs>
        <w:spacing w:after="120" w:line="276" w:lineRule="auto"/>
        <w:jc w:val="both"/>
        <w:rPr>
          <w:rFonts w:ascii="Palatino Linotype" w:hAnsi="Palatino Linotype"/>
          <w:sz w:val="22"/>
          <w:szCs w:val="22"/>
          <w:lang w:val="es-EC"/>
        </w:rPr>
      </w:pPr>
      <w:r w:rsidRPr="00F935DB">
        <w:rPr>
          <w:rFonts w:ascii="Palatino Linotype" w:hAnsi="Palatino Linotype"/>
          <w:b/>
          <w:sz w:val="22"/>
          <w:szCs w:val="22"/>
          <w:lang w:val="es-EC"/>
        </w:rPr>
        <w:t xml:space="preserve">Artículo 13.- </w:t>
      </w:r>
      <w:r w:rsidRPr="00F935DB">
        <w:rPr>
          <w:rFonts w:ascii="Palatino Linotype" w:hAnsi="Palatino Linotype"/>
          <w:bCs/>
          <w:sz w:val="22"/>
          <w:szCs w:val="22"/>
        </w:rPr>
        <w:t xml:space="preserve">Sustitúyase el artículo 14 de la Ordenanza No. 0085, </w:t>
      </w:r>
      <w:r w:rsidRPr="00F935DB">
        <w:rPr>
          <w:rFonts w:ascii="Palatino Linotype" w:hAnsi="Palatino Linotype"/>
          <w:sz w:val="22"/>
          <w:szCs w:val="22"/>
        </w:rPr>
        <w:t>sancionada el 22 de junio de 2011</w:t>
      </w:r>
      <w:r w:rsidRPr="00F935DB">
        <w:rPr>
          <w:rFonts w:ascii="Palatino Linotype" w:hAnsi="Palatino Linotype"/>
          <w:bCs/>
          <w:sz w:val="22"/>
          <w:szCs w:val="22"/>
        </w:rPr>
        <w:t>, por el siguiente</w:t>
      </w:r>
      <w:r w:rsidRPr="00F935DB">
        <w:rPr>
          <w:rFonts w:ascii="Palatino Linotype" w:hAnsi="Palatino Linotype"/>
          <w:sz w:val="22"/>
          <w:szCs w:val="22"/>
          <w:lang w:val="es-EC"/>
        </w:rPr>
        <w:t xml:space="preserve"> texto:</w:t>
      </w:r>
    </w:p>
    <w:p w:rsidR="00F935DB" w:rsidRPr="00F935DB" w:rsidRDefault="00F935DB" w:rsidP="00F935DB">
      <w:pPr>
        <w:pStyle w:val="Textoindependiente"/>
        <w:tabs>
          <w:tab w:val="left" w:pos="1306"/>
        </w:tabs>
        <w:spacing w:line="276" w:lineRule="auto"/>
        <w:ind w:left="708"/>
        <w:jc w:val="both"/>
        <w:rPr>
          <w:rFonts w:ascii="Palatino Linotype" w:hAnsi="Palatino Linotype"/>
          <w:i/>
          <w:sz w:val="22"/>
          <w:szCs w:val="22"/>
        </w:rPr>
      </w:pPr>
      <w:r w:rsidRPr="00F935DB">
        <w:rPr>
          <w:rFonts w:ascii="Palatino Linotype" w:hAnsi="Palatino Linotype"/>
          <w:b/>
          <w:i/>
          <w:sz w:val="22"/>
          <w:szCs w:val="22"/>
          <w:lang w:val="es-ES_tradnl"/>
        </w:rPr>
        <w:t>“Artículo 14.- De la partición y adjudicación.-</w:t>
      </w:r>
      <w:r w:rsidRPr="00F935DB">
        <w:rPr>
          <w:rFonts w:ascii="Palatino Linotype" w:hAnsi="Palatino Linotype"/>
          <w:i/>
          <w:sz w:val="22"/>
          <w:szCs w:val="22"/>
          <w:lang w:val="es-ES_tradnl"/>
        </w:rPr>
        <w:t xml:space="preserve"> </w:t>
      </w:r>
      <w:r w:rsidRPr="00F935DB">
        <w:rPr>
          <w:rFonts w:ascii="Palatino Linotype" w:hAnsi="Palatino Linotype"/>
          <w:i/>
          <w:sz w:val="22"/>
          <w:szCs w:val="22"/>
        </w:rPr>
        <w:t>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 los beneficiarios.</w:t>
      </w:r>
    </w:p>
    <w:p w:rsidR="00F935DB" w:rsidRPr="00F935DB" w:rsidRDefault="00F935DB" w:rsidP="00F935DB">
      <w:pPr>
        <w:pStyle w:val="Textoindependiente"/>
        <w:tabs>
          <w:tab w:val="left" w:pos="1306"/>
        </w:tabs>
        <w:spacing w:line="276" w:lineRule="auto"/>
        <w:ind w:left="708"/>
        <w:jc w:val="both"/>
        <w:rPr>
          <w:rFonts w:ascii="Palatino Linotype" w:hAnsi="Palatino Linotype"/>
          <w:i/>
          <w:sz w:val="22"/>
          <w:szCs w:val="22"/>
        </w:rPr>
      </w:pPr>
      <w:r w:rsidRPr="00F935DB">
        <w:rPr>
          <w:rFonts w:ascii="Palatino Linotype" w:hAnsi="Palatino Linotype"/>
          <w:i/>
          <w:sz w:val="22"/>
          <w:szCs w:val="22"/>
        </w:rPr>
        <w:t>Cuando por efectos de la partición y adjudicación administrativa se produjeren controversias de dominio o derechos personales entre los beneficiarios del acto administrativo y quien pretenda ser titular del derecho de dominio sobre los derechos y acciones del lote o bien inmueble fraccionado, estas serán conocidas y resueltas por el juez competente en juicio ordinario.”</w:t>
      </w:r>
    </w:p>
    <w:p w:rsidR="00F935DB" w:rsidRPr="00F935DB" w:rsidRDefault="00F935DB" w:rsidP="00F935DB">
      <w:pPr>
        <w:spacing w:after="120" w:line="276" w:lineRule="auto"/>
        <w:jc w:val="both"/>
        <w:rPr>
          <w:rFonts w:ascii="Palatino Linotype" w:hAnsi="Palatino Linotype"/>
          <w:b/>
          <w:sz w:val="22"/>
          <w:szCs w:val="22"/>
          <w:lang w:val="es-EC"/>
        </w:rPr>
      </w:pPr>
      <w:r w:rsidRPr="00F935DB">
        <w:rPr>
          <w:rFonts w:ascii="Palatino Linotype" w:hAnsi="Palatino Linotype"/>
          <w:b/>
          <w:sz w:val="22"/>
          <w:szCs w:val="22"/>
          <w:lang w:val="es-EC"/>
        </w:rPr>
        <w:t xml:space="preserve">Artículo 14.- </w:t>
      </w:r>
      <w:r w:rsidRPr="00F935DB">
        <w:rPr>
          <w:rFonts w:ascii="Palatino Linotype" w:hAnsi="Palatino Linotype"/>
          <w:sz w:val="22"/>
          <w:szCs w:val="22"/>
          <w:lang w:val="es-EC"/>
        </w:rPr>
        <w:t xml:space="preserve">Inclúyase un </w:t>
      </w:r>
      <w:r>
        <w:rPr>
          <w:rFonts w:ascii="Palatino Linotype" w:hAnsi="Palatino Linotype"/>
          <w:sz w:val="22"/>
          <w:szCs w:val="22"/>
          <w:lang w:val="es-EC"/>
        </w:rPr>
        <w:t>a</w:t>
      </w:r>
      <w:r w:rsidRPr="00F935DB">
        <w:rPr>
          <w:rFonts w:ascii="Palatino Linotype" w:hAnsi="Palatino Linotype"/>
          <w:sz w:val="22"/>
          <w:szCs w:val="22"/>
          <w:lang w:val="es-EC"/>
        </w:rPr>
        <w:t xml:space="preserve">rtículo </w:t>
      </w:r>
      <w:proofErr w:type="spellStart"/>
      <w:r w:rsidRPr="00F935DB">
        <w:rPr>
          <w:rFonts w:ascii="Palatino Linotype" w:hAnsi="Palatino Linotype"/>
          <w:sz w:val="22"/>
          <w:szCs w:val="22"/>
          <w:lang w:val="es-EC"/>
        </w:rPr>
        <w:t>innumerado</w:t>
      </w:r>
      <w:proofErr w:type="spellEnd"/>
      <w:r w:rsidRPr="00F935DB">
        <w:rPr>
          <w:rFonts w:ascii="Palatino Linotype" w:hAnsi="Palatino Linotype"/>
          <w:sz w:val="22"/>
          <w:szCs w:val="22"/>
          <w:lang w:val="es-EC"/>
        </w:rPr>
        <w:t xml:space="preserve"> después del Art.</w:t>
      </w:r>
      <w:r w:rsidRPr="00F935DB">
        <w:rPr>
          <w:rFonts w:ascii="Palatino Linotype" w:hAnsi="Palatino Linotype"/>
          <w:b/>
          <w:sz w:val="22"/>
          <w:szCs w:val="22"/>
          <w:lang w:val="es-EC"/>
        </w:rPr>
        <w:t xml:space="preserve"> </w:t>
      </w:r>
      <w:r w:rsidRPr="00F935DB">
        <w:rPr>
          <w:rFonts w:ascii="Palatino Linotype" w:hAnsi="Palatino Linotype"/>
          <w:bCs/>
          <w:sz w:val="22"/>
          <w:szCs w:val="22"/>
        </w:rPr>
        <w:t xml:space="preserve">14 de la Ordenanza No. 0085, </w:t>
      </w:r>
      <w:r w:rsidRPr="00F935DB">
        <w:rPr>
          <w:rFonts w:ascii="Palatino Linotype" w:hAnsi="Palatino Linotype"/>
          <w:sz w:val="22"/>
          <w:szCs w:val="22"/>
        </w:rPr>
        <w:t>sancionada el 22 de junio de 2011</w:t>
      </w:r>
      <w:r w:rsidRPr="00F935DB">
        <w:rPr>
          <w:rFonts w:ascii="Palatino Linotype" w:hAnsi="Palatino Linotype"/>
          <w:b/>
          <w:sz w:val="22"/>
          <w:szCs w:val="22"/>
          <w:lang w:val="es-EC"/>
        </w:rPr>
        <w:t>:</w:t>
      </w:r>
    </w:p>
    <w:p w:rsidR="00F935DB" w:rsidRPr="00F935DB" w:rsidRDefault="00F935DB" w:rsidP="00F935DB">
      <w:pPr>
        <w:spacing w:after="120" w:line="276" w:lineRule="auto"/>
        <w:ind w:left="708"/>
        <w:jc w:val="both"/>
        <w:rPr>
          <w:rFonts w:ascii="Palatino Linotype" w:hAnsi="Palatino Linotype"/>
          <w:bCs/>
          <w:i/>
          <w:sz w:val="22"/>
          <w:szCs w:val="22"/>
          <w:lang w:val="es-ES_tradnl"/>
        </w:rPr>
      </w:pPr>
      <w:r w:rsidRPr="00F935DB">
        <w:rPr>
          <w:rFonts w:ascii="Palatino Linotype" w:hAnsi="Palatino Linotype"/>
          <w:b/>
          <w:i/>
          <w:sz w:val="22"/>
          <w:szCs w:val="22"/>
          <w:lang w:val="es-EC"/>
        </w:rPr>
        <w:t xml:space="preserve"> “Artículo (…).- </w:t>
      </w:r>
      <w:r w:rsidRPr="00F935DB">
        <w:rPr>
          <w:rFonts w:ascii="Palatino Linotype" w:hAnsi="Palatino Linotype"/>
          <w:b/>
          <w:bCs/>
          <w:i/>
          <w:sz w:val="22"/>
          <w:szCs w:val="22"/>
          <w:lang w:val="es-ES_tradnl"/>
        </w:rPr>
        <w:t xml:space="preserve">Solicitudes de ampliación de plazo.- </w:t>
      </w:r>
      <w:r w:rsidRPr="00F935DB">
        <w:rPr>
          <w:rFonts w:ascii="Palatino Linotype" w:hAnsi="Palatino Linotype"/>
          <w:bCs/>
          <w:i/>
          <w:sz w:val="22"/>
          <w:szCs w:val="22"/>
          <w:lang w:val="es-ES_tradnl"/>
        </w:rPr>
        <w:t xml:space="preserve">Las solicitudes de ampliación de plazo para ejecución de </w:t>
      </w:r>
      <w:r w:rsidRPr="00F935DB">
        <w:rPr>
          <w:rFonts w:ascii="Palatino Linotype" w:hAnsi="Palatino Linotype"/>
          <w:i/>
          <w:sz w:val="22"/>
          <w:szCs w:val="22"/>
          <w:lang w:val="es-EC"/>
        </w:rPr>
        <w:t>obras civiles y de infraestructura e incluido el equipamiento del área comunal</w:t>
      </w:r>
      <w:r w:rsidRPr="00F935DB">
        <w:rPr>
          <w:rFonts w:ascii="Palatino Linotype" w:hAnsi="Palatino Linotype"/>
          <w:bCs/>
          <w:i/>
          <w:sz w:val="22"/>
          <w:szCs w:val="22"/>
          <w:lang w:val="es-ES_tradnl"/>
        </w:rPr>
        <w:t>, presentación del cronograma de mitigación de riesgos; y, la ejecución de obras de mitigación de riesgos serán resueltas por la Administración Zonal correspondiente.”</w:t>
      </w:r>
    </w:p>
    <w:p w:rsidR="00A654C3" w:rsidRPr="0054024E" w:rsidRDefault="00A654C3" w:rsidP="00A654C3">
      <w:pPr>
        <w:spacing w:after="120" w:line="276" w:lineRule="auto"/>
        <w:jc w:val="both"/>
        <w:rPr>
          <w:rFonts w:ascii="Palatino Linotype" w:hAnsi="Palatino Linotype" w:cs="Arial"/>
          <w:sz w:val="22"/>
          <w:szCs w:val="22"/>
        </w:rPr>
      </w:pPr>
      <w:r w:rsidRPr="0054024E">
        <w:rPr>
          <w:rFonts w:ascii="Palatino Linotype" w:hAnsi="Palatino Linotype" w:cs="Arial"/>
          <w:b/>
          <w:color w:val="000000"/>
          <w:sz w:val="22"/>
          <w:szCs w:val="22"/>
        </w:rPr>
        <w:t>Disposición final.-</w:t>
      </w:r>
      <w:r w:rsidRPr="0054024E">
        <w:rPr>
          <w:rFonts w:ascii="Palatino Linotype" w:hAnsi="Palatino Linotype" w:cs="Arial"/>
          <w:color w:val="000000"/>
          <w:sz w:val="22"/>
          <w:szCs w:val="22"/>
        </w:rPr>
        <w:t xml:space="preserve"> La presente ordenanza entrará en vigencia a partir de su sanción, sin perjuicio de su publicación en la página web institucional de la Municipalidad.</w:t>
      </w:r>
    </w:p>
    <w:p w:rsidR="00A654C3" w:rsidRDefault="00A654C3" w:rsidP="00A654C3">
      <w:pPr>
        <w:pStyle w:val="Cuadrculaclara-nfasis31"/>
        <w:tabs>
          <w:tab w:val="left" w:pos="2410"/>
        </w:tabs>
        <w:suppressAutoHyphens w:val="0"/>
        <w:spacing w:after="120" w:line="276" w:lineRule="auto"/>
        <w:ind w:left="0"/>
        <w:jc w:val="both"/>
        <w:rPr>
          <w:rFonts w:ascii="Palatino Linotype" w:hAnsi="Palatino Linotype"/>
          <w:sz w:val="22"/>
          <w:szCs w:val="22"/>
        </w:rPr>
      </w:pPr>
      <w:r>
        <w:rPr>
          <w:rFonts w:ascii="Palatino Linotype" w:hAnsi="Palatino Linotype"/>
          <w:sz w:val="22"/>
          <w:szCs w:val="22"/>
        </w:rPr>
        <w:t xml:space="preserve">Dada, en la Sala de Sesiones del Concejo Metropolitano de Quito, el </w:t>
      </w:r>
      <w:r w:rsidR="002305D7">
        <w:rPr>
          <w:rFonts w:ascii="Palatino Linotype" w:hAnsi="Palatino Linotype"/>
          <w:sz w:val="22"/>
          <w:szCs w:val="22"/>
        </w:rPr>
        <w:t>13</w:t>
      </w:r>
      <w:r>
        <w:rPr>
          <w:rFonts w:ascii="Palatino Linotype" w:hAnsi="Palatino Linotype"/>
          <w:sz w:val="22"/>
          <w:szCs w:val="22"/>
        </w:rPr>
        <w:t xml:space="preserve"> de </w:t>
      </w:r>
      <w:r w:rsidR="002305D7">
        <w:rPr>
          <w:rFonts w:ascii="Palatino Linotype" w:hAnsi="Palatino Linotype"/>
          <w:sz w:val="22"/>
          <w:szCs w:val="22"/>
        </w:rPr>
        <w:t xml:space="preserve">julio </w:t>
      </w:r>
      <w:r>
        <w:rPr>
          <w:rFonts w:ascii="Palatino Linotype" w:hAnsi="Palatino Linotype"/>
          <w:sz w:val="22"/>
          <w:szCs w:val="22"/>
        </w:rPr>
        <w:t>de 2017.</w:t>
      </w:r>
    </w:p>
    <w:p w:rsidR="00A654C3" w:rsidRDefault="00A654C3" w:rsidP="00A654C3">
      <w:pPr>
        <w:pStyle w:val="Textopredeterminado"/>
        <w:shd w:val="clear" w:color="auto" w:fill="FFFFFF"/>
        <w:jc w:val="both"/>
        <w:rPr>
          <w:rFonts w:ascii="Palatino Linotype" w:hAnsi="Palatino Linotype"/>
          <w:sz w:val="22"/>
          <w:szCs w:val="22"/>
        </w:rPr>
      </w:pPr>
    </w:p>
    <w:p w:rsidR="00A654C3" w:rsidRDefault="00A654C3" w:rsidP="00A654C3">
      <w:pPr>
        <w:pStyle w:val="Textopredeterminado"/>
        <w:shd w:val="clear" w:color="auto" w:fill="FFFFFF"/>
        <w:jc w:val="both"/>
        <w:rPr>
          <w:rFonts w:ascii="Palatino Linotype" w:hAnsi="Palatino Linotype"/>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tbl>
      <w:tblPr>
        <w:tblW w:w="10899" w:type="dxa"/>
        <w:jc w:val="center"/>
        <w:tblLook w:val="04A0" w:firstRow="1" w:lastRow="0" w:firstColumn="1" w:lastColumn="0" w:noHBand="0" w:noVBand="1"/>
      </w:tblPr>
      <w:tblGrid>
        <w:gridCol w:w="5575"/>
        <w:gridCol w:w="5324"/>
      </w:tblGrid>
      <w:tr w:rsidR="002305D7" w:rsidRPr="00071015" w:rsidTr="00DD335C">
        <w:trPr>
          <w:jc w:val="center"/>
        </w:trPr>
        <w:tc>
          <w:tcPr>
            <w:tcW w:w="5575" w:type="dxa"/>
            <w:hideMark/>
          </w:tcPr>
          <w:p w:rsidR="002305D7" w:rsidRPr="009A6CD8" w:rsidRDefault="002305D7" w:rsidP="00DD335C">
            <w:pPr>
              <w:pStyle w:val="Textopredeterminado"/>
              <w:jc w:val="center"/>
              <w:rPr>
                <w:rFonts w:ascii="Palatino Linotype" w:hAnsi="Palatino Linotype" w:cs="Arial"/>
                <w:sz w:val="19"/>
                <w:szCs w:val="19"/>
              </w:rPr>
            </w:pPr>
            <w:r w:rsidRPr="009A6CD8">
              <w:rPr>
                <w:rFonts w:ascii="Palatino Linotype" w:hAnsi="Palatino Linotype" w:cs="Arial"/>
                <w:sz w:val="19"/>
                <w:szCs w:val="19"/>
              </w:rPr>
              <w:t>Abg. Eduardo Del Pozo</w:t>
            </w:r>
          </w:p>
          <w:p w:rsidR="002305D7" w:rsidRPr="009A6CD8" w:rsidRDefault="002305D7" w:rsidP="00DD335C">
            <w:pPr>
              <w:pStyle w:val="Textopredeterminado"/>
              <w:jc w:val="center"/>
              <w:rPr>
                <w:rFonts w:ascii="Palatino Linotype" w:hAnsi="Palatino Linotype" w:cs="Arial"/>
                <w:b/>
                <w:sz w:val="19"/>
                <w:szCs w:val="19"/>
              </w:rPr>
            </w:pPr>
            <w:r w:rsidRPr="009A6CD8">
              <w:rPr>
                <w:rFonts w:ascii="Palatino Linotype" w:hAnsi="Palatino Linotype" w:cs="Arial"/>
                <w:b/>
                <w:sz w:val="19"/>
                <w:szCs w:val="19"/>
              </w:rPr>
              <w:t>Primer Vicepresidente del Concejo Metropolitano de Quito</w:t>
            </w:r>
          </w:p>
        </w:tc>
        <w:tc>
          <w:tcPr>
            <w:tcW w:w="5324" w:type="dxa"/>
            <w:hideMark/>
          </w:tcPr>
          <w:p w:rsidR="002305D7" w:rsidRPr="009A6CD8" w:rsidRDefault="002305D7" w:rsidP="00DD335C">
            <w:pPr>
              <w:pStyle w:val="Textopredeterminado"/>
              <w:jc w:val="center"/>
              <w:rPr>
                <w:rFonts w:ascii="Palatino Linotype" w:hAnsi="Palatino Linotype" w:cs="Arial"/>
                <w:sz w:val="19"/>
                <w:szCs w:val="19"/>
              </w:rPr>
            </w:pPr>
            <w:r w:rsidRPr="009A6CD8">
              <w:rPr>
                <w:rFonts w:ascii="Palatino Linotype" w:hAnsi="Palatino Linotype" w:cs="Arial"/>
                <w:sz w:val="19"/>
                <w:szCs w:val="19"/>
              </w:rPr>
              <w:t>Abg. Diego Cevallos Salgado</w:t>
            </w:r>
          </w:p>
          <w:p w:rsidR="002305D7" w:rsidRPr="009A6CD8" w:rsidRDefault="002305D7" w:rsidP="00DD335C">
            <w:pPr>
              <w:pStyle w:val="Textopredeterminado"/>
              <w:jc w:val="center"/>
              <w:rPr>
                <w:rFonts w:ascii="Palatino Linotype" w:hAnsi="Palatino Linotype" w:cs="Arial"/>
                <w:b/>
                <w:sz w:val="19"/>
                <w:szCs w:val="19"/>
              </w:rPr>
            </w:pPr>
            <w:r w:rsidRPr="009A6CD8">
              <w:rPr>
                <w:rFonts w:ascii="Palatino Linotype" w:hAnsi="Palatino Linotype" w:cs="Arial"/>
                <w:b/>
                <w:sz w:val="19"/>
                <w:szCs w:val="19"/>
              </w:rPr>
              <w:t>Secretario General del Concejo Metropolitano de Quito</w:t>
            </w:r>
          </w:p>
          <w:p w:rsidR="002305D7" w:rsidRDefault="002305D7" w:rsidP="00DD335C">
            <w:pPr>
              <w:pStyle w:val="Textopredeterminado"/>
              <w:rPr>
                <w:rFonts w:ascii="Palatino Linotype" w:hAnsi="Palatino Linotype" w:cs="Arial"/>
                <w:b/>
                <w:sz w:val="19"/>
                <w:szCs w:val="19"/>
              </w:rPr>
            </w:pPr>
          </w:p>
          <w:p w:rsidR="00582054" w:rsidRDefault="00582054" w:rsidP="00DD335C">
            <w:pPr>
              <w:pStyle w:val="Textopredeterminado"/>
              <w:rPr>
                <w:rFonts w:ascii="Palatino Linotype" w:hAnsi="Palatino Linotype" w:cs="Arial"/>
                <w:b/>
                <w:sz w:val="19"/>
                <w:szCs w:val="19"/>
              </w:rPr>
            </w:pPr>
          </w:p>
          <w:p w:rsidR="00582054" w:rsidRDefault="00582054" w:rsidP="00DD335C">
            <w:pPr>
              <w:pStyle w:val="Textopredeterminado"/>
              <w:rPr>
                <w:rFonts w:ascii="Palatino Linotype" w:hAnsi="Palatino Linotype" w:cs="Arial"/>
                <w:b/>
                <w:sz w:val="19"/>
                <w:szCs w:val="19"/>
              </w:rPr>
            </w:pPr>
          </w:p>
          <w:p w:rsidR="00582054" w:rsidRDefault="00582054" w:rsidP="00DD335C">
            <w:pPr>
              <w:pStyle w:val="Textopredeterminado"/>
              <w:rPr>
                <w:rFonts w:ascii="Palatino Linotype" w:hAnsi="Palatino Linotype" w:cs="Arial"/>
                <w:b/>
                <w:sz w:val="19"/>
                <w:szCs w:val="19"/>
              </w:rPr>
            </w:pPr>
          </w:p>
          <w:p w:rsidR="00582054" w:rsidRDefault="00582054" w:rsidP="00DD335C">
            <w:pPr>
              <w:pStyle w:val="Textopredeterminado"/>
              <w:rPr>
                <w:rFonts w:ascii="Palatino Linotype" w:hAnsi="Palatino Linotype" w:cs="Arial"/>
                <w:b/>
                <w:sz w:val="19"/>
                <w:szCs w:val="19"/>
              </w:rPr>
            </w:pPr>
          </w:p>
          <w:p w:rsidR="00582054" w:rsidRDefault="00582054" w:rsidP="00DD335C">
            <w:pPr>
              <w:pStyle w:val="Textopredeterminado"/>
              <w:rPr>
                <w:rFonts w:ascii="Palatino Linotype" w:hAnsi="Palatino Linotype" w:cs="Arial"/>
                <w:b/>
                <w:sz w:val="19"/>
                <w:szCs w:val="19"/>
              </w:rPr>
            </w:pPr>
          </w:p>
          <w:p w:rsidR="00582054" w:rsidRPr="009A6CD8" w:rsidRDefault="00582054" w:rsidP="00DD335C">
            <w:pPr>
              <w:pStyle w:val="Textopredeterminado"/>
              <w:rPr>
                <w:rFonts w:ascii="Palatino Linotype" w:hAnsi="Palatino Linotype" w:cs="Arial"/>
                <w:b/>
                <w:sz w:val="19"/>
                <w:szCs w:val="19"/>
              </w:rPr>
            </w:pPr>
          </w:p>
        </w:tc>
      </w:tr>
    </w:tbl>
    <w:p w:rsidR="00A654C3" w:rsidRPr="006336FA" w:rsidRDefault="00A654C3" w:rsidP="00A654C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lastRenderedPageBreak/>
        <w:t>CERTIFICADO DE DISCUSIÓN</w:t>
      </w:r>
    </w:p>
    <w:p w:rsidR="00A654C3" w:rsidRPr="006336FA" w:rsidRDefault="00A654C3" w:rsidP="00A654C3">
      <w:pPr>
        <w:pStyle w:val="Textosinformato"/>
        <w:jc w:val="both"/>
        <w:rPr>
          <w:rFonts w:ascii="Palatino Linotype" w:eastAsia="MS Mincho" w:hAnsi="Palatino Linotype" w:cs="Arial"/>
          <w:sz w:val="22"/>
          <w:szCs w:val="22"/>
        </w:rPr>
      </w:pPr>
    </w:p>
    <w:p w:rsidR="00A654C3" w:rsidRDefault="00A654C3" w:rsidP="00A654C3">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 Secretario</w:t>
      </w:r>
      <w:r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2305D7">
        <w:rPr>
          <w:rFonts w:ascii="Palatino Linotype" w:eastAsia="MS Mincho" w:hAnsi="Palatino Linotype" w:cs="Arial"/>
          <w:sz w:val="22"/>
          <w:szCs w:val="22"/>
        </w:rPr>
        <w:t>29</w:t>
      </w:r>
      <w:r>
        <w:rPr>
          <w:rFonts w:ascii="Palatino Linotype" w:eastAsia="MS Mincho" w:hAnsi="Palatino Linotype" w:cs="Arial"/>
          <w:sz w:val="22"/>
          <w:szCs w:val="22"/>
        </w:rPr>
        <w:t xml:space="preserve"> de </w:t>
      </w:r>
      <w:r w:rsidR="002305D7">
        <w:rPr>
          <w:rFonts w:ascii="Palatino Linotype" w:eastAsia="MS Mincho" w:hAnsi="Palatino Linotype" w:cs="Arial"/>
          <w:sz w:val="22"/>
          <w:szCs w:val="22"/>
        </w:rPr>
        <w:t xml:space="preserve">junio </w:t>
      </w:r>
      <w:r w:rsidRPr="006336FA">
        <w:rPr>
          <w:rFonts w:ascii="Palatino Linotype" w:eastAsia="MS Mincho" w:hAnsi="Palatino Linotype" w:cs="Arial"/>
          <w:sz w:val="22"/>
          <w:szCs w:val="22"/>
        </w:rPr>
        <w:t xml:space="preserve">y </w:t>
      </w:r>
      <w:r w:rsidR="002305D7">
        <w:rPr>
          <w:rFonts w:ascii="Palatino Linotype" w:eastAsia="MS Mincho" w:hAnsi="Palatino Linotype" w:cs="Arial"/>
          <w:sz w:val="22"/>
          <w:szCs w:val="22"/>
        </w:rPr>
        <w:t>13</w:t>
      </w:r>
      <w:r w:rsidRPr="006336FA">
        <w:rPr>
          <w:rFonts w:ascii="Palatino Linotype" w:eastAsia="MS Mincho" w:hAnsi="Palatino Linotype" w:cs="Arial"/>
          <w:sz w:val="22"/>
          <w:szCs w:val="22"/>
        </w:rPr>
        <w:t xml:space="preserve"> de </w:t>
      </w:r>
      <w:r w:rsidR="002305D7">
        <w:rPr>
          <w:rFonts w:ascii="Palatino Linotype" w:eastAsia="MS Mincho" w:hAnsi="Palatino Linotype" w:cs="Arial"/>
          <w:sz w:val="22"/>
          <w:szCs w:val="22"/>
        </w:rPr>
        <w:t xml:space="preserve">julio </w:t>
      </w:r>
      <w:r w:rsidRPr="006336FA">
        <w:rPr>
          <w:rFonts w:ascii="Palatino Linotype" w:eastAsia="MS Mincho" w:hAnsi="Palatino Linotype" w:cs="Arial"/>
          <w:sz w:val="22"/>
          <w:szCs w:val="22"/>
        </w:rPr>
        <w:t>de 201</w:t>
      </w:r>
      <w:r>
        <w:rPr>
          <w:rFonts w:ascii="Palatino Linotype" w:eastAsia="MS Mincho" w:hAnsi="Palatino Linotype" w:cs="Arial"/>
          <w:sz w:val="22"/>
          <w:szCs w:val="22"/>
        </w:rPr>
        <w:t>7</w:t>
      </w:r>
      <w:r w:rsidRPr="006336FA">
        <w:rPr>
          <w:rFonts w:ascii="Palatino Linotype" w:eastAsia="MS Mincho" w:hAnsi="Palatino Linotype" w:cs="Arial"/>
          <w:sz w:val="22"/>
          <w:szCs w:val="22"/>
        </w:rPr>
        <w:t>.- Quito,</w:t>
      </w:r>
    </w:p>
    <w:p w:rsidR="00A654C3" w:rsidRDefault="00A654C3" w:rsidP="00A654C3">
      <w:pPr>
        <w:pStyle w:val="Textosinformato"/>
        <w:spacing w:line="276" w:lineRule="auto"/>
        <w:jc w:val="both"/>
        <w:rPr>
          <w:rFonts w:ascii="Palatino Linotype" w:eastAsia="MS Mincho" w:hAnsi="Palatino Linotype" w:cs="Arial"/>
          <w:sz w:val="22"/>
          <w:szCs w:val="22"/>
        </w:rPr>
      </w:pPr>
    </w:p>
    <w:p w:rsidR="00A654C3" w:rsidRPr="006336FA" w:rsidRDefault="00A654C3" w:rsidP="00A654C3">
      <w:pPr>
        <w:pStyle w:val="Textosinformato"/>
        <w:spacing w:line="276" w:lineRule="auto"/>
        <w:jc w:val="both"/>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A654C3" w:rsidRPr="006336FA" w:rsidRDefault="00A654C3" w:rsidP="00A654C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A654C3" w:rsidRPr="006336FA" w:rsidRDefault="00A654C3" w:rsidP="00A654C3">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A654C3" w:rsidRPr="006336FA" w:rsidRDefault="00A654C3" w:rsidP="00A654C3">
      <w:pPr>
        <w:pStyle w:val="Textosinformato"/>
        <w:jc w:val="center"/>
        <w:rPr>
          <w:rFonts w:ascii="Palatino Linotype" w:eastAsia="MS Mincho" w:hAnsi="Palatino Linotype" w:cs="Arial"/>
          <w:b/>
          <w:sz w:val="22"/>
          <w:szCs w:val="22"/>
        </w:rPr>
      </w:pPr>
    </w:p>
    <w:p w:rsidR="00A654C3" w:rsidRPr="006336FA" w:rsidRDefault="00A654C3" w:rsidP="00A654C3">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A654C3" w:rsidRDefault="00A654C3" w:rsidP="00A654C3">
      <w:pPr>
        <w:pStyle w:val="Textosinformato"/>
        <w:jc w:val="center"/>
        <w:rPr>
          <w:rFonts w:ascii="Palatino Linotype" w:eastAsia="MS Mincho" w:hAnsi="Palatino Linotype" w:cs="Arial"/>
          <w:sz w:val="22"/>
          <w:szCs w:val="22"/>
        </w:rPr>
      </w:pPr>
    </w:p>
    <w:p w:rsidR="00A654C3"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A654C3" w:rsidRDefault="00A654C3" w:rsidP="00A654C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582054" w:rsidRPr="006336FA" w:rsidRDefault="00582054" w:rsidP="00A654C3">
      <w:pPr>
        <w:pStyle w:val="Textosinformato"/>
        <w:jc w:val="center"/>
        <w:rPr>
          <w:rFonts w:ascii="Palatino Linotype" w:eastAsia="MS Mincho" w:hAnsi="Palatino Linotype" w:cs="Arial"/>
          <w:b/>
          <w:bCs/>
          <w:sz w:val="22"/>
          <w:szCs w:val="22"/>
        </w:rPr>
      </w:pPr>
    </w:p>
    <w:p w:rsidR="00A654C3" w:rsidRPr="006336FA" w:rsidRDefault="00A654C3" w:rsidP="00A654C3">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6336FA" w:rsidRDefault="00A654C3" w:rsidP="00A654C3">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A654C3" w:rsidRDefault="00A654C3" w:rsidP="00A654C3">
      <w:pPr>
        <w:pStyle w:val="Textosinformato"/>
        <w:jc w:val="center"/>
        <w:rPr>
          <w:rFonts w:ascii="Palatino Linotype" w:eastAsia="MS Mincho" w:hAnsi="Palatino Linotype" w:cs="Arial"/>
          <w:sz w:val="22"/>
          <w:szCs w:val="22"/>
        </w:rPr>
      </w:pPr>
    </w:p>
    <w:p w:rsidR="00A654C3" w:rsidRDefault="00A654C3" w:rsidP="00A654C3">
      <w:pPr>
        <w:pStyle w:val="Textosinformato"/>
        <w:jc w:val="center"/>
        <w:rPr>
          <w:rFonts w:ascii="Palatino Linotype" w:eastAsia="MS Mincho" w:hAnsi="Palatino Linotype" w:cs="Arial"/>
          <w:sz w:val="22"/>
          <w:szCs w:val="22"/>
        </w:rPr>
      </w:pPr>
    </w:p>
    <w:p w:rsidR="00A654C3"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A654C3" w:rsidRPr="006336FA" w:rsidRDefault="00A654C3" w:rsidP="00A654C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A654C3" w:rsidRPr="00833F2A" w:rsidRDefault="00A654C3" w:rsidP="00A654C3">
      <w:pPr>
        <w:pStyle w:val="Cuerpodeltexto0"/>
        <w:shd w:val="clear" w:color="auto" w:fill="auto"/>
        <w:spacing w:after="300" w:line="322" w:lineRule="exact"/>
        <w:ind w:right="100" w:firstLine="0"/>
        <w:jc w:val="both"/>
        <w:rPr>
          <w:rFonts w:ascii="Palatino Linotype" w:eastAsia="MS Mincho" w:hAnsi="Palatino Linotype" w:cs="Arial"/>
          <w:b w:val="0"/>
          <w:bCs w:val="0"/>
          <w:sz w:val="16"/>
          <w:szCs w:val="16"/>
          <w:lang w:val="es-ES"/>
        </w:rPr>
      </w:pPr>
      <w:proofErr w:type="spellStart"/>
      <w:r w:rsidRPr="00833F2A">
        <w:rPr>
          <w:rFonts w:ascii="Palatino Linotype" w:eastAsia="MS Mincho" w:hAnsi="Palatino Linotype" w:cs="Arial"/>
          <w:b w:val="0"/>
          <w:bCs w:val="0"/>
          <w:sz w:val="16"/>
          <w:szCs w:val="16"/>
          <w:lang w:val="es-ES"/>
        </w:rPr>
        <w:t>DSCS</w:t>
      </w:r>
      <w:proofErr w:type="spellEnd"/>
    </w:p>
    <w:p w:rsidR="00361728" w:rsidRPr="0002561F" w:rsidRDefault="00361728" w:rsidP="0002561F">
      <w:pPr>
        <w:spacing w:after="120" w:line="276" w:lineRule="auto"/>
        <w:contextualSpacing/>
        <w:jc w:val="both"/>
        <w:rPr>
          <w:rFonts w:ascii="Palatino Linotype" w:eastAsia="MS Mincho" w:hAnsi="Palatino Linotype"/>
          <w:b/>
          <w:bCs/>
          <w:sz w:val="22"/>
          <w:szCs w:val="22"/>
        </w:rPr>
      </w:pPr>
    </w:p>
    <w:p w:rsidR="00201283" w:rsidRPr="0002561F" w:rsidRDefault="00201283" w:rsidP="0002561F">
      <w:pPr>
        <w:spacing w:after="120" w:line="276" w:lineRule="auto"/>
        <w:rPr>
          <w:rFonts w:ascii="Palatino Linotype" w:hAnsi="Palatino Linotype"/>
          <w:sz w:val="22"/>
          <w:szCs w:val="22"/>
        </w:rPr>
      </w:pPr>
    </w:p>
    <w:sectPr w:rsidR="00201283" w:rsidRPr="0002561F" w:rsidSect="002305D7">
      <w:headerReference w:type="even" r:id="rId11"/>
      <w:headerReference w:type="default" r:id="rId12"/>
      <w:footerReference w:type="default" r:id="rId13"/>
      <w:headerReference w:type="first" r:id="rId14"/>
      <w:footerReference w:type="first" r:id="rId15"/>
      <w:pgSz w:w="11906" w:h="16838"/>
      <w:pgMar w:top="3402" w:right="1274"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87" w:rsidRDefault="00FB0787">
      <w:r>
        <w:separator/>
      </w:r>
    </w:p>
  </w:endnote>
  <w:endnote w:type="continuationSeparator" w:id="0">
    <w:p w:rsidR="00FB0787" w:rsidRDefault="00FB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Piedepgina"/>
      <w:jc w:val="right"/>
    </w:pPr>
    <w:r>
      <w:t xml:space="preserve">Página </w:t>
    </w:r>
    <w:r w:rsidR="005D2B94">
      <w:rPr>
        <w:b/>
        <w:sz w:val="24"/>
        <w:szCs w:val="24"/>
      </w:rPr>
      <w:fldChar w:fldCharType="begin"/>
    </w:r>
    <w:r>
      <w:rPr>
        <w:b/>
      </w:rPr>
      <w:instrText>PAGE</w:instrText>
    </w:r>
    <w:r w:rsidR="005D2B94">
      <w:rPr>
        <w:b/>
        <w:sz w:val="24"/>
        <w:szCs w:val="24"/>
      </w:rPr>
      <w:fldChar w:fldCharType="separate"/>
    </w:r>
    <w:r w:rsidR="0002561F">
      <w:rPr>
        <w:b/>
        <w:noProof/>
      </w:rPr>
      <w:t>2</w:t>
    </w:r>
    <w:r w:rsidR="005D2B94">
      <w:rPr>
        <w:b/>
        <w:sz w:val="24"/>
        <w:szCs w:val="24"/>
      </w:rPr>
      <w:fldChar w:fldCharType="end"/>
    </w:r>
    <w:r>
      <w:t xml:space="preserve"> de </w:t>
    </w:r>
    <w:r w:rsidR="005D2B94">
      <w:rPr>
        <w:b/>
        <w:sz w:val="24"/>
        <w:szCs w:val="24"/>
      </w:rPr>
      <w:fldChar w:fldCharType="begin"/>
    </w:r>
    <w:r>
      <w:rPr>
        <w:b/>
      </w:rPr>
      <w:instrText>NUMPAGES</w:instrText>
    </w:r>
    <w:r w:rsidR="005D2B94">
      <w:rPr>
        <w:b/>
        <w:sz w:val="24"/>
        <w:szCs w:val="24"/>
      </w:rPr>
      <w:fldChar w:fldCharType="separate"/>
    </w:r>
    <w:r w:rsidR="00123E9C">
      <w:rPr>
        <w:b/>
        <w:noProof/>
      </w:rPr>
      <w:t>16</w:t>
    </w:r>
    <w:r w:rsidR="005D2B94">
      <w:rPr>
        <w:b/>
        <w:sz w:val="24"/>
        <w:szCs w:val="24"/>
      </w:rPr>
      <w:fldChar w:fldCharType="end"/>
    </w:r>
  </w:p>
  <w:p w:rsidR="003A3C04" w:rsidRDefault="003A3C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Pr="00A654C3" w:rsidRDefault="003A3C04">
    <w:pPr>
      <w:pStyle w:val="Piedepgina"/>
      <w:jc w:val="right"/>
      <w:rPr>
        <w:rFonts w:ascii="Palatino Linotype" w:hAnsi="Palatino Linotype"/>
        <w:b/>
        <w:sz w:val="22"/>
        <w:szCs w:val="22"/>
      </w:rPr>
    </w:pPr>
    <w:r w:rsidRPr="00A654C3">
      <w:rPr>
        <w:rFonts w:ascii="Palatino Linotype" w:hAnsi="Palatino Linotype"/>
        <w:b/>
        <w:sz w:val="22"/>
        <w:szCs w:val="22"/>
      </w:rPr>
      <w:t xml:space="preserve">Página </w:t>
    </w:r>
    <w:r w:rsidR="005D2B94" w:rsidRPr="00A654C3">
      <w:rPr>
        <w:rFonts w:ascii="Palatino Linotype" w:hAnsi="Palatino Linotype"/>
        <w:b/>
        <w:sz w:val="22"/>
        <w:szCs w:val="22"/>
      </w:rPr>
      <w:fldChar w:fldCharType="begin"/>
    </w:r>
    <w:r w:rsidRPr="00A654C3">
      <w:rPr>
        <w:rFonts w:ascii="Palatino Linotype" w:hAnsi="Palatino Linotype"/>
        <w:b/>
        <w:sz w:val="22"/>
        <w:szCs w:val="22"/>
      </w:rPr>
      <w:instrText>PAGE</w:instrText>
    </w:r>
    <w:r w:rsidR="005D2B94" w:rsidRPr="00A654C3">
      <w:rPr>
        <w:rFonts w:ascii="Palatino Linotype" w:hAnsi="Palatino Linotype"/>
        <w:b/>
        <w:sz w:val="22"/>
        <w:szCs w:val="22"/>
      </w:rPr>
      <w:fldChar w:fldCharType="separate"/>
    </w:r>
    <w:r w:rsidR="00123E9C">
      <w:rPr>
        <w:rFonts w:ascii="Palatino Linotype" w:hAnsi="Palatino Linotype"/>
        <w:b/>
        <w:noProof/>
        <w:sz w:val="22"/>
        <w:szCs w:val="22"/>
      </w:rPr>
      <w:t>14</w:t>
    </w:r>
    <w:r w:rsidR="005D2B94" w:rsidRPr="00A654C3">
      <w:rPr>
        <w:rFonts w:ascii="Palatino Linotype" w:hAnsi="Palatino Linotype"/>
        <w:b/>
        <w:sz w:val="22"/>
        <w:szCs w:val="22"/>
      </w:rPr>
      <w:fldChar w:fldCharType="end"/>
    </w:r>
    <w:r w:rsidRPr="00A654C3">
      <w:rPr>
        <w:rFonts w:ascii="Palatino Linotype" w:hAnsi="Palatino Linotype"/>
        <w:b/>
        <w:sz w:val="22"/>
        <w:szCs w:val="22"/>
      </w:rPr>
      <w:t xml:space="preserve"> de </w:t>
    </w:r>
    <w:r w:rsidR="006274AF">
      <w:rPr>
        <w:rFonts w:ascii="Palatino Linotype" w:hAnsi="Palatino Linotype"/>
        <w:b/>
        <w:sz w:val="22"/>
        <w:szCs w:val="22"/>
      </w:rPr>
      <w:t>1</w:t>
    </w:r>
    <w:r w:rsidR="00582054">
      <w:rPr>
        <w:rFonts w:ascii="Palatino Linotype" w:hAnsi="Palatino Linotype"/>
        <w:b/>
        <w:sz w:val="22"/>
        <w:szCs w:val="22"/>
      </w:rPr>
      <w:t>4</w:t>
    </w:r>
  </w:p>
  <w:p w:rsidR="003A3C04" w:rsidRPr="00A654C3" w:rsidRDefault="003A3C04">
    <w:pPr>
      <w:pStyle w:val="Piedepgina"/>
      <w:jc w:val="right"/>
      <w:rPr>
        <w:rFonts w:ascii="Palatino Linotype" w:hAnsi="Palatino Linotype"/>
        <w:b/>
        <w:sz w:val="22"/>
        <w:szCs w:val="22"/>
      </w:rPr>
    </w:pPr>
  </w:p>
  <w:p w:rsidR="003A3C04" w:rsidRPr="00A654C3" w:rsidRDefault="003A3C04">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1F" w:rsidRPr="0002561F" w:rsidRDefault="0002561F">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123E9C">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sidR="00A654C3">
      <w:rPr>
        <w:rFonts w:ascii="Palatino Linotype" w:hAnsi="Palatino Linotype"/>
        <w:b/>
        <w:sz w:val="22"/>
        <w:szCs w:val="22"/>
      </w:rPr>
      <w:t>1</w:t>
    </w:r>
    <w:r w:rsidR="00123E9C">
      <w:rPr>
        <w:rFonts w:ascii="Palatino Linotype" w:hAnsi="Palatino Linotype"/>
        <w:b/>
        <w:sz w:val="22"/>
        <w:szCs w:val="22"/>
      </w:rPr>
      <w:t>4</w:t>
    </w:r>
  </w:p>
  <w:p w:rsidR="0002561F" w:rsidRDefault="000256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87" w:rsidRDefault="00FB0787">
      <w:r>
        <w:separator/>
      </w:r>
    </w:p>
  </w:footnote>
  <w:footnote w:type="continuationSeparator" w:id="0">
    <w:p w:rsidR="00FB0787" w:rsidRDefault="00FB0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Encabezado"/>
      <w:rPr>
        <w:lang w:val="es-EC"/>
      </w:rPr>
    </w:pPr>
  </w:p>
  <w:p w:rsidR="003A3C04" w:rsidRDefault="003A3C04">
    <w:pPr>
      <w:pStyle w:val="Encabezado"/>
      <w:rPr>
        <w:lang w:val="es-EC"/>
      </w:rPr>
    </w:pPr>
  </w:p>
  <w:p w:rsidR="003A3C04" w:rsidRDefault="003A3C04">
    <w:pPr>
      <w:pStyle w:val="Encabezado"/>
      <w:rPr>
        <w:lang w:val="es-EC"/>
      </w:rPr>
    </w:pPr>
  </w:p>
  <w:p w:rsidR="003A3C04" w:rsidRDefault="003A3C04">
    <w:pPr>
      <w:pStyle w:val="Encabezado"/>
      <w:rPr>
        <w:lang w:val="es-EC"/>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Pr="00476B21" w:rsidRDefault="003A3C04"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3A3C04" w:rsidRPr="00150606" w:rsidRDefault="003A3C04">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Pr="00476B21" w:rsidRDefault="003A3C04"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3A3C04" w:rsidRDefault="003A3C0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Pr="0002561F" w:rsidRDefault="0002561F"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5">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E65FF"/>
    <w:rsid w:val="00107B8D"/>
    <w:rsid w:val="00123E9C"/>
    <w:rsid w:val="00140220"/>
    <w:rsid w:val="00163CDA"/>
    <w:rsid w:val="001C75F4"/>
    <w:rsid w:val="00201283"/>
    <w:rsid w:val="002305D7"/>
    <w:rsid w:val="00255F86"/>
    <w:rsid w:val="002776A8"/>
    <w:rsid w:val="00280287"/>
    <w:rsid w:val="002C365A"/>
    <w:rsid w:val="002C61E0"/>
    <w:rsid w:val="003402D5"/>
    <w:rsid w:val="00342AED"/>
    <w:rsid w:val="00361728"/>
    <w:rsid w:val="003A3C04"/>
    <w:rsid w:val="003E1E12"/>
    <w:rsid w:val="003E2585"/>
    <w:rsid w:val="003E70CC"/>
    <w:rsid w:val="003F21D6"/>
    <w:rsid w:val="00406D6A"/>
    <w:rsid w:val="00414095"/>
    <w:rsid w:val="004141F6"/>
    <w:rsid w:val="004230DF"/>
    <w:rsid w:val="00426B25"/>
    <w:rsid w:val="004D35A7"/>
    <w:rsid w:val="004F6F68"/>
    <w:rsid w:val="00506B01"/>
    <w:rsid w:val="00546F26"/>
    <w:rsid w:val="00582054"/>
    <w:rsid w:val="00591ED3"/>
    <w:rsid w:val="005D2B94"/>
    <w:rsid w:val="005E2686"/>
    <w:rsid w:val="005E5B01"/>
    <w:rsid w:val="00606113"/>
    <w:rsid w:val="0061407B"/>
    <w:rsid w:val="006274AF"/>
    <w:rsid w:val="00696358"/>
    <w:rsid w:val="006D0D23"/>
    <w:rsid w:val="00783C8A"/>
    <w:rsid w:val="007B5434"/>
    <w:rsid w:val="007D4670"/>
    <w:rsid w:val="007E4F53"/>
    <w:rsid w:val="007F311B"/>
    <w:rsid w:val="007F7F6E"/>
    <w:rsid w:val="00815646"/>
    <w:rsid w:val="00840E40"/>
    <w:rsid w:val="008D4A2E"/>
    <w:rsid w:val="00936A45"/>
    <w:rsid w:val="009D2B5B"/>
    <w:rsid w:val="00A25BE6"/>
    <w:rsid w:val="00A437A7"/>
    <w:rsid w:val="00A4709D"/>
    <w:rsid w:val="00A63EFB"/>
    <w:rsid w:val="00A654C3"/>
    <w:rsid w:val="00AF2F72"/>
    <w:rsid w:val="00B55856"/>
    <w:rsid w:val="00B97F78"/>
    <w:rsid w:val="00C15F19"/>
    <w:rsid w:val="00C472C7"/>
    <w:rsid w:val="00C8272A"/>
    <w:rsid w:val="00D30211"/>
    <w:rsid w:val="00DA4B8C"/>
    <w:rsid w:val="00DB3496"/>
    <w:rsid w:val="00DE3C84"/>
    <w:rsid w:val="00E12100"/>
    <w:rsid w:val="00E13A19"/>
    <w:rsid w:val="00E62FDF"/>
    <w:rsid w:val="00EC0DB0"/>
    <w:rsid w:val="00ED3629"/>
    <w:rsid w:val="00F043D7"/>
    <w:rsid w:val="00F27DAE"/>
    <w:rsid w:val="00F43388"/>
    <w:rsid w:val="00F70841"/>
    <w:rsid w:val="00F9008F"/>
    <w:rsid w:val="00F935DB"/>
    <w:rsid w:val="00F93609"/>
    <w:rsid w:val="00FB0787"/>
    <w:rsid w:val="00FD10C8"/>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paragraph" w:customStyle="1" w:styleId="yiv9032731769msobodytext">
    <w:name w:val="yiv9032731769msobodytext"/>
    <w:basedOn w:val="Normal"/>
    <w:rsid w:val="00F935DB"/>
    <w:pPr>
      <w:spacing w:before="100" w:beforeAutospacing="1" w:after="100" w:afterAutospacing="1"/>
    </w:pPr>
    <w:rPr>
      <w:sz w:val="24"/>
      <w:szCs w:val="24"/>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paragraph" w:customStyle="1" w:styleId="yiv9032731769msobodytext">
    <w:name w:val="yiv9032731769msobodytext"/>
    <w:basedOn w:val="Normal"/>
    <w:rsid w:val="00F935DB"/>
    <w:pPr>
      <w:spacing w:before="100" w:beforeAutospacing="1" w:after="100" w:afterAutospacing="1"/>
    </w:pPr>
    <w:rPr>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F1B7-B4ED-4E83-B014-A83A4F5A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4873</Words>
  <Characters>27826</Characters>
  <Application>Microsoft Office Word</Application>
  <DocSecurity>0</DocSecurity>
  <Lines>1030</Lines>
  <Paragraphs>413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2017-07-17T23:16:00Z</cp:lastPrinted>
  <dcterms:created xsi:type="dcterms:W3CDTF">2017-07-13T23:18:00Z</dcterms:created>
  <dcterms:modified xsi:type="dcterms:W3CDTF">2017-07-17T23:17:00Z</dcterms:modified>
</cp:coreProperties>
</file>