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40CC0" w:rsidRDefault="007730B0" w:rsidP="00E4288C">
      <w:pPr>
        <w:pStyle w:val="a"/>
        <w:spacing w:after="120" w:line="276" w:lineRule="auto"/>
        <w:rPr>
          <w:rFonts w:ascii="Palatino Linotype" w:hAnsi="Palatino Linotype" w:cs="Times New Roman"/>
          <w:sz w:val="22"/>
          <w:szCs w:val="22"/>
        </w:rPr>
      </w:pPr>
      <w:r w:rsidRPr="00C40CC0">
        <w:rPr>
          <w:rFonts w:ascii="Palatino Linotype" w:hAnsi="Palatino Linotype" w:cs="Times New Roman"/>
          <w:sz w:val="22"/>
          <w:szCs w:val="22"/>
        </w:rPr>
        <w:t>EXPOSICIÓN DE MOTIVOS</w:t>
      </w:r>
    </w:p>
    <w:p w:rsidR="00C4560E" w:rsidRPr="00C40C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40CC0">
        <w:rPr>
          <w:rFonts w:ascii="Palatino Linotype" w:eastAsiaTheme="minorHAnsi" w:hAnsi="Palatino Linotype"/>
          <w:sz w:val="22"/>
          <w:szCs w:val="22"/>
          <w:lang w:val="es-EC" w:eastAsia="en-US"/>
        </w:rPr>
        <w:t>La Constitución de la República del Ecuador, en su artículo 30, garantiza a las personas el "</w:t>
      </w:r>
      <w:r w:rsidRPr="00C40C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40C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40CC0">
        <w:rPr>
          <w:rFonts w:ascii="Palatino Linotype" w:eastAsiaTheme="minorHAnsi" w:hAnsi="Palatino Linotype"/>
          <w:sz w:val="22"/>
          <w:szCs w:val="22"/>
          <w:lang w:val="es-EC" w:eastAsia="en-US"/>
        </w:rPr>
        <w:tab/>
      </w:r>
    </w:p>
    <w:p w:rsidR="00104022" w:rsidRDefault="0096645E" w:rsidP="00104022">
      <w:pPr>
        <w:spacing w:after="120" w:line="276" w:lineRule="auto"/>
        <w:ind w:firstLine="708"/>
        <w:jc w:val="both"/>
        <w:rPr>
          <w:rFonts w:ascii="Palatino Linotype" w:hAnsi="Palatino Linotype"/>
          <w:sz w:val="22"/>
          <w:szCs w:val="22"/>
        </w:rPr>
      </w:pPr>
      <w:r w:rsidRPr="00C40CC0">
        <w:rPr>
          <w:rFonts w:ascii="Palatino Linotype" w:hAnsi="Palatino Linotype"/>
          <w:sz w:val="22"/>
          <w:szCs w:val="22"/>
        </w:rPr>
        <w:t xml:space="preserve">La Administración Municipal, a través de la Unidad Especial “Regula Tu Barrio”, gestiona procesos tendientes a regularizar </w:t>
      </w:r>
      <w:r w:rsidRPr="00C40CC0">
        <w:rPr>
          <w:rFonts w:ascii="Palatino Linotype" w:hAnsi="Palatino Linotype"/>
          <w:bCs/>
          <w:sz w:val="22"/>
          <w:szCs w:val="22"/>
        </w:rPr>
        <w:t>la ocupación informal del suelo</w:t>
      </w:r>
      <w:r w:rsidRPr="00C40C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04022" w:rsidRDefault="00E64141" w:rsidP="00104022">
      <w:pPr>
        <w:spacing w:after="120" w:line="276" w:lineRule="auto"/>
        <w:ind w:firstLine="708"/>
        <w:jc w:val="both"/>
        <w:rPr>
          <w:rFonts w:ascii="Palatino Linotype" w:hAnsi="Palatino Linotype"/>
          <w:sz w:val="22"/>
          <w:szCs w:val="22"/>
        </w:rPr>
      </w:pPr>
      <w:r w:rsidRPr="00F96622">
        <w:rPr>
          <w:rFonts w:ascii="Palatino Linotype" w:hAnsi="Palatino Linotype"/>
          <w:sz w:val="22"/>
          <w:szCs w:val="22"/>
        </w:rPr>
        <w:t xml:space="preserve">El Asentamiento Humano de Hecho y Consolidado de interés social denominado “San Carlos de </w:t>
      </w:r>
      <w:proofErr w:type="spellStart"/>
      <w:r w:rsidRPr="00F96622">
        <w:rPr>
          <w:rFonts w:ascii="Palatino Linotype" w:hAnsi="Palatino Linotype"/>
          <w:sz w:val="22"/>
          <w:szCs w:val="22"/>
        </w:rPr>
        <w:t>Alangasí</w:t>
      </w:r>
      <w:proofErr w:type="spellEnd"/>
      <w:r w:rsidRPr="00F96622">
        <w:rPr>
          <w:rFonts w:ascii="Palatino Linotype" w:hAnsi="Palatino Linotype"/>
          <w:sz w:val="22"/>
          <w:szCs w:val="22"/>
        </w:rPr>
        <w:t xml:space="preserve"> Primera Etapa”, al inicio del proceso de Reforma de Ordenanza contaba con 51 años de existencia sin embargo al momento de la sanción de la presente Ordenanza Reformatoria, cuenta con 53 años de asentamiento, una consolidación de 78</w:t>
      </w:r>
      <w:r>
        <w:rPr>
          <w:rFonts w:ascii="Palatino Linotype" w:hAnsi="Palatino Linotype"/>
          <w:b/>
          <w:sz w:val="22"/>
          <w:szCs w:val="22"/>
        </w:rPr>
        <w:t>,</w:t>
      </w:r>
      <w:r w:rsidRPr="00F96622">
        <w:rPr>
          <w:rFonts w:ascii="Palatino Linotype" w:hAnsi="Palatino Linotype"/>
          <w:sz w:val="22"/>
          <w:szCs w:val="22"/>
        </w:rPr>
        <w:t>57%, y 112 beneficiarios.</w:t>
      </w:r>
    </w:p>
    <w:p w:rsidR="00104022" w:rsidRDefault="00E64141" w:rsidP="00104022">
      <w:pPr>
        <w:spacing w:after="120" w:line="276" w:lineRule="auto"/>
        <w:ind w:firstLine="708"/>
        <w:jc w:val="both"/>
        <w:rPr>
          <w:rFonts w:ascii="Palatino Linotype" w:hAnsi="Palatino Linotype"/>
          <w:sz w:val="22"/>
          <w:szCs w:val="22"/>
        </w:rPr>
      </w:pPr>
      <w:r w:rsidRPr="00F96622">
        <w:rPr>
          <w:rFonts w:ascii="Palatino Linotype" w:hAnsi="Palatino Linotype"/>
          <w:sz w:val="22"/>
          <w:szCs w:val="22"/>
        </w:rPr>
        <w:t xml:space="preserve">Dicho Asentamiento Humano de Hecho y Consolidado de interés social denominado  “San Carlos de </w:t>
      </w:r>
      <w:proofErr w:type="spellStart"/>
      <w:r w:rsidRPr="00F96622">
        <w:rPr>
          <w:rFonts w:ascii="Palatino Linotype" w:hAnsi="Palatino Linotype"/>
          <w:sz w:val="22"/>
          <w:szCs w:val="22"/>
        </w:rPr>
        <w:t>Alangasí</w:t>
      </w:r>
      <w:proofErr w:type="spellEnd"/>
      <w:r w:rsidRPr="00F96622">
        <w:rPr>
          <w:rFonts w:ascii="Palatino Linotype" w:hAnsi="Palatino Linotype"/>
          <w:sz w:val="22"/>
          <w:szCs w:val="22"/>
        </w:rPr>
        <w:t xml:space="preserve">” Primera Etapa, fue reconocido mediante Ordenanza No 130, como Urbanización de Interés Social de Desarrollo Progresivo del Comité Del Barrio “San Carlos de </w:t>
      </w:r>
      <w:proofErr w:type="spellStart"/>
      <w:r w:rsidRPr="00F96622">
        <w:rPr>
          <w:rFonts w:ascii="Palatino Linotype" w:hAnsi="Palatino Linotype"/>
          <w:sz w:val="22"/>
          <w:szCs w:val="22"/>
        </w:rPr>
        <w:t>Alangasí</w:t>
      </w:r>
      <w:proofErr w:type="spellEnd"/>
      <w:r w:rsidRPr="00F96622">
        <w:rPr>
          <w:rFonts w:ascii="Palatino Linotype" w:hAnsi="Palatino Linotype"/>
          <w:sz w:val="22"/>
          <w:szCs w:val="22"/>
        </w:rPr>
        <w:t xml:space="preserve"> Primera Etapa”,  sancionada el 21 de octubre de 2011; sin embargo, debido a que a los copropietarios les fue imposible reunir el valor de la compensación del faltante de área verde para cancelar y continuar el trámite de inscripción de la Ordenanza citada, solicitaron una reforma de la misma,  entregando más porcentaje de área verde a favor del Municipio de Quito, además se incluyen nuevos artículos que contienen disposiciones legales vigentes que van en beneficio de la comunidad, por lo que la Unidad Especial Regula Tu Barrio gestionó el proceso tendiente a reformar dicha Ordenanza y a su vez, permitir que los legítimos copropietarios cuenten con sus títulos de dominio que garanticen su propiedad y el ejercicio del derecho a la vivienda, adecuada y digna, conforme lo prevé la Constitución del Ecuador.</w:t>
      </w:r>
    </w:p>
    <w:p w:rsidR="00C4560E" w:rsidRPr="00C40CC0" w:rsidRDefault="00E64141" w:rsidP="00104022">
      <w:pPr>
        <w:spacing w:after="120" w:line="276" w:lineRule="auto"/>
        <w:ind w:firstLine="708"/>
        <w:jc w:val="both"/>
        <w:rPr>
          <w:rFonts w:ascii="Palatino Linotype" w:hAnsi="Palatino Linotype"/>
          <w:sz w:val="22"/>
          <w:szCs w:val="22"/>
        </w:rPr>
      </w:pPr>
      <w:r w:rsidRPr="00E64141">
        <w:rPr>
          <w:rFonts w:ascii="Palatino Linotype" w:hAnsi="Palatino Linotype"/>
          <w:sz w:val="22"/>
          <w:szCs w:val="22"/>
        </w:rPr>
        <w:t xml:space="preserve">En este sentido, la presente Ordenanza contiene la normativa tendiente a reformar la Ordenanza No. 130 </w:t>
      </w:r>
      <w:r w:rsidRPr="00F96622">
        <w:rPr>
          <w:rFonts w:ascii="Palatino Linotype" w:hAnsi="Palatino Linotype"/>
          <w:sz w:val="22"/>
          <w:szCs w:val="22"/>
        </w:rPr>
        <w:t xml:space="preserve">de 21 de octubre de 2011 que aprobó la Urbanización de Interés Social de Desarrollo Progresivo del Comité del Barrio San Carlos de </w:t>
      </w:r>
      <w:proofErr w:type="spellStart"/>
      <w:r w:rsidRPr="00F96622">
        <w:rPr>
          <w:rFonts w:ascii="Palatino Linotype" w:hAnsi="Palatino Linotype"/>
          <w:sz w:val="22"/>
          <w:szCs w:val="22"/>
        </w:rPr>
        <w:t>Alangasí</w:t>
      </w:r>
      <w:proofErr w:type="spellEnd"/>
      <w:r w:rsidRPr="00F96622">
        <w:rPr>
          <w:rFonts w:ascii="Palatino Linotype" w:hAnsi="Palatino Linotype"/>
          <w:sz w:val="22"/>
          <w:szCs w:val="22"/>
        </w:rPr>
        <w:t xml:space="preserve"> Primera Etapa</w:t>
      </w:r>
      <w:r w:rsidR="00C4560E" w:rsidRPr="00C40CC0">
        <w:rPr>
          <w:rFonts w:ascii="Palatino Linotype" w:eastAsiaTheme="minorHAnsi" w:hAnsi="Palatino Linotype"/>
          <w:sz w:val="22"/>
          <w:szCs w:val="22"/>
          <w:lang w:val="es-EC" w:eastAsia="en-US"/>
        </w:rPr>
        <w:t>.</w:t>
      </w:r>
    </w:p>
    <w:p w:rsidR="00BA3016" w:rsidRPr="00C40CC0" w:rsidRDefault="00BA3016" w:rsidP="00E4288C">
      <w:pPr>
        <w:spacing w:after="120" w:line="276" w:lineRule="auto"/>
        <w:ind w:firstLine="708"/>
        <w:jc w:val="both"/>
        <w:rPr>
          <w:rFonts w:ascii="Palatino Linotype" w:hAnsi="Palatino Linotype"/>
          <w:b/>
          <w:sz w:val="22"/>
          <w:szCs w:val="22"/>
        </w:rPr>
        <w:sectPr w:rsidR="00BA3016" w:rsidRPr="00C40C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40CC0" w:rsidRDefault="00CD4FDB" w:rsidP="00E4288C">
      <w:pPr>
        <w:pStyle w:val="a"/>
        <w:spacing w:after="120" w:line="276" w:lineRule="auto"/>
        <w:rPr>
          <w:rFonts w:ascii="Palatino Linotype" w:hAnsi="Palatino Linotype" w:cs="Times New Roman"/>
          <w:sz w:val="22"/>
          <w:szCs w:val="22"/>
        </w:rPr>
      </w:pPr>
      <w:r w:rsidRPr="00C40CC0">
        <w:rPr>
          <w:rFonts w:ascii="Palatino Linotype" w:hAnsi="Palatino Linotype" w:cs="Times New Roman"/>
          <w:sz w:val="22"/>
          <w:szCs w:val="22"/>
        </w:rPr>
        <w:lastRenderedPageBreak/>
        <w:t>E</w:t>
      </w:r>
      <w:r w:rsidR="007730B0" w:rsidRPr="00C40CC0">
        <w:rPr>
          <w:rFonts w:ascii="Palatino Linotype" w:hAnsi="Palatino Linotype" w:cs="Times New Roman"/>
          <w:sz w:val="22"/>
          <w:szCs w:val="22"/>
        </w:rPr>
        <w:t>L CONCEJO METROPOLITANO DE QUITO</w:t>
      </w:r>
    </w:p>
    <w:p w:rsidR="00C40CC0" w:rsidRPr="00C40CC0" w:rsidRDefault="00E64141" w:rsidP="00C40CC0">
      <w:pPr>
        <w:spacing w:after="120" w:line="276" w:lineRule="auto"/>
        <w:jc w:val="both"/>
        <w:rPr>
          <w:rFonts w:ascii="Palatino Linotype" w:hAnsi="Palatino Linotype"/>
          <w:sz w:val="22"/>
          <w:szCs w:val="22"/>
        </w:rPr>
      </w:pPr>
      <w:r w:rsidRPr="00F96622">
        <w:rPr>
          <w:rFonts w:ascii="Palatino Linotype" w:hAnsi="Palatino Linotype"/>
          <w:sz w:val="22"/>
          <w:szCs w:val="22"/>
        </w:rPr>
        <w:t>Visto el Informe No IC-O-2018-012, de 18 de enero de 2018, expedido por la Comisión de Ordenamiento Territorial</w:t>
      </w:r>
      <w:r w:rsidR="00C40CC0" w:rsidRPr="00C40CC0">
        <w:rPr>
          <w:rFonts w:ascii="Palatino Linotype" w:hAnsi="Palatino Linotype"/>
          <w:sz w:val="22"/>
          <w:szCs w:val="22"/>
        </w:rPr>
        <w:t>.</w:t>
      </w:r>
    </w:p>
    <w:p w:rsidR="005B51E8" w:rsidRPr="00C40CC0" w:rsidRDefault="005B51E8" w:rsidP="00E4288C">
      <w:pPr>
        <w:spacing w:after="120" w:line="276" w:lineRule="auto"/>
        <w:jc w:val="center"/>
        <w:rPr>
          <w:rFonts w:ascii="Palatino Linotype" w:hAnsi="Palatino Linotype"/>
          <w:b/>
          <w:sz w:val="22"/>
          <w:szCs w:val="22"/>
        </w:rPr>
      </w:pPr>
      <w:r w:rsidRPr="00C40CC0">
        <w:rPr>
          <w:rFonts w:ascii="Palatino Linotype" w:hAnsi="Palatino Linotype"/>
          <w:b/>
          <w:sz w:val="22"/>
          <w:szCs w:val="22"/>
        </w:rPr>
        <w:t>CONSIDERANDO:</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rPr>
        <w:t xml:space="preserve">Que, </w:t>
      </w:r>
      <w:r w:rsidRPr="00C40CC0">
        <w:rPr>
          <w:rFonts w:ascii="Palatino Linotype" w:hAnsi="Palatino Linotype"/>
          <w:b/>
        </w:rPr>
        <w:tab/>
      </w:r>
      <w:r w:rsidRPr="00C40CC0">
        <w:rPr>
          <w:rFonts w:ascii="Palatino Linotype" w:hAnsi="Palatino Linotype"/>
        </w:rPr>
        <w:t>el artículo 30 de la Constitución de la República del Ecuador (en adelante “Constitución”) establece que: “</w:t>
      </w:r>
      <w:r w:rsidRPr="00C40CC0">
        <w:rPr>
          <w:rFonts w:ascii="Palatino Linotype" w:hAnsi="Palatino Linotype"/>
          <w:i/>
        </w:rPr>
        <w:t>Las personas tienen derecho a un hábitat seguro y saludable, y a una vivienda adecuada y digna, con independencia de su situación social y económica.</w:t>
      </w:r>
      <w:r w:rsidRPr="00C40CC0">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artículo 31 de la Constitución expresa que: “</w:t>
      </w:r>
      <w:r w:rsidRPr="00C40C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40CC0">
        <w:rPr>
          <w:rFonts w:ascii="Palatino Linotype" w:hAnsi="Palatino Linotype"/>
          <w:bCs/>
        </w:rPr>
        <w:t xml:space="preserve">”; </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rPr>
        <w:t>el artículo 240 de la Constitución establece que: “</w:t>
      </w:r>
      <w:r w:rsidRPr="00C40C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40CC0">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i/>
        </w:rPr>
      </w:pPr>
      <w:r w:rsidRPr="00C40CC0">
        <w:rPr>
          <w:rFonts w:ascii="Palatino Linotype" w:hAnsi="Palatino Linotype"/>
          <w:b/>
          <w:bCs/>
        </w:rPr>
        <w:t>Que,</w:t>
      </w:r>
      <w:r w:rsidR="00FD56C4" w:rsidRPr="00C40CC0">
        <w:rPr>
          <w:rFonts w:ascii="Palatino Linotype" w:hAnsi="Palatino Linotype"/>
        </w:rPr>
        <w:tab/>
        <w:t>el numeral 1 y 2</w:t>
      </w:r>
      <w:r w:rsidRPr="00C40CC0">
        <w:rPr>
          <w:rFonts w:ascii="Palatino Linotype" w:hAnsi="Palatino Linotype"/>
        </w:rPr>
        <w:t xml:space="preserve"> del artículo 264 de la Constitución manifiesta que: “</w:t>
      </w:r>
      <w:r w:rsidRPr="00C40C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40CC0">
        <w:rPr>
          <w:rFonts w:ascii="Palatino Linotype" w:hAnsi="Palatino Linotype"/>
        </w:rPr>
        <w:t xml:space="preserve">”; </w:t>
      </w:r>
      <w:r w:rsidRPr="00C40CC0">
        <w:rPr>
          <w:rFonts w:ascii="Palatino Linotype" w:hAnsi="Palatino Linotype"/>
          <w:i/>
        </w:rPr>
        <w:t>(…)2.- “Ejercer el control sobre el uso y ocupación del</w:t>
      </w:r>
      <w:r w:rsidR="00FC7853" w:rsidRPr="00C40CC0">
        <w:rPr>
          <w:rFonts w:ascii="Palatino Linotype" w:hAnsi="Palatino Linotype"/>
          <w:i/>
        </w:rPr>
        <w:t xml:space="preserve"> suelo en el cantón (…)”;</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literal c) del artículo 54, en concordancia con el literal c) del artículo 84 del Código Orgánico de Organización Territorial, Autonomía y Descentralización (en adelante “COOTAD”),</w:t>
      </w:r>
      <w:r w:rsidRPr="00C40CC0">
        <w:rPr>
          <w:rFonts w:ascii="Palatino Linotype" w:hAnsi="Palatino Linotype"/>
          <w:b/>
          <w:bCs/>
        </w:rPr>
        <w:t xml:space="preserve"> </w:t>
      </w:r>
      <w:r w:rsidRPr="00C40CC0">
        <w:rPr>
          <w:rFonts w:ascii="Palatino Linotype" w:hAnsi="Palatino Linotype"/>
          <w:bCs/>
        </w:rPr>
        <w:t>señala</w:t>
      </w:r>
      <w:r w:rsidRPr="00C40CC0">
        <w:rPr>
          <w:rFonts w:ascii="Palatino Linotype" w:hAnsi="Palatino Linotype"/>
          <w:b/>
          <w:bCs/>
        </w:rPr>
        <w:t xml:space="preserve"> </w:t>
      </w:r>
      <w:r w:rsidRPr="00C40CC0">
        <w:rPr>
          <w:rFonts w:ascii="Palatino Linotype" w:hAnsi="Palatino Linotype"/>
          <w:bCs/>
        </w:rPr>
        <w:t>como una función del gobierno autónomo descentralizado municipal</w:t>
      </w:r>
      <w:r w:rsidRPr="00C40C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rPr>
        <w:t xml:space="preserve">el artículo 57, en concordancia con el artículo 87 del COOTAD, establece que las funciones del Concejo Municipal, entre otras, son: </w:t>
      </w:r>
      <w:r w:rsidRPr="00C40CC0">
        <w:rPr>
          <w:rFonts w:ascii="Palatino Linotype" w:hAnsi="Palatino Linotype"/>
          <w:iCs/>
        </w:rPr>
        <w:t>“</w:t>
      </w:r>
      <w:r w:rsidRPr="00C40C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40CC0">
        <w:rPr>
          <w:rFonts w:ascii="Palatino Linotype" w:hAnsi="Palatino Linotype"/>
          <w:i/>
        </w:rPr>
        <w:t xml:space="preserve"> </w:t>
      </w:r>
      <w:r w:rsidRPr="00C40CC0">
        <w:rPr>
          <w:rFonts w:ascii="Palatino Linotype" w:hAnsi="Palatino Linotype"/>
          <w:i/>
          <w:iCs/>
        </w:rPr>
        <w:t xml:space="preserve">x) Regular y controlar, mediante la normativa cantonal correspondiente, el uso del suelo en el territorio </w:t>
      </w:r>
      <w:r w:rsidRPr="00C40CC0">
        <w:rPr>
          <w:rFonts w:ascii="Palatino Linotype" w:hAnsi="Palatino Linotype"/>
          <w:i/>
          <w:iCs/>
        </w:rPr>
        <w:lastRenderedPageBreak/>
        <w:t>del cantón, de conformid</w:t>
      </w:r>
      <w:bookmarkStart w:id="0" w:name="_GoBack"/>
      <w:bookmarkEnd w:id="0"/>
      <w:r w:rsidRPr="00C40CC0">
        <w:rPr>
          <w:rFonts w:ascii="Palatino Linotype" w:hAnsi="Palatino Linotype"/>
          <w:i/>
          <w:iCs/>
        </w:rPr>
        <w:t>ad con las leyes sobre la materia, y establecer el régimen urbanístico de la tierra;</w:t>
      </w:r>
      <w:r w:rsidRPr="00C40CC0">
        <w:rPr>
          <w:rFonts w:ascii="Palatino Linotype" w:hAnsi="Palatino Linotype"/>
          <w:i/>
        </w:rPr>
        <w:t xml:space="preserve"> y, (…) </w:t>
      </w:r>
      <w:r w:rsidRPr="00C40C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40CC0">
        <w:rPr>
          <w:rFonts w:ascii="Palatino Linotype" w:hAnsi="Palatino Linotype"/>
          <w:i/>
          <w:iCs/>
        </w:rPr>
        <w:t>interbarrial</w:t>
      </w:r>
      <w:proofErr w:type="spellEnd"/>
      <w:r w:rsidRPr="00C40CC0">
        <w:rPr>
          <w:rFonts w:ascii="Palatino Linotype" w:hAnsi="Palatino Linotype"/>
          <w:i/>
          <w:iCs/>
        </w:rPr>
        <w:t>.</w:t>
      </w:r>
      <w:r w:rsidRPr="00C40CC0">
        <w:rPr>
          <w:rFonts w:ascii="Palatino Linotype" w:hAnsi="Palatino Linotype"/>
          <w:iCs/>
        </w:rPr>
        <w:t xml:space="preserve">”; </w:t>
      </w:r>
    </w:p>
    <w:p w:rsidR="00DD1A49" w:rsidRPr="00C40CC0" w:rsidRDefault="00F112F0"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 xml:space="preserve">Que, </w:t>
      </w:r>
      <w:r w:rsidRPr="00C40CC0">
        <w:rPr>
          <w:rFonts w:ascii="Palatino Linotype" w:hAnsi="Palatino Linotype"/>
          <w:b/>
          <w:bCs/>
        </w:rPr>
        <w:tab/>
      </w:r>
      <w:r w:rsidR="00DD1A49" w:rsidRPr="00C40CC0">
        <w:rPr>
          <w:rFonts w:ascii="Palatino Linotype" w:hAnsi="Palatino Linotype"/>
        </w:rPr>
        <w:t>el artículo 322 del COOTAD establece el procedimiento para la aprobación de las ordenanzas municipales;</w:t>
      </w:r>
    </w:p>
    <w:p w:rsidR="00386397" w:rsidRPr="00C40CC0" w:rsidRDefault="00386397" w:rsidP="00E4288C">
      <w:pPr>
        <w:pStyle w:val="Sinespaciado"/>
        <w:spacing w:after="120" w:line="276" w:lineRule="auto"/>
        <w:ind w:left="709" w:hanging="709"/>
        <w:jc w:val="both"/>
        <w:rPr>
          <w:rFonts w:ascii="Palatino Linotype" w:hAnsi="Palatino Linotype"/>
          <w:b/>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artículo 486 del COOTAD reformado establece que: “</w:t>
      </w:r>
      <w:r w:rsidRPr="00C40C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40CC0">
        <w:rPr>
          <w:rFonts w:ascii="Palatino Linotype" w:hAnsi="Palatino Linotype"/>
          <w:bCs/>
          <w:lang w:val="es-ES_tradnl"/>
        </w:rPr>
        <w:t>”</w:t>
      </w:r>
      <w:r w:rsidRPr="00C40CC0">
        <w:rPr>
          <w:rFonts w:ascii="Palatino Linotype" w:hAnsi="Palatino Linotype"/>
          <w:b/>
          <w:bCs/>
        </w:rPr>
        <w:t xml:space="preserve">;  </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la Disposición Transitoria Décima Cuarta del COOTAD, señala: “</w:t>
      </w:r>
      <w:r w:rsidRPr="00C40CC0">
        <w:rPr>
          <w:rFonts w:ascii="Palatino Linotype" w:hAnsi="Palatino Linotype"/>
          <w:bCs/>
          <w:i/>
        </w:rPr>
        <w:t xml:space="preserve">(…) </w:t>
      </w:r>
      <w:r w:rsidRPr="00C40C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40CC0">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Default="00DD1A49" w:rsidP="00E64141">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64141" w:rsidRPr="00E64141" w:rsidRDefault="00E64141" w:rsidP="00E64141">
      <w:pPr>
        <w:pStyle w:val="Sinespaciado"/>
        <w:spacing w:after="120" w:line="276" w:lineRule="auto"/>
        <w:ind w:left="709" w:hanging="709"/>
        <w:jc w:val="both"/>
        <w:rPr>
          <w:rFonts w:ascii="Palatino Linotype" w:hAnsi="Palatino Linotype"/>
          <w:bCs/>
        </w:rPr>
      </w:pPr>
      <w:r w:rsidRPr="00F96622">
        <w:rPr>
          <w:rFonts w:ascii="Palatino Linotype" w:hAnsi="Palatino Linotype"/>
          <w:b/>
          <w:bCs/>
        </w:rPr>
        <w:t>Que</w:t>
      </w:r>
      <w:r w:rsidRPr="00F96622">
        <w:rPr>
          <w:rFonts w:ascii="Palatino Linotype" w:hAnsi="Palatino Linotype"/>
          <w:bCs/>
        </w:rPr>
        <w:t xml:space="preserve">, </w:t>
      </w:r>
      <w:r w:rsidRPr="00F96622">
        <w:rPr>
          <w:rFonts w:ascii="Palatino Linotype" w:hAnsi="Palatino Linotype"/>
          <w:bCs/>
        </w:rPr>
        <w:tab/>
        <w:t>mediante Ordenanza No. 130, sancionada el 21 de octubre de 2011, se aprueba</w:t>
      </w:r>
      <w:r w:rsidRPr="00F96622">
        <w:rPr>
          <w:rFonts w:ascii="Palatino Linotype" w:hAnsi="Palatino Linotype"/>
        </w:rPr>
        <w:t xml:space="preserve"> la Urbanización de Interés Social de Desarrollo Progresivo del Comité del Barrio   San Carlos de </w:t>
      </w:r>
      <w:proofErr w:type="spellStart"/>
      <w:r w:rsidRPr="00F96622">
        <w:rPr>
          <w:rFonts w:ascii="Palatino Linotype" w:hAnsi="Palatino Linotype"/>
        </w:rPr>
        <w:t>Alangasí</w:t>
      </w:r>
      <w:proofErr w:type="spellEnd"/>
      <w:r w:rsidRPr="00F96622">
        <w:rPr>
          <w:rFonts w:ascii="Palatino Linotype" w:hAnsi="Palatino Linotype"/>
        </w:rPr>
        <w:t xml:space="preserve"> Primera Etapa</w:t>
      </w:r>
      <w:r>
        <w:rPr>
          <w:rFonts w:ascii="Palatino Linotype" w:hAnsi="Palatino Linotype"/>
        </w:rPr>
        <w:t>;</w:t>
      </w:r>
    </w:p>
    <w:p w:rsidR="00DD1A49" w:rsidRPr="00C40CC0" w:rsidRDefault="00DD1A49" w:rsidP="00E4288C">
      <w:pPr>
        <w:pStyle w:val="Sinespaciado"/>
        <w:spacing w:after="120" w:line="276" w:lineRule="auto"/>
        <w:ind w:left="709" w:hanging="709"/>
        <w:jc w:val="both"/>
        <w:rPr>
          <w:rFonts w:ascii="Palatino Linotype" w:hAnsi="Palatino Linotype"/>
        </w:rPr>
      </w:pPr>
      <w:r w:rsidRPr="00C40CC0">
        <w:rPr>
          <w:rFonts w:ascii="Palatino Linotype" w:hAnsi="Palatino Linotype"/>
          <w:b/>
          <w:bCs/>
        </w:rPr>
        <w:t>Que,</w:t>
      </w:r>
      <w:r w:rsidRPr="00C40CC0">
        <w:rPr>
          <w:rFonts w:ascii="Palatino Linotype" w:hAnsi="Palatino Linotype"/>
          <w:b/>
          <w:bCs/>
        </w:rPr>
        <w:tab/>
      </w:r>
      <w:r w:rsidRPr="00C40C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C40CC0" w:rsidRDefault="00DD1A49" w:rsidP="00E4288C">
      <w:pPr>
        <w:spacing w:after="120" w:line="276" w:lineRule="auto"/>
        <w:ind w:left="705" w:hanging="705"/>
        <w:jc w:val="both"/>
        <w:rPr>
          <w:rFonts w:ascii="Palatino Linotype" w:hAnsi="Palatino Linotype"/>
          <w:b/>
          <w:bCs/>
          <w:sz w:val="22"/>
          <w:szCs w:val="22"/>
        </w:rPr>
      </w:pPr>
      <w:r w:rsidRPr="00C40CC0">
        <w:rPr>
          <w:rFonts w:ascii="Palatino Linotype" w:hAnsi="Palatino Linotype"/>
          <w:b/>
          <w:bCs/>
          <w:sz w:val="22"/>
          <w:szCs w:val="22"/>
        </w:rPr>
        <w:lastRenderedPageBreak/>
        <w:t xml:space="preserve">Que,   </w:t>
      </w:r>
      <w:r w:rsidRPr="00C40CC0">
        <w:rPr>
          <w:rFonts w:ascii="Palatino Linotype" w:hAnsi="Palatino Linotype"/>
          <w:bCs/>
          <w:sz w:val="22"/>
          <w:szCs w:val="22"/>
        </w:rPr>
        <w:t>la Ordenanza No</w:t>
      </w:r>
      <w:r w:rsidR="00D86842" w:rsidRPr="00C40CC0">
        <w:rPr>
          <w:rFonts w:ascii="Palatino Linotype" w:hAnsi="Palatino Linotype"/>
          <w:bCs/>
          <w:sz w:val="22"/>
          <w:szCs w:val="22"/>
        </w:rPr>
        <w:t>. 147 de 9 de diciembre de 2016,</w:t>
      </w:r>
      <w:r w:rsidRPr="00C40CC0">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DD1A49" w:rsidRPr="00C40CC0" w:rsidRDefault="00DD1A49" w:rsidP="00E4288C">
      <w:pPr>
        <w:spacing w:after="120" w:line="276" w:lineRule="auto"/>
        <w:ind w:left="705" w:hanging="705"/>
        <w:jc w:val="both"/>
        <w:rPr>
          <w:rFonts w:ascii="Palatino Linotype" w:hAnsi="Palatino Linotype"/>
          <w:bCs/>
          <w:sz w:val="22"/>
          <w:szCs w:val="22"/>
        </w:rPr>
      </w:pPr>
      <w:r w:rsidRPr="00C40CC0">
        <w:rPr>
          <w:rFonts w:ascii="Palatino Linotype" w:hAnsi="Palatino Linotype"/>
          <w:b/>
          <w:bCs/>
          <w:sz w:val="22"/>
          <w:szCs w:val="22"/>
        </w:rPr>
        <w:t xml:space="preserve">Que,   </w:t>
      </w:r>
      <w:r w:rsidR="00160923" w:rsidRPr="00C40CC0">
        <w:rPr>
          <w:rFonts w:ascii="Palatino Linotype" w:hAnsi="Palatino Linotype"/>
          <w:b/>
          <w:bCs/>
          <w:sz w:val="22"/>
          <w:szCs w:val="22"/>
        </w:rPr>
        <w:tab/>
      </w:r>
      <w:r w:rsidRPr="00C40CC0">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C40CC0" w:rsidRDefault="00DD1A49" w:rsidP="00C40CC0">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 xml:space="preserve">Que,   </w:t>
      </w:r>
      <w:r w:rsidR="00160923" w:rsidRPr="00C40CC0">
        <w:rPr>
          <w:rFonts w:ascii="Palatino Linotype" w:hAnsi="Palatino Linotype"/>
          <w:b/>
          <w:bCs/>
        </w:rPr>
        <w:tab/>
      </w:r>
      <w:r w:rsidRPr="00C40CC0">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C40CC0">
        <w:rPr>
          <w:rFonts w:ascii="Palatino Linotype" w:hAnsi="Palatino Linotype"/>
          <w:bCs/>
        </w:rPr>
        <w:t xml:space="preserve"> y,</w:t>
      </w:r>
    </w:p>
    <w:p w:rsidR="00C4560E" w:rsidRPr="00C40CC0" w:rsidRDefault="005B51E8" w:rsidP="00C40CC0">
      <w:pPr>
        <w:pStyle w:val="Sinespaciado"/>
        <w:spacing w:after="120" w:line="276" w:lineRule="auto"/>
        <w:ind w:left="709" w:hanging="709"/>
        <w:jc w:val="both"/>
        <w:rPr>
          <w:rFonts w:ascii="Palatino Linotype" w:hAnsi="Palatino Linotype"/>
          <w:bCs/>
        </w:rPr>
      </w:pPr>
      <w:r w:rsidRPr="00C40CC0">
        <w:rPr>
          <w:rFonts w:ascii="Palatino Linotype" w:hAnsi="Palatino Linotype"/>
          <w:b/>
          <w:bCs/>
        </w:rPr>
        <w:t>Que,</w:t>
      </w:r>
      <w:r w:rsidR="00FC7853" w:rsidRPr="00C40CC0">
        <w:rPr>
          <w:rFonts w:ascii="Palatino Linotype" w:hAnsi="Palatino Linotype"/>
        </w:rPr>
        <w:tab/>
      </w:r>
      <w:r w:rsidR="00E64141" w:rsidRPr="00F96622">
        <w:rPr>
          <w:rFonts w:ascii="Palatino Linotype" w:hAnsi="Palatino Linotype"/>
        </w:rPr>
        <w:t xml:space="preserve">la Mesa Institucional reunida el 13 de </w:t>
      </w:r>
      <w:r w:rsidR="00E64141">
        <w:rPr>
          <w:rFonts w:ascii="Palatino Linotype" w:hAnsi="Palatino Linotype"/>
        </w:rPr>
        <w:t>d</w:t>
      </w:r>
      <w:r w:rsidR="00E64141" w:rsidRPr="00F96622">
        <w:rPr>
          <w:rFonts w:ascii="Palatino Linotype" w:hAnsi="Palatino Linotype"/>
        </w:rPr>
        <w:t>iciembre</w:t>
      </w:r>
      <w:r w:rsidR="00E64141">
        <w:rPr>
          <w:rFonts w:ascii="Palatino Linotype" w:hAnsi="Palatino Linotype"/>
        </w:rPr>
        <w:t xml:space="preserve"> de 2016,</w:t>
      </w:r>
      <w:r w:rsidR="00E64141" w:rsidRPr="00F96622">
        <w:rPr>
          <w:rFonts w:ascii="Palatino Linotype" w:hAnsi="Palatino Linotype"/>
        </w:rPr>
        <w:t xml:space="preserve"> en la Administración Zonal Los Chillos, integrada por: </w:t>
      </w:r>
      <w:proofErr w:type="spellStart"/>
      <w:r w:rsidR="00E64141" w:rsidRPr="00F96622">
        <w:rPr>
          <w:rFonts w:ascii="Palatino Linotype" w:hAnsi="Palatino Linotype"/>
          <w:color w:val="000000"/>
        </w:rPr>
        <w:t>Msc</w:t>
      </w:r>
      <w:proofErr w:type="spellEnd"/>
      <w:r w:rsidR="00E64141" w:rsidRPr="00F96622">
        <w:rPr>
          <w:rFonts w:ascii="Palatino Linotype" w:hAnsi="Palatino Linotype"/>
          <w:color w:val="000000"/>
        </w:rPr>
        <w:t xml:space="preserve">. Santiago Cáceres, </w:t>
      </w:r>
      <w:r w:rsidR="00E64141" w:rsidRPr="00F96622">
        <w:rPr>
          <w:rFonts w:ascii="Palatino Linotype" w:hAnsi="Palatino Linotype"/>
        </w:rPr>
        <w:t xml:space="preserve">Administrador Zona Los Chillos; Abg. María Augusta Carrera, Directora de Asesoría Jurídica Zona Los Chillos; Arq. Jorge Murillo, Delegado de la Dirección de Gestión de Territorio Zona Los Chillos; Arq. Jorge Campaña, Delegado de la Dirección Metropolitana de Catastro; Arq. Elizabeth Ortiz, Delegada de la Secretaría de Territorio, Hábitat y Vivienda; </w:t>
      </w:r>
      <w:proofErr w:type="spellStart"/>
      <w:r w:rsidR="00E64141" w:rsidRPr="00F96622">
        <w:rPr>
          <w:rFonts w:ascii="Palatino Linotype" w:hAnsi="Palatino Linotype"/>
        </w:rPr>
        <w:t>Tgla</w:t>
      </w:r>
      <w:proofErr w:type="spellEnd"/>
      <w:r w:rsidR="00E64141" w:rsidRPr="00F96622">
        <w:rPr>
          <w:rFonts w:ascii="Palatino Linotype" w:hAnsi="Palatino Linotype"/>
        </w:rPr>
        <w:t xml:space="preserve">. Cristina </w:t>
      </w:r>
      <w:proofErr w:type="spellStart"/>
      <w:r w:rsidR="00E64141" w:rsidRPr="00F96622">
        <w:rPr>
          <w:rFonts w:ascii="Palatino Linotype" w:hAnsi="Palatino Linotype"/>
        </w:rPr>
        <w:t>Aguayza</w:t>
      </w:r>
      <w:proofErr w:type="spellEnd"/>
      <w:r w:rsidR="00E64141" w:rsidRPr="00F96622">
        <w:rPr>
          <w:rFonts w:ascii="Palatino Linotype" w:hAnsi="Palatino Linotype"/>
        </w:rPr>
        <w:t>, Delegado de la Dirección Metropolitana de Gestión de Riesgo; Lcda. María José Cruz, Delegada de la Dirección de la Unidad Especial Regula Tu Barrio y Socio-Organizativa; Dr. Fernando Quintana, Responsable Legal; y, Arq. Pablo Alcocer, Responsable Técnico</w:t>
      </w:r>
      <w:r w:rsidR="00E64141" w:rsidRPr="00F96622">
        <w:rPr>
          <w:rFonts w:ascii="Palatino Linotype" w:hAnsi="Palatino Linotype"/>
          <w:color w:val="000000"/>
        </w:rPr>
        <w:t>, de</w:t>
      </w:r>
      <w:r w:rsidR="00E64141" w:rsidRPr="00F96622">
        <w:rPr>
          <w:rFonts w:ascii="Palatino Linotype" w:hAnsi="Palatino Linotype"/>
        </w:rPr>
        <w:t xml:space="preserve"> la Unidad Especial “Regula Tú Barrio” Oficina Central; aprobaron el Informe Socio Organizativo Legal y Técnico Nº 017-UERB-OC-SOLT-2016, de 13 de diciembre del 2016, habilitante de la reforma de la Ordenanza No. 130, para el Reconocimiento del Asentamiento Humano de Hecho y Consolidado de interés social denominado “San Carlos de </w:t>
      </w:r>
      <w:proofErr w:type="spellStart"/>
      <w:r w:rsidR="00E64141" w:rsidRPr="00F96622">
        <w:rPr>
          <w:rFonts w:ascii="Palatino Linotype" w:hAnsi="Palatino Linotype"/>
        </w:rPr>
        <w:t>Alangasí</w:t>
      </w:r>
      <w:proofErr w:type="spellEnd"/>
      <w:r w:rsidR="00E64141" w:rsidRPr="00F96622">
        <w:rPr>
          <w:rFonts w:ascii="Palatino Linotype" w:hAnsi="Palatino Linotype"/>
        </w:rPr>
        <w:t xml:space="preserve"> Primera Etapa”, a favor de sus copropietarios</w:t>
      </w:r>
      <w:r w:rsidR="00C4560E" w:rsidRPr="00C40CC0">
        <w:rPr>
          <w:rFonts w:ascii="Palatino Linotype" w:eastAsiaTheme="minorHAnsi" w:hAnsi="Palatino Linotype"/>
        </w:rPr>
        <w:t>.</w:t>
      </w:r>
    </w:p>
    <w:p w:rsidR="005B51E8" w:rsidRPr="00C40CC0" w:rsidRDefault="005B51E8" w:rsidP="00E4288C">
      <w:pPr>
        <w:spacing w:after="120" w:line="276" w:lineRule="auto"/>
        <w:jc w:val="both"/>
        <w:rPr>
          <w:rFonts w:ascii="Palatino Linotype" w:hAnsi="Palatino Linotype"/>
          <w:b/>
          <w:sz w:val="22"/>
          <w:szCs w:val="22"/>
        </w:rPr>
      </w:pPr>
      <w:r w:rsidRPr="00C40CC0">
        <w:rPr>
          <w:rFonts w:ascii="Palatino Linotype" w:hAnsi="Palatino Linotype"/>
          <w:b/>
          <w:bCs/>
          <w:sz w:val="22"/>
          <w:szCs w:val="22"/>
        </w:rPr>
        <w:t xml:space="preserve">En </w:t>
      </w:r>
      <w:r w:rsidR="00F112F0" w:rsidRPr="00C40CC0">
        <w:rPr>
          <w:rFonts w:ascii="Palatino Linotype" w:hAnsi="Palatino Linotype"/>
          <w:b/>
          <w:sz w:val="22"/>
          <w:szCs w:val="22"/>
        </w:rPr>
        <w:t>ejercicio</w:t>
      </w:r>
      <w:r w:rsidRPr="00C40CC0">
        <w:rPr>
          <w:rFonts w:ascii="Palatino Linotype" w:hAnsi="Palatino Linotype"/>
          <w:b/>
          <w:sz w:val="22"/>
          <w:szCs w:val="22"/>
        </w:rPr>
        <w:t xml:space="preserve"> de </w:t>
      </w:r>
      <w:r w:rsidR="00F112F0" w:rsidRPr="00C40CC0">
        <w:rPr>
          <w:rFonts w:ascii="Palatino Linotype" w:hAnsi="Palatino Linotype"/>
          <w:b/>
          <w:sz w:val="22"/>
          <w:szCs w:val="22"/>
        </w:rPr>
        <w:t xml:space="preserve">sus </w:t>
      </w:r>
      <w:r w:rsidRPr="00C40CC0">
        <w:rPr>
          <w:rFonts w:ascii="Palatino Linotype" w:hAnsi="Palatino Linotype"/>
          <w:b/>
          <w:sz w:val="22"/>
          <w:szCs w:val="22"/>
        </w:rPr>
        <w:t>atribuciones legales constantes en los artículos 30, 31, 240 y 264 n</w:t>
      </w:r>
      <w:r w:rsidR="009868C3" w:rsidRPr="00C40CC0">
        <w:rPr>
          <w:rFonts w:ascii="Palatino Linotype" w:hAnsi="Palatino Linotype"/>
          <w:b/>
          <w:sz w:val="22"/>
          <w:szCs w:val="22"/>
        </w:rPr>
        <w:t>umeral 1 y 2 de la Constitución</w:t>
      </w:r>
      <w:r w:rsidRPr="00C40C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40CC0">
        <w:rPr>
          <w:rFonts w:ascii="Palatino Linotype" w:hAnsi="Palatino Linotype"/>
          <w:b/>
          <w:sz w:val="22"/>
          <w:szCs w:val="22"/>
        </w:rPr>
        <w:t xml:space="preserve"> 1 de la Ley de Régimen para el</w:t>
      </w:r>
      <w:r w:rsidRPr="00C40CC0">
        <w:rPr>
          <w:rFonts w:ascii="Palatino Linotype" w:hAnsi="Palatino Linotype"/>
          <w:b/>
          <w:sz w:val="22"/>
          <w:szCs w:val="22"/>
        </w:rPr>
        <w:t xml:space="preserve"> D</w:t>
      </w:r>
      <w:r w:rsidR="00FC7853" w:rsidRPr="00C40CC0">
        <w:rPr>
          <w:rFonts w:ascii="Palatino Linotype" w:hAnsi="Palatino Linotype"/>
          <w:b/>
          <w:sz w:val="22"/>
          <w:szCs w:val="22"/>
        </w:rPr>
        <w:t>istrito Metropolitano</w:t>
      </w:r>
      <w:r w:rsidR="007A714D" w:rsidRPr="00C40CC0">
        <w:rPr>
          <w:rFonts w:ascii="Palatino Linotype" w:hAnsi="Palatino Linotype"/>
          <w:b/>
          <w:sz w:val="22"/>
          <w:szCs w:val="22"/>
        </w:rPr>
        <w:t xml:space="preserve"> de Quito,</w:t>
      </w:r>
    </w:p>
    <w:p w:rsidR="005B51E8" w:rsidRPr="00C40CC0" w:rsidRDefault="005B51E8" w:rsidP="00E4288C">
      <w:pPr>
        <w:spacing w:after="120" w:line="276" w:lineRule="auto"/>
        <w:jc w:val="center"/>
        <w:rPr>
          <w:rFonts w:ascii="Palatino Linotype" w:hAnsi="Palatino Linotype"/>
          <w:b/>
          <w:bCs/>
          <w:sz w:val="22"/>
          <w:szCs w:val="22"/>
        </w:rPr>
      </w:pPr>
      <w:r w:rsidRPr="00C40CC0">
        <w:rPr>
          <w:rFonts w:ascii="Palatino Linotype" w:hAnsi="Palatino Linotype"/>
          <w:b/>
          <w:sz w:val="22"/>
          <w:szCs w:val="22"/>
        </w:rPr>
        <w:t>EXPIDE LA SIGUIENTE:</w:t>
      </w:r>
    </w:p>
    <w:p w:rsidR="00C4560E" w:rsidRPr="00C40CC0" w:rsidRDefault="00160923" w:rsidP="00E4288C">
      <w:pPr>
        <w:pStyle w:val="Ttulo7"/>
        <w:spacing w:before="0" w:after="120" w:line="276" w:lineRule="auto"/>
        <w:jc w:val="center"/>
        <w:rPr>
          <w:rFonts w:ascii="Palatino Linotype" w:hAnsi="Palatino Linotype"/>
          <w:sz w:val="22"/>
          <w:szCs w:val="22"/>
        </w:rPr>
      </w:pPr>
      <w:r w:rsidRPr="00C40CC0">
        <w:rPr>
          <w:rFonts w:ascii="Palatino Linotype" w:hAnsi="Palatino Linotype"/>
          <w:b/>
          <w:bCs/>
          <w:sz w:val="22"/>
          <w:szCs w:val="22"/>
        </w:rPr>
        <w:lastRenderedPageBreak/>
        <w:t xml:space="preserve">ORDENANZA </w:t>
      </w:r>
      <w:r w:rsidR="00E64141" w:rsidRPr="00F96622">
        <w:rPr>
          <w:rFonts w:ascii="Palatino Linotype" w:hAnsi="Palatino Linotype"/>
          <w:b/>
          <w:sz w:val="22"/>
          <w:szCs w:val="22"/>
        </w:rPr>
        <w:t xml:space="preserve">REFORMATORIA DE LA ORDENANZA No. 130, SANCIONADA EL 21 DE OCTUBRE DE 2011, </w:t>
      </w:r>
      <w:r w:rsidR="00E64141" w:rsidRPr="00F96622">
        <w:rPr>
          <w:rFonts w:ascii="Palatino Linotype" w:hAnsi="Palatino Linotype"/>
          <w:b/>
          <w:bCs/>
          <w:sz w:val="22"/>
          <w:szCs w:val="22"/>
        </w:rPr>
        <w:t>QUE APRUEBA LA URBANIZACION DE INTER</w:t>
      </w:r>
      <w:r w:rsidR="00E64141">
        <w:rPr>
          <w:rFonts w:ascii="Palatino Linotype" w:hAnsi="Palatino Linotype"/>
          <w:b/>
          <w:bCs/>
          <w:sz w:val="22"/>
          <w:szCs w:val="22"/>
        </w:rPr>
        <w:t>É</w:t>
      </w:r>
      <w:r w:rsidR="00E64141" w:rsidRPr="00F96622">
        <w:rPr>
          <w:rFonts w:ascii="Palatino Linotype" w:hAnsi="Palatino Linotype"/>
          <w:b/>
          <w:bCs/>
          <w:sz w:val="22"/>
          <w:szCs w:val="22"/>
        </w:rPr>
        <w:t xml:space="preserve">S SOCIAL DE DESARROLLO PROGRESIVO DEL COMITÉ DEL BARRIO </w:t>
      </w:r>
      <w:r w:rsidR="00E64141" w:rsidRPr="00F96622">
        <w:rPr>
          <w:rFonts w:ascii="Palatino Linotype" w:hAnsi="Palatino Linotype"/>
          <w:b/>
          <w:sz w:val="22"/>
          <w:szCs w:val="22"/>
        </w:rPr>
        <w:t>SAN CARLOS DE ALANGASÍ PRIMERA ETAPA</w:t>
      </w:r>
    </w:p>
    <w:p w:rsidR="00E64141" w:rsidRPr="00F96622" w:rsidRDefault="00E64141" w:rsidP="00E64141">
      <w:pPr>
        <w:pStyle w:val="Ttulo7"/>
        <w:spacing w:before="0" w:after="120" w:line="276" w:lineRule="auto"/>
        <w:jc w:val="both"/>
        <w:rPr>
          <w:rFonts w:ascii="Palatino Linotype" w:hAnsi="Palatino Linotype"/>
          <w:sz w:val="22"/>
          <w:szCs w:val="22"/>
        </w:rPr>
      </w:pPr>
      <w:r w:rsidRPr="00F96622">
        <w:rPr>
          <w:rFonts w:ascii="Palatino Linotype" w:hAnsi="Palatino Linotype"/>
          <w:b/>
          <w:bCs/>
          <w:sz w:val="22"/>
          <w:szCs w:val="22"/>
        </w:rPr>
        <w:t xml:space="preserve">Artículo 1.-  </w:t>
      </w:r>
      <w:r w:rsidRPr="00F96622">
        <w:rPr>
          <w:rFonts w:ascii="Palatino Linotype" w:hAnsi="Palatino Linotype"/>
          <w:bCs/>
          <w:sz w:val="22"/>
          <w:szCs w:val="22"/>
        </w:rPr>
        <w:t>Sustitúyase en la Ordenanza No. 130, sancionada el 21 de octubre de 2011, el texto “</w:t>
      </w:r>
      <w:r w:rsidRPr="00F96622">
        <w:rPr>
          <w:rFonts w:ascii="Palatino Linotype" w:hAnsi="Palatino Linotype"/>
          <w:b/>
          <w:i/>
          <w:sz w:val="22"/>
          <w:szCs w:val="22"/>
        </w:rPr>
        <w:t>URBANIZACIÓN DE INTERÉS SOCIAL DE DESARROLLO PROGRESIVO DEL COMITÉ DEL BARRIO SAN CARLOS DE ALANGASÍ PRIMERA ETAPA”</w:t>
      </w:r>
      <w:r w:rsidRPr="00F96622">
        <w:rPr>
          <w:rFonts w:ascii="Palatino Linotype" w:hAnsi="Palatino Linotype"/>
          <w:b/>
          <w:bCs/>
          <w:sz w:val="22"/>
          <w:szCs w:val="22"/>
        </w:rPr>
        <w:t xml:space="preserve"> </w:t>
      </w:r>
      <w:r w:rsidRPr="00F96622">
        <w:rPr>
          <w:rFonts w:ascii="Palatino Linotype" w:hAnsi="Palatino Linotype"/>
          <w:bCs/>
          <w:sz w:val="22"/>
          <w:szCs w:val="22"/>
        </w:rPr>
        <w:t xml:space="preserve">por el siguiente texto </w:t>
      </w:r>
      <w:r w:rsidRPr="00F96622">
        <w:rPr>
          <w:rFonts w:ascii="Palatino Linotype" w:hAnsi="Palatino Linotype"/>
          <w:bCs/>
          <w:i/>
          <w:sz w:val="22"/>
          <w:szCs w:val="22"/>
        </w:rPr>
        <w:t>“</w:t>
      </w:r>
      <w:r w:rsidRPr="00F96622">
        <w:rPr>
          <w:rFonts w:ascii="Palatino Linotype" w:hAnsi="Palatino Linotype"/>
          <w:b/>
          <w:i/>
          <w:sz w:val="22"/>
          <w:szCs w:val="22"/>
        </w:rPr>
        <w:t>ASENTAMIENTO HUMANO DE HECHO Y CONSOLIDADO DE INTERÉS SOCIAL DENOMINADO “SAN CARLOS DE ALANGASÍ PRIMERA ETAPA”</w:t>
      </w:r>
      <w:r w:rsidRPr="00F96622">
        <w:rPr>
          <w:rFonts w:ascii="Palatino Linotype" w:hAnsi="Palatino Linotype"/>
          <w:b/>
          <w:sz w:val="22"/>
          <w:szCs w:val="22"/>
        </w:rPr>
        <w:t>.</w:t>
      </w:r>
    </w:p>
    <w:p w:rsidR="00E64141" w:rsidRPr="00F96622" w:rsidRDefault="00E64141" w:rsidP="00E64141">
      <w:pPr>
        <w:pStyle w:val="Ttulo7"/>
        <w:spacing w:before="0"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2.- </w:t>
      </w:r>
      <w:r w:rsidRPr="00F96622">
        <w:rPr>
          <w:rFonts w:ascii="Palatino Linotype" w:hAnsi="Palatino Linotype"/>
          <w:bCs/>
          <w:sz w:val="22"/>
          <w:szCs w:val="22"/>
        </w:rPr>
        <w:t xml:space="preserve">En el artículo 2 de la Ordenanza No. 130, sancionada el 21 de octubre de 2011, sustitúyanse las siguientes especificaciones técnicas correspondientes al </w:t>
      </w:r>
      <w:r w:rsidRPr="00F96622">
        <w:rPr>
          <w:rFonts w:ascii="Palatino Linotype" w:hAnsi="Palatino Linotype"/>
          <w:sz w:val="22"/>
          <w:szCs w:val="22"/>
        </w:rPr>
        <w:t xml:space="preserve">Asentamiento Humano de Hecho y Consolidado de interés social </w:t>
      </w:r>
      <w:r>
        <w:rPr>
          <w:rFonts w:ascii="Palatino Linotype" w:hAnsi="Palatino Linotype"/>
          <w:sz w:val="22"/>
          <w:szCs w:val="22"/>
        </w:rPr>
        <w:t xml:space="preserve">denominado </w:t>
      </w:r>
      <w:r w:rsidRPr="00F96622">
        <w:rPr>
          <w:rFonts w:ascii="Palatino Linotype" w:hAnsi="Palatino Linotype"/>
          <w:sz w:val="22"/>
          <w:szCs w:val="22"/>
        </w:rPr>
        <w:t xml:space="preserve">“San Carlos de </w:t>
      </w:r>
      <w:proofErr w:type="spellStart"/>
      <w:r w:rsidRPr="00F96622">
        <w:rPr>
          <w:rFonts w:ascii="Palatino Linotype" w:hAnsi="Palatino Linotype"/>
          <w:sz w:val="22"/>
          <w:szCs w:val="22"/>
        </w:rPr>
        <w:t>Alangasí</w:t>
      </w:r>
      <w:proofErr w:type="spellEnd"/>
      <w:r w:rsidRPr="00F96622">
        <w:rPr>
          <w:rFonts w:ascii="Palatino Linotype" w:hAnsi="Palatino Linotype"/>
          <w:sz w:val="22"/>
          <w:szCs w:val="22"/>
        </w:rPr>
        <w:t xml:space="preserve"> Primera Etapa”</w:t>
      </w:r>
      <w:r>
        <w:rPr>
          <w:rFonts w:ascii="Palatino Linotype" w:hAnsi="Palatino Linotype"/>
          <w:bCs/>
          <w:sz w:val="22"/>
          <w:szCs w:val="22"/>
        </w:rPr>
        <w:t>:</w:t>
      </w:r>
    </w:p>
    <w:p w:rsidR="00E64141" w:rsidRPr="00F96622" w:rsidRDefault="00E64141" w:rsidP="00E64141">
      <w:pPr>
        <w:pStyle w:val="Ttulo3"/>
        <w:spacing w:before="0" w:after="120" w:line="276" w:lineRule="auto"/>
        <w:ind w:left="708"/>
        <w:jc w:val="both"/>
        <w:rPr>
          <w:rFonts w:ascii="Palatino Linotype" w:hAnsi="Palatino Linotype" w:cs="Times New Roman"/>
          <w:b w:val="0"/>
          <w:i/>
          <w:sz w:val="22"/>
          <w:szCs w:val="22"/>
          <w:vertAlign w:val="superscript"/>
        </w:rPr>
      </w:pPr>
      <w:r w:rsidRPr="00F96622">
        <w:rPr>
          <w:rFonts w:ascii="Palatino Linotype" w:hAnsi="Palatino Linotype" w:cs="Times New Roman"/>
          <w:i/>
          <w:sz w:val="22"/>
          <w:szCs w:val="22"/>
        </w:rPr>
        <w:t>“Área útil de lotes:</w:t>
      </w:r>
      <w:r w:rsidRPr="00F96622">
        <w:rPr>
          <w:rFonts w:ascii="Palatino Linotype" w:hAnsi="Palatino Linotype" w:cs="Times New Roman"/>
          <w:b w:val="0"/>
          <w:i/>
          <w:sz w:val="22"/>
          <w:szCs w:val="22"/>
        </w:rPr>
        <w:tab/>
      </w:r>
      <w:r w:rsidRPr="00F96622">
        <w:rPr>
          <w:rFonts w:ascii="Palatino Linotype" w:hAnsi="Palatino Linotype" w:cs="Times New Roman"/>
          <w:b w:val="0"/>
          <w:i/>
          <w:sz w:val="22"/>
          <w:szCs w:val="22"/>
        </w:rPr>
        <w:tab/>
        <w:t xml:space="preserve">        </w:t>
      </w:r>
      <w:r w:rsidRPr="00F96622">
        <w:rPr>
          <w:rFonts w:ascii="Palatino Linotype" w:hAnsi="Palatino Linotype" w:cs="Times New Roman"/>
          <w:b w:val="0"/>
          <w:i/>
          <w:sz w:val="22"/>
          <w:szCs w:val="22"/>
        </w:rPr>
        <w:tab/>
        <w:t xml:space="preserve">             </w:t>
      </w:r>
      <w:r w:rsidRPr="00F96622">
        <w:rPr>
          <w:rFonts w:ascii="Palatino Linotype" w:hAnsi="Palatino Linotype" w:cs="Times New Roman"/>
          <w:b w:val="0"/>
          <w:i/>
          <w:color w:val="000000" w:themeColor="text1"/>
          <w:sz w:val="22"/>
          <w:szCs w:val="22"/>
        </w:rPr>
        <w:t>10.680,28</w:t>
      </w:r>
      <w:r>
        <w:rPr>
          <w:rFonts w:ascii="Palatino Linotype" w:hAnsi="Palatino Linotype" w:cs="Times New Roman"/>
          <w:b w:val="0"/>
          <w:i/>
          <w:color w:val="000000" w:themeColor="text1"/>
          <w:sz w:val="22"/>
          <w:szCs w:val="22"/>
        </w:rPr>
        <w:t xml:space="preserve"> </w:t>
      </w:r>
      <w:r w:rsidRPr="00F96622">
        <w:rPr>
          <w:rFonts w:ascii="Palatino Linotype" w:hAnsi="Palatino Linotype" w:cs="Times New Roman"/>
          <w:b w:val="0"/>
          <w:i/>
          <w:sz w:val="22"/>
          <w:szCs w:val="22"/>
        </w:rPr>
        <w:t>m</w:t>
      </w:r>
      <w:r w:rsidRPr="00F96622">
        <w:rPr>
          <w:rFonts w:ascii="Palatino Linotype" w:hAnsi="Palatino Linotype" w:cs="Times New Roman"/>
          <w:b w:val="0"/>
          <w:i/>
          <w:sz w:val="22"/>
          <w:szCs w:val="22"/>
          <w:vertAlign w:val="superscript"/>
        </w:rPr>
        <w:t>2</w:t>
      </w:r>
    </w:p>
    <w:p w:rsidR="00E64141" w:rsidRPr="00F96622" w:rsidRDefault="00E64141" w:rsidP="00E64141">
      <w:pPr>
        <w:pStyle w:val="Ttulo3"/>
        <w:spacing w:before="0" w:after="120" w:line="276" w:lineRule="auto"/>
        <w:ind w:left="708"/>
        <w:jc w:val="both"/>
        <w:rPr>
          <w:rFonts w:ascii="Palatino Linotype" w:hAnsi="Palatino Linotype" w:cs="Times New Roman"/>
          <w:b w:val="0"/>
          <w:i/>
          <w:sz w:val="22"/>
          <w:szCs w:val="22"/>
          <w:vertAlign w:val="superscript"/>
        </w:rPr>
      </w:pPr>
      <w:r w:rsidRPr="00F96622">
        <w:rPr>
          <w:rFonts w:ascii="Palatino Linotype" w:hAnsi="Palatino Linotype" w:cs="Times New Roman"/>
          <w:i/>
          <w:sz w:val="22"/>
          <w:szCs w:val="22"/>
        </w:rPr>
        <w:t xml:space="preserve">Área de </w:t>
      </w:r>
      <w:r>
        <w:rPr>
          <w:rFonts w:ascii="Palatino Linotype" w:hAnsi="Palatino Linotype" w:cs="Times New Roman"/>
          <w:i/>
          <w:sz w:val="22"/>
          <w:szCs w:val="22"/>
        </w:rPr>
        <w:t>p</w:t>
      </w:r>
      <w:r w:rsidRPr="00F96622">
        <w:rPr>
          <w:rFonts w:ascii="Palatino Linotype" w:hAnsi="Palatino Linotype" w:cs="Times New Roman"/>
          <w:i/>
          <w:sz w:val="22"/>
          <w:szCs w:val="22"/>
        </w:rPr>
        <w:t>asajes:</w:t>
      </w:r>
      <w:r w:rsidRPr="00F96622">
        <w:rPr>
          <w:rFonts w:ascii="Palatino Linotype" w:hAnsi="Palatino Linotype" w:cs="Times New Roman"/>
          <w:i/>
          <w:sz w:val="22"/>
          <w:szCs w:val="22"/>
        </w:rPr>
        <w:tab/>
      </w:r>
      <w:r>
        <w:rPr>
          <w:rFonts w:ascii="Palatino Linotype" w:hAnsi="Palatino Linotype" w:cs="Times New Roman"/>
          <w:i/>
          <w:sz w:val="22"/>
          <w:szCs w:val="22"/>
        </w:rPr>
        <w:tab/>
      </w:r>
      <w:r>
        <w:rPr>
          <w:rFonts w:ascii="Palatino Linotype" w:hAnsi="Palatino Linotype" w:cs="Times New Roman"/>
          <w:i/>
          <w:sz w:val="22"/>
          <w:szCs w:val="22"/>
        </w:rPr>
        <w:tab/>
      </w:r>
      <w:r>
        <w:rPr>
          <w:rFonts w:ascii="Palatino Linotype" w:hAnsi="Palatino Linotype" w:cs="Times New Roman"/>
          <w:i/>
          <w:sz w:val="22"/>
          <w:szCs w:val="22"/>
        </w:rPr>
        <w:tab/>
      </w:r>
      <w:r w:rsidRPr="00F96622">
        <w:rPr>
          <w:rFonts w:ascii="Palatino Linotype" w:hAnsi="Palatino Linotype" w:cs="Times New Roman"/>
          <w:b w:val="0"/>
          <w:i/>
          <w:color w:val="000000" w:themeColor="text1"/>
          <w:sz w:val="22"/>
          <w:szCs w:val="22"/>
        </w:rPr>
        <w:t>940,37</w:t>
      </w:r>
      <w:r>
        <w:rPr>
          <w:rFonts w:ascii="Palatino Linotype" w:hAnsi="Palatino Linotype" w:cs="Times New Roman"/>
          <w:b w:val="0"/>
          <w:i/>
          <w:color w:val="000000" w:themeColor="text1"/>
          <w:sz w:val="22"/>
          <w:szCs w:val="22"/>
        </w:rPr>
        <w:t xml:space="preserve"> </w:t>
      </w:r>
      <w:r w:rsidRPr="00F96622">
        <w:rPr>
          <w:rFonts w:ascii="Palatino Linotype" w:hAnsi="Palatino Linotype" w:cs="Times New Roman"/>
          <w:b w:val="0"/>
          <w:i/>
          <w:sz w:val="22"/>
          <w:szCs w:val="22"/>
        </w:rPr>
        <w:t>m</w:t>
      </w:r>
      <w:r w:rsidRPr="00F96622">
        <w:rPr>
          <w:rFonts w:ascii="Palatino Linotype" w:hAnsi="Palatino Linotype" w:cs="Times New Roman"/>
          <w:b w:val="0"/>
          <w:i/>
          <w:sz w:val="22"/>
          <w:szCs w:val="22"/>
          <w:vertAlign w:val="superscript"/>
        </w:rPr>
        <w:t>2</w:t>
      </w:r>
    </w:p>
    <w:p w:rsidR="00E64141" w:rsidRPr="00F96622" w:rsidRDefault="00E64141" w:rsidP="00E64141">
      <w:pPr>
        <w:spacing w:after="120" w:line="276" w:lineRule="auto"/>
        <w:ind w:left="708"/>
        <w:rPr>
          <w:rFonts w:ascii="Palatino Linotype" w:hAnsi="Palatino Linotype"/>
          <w:i/>
          <w:sz w:val="22"/>
          <w:szCs w:val="22"/>
          <w:vertAlign w:val="superscript"/>
        </w:rPr>
      </w:pPr>
      <w:r w:rsidRPr="00F96622">
        <w:rPr>
          <w:rFonts w:ascii="Palatino Linotype" w:hAnsi="Palatino Linotype"/>
          <w:b/>
          <w:i/>
          <w:sz w:val="22"/>
          <w:szCs w:val="22"/>
        </w:rPr>
        <w:t>Área de afectación vial (lotes)</w:t>
      </w:r>
      <w:r>
        <w:rPr>
          <w:rFonts w:ascii="Palatino Linotype" w:hAnsi="Palatino Linotype"/>
          <w:b/>
          <w:i/>
          <w:sz w:val="22"/>
          <w:szCs w:val="22"/>
        </w:rPr>
        <w:t>:</w:t>
      </w:r>
      <w:r>
        <w:rPr>
          <w:rFonts w:ascii="Palatino Linotype" w:hAnsi="Palatino Linotype"/>
          <w:b/>
          <w:i/>
          <w:sz w:val="22"/>
          <w:szCs w:val="22"/>
        </w:rPr>
        <w:tab/>
      </w:r>
      <w:r>
        <w:rPr>
          <w:rFonts w:ascii="Palatino Linotype" w:hAnsi="Palatino Linotype"/>
          <w:b/>
          <w:i/>
          <w:sz w:val="22"/>
          <w:szCs w:val="22"/>
        </w:rPr>
        <w:tab/>
      </w:r>
      <w:r w:rsidRPr="00F96622">
        <w:rPr>
          <w:rFonts w:ascii="Palatino Linotype" w:hAnsi="Palatino Linotype"/>
          <w:i/>
          <w:color w:val="000000" w:themeColor="text1"/>
          <w:sz w:val="22"/>
          <w:szCs w:val="22"/>
        </w:rPr>
        <w:t>160,95</w:t>
      </w:r>
      <w:r>
        <w:rPr>
          <w:rFonts w:ascii="Palatino Linotype" w:hAnsi="Palatino Linotype"/>
          <w:i/>
          <w:color w:val="000000" w:themeColor="text1"/>
          <w:sz w:val="22"/>
          <w:szCs w:val="22"/>
        </w:rPr>
        <w:t xml:space="preserve"> </w:t>
      </w:r>
      <w:r w:rsidRPr="00F96622">
        <w:rPr>
          <w:rFonts w:ascii="Palatino Linotype" w:hAnsi="Palatino Linotype"/>
          <w:i/>
          <w:sz w:val="22"/>
          <w:szCs w:val="22"/>
        </w:rPr>
        <w:t>m</w:t>
      </w:r>
      <w:r w:rsidRPr="00F96622">
        <w:rPr>
          <w:rFonts w:ascii="Palatino Linotype" w:hAnsi="Palatino Linotype"/>
          <w:i/>
          <w:sz w:val="22"/>
          <w:szCs w:val="22"/>
          <w:vertAlign w:val="superscript"/>
        </w:rPr>
        <w:t>2</w:t>
      </w:r>
    </w:p>
    <w:p w:rsidR="00E64141" w:rsidRPr="00F96622" w:rsidRDefault="00E64141" w:rsidP="00E64141">
      <w:pPr>
        <w:spacing w:after="120" w:line="276" w:lineRule="auto"/>
        <w:ind w:left="708"/>
        <w:rPr>
          <w:rFonts w:ascii="Palatino Linotype" w:hAnsi="Palatino Linotype"/>
          <w:i/>
          <w:sz w:val="22"/>
          <w:szCs w:val="22"/>
          <w:vertAlign w:val="superscript"/>
        </w:rPr>
      </w:pPr>
      <w:r w:rsidRPr="00F96622">
        <w:rPr>
          <w:rFonts w:ascii="Palatino Linotype" w:hAnsi="Palatino Linotype"/>
          <w:b/>
          <w:i/>
          <w:sz w:val="22"/>
          <w:szCs w:val="22"/>
        </w:rPr>
        <w:t>Área verde y equipamiento comunal</w:t>
      </w:r>
      <w:r>
        <w:rPr>
          <w:rFonts w:ascii="Palatino Linotype" w:hAnsi="Palatino Linotype"/>
          <w:b/>
          <w:i/>
          <w:sz w:val="22"/>
          <w:szCs w:val="22"/>
        </w:rPr>
        <w:t>:</w:t>
      </w:r>
      <w:r w:rsidRPr="00F96622">
        <w:rPr>
          <w:rFonts w:ascii="Palatino Linotype" w:hAnsi="Palatino Linotype"/>
          <w:b/>
          <w:i/>
          <w:sz w:val="22"/>
          <w:szCs w:val="22"/>
        </w:rPr>
        <w:t xml:space="preserve">  </w:t>
      </w:r>
      <w:r>
        <w:rPr>
          <w:rFonts w:ascii="Palatino Linotype" w:hAnsi="Palatino Linotype"/>
          <w:i/>
          <w:sz w:val="22"/>
          <w:szCs w:val="22"/>
        </w:rPr>
        <w:t xml:space="preserve">         </w:t>
      </w:r>
      <w:r>
        <w:rPr>
          <w:rFonts w:ascii="Palatino Linotype" w:hAnsi="Palatino Linotype"/>
          <w:i/>
          <w:sz w:val="22"/>
          <w:szCs w:val="22"/>
        </w:rPr>
        <w:tab/>
      </w:r>
      <w:r w:rsidRPr="00F96622">
        <w:rPr>
          <w:rFonts w:ascii="Palatino Linotype" w:hAnsi="Palatino Linotype"/>
          <w:i/>
          <w:color w:val="000000" w:themeColor="text1"/>
          <w:sz w:val="22"/>
          <w:szCs w:val="22"/>
        </w:rPr>
        <w:t>1.255,03</w:t>
      </w:r>
      <w:r>
        <w:rPr>
          <w:rFonts w:ascii="Palatino Linotype" w:hAnsi="Palatino Linotype"/>
          <w:i/>
          <w:color w:val="000000" w:themeColor="text1"/>
          <w:sz w:val="22"/>
          <w:szCs w:val="22"/>
        </w:rPr>
        <w:t xml:space="preserve"> </w:t>
      </w:r>
      <w:r w:rsidRPr="00F96622">
        <w:rPr>
          <w:rFonts w:ascii="Palatino Linotype" w:hAnsi="Palatino Linotype"/>
          <w:i/>
          <w:sz w:val="22"/>
          <w:szCs w:val="22"/>
        </w:rPr>
        <w:t>m</w:t>
      </w:r>
      <w:r w:rsidRPr="00F96622">
        <w:rPr>
          <w:rFonts w:ascii="Palatino Linotype" w:hAnsi="Palatino Linotype"/>
          <w:i/>
          <w:sz w:val="22"/>
          <w:szCs w:val="22"/>
          <w:vertAlign w:val="superscript"/>
        </w:rPr>
        <w:t>2</w:t>
      </w:r>
    </w:p>
    <w:p w:rsidR="00E64141" w:rsidRPr="00F96622" w:rsidRDefault="00E64141" w:rsidP="00E64141">
      <w:pPr>
        <w:spacing w:after="120" w:line="276" w:lineRule="auto"/>
        <w:ind w:left="708"/>
        <w:rPr>
          <w:rFonts w:ascii="Palatino Linotype" w:hAnsi="Palatino Linotype"/>
          <w:i/>
          <w:sz w:val="22"/>
          <w:szCs w:val="22"/>
          <w:vertAlign w:val="superscript"/>
        </w:rPr>
      </w:pPr>
      <w:r w:rsidRPr="00F96622">
        <w:rPr>
          <w:rFonts w:ascii="Palatino Linotype" w:hAnsi="Palatino Linotype"/>
          <w:b/>
          <w:i/>
          <w:sz w:val="22"/>
          <w:szCs w:val="22"/>
        </w:rPr>
        <w:t>Área municipal (afectación vial)</w:t>
      </w:r>
      <w:r>
        <w:rPr>
          <w:rFonts w:ascii="Palatino Linotype" w:hAnsi="Palatino Linotype"/>
          <w:b/>
          <w:i/>
          <w:sz w:val="22"/>
          <w:szCs w:val="22"/>
        </w:rPr>
        <w:t>:</w:t>
      </w:r>
      <w:r>
        <w:rPr>
          <w:rFonts w:ascii="Palatino Linotype" w:hAnsi="Palatino Linotype"/>
          <w:b/>
          <w:i/>
          <w:sz w:val="22"/>
          <w:szCs w:val="22"/>
        </w:rPr>
        <w:tab/>
      </w:r>
      <w:r>
        <w:rPr>
          <w:rFonts w:ascii="Palatino Linotype" w:hAnsi="Palatino Linotype"/>
          <w:b/>
          <w:i/>
          <w:sz w:val="22"/>
          <w:szCs w:val="22"/>
        </w:rPr>
        <w:tab/>
      </w:r>
      <w:r w:rsidRPr="00F96622">
        <w:rPr>
          <w:rFonts w:ascii="Palatino Linotype" w:hAnsi="Palatino Linotype"/>
          <w:i/>
          <w:color w:val="000000" w:themeColor="text1"/>
          <w:sz w:val="22"/>
          <w:szCs w:val="22"/>
        </w:rPr>
        <w:t>71,04</w:t>
      </w:r>
      <w:r>
        <w:rPr>
          <w:rFonts w:ascii="Palatino Linotype" w:hAnsi="Palatino Linotype"/>
          <w:i/>
          <w:color w:val="000000" w:themeColor="text1"/>
          <w:sz w:val="22"/>
          <w:szCs w:val="22"/>
        </w:rPr>
        <w:t xml:space="preserve"> </w:t>
      </w:r>
      <w:r w:rsidRPr="00F96622">
        <w:rPr>
          <w:rFonts w:ascii="Palatino Linotype" w:hAnsi="Palatino Linotype"/>
          <w:i/>
          <w:sz w:val="22"/>
          <w:szCs w:val="22"/>
        </w:rPr>
        <w:t>m</w:t>
      </w:r>
      <w:r w:rsidRPr="00F96622">
        <w:rPr>
          <w:rFonts w:ascii="Palatino Linotype" w:hAnsi="Palatino Linotype"/>
          <w:i/>
          <w:sz w:val="22"/>
          <w:szCs w:val="22"/>
          <w:vertAlign w:val="superscript"/>
        </w:rPr>
        <w:t>2</w:t>
      </w:r>
    </w:p>
    <w:p w:rsidR="00E64141" w:rsidRPr="00F96622" w:rsidRDefault="00E64141" w:rsidP="00E64141">
      <w:pPr>
        <w:spacing w:after="120" w:line="276" w:lineRule="auto"/>
        <w:ind w:left="708"/>
        <w:rPr>
          <w:rFonts w:ascii="Palatino Linotype" w:hAnsi="Palatino Linotype"/>
          <w:i/>
          <w:sz w:val="22"/>
          <w:szCs w:val="22"/>
          <w:vertAlign w:val="superscript"/>
        </w:rPr>
      </w:pPr>
      <w:r w:rsidRPr="00F96622">
        <w:rPr>
          <w:rFonts w:ascii="Palatino Linotype" w:hAnsi="Palatino Linotype"/>
          <w:b/>
          <w:i/>
          <w:sz w:val="22"/>
          <w:szCs w:val="22"/>
        </w:rPr>
        <w:t>Área bruta del terreno (área total)</w:t>
      </w:r>
      <w:r>
        <w:rPr>
          <w:rFonts w:ascii="Palatino Linotype" w:hAnsi="Palatino Linotype"/>
          <w:b/>
          <w:i/>
          <w:sz w:val="22"/>
          <w:szCs w:val="22"/>
        </w:rPr>
        <w:t>:</w:t>
      </w:r>
      <w:r>
        <w:rPr>
          <w:rFonts w:ascii="Palatino Linotype" w:hAnsi="Palatino Linotype"/>
          <w:b/>
          <w:i/>
          <w:sz w:val="22"/>
          <w:szCs w:val="22"/>
        </w:rPr>
        <w:tab/>
      </w:r>
      <w:r>
        <w:rPr>
          <w:rFonts w:ascii="Palatino Linotype" w:hAnsi="Palatino Linotype"/>
          <w:b/>
          <w:i/>
          <w:sz w:val="22"/>
          <w:szCs w:val="22"/>
        </w:rPr>
        <w:tab/>
      </w:r>
      <w:r w:rsidRPr="00F96622">
        <w:rPr>
          <w:rFonts w:ascii="Palatino Linotype" w:hAnsi="Palatino Linotype"/>
          <w:i/>
          <w:color w:val="000000" w:themeColor="text1"/>
          <w:sz w:val="22"/>
          <w:szCs w:val="22"/>
        </w:rPr>
        <w:t>13.107,67</w:t>
      </w:r>
      <w:r>
        <w:rPr>
          <w:rFonts w:ascii="Palatino Linotype" w:hAnsi="Palatino Linotype"/>
          <w:i/>
          <w:color w:val="000000" w:themeColor="text1"/>
          <w:sz w:val="22"/>
          <w:szCs w:val="22"/>
        </w:rPr>
        <w:t xml:space="preserve"> </w:t>
      </w:r>
      <w:r w:rsidRPr="00F96622">
        <w:rPr>
          <w:rFonts w:ascii="Palatino Linotype" w:hAnsi="Palatino Linotype"/>
          <w:i/>
          <w:sz w:val="22"/>
          <w:szCs w:val="22"/>
        </w:rPr>
        <w:t>m</w:t>
      </w:r>
      <w:r w:rsidRPr="00F96622">
        <w:rPr>
          <w:rFonts w:ascii="Palatino Linotype" w:hAnsi="Palatino Linotype"/>
          <w:i/>
          <w:sz w:val="22"/>
          <w:szCs w:val="22"/>
          <w:vertAlign w:val="superscript"/>
        </w:rPr>
        <w:t>2</w:t>
      </w:r>
      <w:r w:rsidRPr="00E64141">
        <w:rPr>
          <w:rFonts w:ascii="Palatino Linotype" w:hAnsi="Palatino Linotype"/>
          <w:i/>
          <w:sz w:val="22"/>
          <w:szCs w:val="22"/>
        </w:rPr>
        <w:t>”</w:t>
      </w:r>
    </w:p>
    <w:p w:rsidR="00E64141" w:rsidRPr="00F96622" w:rsidRDefault="00E64141" w:rsidP="00E64141">
      <w:pPr>
        <w:spacing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3.- </w:t>
      </w:r>
      <w:r w:rsidRPr="00F96622">
        <w:rPr>
          <w:rFonts w:ascii="Palatino Linotype" w:hAnsi="Palatino Linotype"/>
          <w:bCs/>
          <w:sz w:val="22"/>
          <w:szCs w:val="22"/>
        </w:rPr>
        <w:t>Sustitúyase el artículo 4 de la Ordenanza No. 130, sancionada el 21 de octubre de 2011, por el siguiente texto:</w:t>
      </w:r>
    </w:p>
    <w:p w:rsidR="00E64141" w:rsidRPr="00F96622" w:rsidRDefault="00E64141" w:rsidP="00641EB2">
      <w:pPr>
        <w:spacing w:after="120" w:line="276" w:lineRule="auto"/>
        <w:ind w:left="708"/>
        <w:jc w:val="both"/>
        <w:rPr>
          <w:rFonts w:ascii="Palatino Linotype" w:hAnsi="Palatino Linotype"/>
          <w:i/>
          <w:sz w:val="22"/>
          <w:szCs w:val="22"/>
        </w:rPr>
      </w:pPr>
      <w:r w:rsidRPr="00F96622">
        <w:rPr>
          <w:rFonts w:ascii="Palatino Linotype" w:hAnsi="Palatino Linotype"/>
          <w:b/>
          <w:bCs/>
          <w:sz w:val="22"/>
          <w:szCs w:val="22"/>
        </w:rPr>
        <w:t>“</w:t>
      </w:r>
      <w:r w:rsidRPr="00F96622">
        <w:rPr>
          <w:rFonts w:ascii="Palatino Linotype" w:hAnsi="Palatino Linotype"/>
          <w:b/>
          <w:bCs/>
          <w:i/>
          <w:sz w:val="22"/>
          <w:szCs w:val="22"/>
        </w:rPr>
        <w:t xml:space="preserve">Articulo 4.- Área </w:t>
      </w:r>
      <w:r w:rsidR="00641EB2" w:rsidRPr="00F96622">
        <w:rPr>
          <w:rFonts w:ascii="Palatino Linotype" w:hAnsi="Palatino Linotype"/>
          <w:b/>
          <w:bCs/>
          <w:i/>
          <w:sz w:val="22"/>
          <w:szCs w:val="22"/>
        </w:rPr>
        <w:t>verde y de equipamiento comunal</w:t>
      </w:r>
      <w:r w:rsidRPr="00F96622">
        <w:rPr>
          <w:rFonts w:ascii="Palatino Linotype" w:hAnsi="Palatino Linotype"/>
          <w:b/>
          <w:bCs/>
          <w:i/>
          <w:sz w:val="22"/>
          <w:szCs w:val="22"/>
        </w:rPr>
        <w:t>.-</w:t>
      </w:r>
      <w:r w:rsidRPr="00F96622">
        <w:rPr>
          <w:rFonts w:ascii="Palatino Linotype" w:hAnsi="Palatino Linotype"/>
          <w:bCs/>
          <w:i/>
          <w:sz w:val="22"/>
          <w:szCs w:val="22"/>
        </w:rPr>
        <w:t xml:space="preserve"> El  </w:t>
      </w:r>
      <w:r w:rsidRPr="00F96622">
        <w:rPr>
          <w:rFonts w:ascii="Palatino Linotype" w:hAnsi="Palatino Linotype"/>
          <w:i/>
          <w:sz w:val="22"/>
          <w:szCs w:val="22"/>
        </w:rPr>
        <w:t xml:space="preserve">Asentamiento Humano de Hecho y Consolidado de Interés Social denominado “San Carlos de </w:t>
      </w:r>
      <w:proofErr w:type="spellStart"/>
      <w:r w:rsidRPr="00F96622">
        <w:rPr>
          <w:rFonts w:ascii="Palatino Linotype" w:hAnsi="Palatino Linotype"/>
          <w:i/>
          <w:sz w:val="22"/>
          <w:szCs w:val="22"/>
        </w:rPr>
        <w:t>Alangasí</w:t>
      </w:r>
      <w:proofErr w:type="spellEnd"/>
      <w:r w:rsidRPr="00F96622">
        <w:rPr>
          <w:rFonts w:ascii="Palatino Linotype" w:hAnsi="Palatino Linotype"/>
          <w:i/>
          <w:sz w:val="22"/>
          <w:szCs w:val="22"/>
        </w:rPr>
        <w:t xml:space="preserve"> Primera Etapa”, transfiere al Municipio del Distrito Metropolitano de Quito, como contribución de áreas verdes y áreas de equipamiento comunal un área total de </w:t>
      </w:r>
      <w:r w:rsidRPr="00F96622">
        <w:rPr>
          <w:rFonts w:ascii="Palatino Linotype" w:hAnsi="Palatino Linotype"/>
          <w:bCs/>
          <w:i/>
          <w:sz w:val="22"/>
          <w:szCs w:val="22"/>
        </w:rPr>
        <w:t>1.255</w:t>
      </w:r>
      <w:r w:rsidR="00641EB2" w:rsidRPr="00641EB2">
        <w:rPr>
          <w:rFonts w:ascii="Palatino Linotype" w:hAnsi="Palatino Linotype"/>
          <w:bCs/>
          <w:i/>
          <w:sz w:val="22"/>
          <w:szCs w:val="22"/>
        </w:rPr>
        <w:t>,</w:t>
      </w:r>
      <w:r w:rsidRPr="00641EB2">
        <w:rPr>
          <w:rFonts w:ascii="Palatino Linotype" w:hAnsi="Palatino Linotype"/>
          <w:bCs/>
          <w:i/>
          <w:sz w:val="22"/>
          <w:szCs w:val="22"/>
        </w:rPr>
        <w:t>03</w:t>
      </w:r>
      <w:r w:rsidR="00641EB2" w:rsidRPr="00641EB2">
        <w:rPr>
          <w:rFonts w:ascii="Palatino Linotype" w:hAnsi="Palatino Linotype"/>
          <w:bCs/>
          <w:i/>
          <w:sz w:val="22"/>
          <w:szCs w:val="22"/>
        </w:rPr>
        <w:t xml:space="preserve"> </w:t>
      </w:r>
      <w:r w:rsidRPr="00641EB2">
        <w:rPr>
          <w:rFonts w:ascii="Palatino Linotype" w:hAnsi="Palatino Linotype"/>
          <w:i/>
          <w:sz w:val="22"/>
          <w:szCs w:val="22"/>
        </w:rPr>
        <w:t xml:space="preserve">m </w:t>
      </w:r>
      <w:r w:rsidRPr="00641EB2">
        <w:rPr>
          <w:rFonts w:ascii="Palatino Linotype" w:hAnsi="Palatino Linotype"/>
          <w:i/>
          <w:sz w:val="22"/>
          <w:szCs w:val="22"/>
          <w:vertAlign w:val="superscript"/>
        </w:rPr>
        <w:t>2</w:t>
      </w:r>
      <w:r w:rsidRPr="00641EB2">
        <w:rPr>
          <w:rFonts w:ascii="Palatino Linotype" w:hAnsi="Palatino Linotype"/>
          <w:i/>
          <w:sz w:val="22"/>
          <w:szCs w:val="22"/>
        </w:rPr>
        <w:t xml:space="preserve"> del área útil de los lotes,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987"/>
        <w:gridCol w:w="1911"/>
        <w:gridCol w:w="1375"/>
        <w:gridCol w:w="1501"/>
        <w:gridCol w:w="1529"/>
      </w:tblGrid>
      <w:tr w:rsidR="00E64141" w:rsidRPr="00F96622" w:rsidTr="00E100B5">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Á</w:t>
            </w:r>
            <w:r w:rsidR="00641EB2" w:rsidRPr="00F96622">
              <w:rPr>
                <w:rFonts w:ascii="Palatino Linotype" w:hAnsi="Palatino Linotype"/>
                <w:b/>
                <w:i/>
                <w:color w:val="000000" w:themeColor="text1"/>
                <w:sz w:val="22"/>
                <w:szCs w:val="22"/>
              </w:rPr>
              <w:t>reas verdes y equipamientos comunales</w:t>
            </w:r>
          </w:p>
        </w:tc>
      </w:tr>
      <w:tr w:rsidR="00E64141" w:rsidRPr="00F96622" w:rsidTr="00641EB2">
        <w:trPr>
          <w:trHeight w:val="70"/>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jc w:val="center"/>
              <w:rPr>
                <w:rFonts w:ascii="Palatino Linotype" w:hAnsi="Palatino Linotype"/>
                <w:i/>
                <w:color w:val="000000" w:themeColor="text1"/>
                <w:sz w:val="22"/>
                <w:szCs w:val="22"/>
              </w:rPr>
            </w:pPr>
            <w:r w:rsidRPr="00F96622">
              <w:rPr>
                <w:rFonts w:ascii="Palatino Linotype" w:hAnsi="Palatino Linotype"/>
                <w:b/>
                <w:i/>
                <w:color w:val="000000" w:themeColor="text1"/>
                <w:sz w:val="22"/>
                <w:szCs w:val="22"/>
              </w:rPr>
              <w:t xml:space="preserve">Área </w:t>
            </w:r>
            <w:r w:rsidR="00641EB2" w:rsidRPr="00F96622">
              <w:rPr>
                <w:rFonts w:ascii="Palatino Linotype" w:hAnsi="Palatino Linotype"/>
                <w:b/>
                <w:i/>
                <w:color w:val="000000" w:themeColor="text1"/>
                <w:sz w:val="22"/>
                <w:szCs w:val="22"/>
              </w:rPr>
              <w:t xml:space="preserve">verde y equipamiento comunal </w:t>
            </w:r>
          </w:p>
        </w:tc>
        <w:tc>
          <w:tcPr>
            <w:tcW w:w="987" w:type="dxa"/>
            <w:tcBorders>
              <w:top w:val="single" w:sz="4" w:space="0" w:color="000000"/>
              <w:left w:val="single" w:sz="4" w:space="0" w:color="000000"/>
              <w:bottom w:val="single" w:sz="4" w:space="0" w:color="000000"/>
              <w:right w:val="single" w:sz="4" w:space="0" w:color="auto"/>
            </w:tcBorders>
            <w:shd w:val="clear" w:color="auto" w:fill="auto"/>
          </w:tcPr>
          <w:p w:rsidR="00E64141" w:rsidRPr="00F96622" w:rsidRDefault="00E64141" w:rsidP="00E100B5">
            <w:pPr>
              <w:spacing w:after="120" w:line="276" w:lineRule="auto"/>
              <w:rPr>
                <w:rFonts w:ascii="Palatino Linotype" w:hAnsi="Palatino Linotype"/>
                <w:b/>
                <w:i/>
                <w:color w:val="000000" w:themeColor="text1"/>
                <w:sz w:val="22"/>
                <w:szCs w:val="22"/>
              </w:rPr>
            </w:pPr>
          </w:p>
        </w:tc>
        <w:tc>
          <w:tcPr>
            <w:tcW w:w="1911" w:type="dxa"/>
            <w:tcBorders>
              <w:top w:val="single" w:sz="4" w:space="0" w:color="000000"/>
              <w:left w:val="single" w:sz="4" w:space="0" w:color="auto"/>
              <w:bottom w:val="single" w:sz="4" w:space="0" w:color="000000"/>
              <w:right w:val="single" w:sz="4" w:space="0" w:color="000000"/>
            </w:tcBorders>
            <w:shd w:val="clear" w:color="auto" w:fill="auto"/>
            <w:hideMark/>
          </w:tcPr>
          <w:p w:rsidR="00E64141" w:rsidRPr="00F96622" w:rsidRDefault="00641EB2" w:rsidP="00E100B5">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Lindero</w:t>
            </w:r>
          </w:p>
        </w:tc>
        <w:tc>
          <w:tcPr>
            <w:tcW w:w="1375"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En parte</w:t>
            </w:r>
          </w:p>
        </w:tc>
        <w:tc>
          <w:tcPr>
            <w:tcW w:w="15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Total</w:t>
            </w: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64141" w:rsidRPr="00F96622" w:rsidRDefault="00641EB2" w:rsidP="00E100B5">
            <w:pPr>
              <w:spacing w:after="120" w:line="276" w:lineRule="auto"/>
              <w:jc w:val="center"/>
              <w:rPr>
                <w:rFonts w:ascii="Palatino Linotype" w:hAnsi="Palatino Linotype"/>
                <w:i/>
                <w:color w:val="000000" w:themeColor="text1"/>
                <w:sz w:val="22"/>
                <w:szCs w:val="22"/>
              </w:rPr>
            </w:pPr>
            <w:r w:rsidRPr="00F96622">
              <w:rPr>
                <w:rFonts w:ascii="Palatino Linotype" w:hAnsi="Palatino Linotype"/>
                <w:b/>
                <w:i/>
                <w:color w:val="000000" w:themeColor="text1"/>
                <w:sz w:val="22"/>
                <w:szCs w:val="22"/>
              </w:rPr>
              <w:t>Superficie</w:t>
            </w:r>
          </w:p>
        </w:tc>
      </w:tr>
      <w:tr w:rsidR="00E64141" w:rsidRPr="00F96622" w:rsidTr="00641EB2">
        <w:trPr>
          <w:trHeight w:val="61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Norte:</w:t>
            </w:r>
          </w:p>
        </w:tc>
        <w:tc>
          <w:tcPr>
            <w:tcW w:w="1911"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Calle Puerto Rico</w:t>
            </w:r>
          </w:p>
        </w:tc>
        <w:tc>
          <w:tcPr>
            <w:tcW w:w="13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w:t>
            </w:r>
          </w:p>
        </w:tc>
        <w:tc>
          <w:tcPr>
            <w:tcW w:w="15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27</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97</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152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41EB2" w:rsidRDefault="00641EB2" w:rsidP="00641EB2">
            <w:pPr>
              <w:spacing w:after="120" w:line="276" w:lineRule="auto"/>
              <w:jc w:val="center"/>
              <w:rPr>
                <w:rFonts w:ascii="Palatino Linotype" w:hAnsi="Palatino Linotype"/>
                <w:i/>
                <w:color w:val="000000" w:themeColor="text1"/>
                <w:sz w:val="22"/>
                <w:szCs w:val="22"/>
              </w:rPr>
            </w:pPr>
          </w:p>
          <w:p w:rsidR="00E64141" w:rsidRPr="00641EB2" w:rsidRDefault="00E64141" w:rsidP="00641EB2">
            <w:pPr>
              <w:spacing w:after="120" w:line="276" w:lineRule="auto"/>
              <w:jc w:val="center"/>
              <w:rPr>
                <w:rFonts w:ascii="Palatino Linotype" w:hAnsi="Palatino Linotype"/>
                <w:i/>
                <w:color w:val="000000" w:themeColor="text1"/>
                <w:sz w:val="22"/>
                <w:szCs w:val="22"/>
              </w:rPr>
            </w:pPr>
            <w:r w:rsidRPr="00641EB2">
              <w:rPr>
                <w:rFonts w:ascii="Palatino Linotype" w:hAnsi="Palatino Linotype"/>
                <w:i/>
                <w:color w:val="000000" w:themeColor="text1"/>
                <w:sz w:val="22"/>
                <w:szCs w:val="22"/>
              </w:rPr>
              <w:t>1.255,03</w:t>
            </w:r>
            <w:r w:rsidR="00641EB2">
              <w:rPr>
                <w:rFonts w:ascii="Palatino Linotype" w:hAnsi="Palatino Linotype"/>
                <w:i/>
                <w:color w:val="000000" w:themeColor="text1"/>
                <w:sz w:val="22"/>
                <w:szCs w:val="22"/>
              </w:rPr>
              <w:t xml:space="preserve"> </w:t>
            </w:r>
            <w:r w:rsidRPr="00641EB2">
              <w:rPr>
                <w:rFonts w:ascii="Palatino Linotype" w:hAnsi="Palatino Linotype"/>
                <w:i/>
                <w:color w:val="000000" w:themeColor="text1"/>
                <w:sz w:val="22"/>
                <w:szCs w:val="22"/>
              </w:rPr>
              <w:t>m</w:t>
            </w:r>
            <w:r w:rsidRPr="00641EB2">
              <w:rPr>
                <w:rFonts w:ascii="Palatino Linotype" w:hAnsi="Palatino Linotype"/>
                <w:i/>
                <w:color w:val="000000" w:themeColor="text1"/>
                <w:sz w:val="22"/>
                <w:szCs w:val="22"/>
                <w:vertAlign w:val="superscript"/>
              </w:rPr>
              <w:t>2</w:t>
            </w:r>
          </w:p>
        </w:tc>
      </w:tr>
      <w:tr w:rsidR="00E64141" w:rsidRPr="00F96622" w:rsidTr="00641EB2">
        <w:trPr>
          <w:trHeight w:val="13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Sur: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E64141" w:rsidRPr="00641EB2" w:rsidRDefault="00641EB2" w:rsidP="00E100B5">
            <w:pPr>
              <w:spacing w:after="120" w:line="276" w:lineRule="auto"/>
              <w:rPr>
                <w:rFonts w:ascii="Palatino Linotype" w:hAnsi="Palatino Linotype"/>
                <w:i/>
                <w:color w:val="000000" w:themeColor="text1"/>
                <w:sz w:val="22"/>
                <w:szCs w:val="22"/>
              </w:rPr>
            </w:pPr>
            <w:r>
              <w:rPr>
                <w:rFonts w:ascii="Palatino Linotype" w:hAnsi="Palatino Linotype"/>
                <w:i/>
                <w:color w:val="000000" w:themeColor="text1"/>
                <w:sz w:val="22"/>
                <w:szCs w:val="22"/>
              </w:rPr>
              <w:t>Lote</w:t>
            </w:r>
            <w:r w:rsidR="00E64141" w:rsidRPr="00F96622">
              <w:rPr>
                <w:rFonts w:ascii="Palatino Linotype" w:hAnsi="Palatino Linotype"/>
                <w:i/>
                <w:color w:val="000000" w:themeColor="text1"/>
                <w:sz w:val="22"/>
                <w:szCs w:val="22"/>
              </w:rPr>
              <w:t xml:space="preserve"> N</w:t>
            </w:r>
            <w:r>
              <w:rPr>
                <w:rFonts w:ascii="Palatino Linotype" w:hAnsi="Palatino Linotype"/>
                <w:i/>
                <w:color w:val="000000" w:themeColor="text1"/>
                <w:sz w:val="22"/>
                <w:szCs w:val="22"/>
              </w:rPr>
              <w:t>o.</w:t>
            </w:r>
            <w:r w:rsidR="00E64141" w:rsidRPr="00F96622">
              <w:rPr>
                <w:rFonts w:ascii="Palatino Linotype" w:hAnsi="Palatino Linotype"/>
                <w:i/>
                <w:color w:val="000000" w:themeColor="text1"/>
                <w:sz w:val="22"/>
                <w:szCs w:val="22"/>
              </w:rPr>
              <w:t xml:space="preserve"> 3</w:t>
            </w:r>
          </w:p>
        </w:tc>
        <w:tc>
          <w:tcPr>
            <w:tcW w:w="13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w:t>
            </w:r>
          </w:p>
        </w:tc>
        <w:tc>
          <w:tcPr>
            <w:tcW w:w="15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43</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98</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p>
        </w:tc>
      </w:tr>
      <w:tr w:rsidR="00E64141" w:rsidRPr="00F96622" w:rsidTr="00641EB2">
        <w:trPr>
          <w:trHeight w:val="46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Este:</w:t>
            </w:r>
          </w:p>
        </w:tc>
        <w:tc>
          <w:tcPr>
            <w:tcW w:w="1911"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641EB2" w:rsidP="00E100B5">
            <w:pPr>
              <w:spacing w:after="120" w:line="276" w:lineRule="auto"/>
              <w:rPr>
                <w:rFonts w:ascii="Palatino Linotype" w:hAnsi="Palatino Linotype"/>
                <w:i/>
                <w:color w:val="000000" w:themeColor="text1"/>
                <w:sz w:val="22"/>
                <w:szCs w:val="22"/>
              </w:rPr>
            </w:pPr>
            <w:r>
              <w:rPr>
                <w:rFonts w:ascii="Palatino Linotype" w:hAnsi="Palatino Linotype"/>
                <w:i/>
                <w:color w:val="000000" w:themeColor="text1"/>
                <w:sz w:val="22"/>
                <w:szCs w:val="22"/>
              </w:rPr>
              <w:t>Lote</w:t>
            </w:r>
            <w:r w:rsidR="00E64141" w:rsidRPr="00F96622">
              <w:rPr>
                <w:rFonts w:ascii="Palatino Linotype" w:hAnsi="Palatino Linotype"/>
                <w:i/>
                <w:color w:val="000000" w:themeColor="text1"/>
                <w:sz w:val="22"/>
                <w:szCs w:val="22"/>
              </w:rPr>
              <w:t xml:space="preserve"> N</w:t>
            </w:r>
            <w:r>
              <w:rPr>
                <w:rFonts w:ascii="Palatino Linotype" w:hAnsi="Palatino Linotype"/>
                <w:i/>
                <w:color w:val="000000" w:themeColor="text1"/>
                <w:sz w:val="22"/>
                <w:szCs w:val="22"/>
              </w:rPr>
              <w:t>o.</w:t>
            </w:r>
            <w:r w:rsidR="00E64141" w:rsidRPr="00F96622">
              <w:rPr>
                <w:rFonts w:ascii="Palatino Linotype" w:hAnsi="Palatino Linotype"/>
                <w:i/>
                <w:color w:val="000000" w:themeColor="text1"/>
                <w:sz w:val="22"/>
                <w:szCs w:val="22"/>
              </w:rPr>
              <w:t xml:space="preserve"> 1</w:t>
            </w:r>
          </w:p>
          <w:p w:rsidR="00E64141" w:rsidRPr="00F96622" w:rsidRDefault="00E64141" w:rsidP="00641EB2">
            <w:pPr>
              <w:spacing w:after="120" w:line="276" w:lineRule="auto"/>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Lote N</w:t>
            </w:r>
            <w:r w:rsidR="00641EB2">
              <w:rPr>
                <w:rFonts w:ascii="Palatino Linotype" w:hAnsi="Palatino Linotype"/>
                <w:i/>
                <w:color w:val="000000" w:themeColor="text1"/>
                <w:sz w:val="22"/>
                <w:szCs w:val="22"/>
              </w:rPr>
              <w:t>o.</w:t>
            </w:r>
            <w:r w:rsidRPr="00F96622">
              <w:rPr>
                <w:rFonts w:ascii="Palatino Linotype" w:hAnsi="Palatino Linotype"/>
                <w:i/>
                <w:color w:val="000000" w:themeColor="text1"/>
                <w:sz w:val="22"/>
                <w:szCs w:val="22"/>
              </w:rPr>
              <w:t xml:space="preserve"> 2</w:t>
            </w:r>
          </w:p>
        </w:tc>
        <w:tc>
          <w:tcPr>
            <w:tcW w:w="1375" w:type="dxa"/>
            <w:tcBorders>
              <w:top w:val="single" w:sz="4" w:space="0" w:color="000000"/>
              <w:left w:val="single" w:sz="4" w:space="0" w:color="000000"/>
              <w:bottom w:val="single" w:sz="4" w:space="0" w:color="000000"/>
              <w:right w:val="single" w:sz="4" w:space="0" w:color="auto"/>
            </w:tcBorders>
            <w:shd w:val="clear" w:color="auto" w:fill="auto"/>
            <w:vAlign w:val="center"/>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22</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25</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12</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70</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15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34</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95</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p>
        </w:tc>
      </w:tr>
      <w:tr w:rsidR="00E64141" w:rsidRPr="00F96622" w:rsidTr="00641EB2">
        <w:trPr>
          <w:trHeight w:val="44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Oeste:</w:t>
            </w:r>
          </w:p>
        </w:tc>
        <w:tc>
          <w:tcPr>
            <w:tcW w:w="1911"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Área Municipal</w:t>
            </w:r>
          </w:p>
        </w:tc>
        <w:tc>
          <w:tcPr>
            <w:tcW w:w="13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33</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03</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p w:rsidR="00E64141" w:rsidRPr="00F96622" w:rsidRDefault="00E64141" w:rsidP="00641EB2">
            <w:pPr>
              <w:spacing w:after="120" w:line="276" w:lineRule="auto"/>
              <w:jc w:val="center"/>
              <w:rPr>
                <w:rFonts w:ascii="Palatino Linotype" w:hAnsi="Palatino Linotype"/>
                <w:i/>
                <w:color w:val="000000" w:themeColor="text1"/>
                <w:sz w:val="22"/>
                <w:szCs w:val="22"/>
              </w:rPr>
            </w:pPr>
            <w:proofErr w:type="spellStart"/>
            <w:r w:rsidRPr="00F96622">
              <w:rPr>
                <w:rFonts w:ascii="Palatino Linotype" w:hAnsi="Palatino Linotype"/>
                <w:i/>
                <w:color w:val="000000" w:themeColor="text1"/>
                <w:sz w:val="22"/>
                <w:szCs w:val="22"/>
              </w:rPr>
              <w:t>Ld</w:t>
            </w:r>
            <w:proofErr w:type="spellEnd"/>
            <w:r w:rsidRPr="00F96622">
              <w:rPr>
                <w:rFonts w:ascii="Palatino Linotype" w:hAnsi="Palatino Linotype"/>
                <w:i/>
                <w:color w:val="000000" w:themeColor="text1"/>
                <w:sz w:val="22"/>
                <w:szCs w:val="22"/>
              </w:rPr>
              <w:t>=</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4</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55</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15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proofErr w:type="spellStart"/>
            <w:r w:rsidRPr="00F96622">
              <w:rPr>
                <w:rFonts w:ascii="Palatino Linotype" w:hAnsi="Palatino Linotype"/>
                <w:i/>
                <w:color w:val="000000" w:themeColor="text1"/>
                <w:sz w:val="22"/>
                <w:szCs w:val="22"/>
              </w:rPr>
              <w:t>Ld</w:t>
            </w:r>
            <w:proofErr w:type="spellEnd"/>
            <w:r w:rsidRPr="00F96622">
              <w:rPr>
                <w:rFonts w:ascii="Palatino Linotype" w:hAnsi="Palatino Linotype"/>
                <w:i/>
                <w:color w:val="000000" w:themeColor="text1"/>
                <w:sz w:val="22"/>
                <w:szCs w:val="22"/>
              </w:rPr>
              <w:t>=37</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58</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p>
        </w:tc>
      </w:tr>
    </w:tbl>
    <w:p w:rsidR="00E64141" w:rsidRPr="00F96622" w:rsidRDefault="00E64141" w:rsidP="00E64141">
      <w:pPr>
        <w:spacing w:after="120" w:line="276" w:lineRule="auto"/>
        <w:jc w:val="both"/>
        <w:rPr>
          <w:rFonts w:ascii="Palatino Linotype" w:hAnsi="Palatino Linotype"/>
          <w:sz w:val="22"/>
          <w:szCs w:val="22"/>
        </w:rPr>
      </w:pPr>
    </w:p>
    <w:p w:rsidR="00E64141" w:rsidRPr="00F96622" w:rsidRDefault="00E64141" w:rsidP="00E64141">
      <w:pPr>
        <w:spacing w:after="120" w:line="276" w:lineRule="auto"/>
        <w:jc w:val="both"/>
        <w:rPr>
          <w:rFonts w:ascii="Palatino Linotype" w:hAnsi="Palatino Linotype"/>
          <w:sz w:val="22"/>
          <w:szCs w:val="22"/>
          <w:lang w:val="es-EC"/>
        </w:rPr>
      </w:pPr>
      <w:r w:rsidRPr="00F96622">
        <w:rPr>
          <w:rFonts w:ascii="Palatino Linotype" w:hAnsi="Palatino Linotype"/>
          <w:b/>
          <w:bCs/>
          <w:sz w:val="22"/>
          <w:szCs w:val="22"/>
        </w:rPr>
        <w:t xml:space="preserve">Artículo 4.- </w:t>
      </w:r>
      <w:r w:rsidRPr="00F96622">
        <w:rPr>
          <w:rFonts w:ascii="Palatino Linotype" w:hAnsi="Palatino Linotype"/>
          <w:sz w:val="22"/>
          <w:szCs w:val="22"/>
          <w:lang w:val="es-EC"/>
        </w:rPr>
        <w:t xml:space="preserve">Inclúyase </w:t>
      </w:r>
      <w:r w:rsidR="00641EB2">
        <w:rPr>
          <w:rFonts w:ascii="Palatino Linotype" w:hAnsi="Palatino Linotype"/>
          <w:sz w:val="22"/>
          <w:szCs w:val="22"/>
          <w:lang w:val="es-EC"/>
        </w:rPr>
        <w:t xml:space="preserve">un artículo </w:t>
      </w:r>
      <w:proofErr w:type="spellStart"/>
      <w:r w:rsidR="00641EB2">
        <w:rPr>
          <w:rFonts w:ascii="Palatino Linotype" w:hAnsi="Palatino Linotype"/>
          <w:sz w:val="22"/>
          <w:szCs w:val="22"/>
          <w:lang w:val="es-EC"/>
        </w:rPr>
        <w:t>innumerado</w:t>
      </w:r>
      <w:proofErr w:type="spellEnd"/>
      <w:r w:rsidR="00641EB2">
        <w:rPr>
          <w:rFonts w:ascii="Palatino Linotype" w:hAnsi="Palatino Linotype"/>
          <w:sz w:val="22"/>
          <w:szCs w:val="22"/>
          <w:lang w:val="es-EC"/>
        </w:rPr>
        <w:t xml:space="preserve"> después </w:t>
      </w:r>
      <w:r w:rsidRPr="00F96622">
        <w:rPr>
          <w:rFonts w:ascii="Palatino Linotype" w:hAnsi="Palatino Linotype"/>
          <w:sz w:val="22"/>
          <w:szCs w:val="22"/>
          <w:lang w:val="es-EC"/>
        </w:rPr>
        <w:t xml:space="preserve">del artículo 4 de la </w:t>
      </w:r>
      <w:r w:rsidRPr="00F96622">
        <w:rPr>
          <w:rFonts w:ascii="Palatino Linotype" w:hAnsi="Palatino Linotype"/>
          <w:bCs/>
          <w:sz w:val="22"/>
          <w:szCs w:val="22"/>
        </w:rPr>
        <w:t xml:space="preserve">Ordenanza No. 130, sancionada el 21 de octubre de 2011, </w:t>
      </w:r>
      <w:r w:rsidRPr="00F96622">
        <w:rPr>
          <w:rFonts w:ascii="Palatino Linotype" w:hAnsi="Palatino Linotype"/>
          <w:sz w:val="22"/>
          <w:szCs w:val="22"/>
          <w:lang w:val="es-EC"/>
        </w:rPr>
        <w:t xml:space="preserve">con el siguiente texto: </w:t>
      </w:r>
    </w:p>
    <w:p w:rsidR="00E64141" w:rsidRPr="00F96622" w:rsidRDefault="00E64141" w:rsidP="00641EB2">
      <w:pPr>
        <w:spacing w:after="120" w:line="276" w:lineRule="auto"/>
        <w:ind w:left="708"/>
        <w:jc w:val="both"/>
        <w:rPr>
          <w:rFonts w:ascii="Palatino Linotype" w:hAnsi="Palatino Linotype"/>
          <w:b/>
          <w:i/>
          <w:color w:val="000000"/>
          <w:sz w:val="22"/>
          <w:szCs w:val="22"/>
        </w:rPr>
      </w:pPr>
      <w:r w:rsidRPr="00F96622">
        <w:rPr>
          <w:rFonts w:ascii="Palatino Linotype" w:hAnsi="Palatino Linotype"/>
          <w:i/>
          <w:sz w:val="22"/>
          <w:szCs w:val="22"/>
          <w:lang w:val="es-EC"/>
        </w:rPr>
        <w:t>“</w:t>
      </w:r>
      <w:r w:rsidRPr="00F96622">
        <w:rPr>
          <w:rFonts w:ascii="Palatino Linotype" w:hAnsi="Palatino Linotype"/>
          <w:b/>
          <w:i/>
          <w:sz w:val="22"/>
          <w:szCs w:val="22"/>
          <w:lang w:val="es-EC"/>
        </w:rPr>
        <w:t>Art…</w:t>
      </w:r>
      <w:r w:rsidRPr="00F96622">
        <w:rPr>
          <w:rFonts w:ascii="Palatino Linotype" w:hAnsi="Palatino Linotype"/>
          <w:b/>
          <w:bCs/>
          <w:i/>
          <w:color w:val="000000"/>
          <w:sz w:val="22"/>
          <w:szCs w:val="22"/>
        </w:rPr>
        <w:t xml:space="preserve"> Del </w:t>
      </w:r>
      <w:r w:rsidR="00641EB2" w:rsidRPr="00F96622">
        <w:rPr>
          <w:rFonts w:ascii="Palatino Linotype" w:hAnsi="Palatino Linotype"/>
          <w:b/>
          <w:bCs/>
          <w:i/>
          <w:color w:val="000000"/>
          <w:sz w:val="22"/>
          <w:szCs w:val="22"/>
        </w:rPr>
        <w:t>área municipal</w:t>
      </w:r>
      <w:r w:rsidRPr="00F96622">
        <w:rPr>
          <w:rFonts w:ascii="Palatino Linotype" w:hAnsi="Palatino Linotype"/>
          <w:bCs/>
          <w:i/>
          <w:color w:val="000000"/>
          <w:sz w:val="22"/>
          <w:szCs w:val="22"/>
        </w:rPr>
        <w:t xml:space="preserve">.- El </w:t>
      </w:r>
      <w:r w:rsidRPr="00F96622">
        <w:rPr>
          <w:rFonts w:ascii="Palatino Linotype" w:hAnsi="Palatino Linotype"/>
          <w:i/>
          <w:sz w:val="22"/>
          <w:szCs w:val="22"/>
        </w:rPr>
        <w:t xml:space="preserve">Asentamiento Humano de Hecho y Consolidado de Interés Social denominado “San Carlos de </w:t>
      </w:r>
      <w:proofErr w:type="spellStart"/>
      <w:r w:rsidRPr="00F96622">
        <w:rPr>
          <w:rFonts w:ascii="Palatino Linotype" w:hAnsi="Palatino Linotype"/>
          <w:i/>
          <w:sz w:val="22"/>
          <w:szCs w:val="22"/>
        </w:rPr>
        <w:t>Alangasí</w:t>
      </w:r>
      <w:proofErr w:type="spellEnd"/>
      <w:r w:rsidRPr="00F96622">
        <w:rPr>
          <w:rFonts w:ascii="Palatino Linotype" w:hAnsi="Palatino Linotype"/>
          <w:i/>
          <w:sz w:val="22"/>
          <w:szCs w:val="22"/>
        </w:rPr>
        <w:t xml:space="preserve"> Primera Etapa”, </w:t>
      </w:r>
      <w:r w:rsidRPr="00F96622">
        <w:rPr>
          <w:rFonts w:ascii="Palatino Linotype" w:hAnsi="Palatino Linotype"/>
          <w:i/>
          <w:color w:val="000000"/>
          <w:sz w:val="22"/>
          <w:szCs w:val="22"/>
        </w:rPr>
        <w:t>transfiere al Municipio del Distrito Metropolitano de Quito como contribución de Áreas Municipales, un área total de 71.04</w:t>
      </w:r>
      <w:r w:rsidRPr="00F96622">
        <w:rPr>
          <w:rFonts w:ascii="Palatino Linotype" w:eastAsia="Calibri" w:hAnsi="Palatino Linotype"/>
          <w:bCs/>
          <w:i/>
          <w:kern w:val="24"/>
          <w:sz w:val="22"/>
          <w:szCs w:val="22"/>
        </w:rPr>
        <w:t>m2</w:t>
      </w:r>
      <w:r w:rsidRPr="00F96622">
        <w:rPr>
          <w:rFonts w:ascii="Palatino Linotype" w:eastAsia="Calibri" w:hAnsi="Palatino Linotype"/>
          <w:b/>
          <w:bCs/>
          <w:i/>
          <w:kern w:val="24"/>
          <w:sz w:val="22"/>
          <w:szCs w:val="22"/>
        </w:rPr>
        <w:t xml:space="preserve"> </w:t>
      </w:r>
      <w:r w:rsidRPr="00F96622">
        <w:rPr>
          <w:rFonts w:ascii="Palatino Linotype" w:hAnsi="Palatino Linotype"/>
          <w:i/>
          <w:color w:val="000000"/>
          <w:sz w:val="22"/>
          <w:szCs w:val="22"/>
        </w:rPr>
        <w:t>de afectación vial,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010"/>
        <w:gridCol w:w="2009"/>
        <w:gridCol w:w="1414"/>
        <w:gridCol w:w="1542"/>
        <w:gridCol w:w="1341"/>
      </w:tblGrid>
      <w:tr w:rsidR="00E64141" w:rsidRPr="00F96622" w:rsidTr="00E100B5">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ÁREAS MUNICIPALES</w:t>
            </w:r>
          </w:p>
        </w:tc>
      </w:tr>
      <w:tr w:rsidR="00E64141" w:rsidRPr="00F96622" w:rsidTr="00E100B5">
        <w:trPr>
          <w:trHeight w:val="70"/>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jc w:val="center"/>
              <w:rPr>
                <w:rFonts w:ascii="Palatino Linotype" w:hAnsi="Palatino Linotype"/>
                <w:i/>
                <w:color w:val="000000" w:themeColor="text1"/>
                <w:sz w:val="22"/>
                <w:szCs w:val="22"/>
              </w:rPr>
            </w:pPr>
            <w:r w:rsidRPr="00F96622">
              <w:rPr>
                <w:rFonts w:ascii="Palatino Linotype" w:hAnsi="Palatino Linotype"/>
                <w:b/>
                <w:i/>
                <w:color w:val="000000" w:themeColor="text1"/>
                <w:sz w:val="22"/>
                <w:szCs w:val="22"/>
              </w:rPr>
              <w:t xml:space="preserve">Área </w:t>
            </w:r>
            <w:r w:rsidR="00641EB2" w:rsidRPr="00F96622">
              <w:rPr>
                <w:rFonts w:ascii="Palatino Linotype" w:hAnsi="Palatino Linotype"/>
                <w:b/>
                <w:i/>
                <w:color w:val="000000" w:themeColor="text1"/>
                <w:sz w:val="22"/>
                <w:szCs w:val="22"/>
              </w:rPr>
              <w:t>municipal (afectación vial)</w:t>
            </w:r>
          </w:p>
        </w:tc>
        <w:tc>
          <w:tcPr>
            <w:tcW w:w="1010" w:type="dxa"/>
            <w:tcBorders>
              <w:top w:val="single" w:sz="4" w:space="0" w:color="000000"/>
              <w:left w:val="single" w:sz="4" w:space="0" w:color="000000"/>
              <w:bottom w:val="single" w:sz="4" w:space="0" w:color="000000"/>
              <w:right w:val="single" w:sz="4" w:space="0" w:color="auto"/>
            </w:tcBorders>
            <w:shd w:val="clear" w:color="auto" w:fill="auto"/>
          </w:tcPr>
          <w:p w:rsidR="00E64141" w:rsidRPr="00F96622" w:rsidRDefault="00E64141" w:rsidP="00E100B5">
            <w:pPr>
              <w:spacing w:after="120" w:line="276" w:lineRule="auto"/>
              <w:rPr>
                <w:rFonts w:ascii="Palatino Linotype" w:hAnsi="Palatino Linotype"/>
                <w:b/>
                <w:i/>
                <w:color w:val="000000" w:themeColor="text1"/>
                <w:sz w:val="22"/>
                <w:szCs w:val="22"/>
              </w:rPr>
            </w:pPr>
          </w:p>
        </w:tc>
        <w:tc>
          <w:tcPr>
            <w:tcW w:w="2009" w:type="dxa"/>
            <w:tcBorders>
              <w:top w:val="single" w:sz="4" w:space="0" w:color="000000"/>
              <w:left w:val="single" w:sz="4" w:space="0" w:color="auto"/>
              <w:bottom w:val="single" w:sz="4" w:space="0" w:color="000000"/>
              <w:right w:val="single" w:sz="4" w:space="0" w:color="000000"/>
            </w:tcBorders>
            <w:shd w:val="clear" w:color="auto" w:fill="auto"/>
            <w:hideMark/>
          </w:tcPr>
          <w:p w:rsidR="00E64141" w:rsidRPr="00F96622" w:rsidRDefault="00641EB2" w:rsidP="00E100B5">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Lindero</w:t>
            </w:r>
          </w:p>
        </w:tc>
        <w:tc>
          <w:tcPr>
            <w:tcW w:w="141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E64141" w:rsidRPr="00F96622" w:rsidRDefault="00E64141" w:rsidP="00E100B5">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En parte</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jc w:val="center"/>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Total</w:t>
            </w:r>
          </w:p>
        </w:tc>
        <w:tc>
          <w:tcPr>
            <w:tcW w:w="134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64141" w:rsidRPr="00F96622" w:rsidRDefault="00641EB2" w:rsidP="00E100B5">
            <w:pPr>
              <w:spacing w:after="120" w:line="276" w:lineRule="auto"/>
              <w:jc w:val="center"/>
              <w:rPr>
                <w:rFonts w:ascii="Palatino Linotype" w:hAnsi="Palatino Linotype"/>
                <w:i/>
                <w:color w:val="000000" w:themeColor="text1"/>
                <w:sz w:val="22"/>
                <w:szCs w:val="22"/>
              </w:rPr>
            </w:pPr>
            <w:r w:rsidRPr="00F96622">
              <w:rPr>
                <w:rFonts w:ascii="Palatino Linotype" w:hAnsi="Palatino Linotype"/>
                <w:b/>
                <w:i/>
                <w:color w:val="000000" w:themeColor="text1"/>
                <w:sz w:val="22"/>
                <w:szCs w:val="22"/>
              </w:rPr>
              <w:t>Superficie</w:t>
            </w:r>
          </w:p>
        </w:tc>
      </w:tr>
      <w:tr w:rsidR="00E64141" w:rsidRPr="00F96622" w:rsidTr="00E100B5">
        <w:trPr>
          <w:trHeight w:val="61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Norte: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641EB2">
            <w:pPr>
              <w:spacing w:after="120" w:line="276" w:lineRule="auto"/>
              <w:jc w:val="both"/>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Calle Puerto Rico</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5</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19</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13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641EB2" w:rsidRDefault="00E64141" w:rsidP="00641EB2">
            <w:pPr>
              <w:spacing w:after="120" w:line="276" w:lineRule="auto"/>
              <w:jc w:val="center"/>
              <w:rPr>
                <w:rFonts w:ascii="Palatino Linotype" w:hAnsi="Palatino Linotype"/>
                <w:i/>
                <w:color w:val="000000" w:themeColor="text1"/>
                <w:sz w:val="22"/>
                <w:szCs w:val="22"/>
              </w:rPr>
            </w:pPr>
            <w:r w:rsidRPr="00641EB2">
              <w:rPr>
                <w:rFonts w:ascii="Palatino Linotype" w:hAnsi="Palatino Linotype"/>
                <w:i/>
                <w:color w:val="000000" w:themeColor="text1"/>
                <w:sz w:val="22"/>
                <w:szCs w:val="22"/>
              </w:rPr>
              <w:t>71</w:t>
            </w:r>
            <w:r w:rsidR="00641EB2" w:rsidRPr="00641EB2">
              <w:rPr>
                <w:rFonts w:ascii="Palatino Linotype" w:hAnsi="Palatino Linotype"/>
                <w:i/>
                <w:color w:val="000000" w:themeColor="text1"/>
                <w:sz w:val="22"/>
                <w:szCs w:val="22"/>
              </w:rPr>
              <w:t>,</w:t>
            </w:r>
            <w:r w:rsidRPr="00641EB2">
              <w:rPr>
                <w:rFonts w:ascii="Palatino Linotype" w:hAnsi="Palatino Linotype"/>
                <w:i/>
                <w:color w:val="000000" w:themeColor="text1"/>
                <w:sz w:val="22"/>
                <w:szCs w:val="22"/>
              </w:rPr>
              <w:t>04</w:t>
            </w:r>
            <w:r w:rsidR="00641EB2" w:rsidRPr="00641EB2">
              <w:rPr>
                <w:rFonts w:ascii="Palatino Linotype" w:hAnsi="Palatino Linotype"/>
                <w:i/>
                <w:color w:val="000000" w:themeColor="text1"/>
                <w:sz w:val="22"/>
                <w:szCs w:val="22"/>
              </w:rPr>
              <w:t xml:space="preserve"> </w:t>
            </w:r>
            <w:r w:rsidRPr="00641EB2">
              <w:rPr>
                <w:rFonts w:ascii="Palatino Linotype" w:hAnsi="Palatino Linotype"/>
                <w:i/>
                <w:color w:val="000000" w:themeColor="text1"/>
                <w:sz w:val="22"/>
                <w:szCs w:val="22"/>
              </w:rPr>
              <w:t>m</w:t>
            </w:r>
            <w:r w:rsidRPr="00641EB2">
              <w:rPr>
                <w:rFonts w:ascii="Palatino Linotype" w:hAnsi="Palatino Linotype"/>
                <w:i/>
                <w:color w:val="000000" w:themeColor="text1"/>
                <w:sz w:val="22"/>
                <w:szCs w:val="22"/>
                <w:vertAlign w:val="superscript"/>
              </w:rPr>
              <w:t>2</w:t>
            </w:r>
          </w:p>
        </w:tc>
      </w:tr>
      <w:tr w:rsidR="00E64141" w:rsidRPr="00F96622" w:rsidTr="00E100B5">
        <w:trPr>
          <w:trHeight w:val="13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Sur:</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E64141" w:rsidRPr="00F96622" w:rsidRDefault="00641EB2" w:rsidP="00641EB2">
            <w:pPr>
              <w:spacing w:after="120" w:line="276" w:lineRule="auto"/>
              <w:jc w:val="both"/>
              <w:rPr>
                <w:rFonts w:ascii="Palatino Linotype" w:hAnsi="Palatino Linotype"/>
                <w:i/>
                <w:color w:val="000000" w:themeColor="text1"/>
                <w:sz w:val="22"/>
                <w:szCs w:val="22"/>
              </w:rPr>
            </w:pPr>
            <w:r>
              <w:rPr>
                <w:rFonts w:ascii="Palatino Linotype" w:hAnsi="Palatino Linotype"/>
                <w:i/>
                <w:color w:val="000000" w:themeColor="text1"/>
                <w:sz w:val="22"/>
                <w:szCs w:val="22"/>
              </w:rPr>
              <w:t xml:space="preserve">Lote </w:t>
            </w:r>
            <w:r w:rsidR="00E64141" w:rsidRPr="00F96622">
              <w:rPr>
                <w:rFonts w:ascii="Palatino Linotype" w:hAnsi="Palatino Linotype"/>
                <w:i/>
                <w:color w:val="000000" w:themeColor="text1"/>
                <w:sz w:val="22"/>
                <w:szCs w:val="22"/>
              </w:rPr>
              <w:t>N</w:t>
            </w:r>
            <w:r>
              <w:rPr>
                <w:rFonts w:ascii="Palatino Linotype" w:hAnsi="Palatino Linotype"/>
                <w:i/>
                <w:color w:val="000000" w:themeColor="text1"/>
                <w:sz w:val="22"/>
                <w:szCs w:val="22"/>
              </w:rPr>
              <w:t>o.</w:t>
            </w:r>
            <w:r w:rsidR="00E64141" w:rsidRPr="00F96622">
              <w:rPr>
                <w:rFonts w:ascii="Palatino Linotype" w:hAnsi="Palatino Linotype"/>
                <w:i/>
                <w:color w:val="000000" w:themeColor="text1"/>
                <w:sz w:val="22"/>
                <w:szCs w:val="22"/>
              </w:rPr>
              <w:t xml:space="preserve"> 3</w:t>
            </w:r>
          </w:p>
          <w:p w:rsidR="00E64141" w:rsidRPr="00F96622" w:rsidRDefault="00E64141" w:rsidP="00641EB2">
            <w:pPr>
              <w:spacing w:after="120" w:line="276" w:lineRule="auto"/>
              <w:jc w:val="both"/>
              <w:rPr>
                <w:rFonts w:ascii="Palatino Linotype" w:hAnsi="Palatino Linotype"/>
                <w:i/>
                <w:color w:val="000000" w:themeColor="text1"/>
                <w:sz w:val="22"/>
                <w:szCs w:val="22"/>
                <w:lang w:val="es-EC"/>
              </w:rPr>
            </w:pP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2</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76</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p>
        </w:tc>
      </w:tr>
      <w:tr w:rsidR="00E64141" w:rsidRPr="00F96622" w:rsidTr="00E100B5">
        <w:trPr>
          <w:trHeight w:val="46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Este: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641EB2">
            <w:pPr>
              <w:spacing w:after="120" w:line="276" w:lineRule="auto"/>
              <w:jc w:val="both"/>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 xml:space="preserve">Área </w:t>
            </w:r>
            <w:r w:rsidR="00641EB2" w:rsidRPr="00F96622">
              <w:rPr>
                <w:rFonts w:ascii="Palatino Linotype" w:hAnsi="Palatino Linotype"/>
                <w:i/>
                <w:color w:val="000000" w:themeColor="text1"/>
                <w:sz w:val="22"/>
                <w:szCs w:val="22"/>
              </w:rPr>
              <w:t>verde y equipamiento comunal</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33</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03</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p w:rsidR="00E64141" w:rsidRPr="00F96622" w:rsidRDefault="00E64141" w:rsidP="00641EB2">
            <w:pPr>
              <w:spacing w:after="120" w:line="276" w:lineRule="auto"/>
              <w:jc w:val="center"/>
              <w:rPr>
                <w:rFonts w:ascii="Palatino Linotype" w:hAnsi="Palatino Linotype"/>
                <w:i/>
                <w:color w:val="000000" w:themeColor="text1"/>
                <w:sz w:val="22"/>
                <w:szCs w:val="22"/>
              </w:rPr>
            </w:pPr>
            <w:proofErr w:type="spellStart"/>
            <w:r w:rsidRPr="00F96622">
              <w:rPr>
                <w:rFonts w:ascii="Palatino Linotype" w:hAnsi="Palatino Linotype"/>
                <w:i/>
                <w:color w:val="000000" w:themeColor="text1"/>
                <w:sz w:val="22"/>
                <w:szCs w:val="22"/>
              </w:rPr>
              <w:t>Ld</w:t>
            </w:r>
            <w:proofErr w:type="spellEnd"/>
            <w:r w:rsidRPr="00F96622">
              <w:rPr>
                <w:rFonts w:ascii="Palatino Linotype" w:hAnsi="Palatino Linotype"/>
                <w:i/>
                <w:color w:val="000000" w:themeColor="text1"/>
                <w:sz w:val="22"/>
                <w:szCs w:val="22"/>
              </w:rPr>
              <w:t>=</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4</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55</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proofErr w:type="spellStart"/>
            <w:r w:rsidRPr="00F96622">
              <w:rPr>
                <w:rFonts w:ascii="Palatino Linotype" w:hAnsi="Palatino Linotype"/>
                <w:i/>
                <w:color w:val="000000" w:themeColor="text1"/>
                <w:sz w:val="22"/>
                <w:szCs w:val="22"/>
              </w:rPr>
              <w:t>Ld</w:t>
            </w:r>
            <w:proofErr w:type="spellEnd"/>
            <w:r w:rsidRPr="00F96622">
              <w:rPr>
                <w:rFonts w:ascii="Palatino Linotype" w:hAnsi="Palatino Linotype"/>
                <w:i/>
                <w:color w:val="000000" w:themeColor="text1"/>
                <w:sz w:val="22"/>
                <w:szCs w:val="22"/>
              </w:rPr>
              <w:t>=</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37</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58</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p>
        </w:tc>
      </w:tr>
      <w:tr w:rsidR="00E64141" w:rsidRPr="00F96622" w:rsidTr="00E100B5">
        <w:trPr>
          <w:trHeight w:val="44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i/>
                <w:color w:val="000000" w:themeColor="text1"/>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E100B5">
            <w:pPr>
              <w:spacing w:after="120" w:line="276" w:lineRule="auto"/>
              <w:rPr>
                <w:rFonts w:ascii="Palatino Linotype" w:hAnsi="Palatino Linotype"/>
                <w:b/>
                <w:i/>
                <w:color w:val="000000" w:themeColor="text1"/>
                <w:sz w:val="22"/>
                <w:szCs w:val="22"/>
              </w:rPr>
            </w:pPr>
            <w:r w:rsidRPr="00F96622">
              <w:rPr>
                <w:rFonts w:ascii="Palatino Linotype" w:hAnsi="Palatino Linotype"/>
                <w:b/>
                <w:i/>
                <w:color w:val="000000" w:themeColor="text1"/>
                <w:sz w:val="22"/>
                <w:szCs w:val="22"/>
              </w:rPr>
              <w:t>Oeste:</w:t>
            </w:r>
          </w:p>
        </w:tc>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rsidR="00E64141" w:rsidRPr="00F96622" w:rsidRDefault="00E64141" w:rsidP="00641EB2">
            <w:pPr>
              <w:spacing w:after="120" w:line="276" w:lineRule="auto"/>
              <w:jc w:val="both"/>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Calle San Juan de Dios</w:t>
            </w:r>
          </w:p>
        </w:tc>
        <w:tc>
          <w:tcPr>
            <w:tcW w:w="14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4141" w:rsidRPr="00F96622" w:rsidRDefault="00E64141" w:rsidP="00641EB2">
            <w:pPr>
              <w:spacing w:after="120" w:line="276" w:lineRule="auto"/>
              <w:jc w:val="center"/>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33</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21</w:t>
            </w:r>
            <w:r w:rsidR="00641EB2">
              <w:rPr>
                <w:rFonts w:ascii="Palatino Linotype" w:hAnsi="Palatino Linotype"/>
                <w:i/>
                <w:color w:val="000000" w:themeColor="text1"/>
                <w:sz w:val="22"/>
                <w:szCs w:val="22"/>
              </w:rPr>
              <w:t xml:space="preserve"> </w:t>
            </w:r>
            <w:r w:rsidRPr="00F96622">
              <w:rPr>
                <w:rFonts w:ascii="Palatino Linotype" w:hAnsi="Palatino Linotype"/>
                <w:i/>
                <w:color w:val="000000" w:themeColor="text1"/>
                <w:sz w:val="22"/>
                <w:szCs w:val="22"/>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E64141" w:rsidRPr="00F96622" w:rsidRDefault="00E64141" w:rsidP="00E100B5">
            <w:pPr>
              <w:spacing w:after="120" w:line="276" w:lineRule="auto"/>
              <w:rPr>
                <w:rFonts w:ascii="Palatino Linotype" w:hAnsi="Palatino Linotype"/>
                <w:b/>
                <w:i/>
                <w:color w:val="000000" w:themeColor="text1"/>
                <w:sz w:val="22"/>
                <w:szCs w:val="22"/>
              </w:rPr>
            </w:pPr>
          </w:p>
        </w:tc>
      </w:tr>
    </w:tbl>
    <w:p w:rsidR="00E64141" w:rsidRPr="00F96622" w:rsidRDefault="00E64141" w:rsidP="00E64141">
      <w:pPr>
        <w:spacing w:after="120" w:line="276" w:lineRule="auto"/>
        <w:jc w:val="both"/>
        <w:rPr>
          <w:rFonts w:ascii="Palatino Linotype" w:hAnsi="Palatino Linotype"/>
          <w:sz w:val="22"/>
          <w:szCs w:val="22"/>
        </w:rPr>
      </w:pPr>
    </w:p>
    <w:p w:rsidR="00E64141" w:rsidRPr="00F96622" w:rsidRDefault="00E64141" w:rsidP="00E64141">
      <w:pPr>
        <w:spacing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5.- </w:t>
      </w:r>
      <w:r w:rsidRPr="00F96622">
        <w:rPr>
          <w:rFonts w:ascii="Palatino Linotype" w:hAnsi="Palatino Linotype"/>
          <w:bCs/>
          <w:sz w:val="22"/>
          <w:szCs w:val="22"/>
        </w:rPr>
        <w:t>Deróguese el artículo 5 de la Ordenanza No. 130, sancionada el 21 de octubre de 2011.</w:t>
      </w:r>
    </w:p>
    <w:p w:rsidR="00E64141" w:rsidRPr="00F96622" w:rsidRDefault="00E64141" w:rsidP="00E64141">
      <w:pPr>
        <w:spacing w:after="120" w:line="276" w:lineRule="auto"/>
        <w:jc w:val="both"/>
        <w:rPr>
          <w:rFonts w:ascii="Palatino Linotype" w:hAnsi="Palatino Linotype"/>
          <w:sz w:val="22"/>
          <w:szCs w:val="22"/>
          <w:lang w:val="es-EC"/>
        </w:rPr>
      </w:pPr>
      <w:r w:rsidRPr="00F96622">
        <w:rPr>
          <w:rFonts w:ascii="Palatino Linotype" w:hAnsi="Palatino Linotype"/>
          <w:b/>
          <w:bCs/>
          <w:sz w:val="22"/>
          <w:szCs w:val="22"/>
        </w:rPr>
        <w:t>Artículo</w:t>
      </w:r>
      <w:r w:rsidRPr="00F96622">
        <w:rPr>
          <w:rFonts w:ascii="Palatino Linotype" w:hAnsi="Palatino Linotype"/>
          <w:b/>
          <w:sz w:val="22"/>
          <w:szCs w:val="22"/>
          <w:lang w:val="es-EC"/>
        </w:rPr>
        <w:t xml:space="preserve"> 6.-</w:t>
      </w:r>
      <w:r w:rsidRPr="00F96622">
        <w:rPr>
          <w:rFonts w:ascii="Palatino Linotype" w:hAnsi="Palatino Linotype"/>
          <w:sz w:val="22"/>
          <w:szCs w:val="22"/>
          <w:lang w:val="es-EC"/>
        </w:rPr>
        <w:t xml:space="preserve"> Inclúyase un artículo </w:t>
      </w:r>
      <w:proofErr w:type="spellStart"/>
      <w:r w:rsidRPr="00F96622">
        <w:rPr>
          <w:rFonts w:ascii="Palatino Linotype" w:hAnsi="Palatino Linotype"/>
          <w:sz w:val="22"/>
          <w:szCs w:val="22"/>
          <w:lang w:val="es-EC"/>
        </w:rPr>
        <w:t>innumerado</w:t>
      </w:r>
      <w:proofErr w:type="spellEnd"/>
      <w:r w:rsidR="00641EB2">
        <w:rPr>
          <w:rFonts w:ascii="Palatino Linotype" w:hAnsi="Palatino Linotype"/>
          <w:sz w:val="22"/>
          <w:szCs w:val="22"/>
          <w:lang w:val="es-EC"/>
        </w:rPr>
        <w:t xml:space="preserve"> después </w:t>
      </w:r>
      <w:r w:rsidRPr="00F96622">
        <w:rPr>
          <w:rFonts w:ascii="Palatino Linotype" w:hAnsi="Palatino Linotype"/>
          <w:sz w:val="22"/>
          <w:szCs w:val="22"/>
          <w:lang w:val="es-EC"/>
        </w:rPr>
        <w:t xml:space="preserve">del artículo 5 de la </w:t>
      </w:r>
      <w:r w:rsidRPr="00F96622">
        <w:rPr>
          <w:rFonts w:ascii="Palatino Linotype" w:hAnsi="Palatino Linotype"/>
          <w:bCs/>
          <w:sz w:val="22"/>
          <w:szCs w:val="22"/>
        </w:rPr>
        <w:t xml:space="preserve">Ordenanza No. 130, sancionada el 21 de octubre de 2011, </w:t>
      </w:r>
      <w:r w:rsidRPr="00F96622">
        <w:rPr>
          <w:rFonts w:ascii="Palatino Linotype" w:hAnsi="Palatino Linotype"/>
          <w:sz w:val="22"/>
          <w:szCs w:val="22"/>
          <w:lang w:val="es-EC"/>
        </w:rPr>
        <w:t xml:space="preserve">con el siguiente texto: </w:t>
      </w:r>
    </w:p>
    <w:p w:rsidR="00E64141" w:rsidRPr="00641EB2" w:rsidRDefault="00E64141" w:rsidP="00641EB2">
      <w:pPr>
        <w:spacing w:after="120" w:line="276" w:lineRule="auto"/>
        <w:ind w:left="708"/>
        <w:jc w:val="both"/>
        <w:rPr>
          <w:rFonts w:ascii="Palatino Linotype" w:hAnsi="Palatino Linotype"/>
          <w:bCs/>
          <w:i/>
          <w:sz w:val="22"/>
          <w:szCs w:val="22"/>
        </w:rPr>
      </w:pPr>
      <w:r w:rsidRPr="00641EB2">
        <w:rPr>
          <w:rFonts w:ascii="Palatino Linotype" w:hAnsi="Palatino Linotype"/>
          <w:i/>
          <w:sz w:val="22"/>
          <w:szCs w:val="22"/>
          <w:lang w:val="es-EC"/>
        </w:rPr>
        <w:t>“</w:t>
      </w:r>
      <w:r w:rsidRPr="00641EB2">
        <w:rPr>
          <w:rFonts w:ascii="Palatino Linotype" w:hAnsi="Palatino Linotype"/>
          <w:b/>
          <w:i/>
          <w:sz w:val="22"/>
          <w:szCs w:val="22"/>
          <w:lang w:val="es-EC"/>
        </w:rPr>
        <w:t>Art…</w:t>
      </w:r>
      <w:r w:rsidRPr="00641EB2">
        <w:rPr>
          <w:rFonts w:ascii="Palatino Linotype" w:hAnsi="Palatino Linotype"/>
          <w:b/>
          <w:bCs/>
          <w:i/>
          <w:sz w:val="22"/>
          <w:szCs w:val="22"/>
        </w:rPr>
        <w:t xml:space="preserve">.- Informe Técnico de Evaluación de Riesgos de la Secretaría General de Seguridad y Gobernabilidad.- </w:t>
      </w:r>
      <w:r w:rsidRPr="00641EB2">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w:t>
      </w:r>
      <w:r w:rsidRPr="00641EB2">
        <w:rPr>
          <w:rFonts w:ascii="Palatino Linotype" w:hAnsi="Palatino Linotype"/>
          <w:bCs/>
          <w:i/>
          <w:sz w:val="22"/>
          <w:szCs w:val="22"/>
        </w:rPr>
        <w:lastRenderedPageBreak/>
        <w:t>técnico, ante la Dirección Metropolitana de Gestión de Riesgos y la Unidad Desconcentrada de Control de la Administración Zonal Los Chillos</w:t>
      </w:r>
      <w:r w:rsidRPr="00641EB2">
        <w:rPr>
          <w:rFonts w:ascii="Palatino Linotype" w:hAnsi="Palatino Linotype"/>
          <w:i/>
          <w:color w:val="2A2A2A"/>
          <w:sz w:val="22"/>
          <w:szCs w:val="22"/>
        </w:rPr>
        <w:t xml:space="preserve">, </w:t>
      </w:r>
      <w:r w:rsidRPr="00641EB2">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E64141" w:rsidRPr="00641EB2" w:rsidRDefault="00E64141" w:rsidP="00641EB2">
      <w:pPr>
        <w:spacing w:after="120" w:line="276" w:lineRule="auto"/>
        <w:ind w:left="708"/>
        <w:jc w:val="both"/>
        <w:rPr>
          <w:rFonts w:ascii="Palatino Linotype" w:hAnsi="Palatino Linotype"/>
          <w:i/>
          <w:color w:val="2A2A2A"/>
          <w:sz w:val="22"/>
          <w:szCs w:val="22"/>
        </w:rPr>
      </w:pPr>
      <w:r w:rsidRPr="00641EB2">
        <w:rPr>
          <w:rFonts w:ascii="Palatino Linotype" w:hAnsi="Palatino Linotype"/>
          <w:i/>
          <w:color w:val="2A2A2A"/>
          <w:sz w:val="22"/>
          <w:szCs w:val="22"/>
        </w:rPr>
        <w:t xml:space="preserve">La Agencia Metropolitana de Control realizará el seguimiento en la ejecución y avance de las obras de mitigación hasta la terminación de las mismas. </w:t>
      </w:r>
    </w:p>
    <w:p w:rsidR="00E64141" w:rsidRPr="00641EB2" w:rsidRDefault="00E64141" w:rsidP="00641EB2">
      <w:pPr>
        <w:spacing w:after="120" w:line="276" w:lineRule="auto"/>
        <w:ind w:left="708"/>
        <w:jc w:val="both"/>
        <w:rPr>
          <w:rFonts w:ascii="Palatino Linotype" w:hAnsi="Palatino Linotype"/>
          <w:bCs/>
          <w:i/>
          <w:sz w:val="22"/>
          <w:szCs w:val="22"/>
        </w:rPr>
      </w:pPr>
      <w:r w:rsidRPr="00641EB2">
        <w:rPr>
          <w:rFonts w:ascii="Palatino Linotype" w:hAnsi="Palatino Linotype"/>
          <w:i/>
          <w:sz w:val="22"/>
          <w:szCs w:val="22"/>
        </w:rPr>
        <w:t xml:space="preserve">El Asentamiento Humano de Hecho y Consolidado de Interés Social denominado  “San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Primera Etapa”, </w:t>
      </w:r>
      <w:r w:rsidRPr="00641EB2">
        <w:rPr>
          <w:rFonts w:ascii="Palatino Linotype" w:hAnsi="Palatino Linotype"/>
          <w:bCs/>
          <w:i/>
          <w:sz w:val="22"/>
          <w:szCs w:val="22"/>
          <w:lang w:val="es-EC"/>
        </w:rPr>
        <w:t xml:space="preserve">deberán cumplir con lo establecido  dentro de la calificación del riesgo y acatar las recomendaciones que se encuentran determinadas </w:t>
      </w:r>
      <w:r w:rsidRPr="00641EB2">
        <w:rPr>
          <w:rFonts w:ascii="Palatino Linotype" w:hAnsi="Palatino Linotype"/>
          <w:i/>
          <w:color w:val="000000"/>
          <w:sz w:val="22"/>
          <w:szCs w:val="22"/>
          <w:shd w:val="clear" w:color="auto" w:fill="FFFFFF"/>
        </w:rPr>
        <w:t xml:space="preserve">en el informe de la Dirección Metropolitana de Gestión de Riesgos </w:t>
      </w:r>
      <w:r w:rsidRPr="00641EB2">
        <w:rPr>
          <w:rFonts w:ascii="Palatino Linotype" w:hAnsi="Palatino Linotype"/>
          <w:i/>
          <w:color w:val="000000" w:themeColor="text1"/>
          <w:sz w:val="22"/>
          <w:szCs w:val="22"/>
        </w:rPr>
        <w:t xml:space="preserve">No. 109-AT-DMGR-2018, de fecha 2 de mayo de 2018, </w:t>
      </w:r>
      <w:r w:rsidRPr="00641EB2">
        <w:rPr>
          <w:rFonts w:ascii="Palatino Linotype" w:hAnsi="Palatino Linotype"/>
          <w:bCs/>
          <w:i/>
          <w:sz w:val="22"/>
          <w:szCs w:val="22"/>
          <w:lang w:val="es-EC"/>
        </w:rPr>
        <w:t xml:space="preserve"> el mismo establece que</w:t>
      </w:r>
      <w:r w:rsidRPr="00641EB2">
        <w:rPr>
          <w:rFonts w:ascii="Palatino Linotype" w:hAnsi="Palatino Linotype"/>
          <w:bCs/>
          <w:i/>
          <w:sz w:val="22"/>
          <w:szCs w:val="22"/>
        </w:rPr>
        <w:t xml:space="preserve">:” </w:t>
      </w:r>
    </w:p>
    <w:p w:rsidR="00641EB2" w:rsidRDefault="00E64141" w:rsidP="00641EB2">
      <w:pPr>
        <w:spacing w:after="120" w:line="276" w:lineRule="auto"/>
        <w:ind w:left="708"/>
        <w:jc w:val="both"/>
        <w:rPr>
          <w:rFonts w:ascii="Palatino Linotype" w:hAnsi="Palatino Linotype"/>
          <w:b/>
          <w:bCs/>
          <w:i/>
          <w:sz w:val="22"/>
          <w:szCs w:val="22"/>
        </w:rPr>
      </w:pPr>
      <w:r w:rsidRPr="00641EB2">
        <w:rPr>
          <w:rFonts w:ascii="Palatino Linotype" w:hAnsi="Palatino Linotype"/>
          <w:b/>
          <w:bCs/>
          <w:i/>
          <w:sz w:val="22"/>
          <w:szCs w:val="22"/>
        </w:rPr>
        <w:t>“6 CALIFICACIÓN DEL RIESGO</w:t>
      </w:r>
    </w:p>
    <w:p w:rsidR="00E64141" w:rsidRPr="00641EB2" w:rsidRDefault="00E64141" w:rsidP="00641EB2">
      <w:pPr>
        <w:spacing w:after="120" w:line="276" w:lineRule="auto"/>
        <w:ind w:left="708"/>
        <w:jc w:val="both"/>
        <w:rPr>
          <w:rFonts w:ascii="Palatino Linotype" w:hAnsi="Palatino Linotype"/>
          <w:b/>
          <w:bCs/>
          <w:i/>
          <w:sz w:val="22"/>
          <w:szCs w:val="22"/>
        </w:rPr>
      </w:pPr>
      <w:r w:rsidRPr="00641EB2">
        <w:rPr>
          <w:rFonts w:ascii="Palatino Linotype" w:hAnsi="Palatino Linotype"/>
          <w:i/>
          <w:sz w:val="22"/>
          <w:szCs w:val="22"/>
        </w:rPr>
        <w:t xml:space="preserve">La zona en estudio, una vez realizada la inspección técnica al AHHYC “San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 de la parroquia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considerando las amenazas, elementos expuestos y vulnerabilidades se determina que:</w:t>
      </w:r>
    </w:p>
    <w:p w:rsidR="00E64141" w:rsidRPr="00641EB2" w:rsidRDefault="00E64141" w:rsidP="00641EB2">
      <w:pPr>
        <w:pStyle w:val="Prrafodelista"/>
        <w:numPr>
          <w:ilvl w:val="0"/>
          <w:numId w:val="18"/>
        </w:numPr>
        <w:spacing w:after="120" w:line="276" w:lineRule="auto"/>
        <w:ind w:left="1428"/>
        <w:contextualSpacing/>
        <w:jc w:val="both"/>
        <w:rPr>
          <w:rFonts w:ascii="Palatino Linotype" w:hAnsi="Palatino Linotype"/>
          <w:b/>
          <w:i/>
          <w:sz w:val="22"/>
          <w:szCs w:val="22"/>
        </w:rPr>
      </w:pPr>
      <w:r w:rsidRPr="00641EB2">
        <w:rPr>
          <w:rFonts w:ascii="Palatino Linotype" w:hAnsi="Palatino Linotype"/>
          <w:i/>
          <w:sz w:val="22"/>
          <w:szCs w:val="22"/>
          <w:u w:val="single"/>
        </w:rPr>
        <w:t>Riesgo por movimientos en masa</w:t>
      </w:r>
      <w:r w:rsidRPr="00641EB2">
        <w:rPr>
          <w:rFonts w:ascii="Palatino Linotype" w:hAnsi="Palatino Linotype"/>
          <w:b/>
          <w:i/>
          <w:sz w:val="22"/>
          <w:szCs w:val="22"/>
        </w:rPr>
        <w:t xml:space="preserve">: </w:t>
      </w:r>
      <w:r w:rsidRPr="00641EB2">
        <w:rPr>
          <w:rFonts w:ascii="Palatino Linotype" w:hAnsi="Palatino Linotype"/>
          <w:i/>
          <w:sz w:val="22"/>
          <w:szCs w:val="22"/>
        </w:rPr>
        <w:t xml:space="preserve">el AHHYC “San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 de la parroquia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de acuerdo a las condiciones morfológicas, litológicas y elementos expuestos se manifiesta que presenta un </w:t>
      </w:r>
      <w:r w:rsidRPr="00641EB2">
        <w:rPr>
          <w:rFonts w:ascii="Palatino Linotype" w:hAnsi="Palatino Linotype"/>
          <w:b/>
          <w:i/>
          <w:sz w:val="22"/>
          <w:szCs w:val="22"/>
        </w:rPr>
        <w:t>Riesgo Bajo.</w:t>
      </w:r>
    </w:p>
    <w:p w:rsidR="00E64141" w:rsidRPr="00641EB2" w:rsidRDefault="00E64141" w:rsidP="00641EB2">
      <w:pPr>
        <w:pStyle w:val="Prrafodelista"/>
        <w:numPr>
          <w:ilvl w:val="0"/>
          <w:numId w:val="18"/>
        </w:numPr>
        <w:spacing w:after="120" w:line="276" w:lineRule="auto"/>
        <w:ind w:left="1428"/>
        <w:contextualSpacing/>
        <w:jc w:val="both"/>
        <w:rPr>
          <w:rFonts w:ascii="Palatino Linotype" w:hAnsi="Palatino Linotype"/>
          <w:b/>
          <w:i/>
          <w:sz w:val="22"/>
          <w:szCs w:val="22"/>
        </w:rPr>
      </w:pPr>
      <w:r w:rsidRPr="00641EB2">
        <w:rPr>
          <w:rFonts w:ascii="Palatino Linotype" w:hAnsi="Palatino Linotype"/>
          <w:i/>
          <w:sz w:val="22"/>
          <w:szCs w:val="22"/>
          <w:u w:val="single"/>
        </w:rPr>
        <w:t>Riesgo por eventos sísmicos</w:t>
      </w:r>
      <w:r w:rsidRPr="00641EB2">
        <w:rPr>
          <w:rFonts w:ascii="Palatino Linotype" w:hAnsi="Palatino Linotype"/>
          <w:b/>
          <w:i/>
          <w:sz w:val="22"/>
          <w:szCs w:val="22"/>
        </w:rPr>
        <w:t>:</w:t>
      </w:r>
      <w:r w:rsidRPr="00641EB2">
        <w:rPr>
          <w:rFonts w:ascii="Palatino Linotype" w:hAnsi="Palatino Linotype"/>
          <w:i/>
          <w:sz w:val="22"/>
          <w:szCs w:val="22"/>
        </w:rPr>
        <w:t xml:space="preserve"> el AHHYC “San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 de la parroquia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presenta un nivel de </w:t>
      </w:r>
      <w:r w:rsidRPr="00641EB2">
        <w:rPr>
          <w:rFonts w:ascii="Palatino Linotype" w:hAnsi="Palatino Linotype"/>
          <w:b/>
          <w:i/>
          <w:sz w:val="22"/>
          <w:szCs w:val="22"/>
        </w:rPr>
        <w:t>Riesgo Alto</w:t>
      </w:r>
      <w:r w:rsidRPr="00641EB2">
        <w:rPr>
          <w:rFonts w:ascii="Palatino Linotype" w:hAnsi="Palatino Linotype"/>
          <w:i/>
          <w:sz w:val="22"/>
          <w:szCs w:val="22"/>
        </w:rPr>
        <w:t xml:space="preserve">. Por cuanto al ser construcciones informales, no cumplen la Norma Ecuatoriana de Construcción (NEC) y se consideran viviendas con alta vulnerabilidad. </w:t>
      </w:r>
    </w:p>
    <w:p w:rsidR="00E64141" w:rsidRPr="00641EB2" w:rsidRDefault="00E64141" w:rsidP="00641EB2">
      <w:pPr>
        <w:pStyle w:val="Prrafodelista"/>
        <w:numPr>
          <w:ilvl w:val="0"/>
          <w:numId w:val="18"/>
        </w:numPr>
        <w:spacing w:after="120" w:line="276" w:lineRule="auto"/>
        <w:ind w:left="1428"/>
        <w:contextualSpacing/>
        <w:jc w:val="both"/>
        <w:rPr>
          <w:rFonts w:ascii="Palatino Linotype" w:hAnsi="Palatino Linotype"/>
          <w:b/>
          <w:i/>
          <w:sz w:val="22"/>
          <w:szCs w:val="22"/>
        </w:rPr>
      </w:pPr>
      <w:r w:rsidRPr="00641EB2">
        <w:rPr>
          <w:rFonts w:ascii="Palatino Linotype" w:hAnsi="Palatino Linotype"/>
          <w:i/>
          <w:sz w:val="22"/>
          <w:szCs w:val="22"/>
          <w:u w:val="single"/>
        </w:rPr>
        <w:t>Riesgo por fenómenos volcánicos:</w:t>
      </w:r>
      <w:r w:rsidRPr="00641EB2">
        <w:rPr>
          <w:rFonts w:ascii="Palatino Linotype" w:hAnsi="Palatino Linotype"/>
          <w:i/>
          <w:sz w:val="22"/>
          <w:szCs w:val="22"/>
        </w:rPr>
        <w:t xml:space="preserve"> el AHHYC “San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 de la parroquia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presenta un nivel de </w:t>
      </w:r>
      <w:r w:rsidRPr="00641EB2">
        <w:rPr>
          <w:rFonts w:ascii="Palatino Linotype" w:hAnsi="Palatino Linotype"/>
          <w:b/>
          <w:i/>
          <w:sz w:val="22"/>
          <w:szCs w:val="22"/>
        </w:rPr>
        <w:t>Riesgo Moderado</w:t>
      </w:r>
      <w:r w:rsidRPr="00641EB2">
        <w:rPr>
          <w:rFonts w:ascii="Palatino Linotype" w:hAnsi="Palatino Linotype"/>
          <w:i/>
          <w:sz w:val="22"/>
          <w:szCs w:val="22"/>
        </w:rPr>
        <w:t xml:space="preserve"> por la probable caída de </w:t>
      </w:r>
      <w:proofErr w:type="spellStart"/>
      <w:r w:rsidRPr="00641EB2">
        <w:rPr>
          <w:rFonts w:ascii="Palatino Linotype" w:hAnsi="Palatino Linotype"/>
          <w:i/>
          <w:sz w:val="22"/>
          <w:szCs w:val="22"/>
        </w:rPr>
        <w:t>piroclastos</w:t>
      </w:r>
      <w:proofErr w:type="spellEnd"/>
      <w:r w:rsidRPr="00641EB2">
        <w:rPr>
          <w:rFonts w:ascii="Palatino Linotype" w:hAnsi="Palatino Linotype"/>
          <w:i/>
          <w:sz w:val="22"/>
          <w:szCs w:val="22"/>
        </w:rPr>
        <w:t xml:space="preserve"> (ceniza y lapilli de los volcanes Cotopaxi y Guagua Pichincha).</w:t>
      </w:r>
    </w:p>
    <w:p w:rsidR="00E64141" w:rsidRPr="00641EB2" w:rsidRDefault="00E64141" w:rsidP="00641EB2">
      <w:pPr>
        <w:spacing w:after="120" w:line="276" w:lineRule="auto"/>
        <w:ind w:left="708"/>
        <w:jc w:val="both"/>
        <w:rPr>
          <w:rFonts w:ascii="Palatino Linotype" w:hAnsi="Palatino Linotype"/>
          <w:i/>
          <w:sz w:val="22"/>
          <w:szCs w:val="22"/>
        </w:rPr>
      </w:pPr>
      <w:r w:rsidRPr="00641EB2">
        <w:rPr>
          <w:rFonts w:ascii="Palatino Linotype" w:hAnsi="Palatino Linotype"/>
          <w:i/>
          <w:sz w:val="22"/>
          <w:szCs w:val="22"/>
        </w:rPr>
        <w:t xml:space="preserve">Por lo tanto, la Dirección Metropolitana de Gestión de Riesgo (DMGR) sugiere continuar con el proceso de regularización del AHHYC “San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 ya que siguiendo </w:t>
      </w:r>
      <w:r w:rsidRPr="00641EB2">
        <w:rPr>
          <w:rFonts w:ascii="Palatino Linotype" w:hAnsi="Palatino Linotype" w:cs="Arial"/>
          <w:bCs/>
          <w:i/>
          <w:sz w:val="22"/>
          <w:szCs w:val="22"/>
        </w:rPr>
        <w:t xml:space="preserve">las recomendaciones que se describen en este informe, contribuirá a garantizar la reducción del riesgo en la zona en análisis.  </w:t>
      </w:r>
      <w:r w:rsidRPr="00641EB2">
        <w:rPr>
          <w:rFonts w:ascii="Palatino Linotype" w:hAnsi="Palatino Linotype"/>
          <w:i/>
          <w:sz w:val="22"/>
          <w:szCs w:val="22"/>
        </w:rPr>
        <w:softHyphen/>
      </w:r>
    </w:p>
    <w:p w:rsidR="00E64141" w:rsidRPr="00641EB2" w:rsidRDefault="00E64141" w:rsidP="00641EB2">
      <w:pPr>
        <w:spacing w:after="120" w:line="276" w:lineRule="auto"/>
        <w:ind w:left="708"/>
        <w:jc w:val="both"/>
        <w:rPr>
          <w:rFonts w:ascii="Palatino Linotype" w:hAnsi="Palatino Linotype" w:cs="Arial"/>
          <w:b/>
          <w:bCs/>
          <w:i/>
          <w:sz w:val="22"/>
          <w:szCs w:val="22"/>
          <w:u w:val="single"/>
        </w:rPr>
      </w:pPr>
      <w:r w:rsidRPr="00641EB2">
        <w:rPr>
          <w:rFonts w:ascii="Palatino Linotype" w:hAnsi="Palatino Linotype" w:cs="Arial"/>
          <w:b/>
          <w:bCs/>
          <w:i/>
          <w:sz w:val="22"/>
          <w:szCs w:val="22"/>
          <w:u w:val="single"/>
        </w:rPr>
        <w:t>Nota Aclaratoria</w:t>
      </w:r>
    </w:p>
    <w:p w:rsidR="00E64141" w:rsidRPr="00641EB2" w:rsidRDefault="00E64141" w:rsidP="00641EB2">
      <w:pPr>
        <w:spacing w:after="120" w:line="276" w:lineRule="auto"/>
        <w:ind w:left="708"/>
        <w:jc w:val="both"/>
        <w:rPr>
          <w:rFonts w:ascii="Palatino Linotype" w:hAnsi="Palatino Linotype" w:cs="Arial"/>
          <w:bCs/>
          <w:i/>
          <w:sz w:val="22"/>
          <w:szCs w:val="22"/>
        </w:rPr>
      </w:pPr>
      <w:r w:rsidRPr="00641EB2">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E64141" w:rsidRPr="00641EB2" w:rsidRDefault="00E64141" w:rsidP="00641EB2">
      <w:pPr>
        <w:spacing w:after="120" w:line="276" w:lineRule="auto"/>
        <w:ind w:left="708"/>
        <w:jc w:val="both"/>
        <w:rPr>
          <w:rFonts w:ascii="Palatino Linotype" w:hAnsi="Palatino Linotype" w:cs="Arial"/>
          <w:bCs/>
          <w:i/>
          <w:sz w:val="22"/>
          <w:szCs w:val="22"/>
        </w:rPr>
      </w:pPr>
      <w:r w:rsidRPr="00641EB2">
        <w:rPr>
          <w:rFonts w:ascii="Palatino Linotype" w:hAnsi="Palatino Linotype" w:cs="Arial"/>
          <w:b/>
          <w:bCs/>
          <w:i/>
          <w:sz w:val="22"/>
          <w:szCs w:val="22"/>
        </w:rPr>
        <w:lastRenderedPageBreak/>
        <w:t>Medidas Estructurales:</w:t>
      </w:r>
      <w:r w:rsidRPr="00641EB2">
        <w:rPr>
          <w:rFonts w:ascii="Palatino Linotype" w:hAnsi="Palatino Linotype" w:cs="Arial"/>
          <w:bCs/>
          <w:i/>
          <w:sz w:val="22"/>
          <w:szCs w:val="22"/>
        </w:rPr>
        <w:t xml:space="preserve"> Acciones de ingeniería para reducir impactos de las amenazas como:</w:t>
      </w:r>
    </w:p>
    <w:p w:rsidR="00E64141" w:rsidRPr="00641EB2" w:rsidRDefault="00E64141" w:rsidP="00641EB2">
      <w:pPr>
        <w:pStyle w:val="Prrafodelista"/>
        <w:numPr>
          <w:ilvl w:val="0"/>
          <w:numId w:val="11"/>
        </w:numPr>
        <w:spacing w:after="120" w:line="276" w:lineRule="auto"/>
        <w:ind w:left="1417"/>
        <w:jc w:val="both"/>
        <w:rPr>
          <w:rFonts w:ascii="Palatino Linotype" w:hAnsi="Palatino Linotype" w:cs="Arial"/>
          <w:bCs/>
          <w:i/>
          <w:sz w:val="22"/>
          <w:szCs w:val="22"/>
        </w:rPr>
      </w:pPr>
      <w:r w:rsidRPr="00641EB2">
        <w:rPr>
          <w:rFonts w:ascii="Palatino Linotype" w:hAnsi="Palatino Linotype" w:cs="Arial"/>
          <w:bCs/>
          <w:i/>
          <w:sz w:val="22"/>
          <w:szCs w:val="22"/>
        </w:rPr>
        <w:t>Protección y control: Intervención directa de la amenaza (Diques, muros de contención, canalización de aguas.)</w:t>
      </w:r>
    </w:p>
    <w:p w:rsidR="00E64141" w:rsidRPr="00641EB2" w:rsidRDefault="00E64141" w:rsidP="00641EB2">
      <w:pPr>
        <w:pStyle w:val="Prrafodelista"/>
        <w:numPr>
          <w:ilvl w:val="0"/>
          <w:numId w:val="11"/>
        </w:numPr>
        <w:spacing w:after="120" w:line="276" w:lineRule="auto"/>
        <w:ind w:left="1417"/>
        <w:jc w:val="both"/>
        <w:rPr>
          <w:rFonts w:ascii="Palatino Linotype" w:hAnsi="Palatino Linotype" w:cs="Arial"/>
          <w:bCs/>
          <w:i/>
          <w:sz w:val="22"/>
          <w:szCs w:val="22"/>
        </w:rPr>
      </w:pPr>
      <w:r w:rsidRPr="00641EB2">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E64141" w:rsidRPr="00641EB2" w:rsidRDefault="00E64141" w:rsidP="00641EB2">
      <w:pPr>
        <w:spacing w:after="120" w:line="276" w:lineRule="auto"/>
        <w:ind w:left="708"/>
        <w:rPr>
          <w:rFonts w:ascii="Palatino Linotype" w:hAnsi="Palatino Linotype" w:cs="Arial"/>
          <w:bCs/>
          <w:i/>
          <w:sz w:val="22"/>
          <w:szCs w:val="22"/>
        </w:rPr>
      </w:pPr>
      <w:r w:rsidRPr="00641EB2">
        <w:rPr>
          <w:rFonts w:ascii="Palatino Linotype" w:hAnsi="Palatino Linotype" w:cs="Arial"/>
          <w:b/>
          <w:bCs/>
          <w:i/>
          <w:sz w:val="22"/>
          <w:szCs w:val="22"/>
        </w:rPr>
        <w:t>Medidas No estructurales:</w:t>
      </w:r>
      <w:r w:rsidRPr="00641EB2">
        <w:rPr>
          <w:rFonts w:ascii="Palatino Linotype" w:hAnsi="Palatino Linotype" w:cs="Arial"/>
          <w:bCs/>
          <w:i/>
          <w:sz w:val="22"/>
          <w:szCs w:val="22"/>
        </w:rPr>
        <w:t xml:space="preserve"> Desarrollo del conocimiento, políticas, leyes y mecanismos participativos.</w:t>
      </w:r>
    </w:p>
    <w:p w:rsidR="00E64141" w:rsidRPr="00641EB2" w:rsidRDefault="00E64141" w:rsidP="00641EB2">
      <w:pPr>
        <w:pStyle w:val="Prrafodelista"/>
        <w:numPr>
          <w:ilvl w:val="0"/>
          <w:numId w:val="11"/>
        </w:numPr>
        <w:spacing w:after="120" w:line="276" w:lineRule="auto"/>
        <w:ind w:left="1417"/>
        <w:jc w:val="both"/>
        <w:rPr>
          <w:rFonts w:ascii="Palatino Linotype" w:hAnsi="Palatino Linotype" w:cs="Arial"/>
          <w:bCs/>
          <w:i/>
          <w:sz w:val="22"/>
          <w:szCs w:val="22"/>
        </w:rPr>
      </w:pPr>
      <w:r w:rsidRPr="00641EB2">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E64141" w:rsidRPr="00641EB2" w:rsidRDefault="00E64141" w:rsidP="00641EB2">
      <w:pPr>
        <w:spacing w:after="120" w:line="276" w:lineRule="auto"/>
        <w:ind w:left="1140"/>
        <w:rPr>
          <w:rFonts w:ascii="Palatino Linotype" w:hAnsi="Palatino Linotype" w:cs="Arial"/>
          <w:bCs/>
          <w:i/>
          <w:sz w:val="22"/>
          <w:szCs w:val="22"/>
        </w:rPr>
      </w:pPr>
      <w:r w:rsidRPr="00641EB2">
        <w:rPr>
          <w:rFonts w:ascii="Palatino Linotype" w:hAnsi="Palatino Linotype" w:cs="Arial"/>
          <w:bCs/>
          <w:i/>
          <w:sz w:val="22"/>
          <w:szCs w:val="22"/>
        </w:rPr>
        <w:t>Acciones Pasivas: Relacionadas con legislación y planificación (normas de construcción, uso del suelo y ordenamiento territorial, etc.)</w:t>
      </w:r>
    </w:p>
    <w:p w:rsidR="00E64141" w:rsidRPr="00641EB2" w:rsidRDefault="00E64141" w:rsidP="00641EB2">
      <w:pPr>
        <w:spacing w:after="120" w:line="276" w:lineRule="auto"/>
        <w:ind w:left="708"/>
        <w:rPr>
          <w:rFonts w:ascii="Palatino Linotype" w:hAnsi="Palatino Linotype"/>
          <w:b/>
          <w:i/>
          <w:sz w:val="22"/>
          <w:szCs w:val="22"/>
        </w:rPr>
      </w:pPr>
      <w:r w:rsidRPr="00641EB2">
        <w:rPr>
          <w:rFonts w:ascii="Palatino Linotype" w:hAnsi="Palatino Linotype"/>
          <w:b/>
          <w:i/>
          <w:sz w:val="22"/>
          <w:szCs w:val="22"/>
        </w:rPr>
        <w:t>7. RECOMENDACIONES</w:t>
      </w:r>
    </w:p>
    <w:p w:rsidR="00E64141" w:rsidRPr="00641EB2" w:rsidRDefault="00E64141" w:rsidP="00641EB2">
      <w:pPr>
        <w:pStyle w:val="Prrafodelista"/>
        <w:numPr>
          <w:ilvl w:val="0"/>
          <w:numId w:val="3"/>
        </w:numPr>
        <w:spacing w:after="120" w:line="276" w:lineRule="auto"/>
        <w:ind w:left="1068"/>
        <w:rPr>
          <w:rFonts w:ascii="Palatino Linotype" w:hAnsi="Palatino Linotype"/>
          <w:b/>
          <w:i/>
          <w:sz w:val="22"/>
          <w:szCs w:val="22"/>
        </w:rPr>
      </w:pPr>
      <w:r w:rsidRPr="00641EB2">
        <w:rPr>
          <w:rFonts w:ascii="Palatino Linotype" w:hAnsi="Palatino Linotype"/>
          <w:b/>
          <w:i/>
          <w:sz w:val="22"/>
          <w:szCs w:val="22"/>
        </w:rPr>
        <w:t>Para el riesgo por movimientos en masa:</w:t>
      </w:r>
    </w:p>
    <w:p w:rsidR="00E64141" w:rsidRPr="00641EB2" w:rsidRDefault="00E64141" w:rsidP="00641EB2">
      <w:pPr>
        <w:pStyle w:val="Prrafodelista"/>
        <w:numPr>
          <w:ilvl w:val="0"/>
          <w:numId w:val="3"/>
        </w:numPr>
        <w:spacing w:after="120" w:line="276" w:lineRule="auto"/>
        <w:ind w:left="1044" w:hanging="357"/>
        <w:jc w:val="both"/>
        <w:rPr>
          <w:rFonts w:ascii="Palatino Linotype" w:hAnsi="Palatino Linotype"/>
          <w:i/>
          <w:color w:val="000000"/>
          <w:sz w:val="22"/>
          <w:szCs w:val="22"/>
        </w:rPr>
      </w:pPr>
      <w:r w:rsidRPr="00641EB2">
        <w:rPr>
          <w:rFonts w:ascii="Palatino Linotype" w:hAnsi="Palatino Linotype" w:cs="Arial"/>
          <w:bCs/>
          <w:i/>
          <w:sz w:val="22"/>
          <w:szCs w:val="22"/>
        </w:rPr>
        <w:t xml:space="preserve">Se recomienda que mediante mingas comunitarias se mantengan limpias los sumideros y alcantarillas de las calles internas para evitar afectación de la vía y las viviendas en caso de lluvias fuertes. </w:t>
      </w:r>
    </w:p>
    <w:p w:rsidR="00E64141" w:rsidRPr="00641EB2" w:rsidRDefault="00E64141" w:rsidP="00641EB2">
      <w:pPr>
        <w:tabs>
          <w:tab w:val="left" w:pos="3667"/>
        </w:tabs>
        <w:spacing w:after="120" w:line="276" w:lineRule="auto"/>
        <w:ind w:left="708"/>
        <w:rPr>
          <w:rFonts w:ascii="Palatino Linotype" w:hAnsi="Palatino Linotype" w:cs="Arial"/>
          <w:b/>
          <w:bCs/>
          <w:i/>
          <w:sz w:val="22"/>
          <w:szCs w:val="22"/>
        </w:rPr>
      </w:pPr>
      <w:r w:rsidRPr="00641EB2">
        <w:rPr>
          <w:rFonts w:ascii="Palatino Linotype" w:hAnsi="Palatino Linotype" w:cs="Arial"/>
          <w:b/>
          <w:bCs/>
          <w:i/>
          <w:sz w:val="22"/>
          <w:szCs w:val="22"/>
        </w:rPr>
        <w:t>Para el riesgo sísmico:</w:t>
      </w:r>
      <w:r w:rsidRPr="00641EB2">
        <w:rPr>
          <w:rFonts w:ascii="Palatino Linotype" w:hAnsi="Palatino Linotype" w:cs="Arial"/>
          <w:b/>
          <w:bCs/>
          <w:i/>
          <w:sz w:val="22"/>
          <w:szCs w:val="22"/>
        </w:rPr>
        <w:tab/>
      </w:r>
    </w:p>
    <w:p w:rsidR="00E64141" w:rsidRPr="00641EB2" w:rsidRDefault="00E64141" w:rsidP="00641EB2">
      <w:pPr>
        <w:pStyle w:val="Prrafodelista"/>
        <w:numPr>
          <w:ilvl w:val="0"/>
          <w:numId w:val="3"/>
        </w:numPr>
        <w:spacing w:after="120" w:line="276" w:lineRule="auto"/>
        <w:ind w:left="1044" w:hanging="357"/>
        <w:jc w:val="both"/>
        <w:rPr>
          <w:rFonts w:ascii="Palatino Linotype" w:hAnsi="Palatino Linotype" w:cs="Arial"/>
          <w:bCs/>
          <w:i/>
          <w:sz w:val="22"/>
          <w:szCs w:val="22"/>
        </w:rPr>
      </w:pPr>
      <w:r w:rsidRPr="00641EB2">
        <w:rPr>
          <w:rFonts w:ascii="Palatino Linotype" w:hAnsi="Palatino Linotype" w:cs="Arial"/>
          <w:bCs/>
          <w:i/>
          <w:sz w:val="22"/>
          <w:szCs w:val="22"/>
        </w:rPr>
        <w:t>Para reducir el riesgo sísmico se debe tomar en cuenta la calidad de los materiales, el proceso constructivo y tipo de suelo sobre el cual se cimienta. Las futuras edificaciones deberán contar con un diseño estructural basado en la Norma Ecuatoriana de la Construcción (NEC), sobretodo, lo que se refiere a diseños sismo resistente – Cargas Sísmicas (NEC-SE-DS), para lo cual la Agencia Metropolitana de Control deberá hacer cumplir esta disposición.</w:t>
      </w:r>
    </w:p>
    <w:p w:rsidR="00E64141" w:rsidRPr="00641EB2" w:rsidRDefault="00E64141" w:rsidP="00641EB2">
      <w:pPr>
        <w:pStyle w:val="Prrafodelista"/>
        <w:numPr>
          <w:ilvl w:val="0"/>
          <w:numId w:val="3"/>
        </w:numPr>
        <w:spacing w:after="120" w:line="276" w:lineRule="auto"/>
        <w:ind w:left="1044" w:hanging="357"/>
        <w:jc w:val="both"/>
        <w:rPr>
          <w:rFonts w:ascii="Palatino Linotype" w:hAnsi="Palatino Linotype" w:cstheme="minorHAnsi"/>
          <w:i/>
          <w:color w:val="000000"/>
          <w:sz w:val="22"/>
          <w:szCs w:val="22"/>
        </w:rPr>
      </w:pPr>
      <w:r w:rsidRPr="00641EB2">
        <w:rPr>
          <w:rFonts w:ascii="Palatino Linotype" w:hAnsi="Palatino Linotype" w:cstheme="minorHAnsi"/>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E64141" w:rsidRPr="00641EB2" w:rsidRDefault="00E64141" w:rsidP="00641EB2">
      <w:pPr>
        <w:spacing w:after="120" w:line="276" w:lineRule="auto"/>
        <w:ind w:left="708"/>
        <w:rPr>
          <w:rFonts w:ascii="Palatino Linotype" w:hAnsi="Palatino Linotype" w:cs="Arial"/>
          <w:b/>
          <w:bCs/>
          <w:i/>
          <w:sz w:val="22"/>
          <w:szCs w:val="22"/>
        </w:rPr>
      </w:pPr>
      <w:r w:rsidRPr="00641EB2">
        <w:rPr>
          <w:rFonts w:ascii="Palatino Linotype" w:hAnsi="Palatino Linotype" w:cs="Arial"/>
          <w:b/>
          <w:bCs/>
          <w:i/>
          <w:sz w:val="22"/>
          <w:szCs w:val="22"/>
        </w:rPr>
        <w:t>Para el riesgo Volcánico (caída de ceniza):</w:t>
      </w:r>
    </w:p>
    <w:p w:rsidR="00E64141" w:rsidRPr="00641EB2" w:rsidRDefault="00E64141" w:rsidP="00641EB2">
      <w:pPr>
        <w:pStyle w:val="Prrafodelista"/>
        <w:numPr>
          <w:ilvl w:val="0"/>
          <w:numId w:val="3"/>
        </w:numPr>
        <w:spacing w:after="120" w:line="276" w:lineRule="auto"/>
        <w:ind w:left="1044" w:hanging="357"/>
        <w:jc w:val="both"/>
        <w:rPr>
          <w:rFonts w:ascii="Palatino Linotype" w:hAnsi="Palatino Linotype" w:cs="Arial"/>
          <w:b/>
          <w:bCs/>
          <w:i/>
          <w:sz w:val="22"/>
          <w:szCs w:val="22"/>
        </w:rPr>
      </w:pPr>
      <w:r w:rsidRPr="00641EB2">
        <w:rPr>
          <w:rFonts w:ascii="Palatino Linotype" w:hAnsi="Palatino Linotype" w:cs="Arial"/>
          <w:bCs/>
          <w:i/>
          <w:sz w:val="22"/>
          <w:szCs w:val="22"/>
        </w:rPr>
        <w:t xml:space="preserve">Las afectaciones que podría ocasionar la caída de </w:t>
      </w:r>
      <w:proofErr w:type="spellStart"/>
      <w:r w:rsidRPr="00641EB2">
        <w:rPr>
          <w:rFonts w:ascii="Palatino Linotype" w:hAnsi="Palatino Linotype" w:cs="Arial"/>
          <w:bCs/>
          <w:i/>
          <w:sz w:val="22"/>
          <w:szCs w:val="22"/>
        </w:rPr>
        <w:t>piroclastos</w:t>
      </w:r>
      <w:proofErr w:type="spellEnd"/>
      <w:r w:rsidRPr="00641EB2">
        <w:rPr>
          <w:rFonts w:ascii="Palatino Linotype" w:hAnsi="Palatino Linotype" w:cs="Arial"/>
          <w:bCs/>
          <w:i/>
          <w:sz w:val="22"/>
          <w:szCs w:val="22"/>
        </w:rPr>
        <w:t xml:space="preserve"> (ceniza y lapilli) se </w:t>
      </w:r>
      <w:r w:rsidRPr="00641EB2">
        <w:rPr>
          <w:rFonts w:ascii="Palatino Linotype" w:hAnsi="Palatino Linotype" w:cs="Arial"/>
          <w:i/>
          <w:color w:val="000000"/>
          <w:sz w:val="22"/>
          <w:szCs w:val="22"/>
        </w:rPr>
        <w:t>mitiga</w:t>
      </w:r>
      <w:r w:rsidRPr="00641EB2">
        <w:rPr>
          <w:rFonts w:ascii="Palatino Linotype" w:hAnsi="Palatino Linotype" w:cs="Arial"/>
          <w:bCs/>
          <w:i/>
          <w:sz w:val="22"/>
          <w:szCs w:val="22"/>
        </w:rPr>
        <w:t xml:space="preserve"> efectuando mantenimiento preventivo de las cubiertas de las viviendas para evitar que </w:t>
      </w:r>
      <w:r w:rsidRPr="00641EB2">
        <w:rPr>
          <w:rFonts w:ascii="Palatino Linotype" w:hAnsi="Palatino Linotype" w:cs="Arial"/>
          <w:bCs/>
          <w:i/>
          <w:sz w:val="22"/>
          <w:szCs w:val="22"/>
        </w:rPr>
        <w:lastRenderedPageBreak/>
        <w:t>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E64141" w:rsidRPr="00641EB2" w:rsidRDefault="00E64141" w:rsidP="00641EB2">
      <w:pPr>
        <w:tabs>
          <w:tab w:val="left" w:pos="3757"/>
        </w:tabs>
        <w:spacing w:after="120" w:line="276" w:lineRule="auto"/>
        <w:ind w:left="687"/>
        <w:rPr>
          <w:rFonts w:ascii="Palatino Linotype" w:hAnsi="Palatino Linotype" w:cs="Arial"/>
          <w:b/>
          <w:bCs/>
          <w:i/>
          <w:sz w:val="22"/>
          <w:szCs w:val="22"/>
        </w:rPr>
      </w:pPr>
      <w:r w:rsidRPr="00641EB2">
        <w:rPr>
          <w:rFonts w:ascii="Palatino Linotype" w:hAnsi="Palatino Linotype" w:cs="Arial"/>
          <w:b/>
          <w:bCs/>
          <w:i/>
          <w:sz w:val="22"/>
          <w:szCs w:val="22"/>
        </w:rPr>
        <w:t xml:space="preserve">Recomendaciones Generales: </w:t>
      </w:r>
      <w:r w:rsidRPr="00641EB2">
        <w:rPr>
          <w:rFonts w:ascii="Palatino Linotype" w:hAnsi="Palatino Linotype" w:cs="Arial"/>
          <w:b/>
          <w:bCs/>
          <w:i/>
          <w:sz w:val="22"/>
          <w:szCs w:val="22"/>
        </w:rPr>
        <w:tab/>
      </w:r>
    </w:p>
    <w:p w:rsidR="00E64141" w:rsidRPr="00641EB2" w:rsidRDefault="00E64141" w:rsidP="00641EB2">
      <w:pPr>
        <w:pStyle w:val="Prrafodelista"/>
        <w:numPr>
          <w:ilvl w:val="0"/>
          <w:numId w:val="3"/>
        </w:numPr>
        <w:spacing w:after="120" w:line="276" w:lineRule="auto"/>
        <w:ind w:left="991" w:hanging="357"/>
        <w:jc w:val="both"/>
        <w:rPr>
          <w:rFonts w:ascii="Palatino Linotype" w:hAnsi="Palatino Linotype" w:cs="Arial"/>
          <w:bCs/>
          <w:i/>
          <w:sz w:val="22"/>
          <w:szCs w:val="22"/>
        </w:rPr>
      </w:pPr>
      <w:r w:rsidRPr="00641EB2">
        <w:rPr>
          <w:rFonts w:ascii="Palatino Linotype" w:hAnsi="Palatino Linotype" w:cs="Arial"/>
          <w:bCs/>
          <w:i/>
          <w:sz w:val="22"/>
          <w:szCs w:val="22"/>
        </w:rPr>
        <w:t xml:space="preserve">Con el fin de mejorar las capacidades locales de la comunidad para afrontar eventos adversos que puedan suscitarse en el barrio evaluado, se recomienda que cada familia desarrolle su plan de emergencia individual, además también es importante que se elabore un plan comunitario de emergencias que deberá incluir simulacros de evacuación para diferentes escenarios. En este contexto, el AHHYC </w:t>
      </w:r>
      <w:r w:rsidRPr="00641EB2">
        <w:rPr>
          <w:rFonts w:ascii="Palatino Linotype" w:hAnsi="Palatino Linotype"/>
          <w:i/>
          <w:sz w:val="22"/>
          <w:szCs w:val="22"/>
        </w:rPr>
        <w:t xml:space="preserve">“San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 </w:t>
      </w:r>
      <w:r w:rsidRPr="00641EB2">
        <w:rPr>
          <w:rFonts w:ascii="Palatino Linotype" w:hAnsi="Palatino Linotype" w:cs="Arial"/>
          <w:bCs/>
          <w:i/>
          <w:sz w:val="22"/>
          <w:szCs w:val="22"/>
        </w:rPr>
        <w:t>puede solicitar a la Unidad de Seguridad Ciudadana y Gestión de Riesgos de la A.Z. Los Chillos, que brinde las capacitaciones en gestión de riesgos y programe simulacros de evacuación por emergencias que se realizan dentro del Programa “Quito Listo” que coordina la Secretaría General de Seguridad y Gobernabilidad</w:t>
      </w:r>
      <w:r w:rsidRPr="00641EB2">
        <w:rPr>
          <w:rFonts w:ascii="Palatino Linotype" w:hAnsi="Palatino Linotype"/>
          <w:i/>
          <w:sz w:val="22"/>
          <w:szCs w:val="22"/>
        </w:rPr>
        <w:t xml:space="preserve">. </w:t>
      </w:r>
      <w:r w:rsidRPr="00641EB2">
        <w:rPr>
          <w:rFonts w:ascii="Palatino Linotype" w:hAnsi="Palatino Linotype" w:cs="Arial"/>
          <w:bCs/>
          <w:i/>
          <w:sz w:val="22"/>
          <w:szCs w:val="22"/>
        </w:rPr>
        <w:t xml:space="preserve"> </w:t>
      </w:r>
    </w:p>
    <w:p w:rsidR="00E64141" w:rsidRPr="00641EB2" w:rsidRDefault="00E64141" w:rsidP="00641EB2">
      <w:pPr>
        <w:spacing w:after="120" w:line="276" w:lineRule="auto"/>
        <w:ind w:left="708"/>
        <w:rPr>
          <w:rFonts w:ascii="Palatino Linotype" w:hAnsi="Palatino Linotype" w:cs="Arial"/>
          <w:b/>
          <w:bCs/>
          <w:i/>
          <w:sz w:val="22"/>
          <w:szCs w:val="22"/>
        </w:rPr>
      </w:pPr>
      <w:r w:rsidRPr="00641EB2">
        <w:rPr>
          <w:rFonts w:ascii="Palatino Linotype" w:hAnsi="Palatino Linotype" w:cs="Arial"/>
          <w:b/>
          <w:bCs/>
          <w:i/>
          <w:sz w:val="22"/>
          <w:szCs w:val="22"/>
        </w:rPr>
        <w:t>Cumplimiento de la normativa vigente:</w:t>
      </w:r>
    </w:p>
    <w:p w:rsidR="00E64141" w:rsidRPr="00641EB2" w:rsidRDefault="00E64141" w:rsidP="00641EB2">
      <w:pPr>
        <w:pStyle w:val="Prrafodelista"/>
        <w:numPr>
          <w:ilvl w:val="0"/>
          <w:numId w:val="3"/>
        </w:numPr>
        <w:spacing w:after="120" w:line="276" w:lineRule="auto"/>
        <w:ind w:left="991" w:hanging="357"/>
        <w:jc w:val="both"/>
        <w:rPr>
          <w:rFonts w:ascii="Palatino Linotype" w:hAnsi="Palatino Linotype" w:cstheme="minorHAnsi"/>
          <w:bCs/>
          <w:i/>
          <w:sz w:val="22"/>
          <w:szCs w:val="22"/>
        </w:rPr>
      </w:pPr>
      <w:r w:rsidRPr="00641EB2">
        <w:rPr>
          <w:rFonts w:ascii="Palatino Linotype" w:hAnsi="Palatino Linotype" w:cstheme="minorHAnsi"/>
          <w:bCs/>
          <w:i/>
          <w:sz w:val="22"/>
          <w:szCs w:val="22"/>
        </w:rPr>
        <w:t xml:space="preserve">De acuerdo a la Constitución de la República del Ecuador donde establecen las </w:t>
      </w:r>
      <w:r w:rsidRPr="00641EB2">
        <w:rPr>
          <w:rFonts w:ascii="Palatino Linotype" w:hAnsi="Palatino Linotype"/>
          <w:i/>
          <w:sz w:val="22"/>
          <w:szCs w:val="22"/>
        </w:rPr>
        <w:t xml:space="preserve">competencias exclusivas a </w:t>
      </w:r>
      <w:r w:rsidRPr="00641EB2">
        <w:rPr>
          <w:rFonts w:ascii="Palatino Linotype" w:hAnsi="Palatino Linotype" w:cstheme="minorHAnsi"/>
          <w:bCs/>
          <w:i/>
          <w:sz w:val="22"/>
          <w:szCs w:val="22"/>
        </w:rPr>
        <w:t>los</w:t>
      </w:r>
      <w:r w:rsidRPr="00641EB2">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641EB2">
        <w:rPr>
          <w:rFonts w:ascii="Palatino Linotype" w:hAnsi="Palatino Linotype" w:cstheme="minorHAnsi"/>
          <w:bCs/>
          <w:i/>
          <w:sz w:val="22"/>
          <w:szCs w:val="22"/>
        </w:rPr>
        <w:t xml:space="preserve">gobiernos autónomos descentralizados municipales adoptarán obligatoriamente normas </w:t>
      </w:r>
      <w:r w:rsidRPr="00641EB2">
        <w:rPr>
          <w:rFonts w:ascii="Palatino Linotype" w:hAnsi="Palatino Linotype" w:cs="Arial"/>
          <w:bCs/>
          <w:i/>
          <w:sz w:val="22"/>
          <w:szCs w:val="22"/>
        </w:rPr>
        <w:t>técnicas</w:t>
      </w:r>
      <w:r w:rsidRPr="00641EB2">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E64141" w:rsidRPr="00641EB2" w:rsidRDefault="00E64141" w:rsidP="00641EB2">
      <w:pPr>
        <w:pStyle w:val="Prrafodelista"/>
        <w:numPr>
          <w:ilvl w:val="0"/>
          <w:numId w:val="3"/>
        </w:numPr>
        <w:spacing w:after="120" w:line="276" w:lineRule="auto"/>
        <w:ind w:left="991" w:hanging="357"/>
        <w:jc w:val="both"/>
        <w:rPr>
          <w:rFonts w:ascii="Palatino Linotype" w:hAnsi="Palatino Linotype" w:cs="Arial"/>
          <w:bCs/>
          <w:i/>
          <w:sz w:val="22"/>
          <w:szCs w:val="22"/>
        </w:rPr>
      </w:pPr>
      <w:r w:rsidRPr="00641EB2">
        <w:rPr>
          <w:rFonts w:ascii="Palatino Linotype" w:hAnsi="Palatino Linotype" w:cs="Arial"/>
          <w:bCs/>
          <w:i/>
          <w:sz w:val="22"/>
          <w:szCs w:val="22"/>
        </w:rPr>
        <w:t>En el proyecto de regularización se debe respetar la normativa vigente de las Ordenanzas Metropolitanas de: aprobación de los Planes Metropolitanos de Desarrollo y Ordenamiento Territorial, (PMOT), Uso y Ocupación del Suelo, (PUOS) y Régimen Administrativo del Suelo en el D.M.Q.</w:t>
      </w:r>
    </w:p>
    <w:p w:rsidR="00E64141" w:rsidRPr="00641EB2" w:rsidRDefault="00E64141" w:rsidP="00641EB2">
      <w:pPr>
        <w:pStyle w:val="Prrafodelista"/>
        <w:numPr>
          <w:ilvl w:val="0"/>
          <w:numId w:val="13"/>
        </w:numPr>
        <w:spacing w:after="120" w:line="276" w:lineRule="auto"/>
        <w:ind w:left="992"/>
        <w:jc w:val="both"/>
        <w:rPr>
          <w:rFonts w:ascii="Palatino Linotype" w:hAnsi="Palatino Linotype" w:cs="Arial"/>
          <w:bCs/>
          <w:i/>
          <w:sz w:val="22"/>
          <w:szCs w:val="22"/>
        </w:rPr>
      </w:pPr>
      <w:r w:rsidRPr="00641EB2">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641EB2">
        <w:rPr>
          <w:rFonts w:ascii="Palatino Linotype" w:hAnsi="Palatino Linotype" w:cs="Arial"/>
          <w:bCs/>
          <w:i/>
          <w:sz w:val="22"/>
          <w:szCs w:val="22"/>
        </w:rPr>
        <w:t>.</w:t>
      </w:r>
    </w:p>
    <w:p w:rsidR="00E64141" w:rsidRPr="00641EB2" w:rsidRDefault="00E64141" w:rsidP="00641EB2">
      <w:pPr>
        <w:pStyle w:val="Prrafodelista"/>
        <w:numPr>
          <w:ilvl w:val="0"/>
          <w:numId w:val="13"/>
        </w:numPr>
        <w:spacing w:after="120" w:line="276" w:lineRule="auto"/>
        <w:ind w:left="992"/>
        <w:jc w:val="both"/>
        <w:rPr>
          <w:rFonts w:ascii="Palatino Linotype" w:hAnsi="Palatino Linotype" w:cstheme="minorHAnsi"/>
          <w:bCs/>
          <w:i/>
          <w:sz w:val="22"/>
          <w:szCs w:val="22"/>
        </w:rPr>
      </w:pPr>
      <w:r w:rsidRPr="00641EB2">
        <w:rPr>
          <w:rFonts w:ascii="Palatino Linotype" w:hAnsi="Palatino Linotype" w:cstheme="minorHAnsi"/>
          <w:bCs/>
          <w:i/>
          <w:sz w:val="22"/>
          <w:szCs w:val="22"/>
        </w:rPr>
        <w:t xml:space="preserve">La Unidad Especial Regula Tu Barrio deberá comunicar a la comunidad del AHHYC </w:t>
      </w:r>
      <w:r w:rsidRPr="00641EB2">
        <w:rPr>
          <w:rFonts w:ascii="Palatino Linotype" w:hAnsi="Palatino Linotype"/>
          <w:i/>
          <w:sz w:val="22"/>
          <w:szCs w:val="22"/>
        </w:rPr>
        <w:t xml:space="preserve">“San Carlos de </w:t>
      </w:r>
      <w:proofErr w:type="spellStart"/>
      <w:r w:rsidRPr="00641EB2">
        <w:rPr>
          <w:rFonts w:ascii="Palatino Linotype" w:hAnsi="Palatino Linotype"/>
          <w:i/>
          <w:sz w:val="22"/>
          <w:szCs w:val="22"/>
        </w:rPr>
        <w:t>Alangasí</w:t>
      </w:r>
      <w:proofErr w:type="spellEnd"/>
      <w:r w:rsidRPr="00641EB2">
        <w:rPr>
          <w:rFonts w:ascii="Palatino Linotype" w:hAnsi="Palatino Linotype"/>
          <w:i/>
          <w:sz w:val="22"/>
          <w:szCs w:val="22"/>
        </w:rPr>
        <w:t xml:space="preserve"> I Etapa”</w:t>
      </w:r>
      <w:r w:rsidRPr="00641EB2">
        <w:rPr>
          <w:rFonts w:ascii="Palatino Linotype" w:hAnsi="Palatino Linotype" w:cstheme="minorHAnsi"/>
          <w:bCs/>
          <w:i/>
          <w:sz w:val="22"/>
          <w:szCs w:val="22"/>
        </w:rPr>
        <w:t xml:space="preserve"> lo descrito en el presente informe, especialmente la </w:t>
      </w:r>
      <w:r w:rsidRPr="00641EB2">
        <w:rPr>
          <w:rFonts w:ascii="Palatino Linotype" w:hAnsi="Palatino Linotype" w:cstheme="minorHAnsi"/>
          <w:bCs/>
          <w:i/>
          <w:sz w:val="22"/>
          <w:szCs w:val="22"/>
        </w:rPr>
        <w:lastRenderedPageBreak/>
        <w:t>calificación del riesgo ante las diferentes amenazas analizadas y las respectivas recomendaciones técnicas.”</w:t>
      </w:r>
    </w:p>
    <w:p w:rsidR="00E64141" w:rsidRPr="00641EB2" w:rsidRDefault="00E64141" w:rsidP="00641EB2">
      <w:pPr>
        <w:spacing w:after="120" w:line="276" w:lineRule="auto"/>
        <w:ind w:left="708"/>
        <w:jc w:val="both"/>
        <w:rPr>
          <w:rFonts w:ascii="Palatino Linotype" w:hAnsi="Palatino Linotype" w:cs="Arial"/>
          <w:bCs/>
          <w:i/>
          <w:sz w:val="22"/>
          <w:szCs w:val="22"/>
        </w:rPr>
      </w:pPr>
      <w:r w:rsidRPr="00641EB2">
        <w:rPr>
          <w:rFonts w:ascii="Palatino Linotype" w:hAnsi="Palatino Linotype" w:cs="Arial"/>
          <w:bCs/>
          <w:i/>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Secretaria de Seguridad y Gobernabilidad, que señalan las amenazas de origen natural o antrópico que pueden generar distintos de riesgo que condicionen o limiten el aprovechamiento o utilización del su</w:t>
      </w:r>
      <w:r w:rsidR="00641EB2">
        <w:rPr>
          <w:rFonts w:ascii="Palatino Linotype" w:hAnsi="Palatino Linotype" w:cs="Arial"/>
          <w:bCs/>
          <w:i/>
          <w:sz w:val="22"/>
          <w:szCs w:val="22"/>
        </w:rPr>
        <w:t>elo según sus vulnerabilidades.”</w:t>
      </w:r>
    </w:p>
    <w:p w:rsidR="00E64141" w:rsidRPr="00F96622" w:rsidRDefault="00E64141" w:rsidP="00E64141">
      <w:pPr>
        <w:spacing w:after="120" w:line="276" w:lineRule="auto"/>
        <w:jc w:val="both"/>
        <w:rPr>
          <w:rFonts w:ascii="Palatino Linotype" w:hAnsi="Palatino Linotype"/>
          <w:bCs/>
          <w:sz w:val="22"/>
          <w:szCs w:val="22"/>
        </w:rPr>
      </w:pPr>
      <w:r w:rsidRPr="00F96622">
        <w:rPr>
          <w:rFonts w:ascii="Palatino Linotype" w:hAnsi="Palatino Linotype"/>
          <w:b/>
          <w:color w:val="000000" w:themeColor="text1"/>
          <w:sz w:val="22"/>
          <w:szCs w:val="22"/>
        </w:rPr>
        <w:t xml:space="preserve">Artículo 7.- </w:t>
      </w:r>
      <w:r w:rsidRPr="00F96622">
        <w:rPr>
          <w:rFonts w:ascii="Palatino Linotype" w:hAnsi="Palatino Linotype"/>
          <w:bCs/>
          <w:sz w:val="22"/>
          <w:szCs w:val="22"/>
        </w:rPr>
        <w:t xml:space="preserve"> Sustitúyase el artículo 6 de la Ordenanza No. 130, sancionada el 21 de octubre de 2011, por el siguiente texto:</w:t>
      </w:r>
    </w:p>
    <w:p w:rsidR="00E64141" w:rsidRPr="00F96622" w:rsidRDefault="00E64141" w:rsidP="00641EB2">
      <w:pPr>
        <w:spacing w:after="120" w:line="276" w:lineRule="auto"/>
        <w:ind w:left="708"/>
        <w:jc w:val="both"/>
        <w:rPr>
          <w:rFonts w:ascii="Palatino Linotype" w:hAnsi="Palatino Linotype"/>
          <w:i/>
          <w:color w:val="000000" w:themeColor="text1"/>
          <w:sz w:val="22"/>
          <w:szCs w:val="22"/>
        </w:rPr>
      </w:pPr>
      <w:r w:rsidRPr="00F96622">
        <w:rPr>
          <w:rFonts w:ascii="Palatino Linotype" w:hAnsi="Palatino Linotype"/>
          <w:b/>
          <w:bCs/>
          <w:i/>
          <w:color w:val="000000" w:themeColor="text1"/>
          <w:sz w:val="22"/>
          <w:szCs w:val="22"/>
        </w:rPr>
        <w:t>“</w:t>
      </w:r>
      <w:r w:rsidR="00641EB2">
        <w:rPr>
          <w:rFonts w:ascii="Palatino Linotype" w:hAnsi="Palatino Linotype"/>
          <w:b/>
          <w:bCs/>
          <w:i/>
          <w:color w:val="000000" w:themeColor="text1"/>
          <w:sz w:val="22"/>
          <w:szCs w:val="22"/>
        </w:rPr>
        <w:t>Artículo 6.- De los p</w:t>
      </w:r>
      <w:r w:rsidRPr="00F96622">
        <w:rPr>
          <w:rFonts w:ascii="Palatino Linotype" w:hAnsi="Palatino Linotype"/>
          <w:b/>
          <w:bCs/>
          <w:i/>
          <w:color w:val="000000" w:themeColor="text1"/>
          <w:sz w:val="22"/>
          <w:szCs w:val="22"/>
        </w:rPr>
        <w:t xml:space="preserve">asajes.- </w:t>
      </w:r>
      <w:r w:rsidRPr="00F96622">
        <w:rPr>
          <w:rFonts w:ascii="Palatino Linotype" w:hAnsi="Palatino Linotype"/>
          <w:bCs/>
          <w:i/>
          <w:color w:val="000000" w:themeColor="text1"/>
          <w:sz w:val="22"/>
          <w:szCs w:val="22"/>
        </w:rPr>
        <w:t>El</w:t>
      </w:r>
      <w:r w:rsidRPr="00F96622">
        <w:rPr>
          <w:rFonts w:ascii="Palatino Linotype" w:hAnsi="Palatino Linotype"/>
          <w:b/>
          <w:bCs/>
          <w:i/>
          <w:color w:val="000000" w:themeColor="text1"/>
          <w:sz w:val="22"/>
          <w:szCs w:val="22"/>
        </w:rPr>
        <w:t xml:space="preserve"> </w:t>
      </w:r>
      <w:r w:rsidRPr="00F96622">
        <w:rPr>
          <w:rFonts w:ascii="Palatino Linotype" w:hAnsi="Palatino Linotype"/>
          <w:i/>
          <w:sz w:val="22"/>
          <w:szCs w:val="22"/>
        </w:rPr>
        <w:t xml:space="preserve">Asentamiento Humano de Hecho y Consolidado de interés social denominado  “San Carlos de </w:t>
      </w:r>
      <w:proofErr w:type="spellStart"/>
      <w:r w:rsidRPr="00F96622">
        <w:rPr>
          <w:rFonts w:ascii="Palatino Linotype" w:hAnsi="Palatino Linotype"/>
          <w:i/>
          <w:sz w:val="22"/>
          <w:szCs w:val="22"/>
        </w:rPr>
        <w:t>Alangasí</w:t>
      </w:r>
      <w:proofErr w:type="spellEnd"/>
      <w:r w:rsidRPr="00F96622">
        <w:rPr>
          <w:rFonts w:ascii="Palatino Linotype" w:hAnsi="Palatino Linotype"/>
          <w:i/>
          <w:sz w:val="22"/>
          <w:szCs w:val="22"/>
        </w:rPr>
        <w:t xml:space="preserve"> Primera Etapa”, </w:t>
      </w:r>
      <w:r w:rsidRPr="00F96622">
        <w:rPr>
          <w:rFonts w:ascii="Palatino Linotype" w:hAnsi="Palatino Linotype"/>
          <w:i/>
          <w:color w:val="000000" w:themeColor="text1"/>
          <w:sz w:val="22"/>
          <w:szCs w:val="22"/>
        </w:rPr>
        <w:t>contempla un sistema vial de uso público, debido a que éste es un asentamiento humano de hecho y consolidado de interés social  de 53 años de existencia, con 78</w:t>
      </w:r>
      <w:r w:rsidR="00641EB2">
        <w:rPr>
          <w:rFonts w:ascii="Palatino Linotype" w:hAnsi="Palatino Linotype"/>
          <w:i/>
          <w:color w:val="000000" w:themeColor="text1"/>
          <w:sz w:val="22"/>
          <w:szCs w:val="22"/>
        </w:rPr>
        <w:t>,</w:t>
      </w:r>
      <w:r w:rsidRPr="00F96622">
        <w:rPr>
          <w:rFonts w:ascii="Palatino Linotype" w:hAnsi="Palatino Linotype"/>
          <w:i/>
          <w:color w:val="000000" w:themeColor="text1"/>
          <w:sz w:val="22"/>
          <w:szCs w:val="22"/>
        </w:rPr>
        <w:t xml:space="preserve">57% de consolidación de viviendas y se encuentra ejecutando obras de infraestructura, los anchos viales se sujetarán </w:t>
      </w:r>
      <w:r w:rsidR="00641EB2">
        <w:rPr>
          <w:rFonts w:ascii="Palatino Linotype" w:hAnsi="Palatino Linotype"/>
          <w:i/>
          <w:color w:val="000000" w:themeColor="text1"/>
          <w:sz w:val="22"/>
          <w:szCs w:val="22"/>
        </w:rPr>
        <w:t>al plano adjunto a la presente o</w:t>
      </w:r>
      <w:r w:rsidRPr="00F96622">
        <w:rPr>
          <w:rFonts w:ascii="Palatino Linotype" w:hAnsi="Palatino Linotype"/>
          <w:i/>
          <w:color w:val="000000" w:themeColor="text1"/>
          <w:sz w:val="22"/>
          <w:szCs w:val="22"/>
        </w:rPr>
        <w:t xml:space="preserve">rdenanza. </w:t>
      </w:r>
    </w:p>
    <w:p w:rsidR="00641EB2" w:rsidRDefault="00E64141" w:rsidP="00641EB2">
      <w:pPr>
        <w:spacing w:after="120" w:line="276" w:lineRule="auto"/>
        <w:ind w:left="708"/>
        <w:rPr>
          <w:rFonts w:ascii="Palatino Linotype" w:hAnsi="Palatino Linotype"/>
          <w:i/>
          <w:color w:val="000000" w:themeColor="text1"/>
          <w:sz w:val="22"/>
          <w:szCs w:val="22"/>
        </w:rPr>
      </w:pPr>
      <w:r w:rsidRPr="00F96622">
        <w:rPr>
          <w:rFonts w:ascii="Palatino Linotype" w:hAnsi="Palatino Linotype"/>
          <w:i/>
          <w:color w:val="000000" w:themeColor="text1"/>
          <w:sz w:val="22"/>
          <w:szCs w:val="22"/>
        </w:rPr>
        <w:t>Se aprueban los pasajes con los siguientes anchos:</w:t>
      </w:r>
    </w:p>
    <w:p w:rsidR="00641EB2" w:rsidRDefault="00E64141" w:rsidP="00641EB2">
      <w:pPr>
        <w:spacing w:after="120" w:line="276" w:lineRule="auto"/>
        <w:ind w:left="708"/>
        <w:rPr>
          <w:rFonts w:ascii="Palatino Linotype" w:hAnsi="Palatino Linotype"/>
          <w:i/>
          <w:color w:val="000000" w:themeColor="text1"/>
          <w:sz w:val="22"/>
          <w:szCs w:val="22"/>
        </w:rPr>
      </w:pPr>
      <w:r w:rsidRPr="00F96622">
        <w:rPr>
          <w:rFonts w:ascii="Palatino Linotype" w:hAnsi="Palatino Linotype"/>
          <w:i/>
          <w:color w:val="000000" w:themeColor="text1"/>
          <w:sz w:val="22"/>
          <w:szCs w:val="22"/>
          <w:lang w:val="es-EC"/>
        </w:rPr>
        <w:t>Pasaje Los Pingüinos                                             4.00m.</w:t>
      </w:r>
    </w:p>
    <w:p w:rsidR="00E64141" w:rsidRPr="00641EB2" w:rsidRDefault="00E64141" w:rsidP="00641EB2">
      <w:pPr>
        <w:spacing w:after="120" w:line="276" w:lineRule="auto"/>
        <w:ind w:left="708"/>
        <w:rPr>
          <w:rFonts w:ascii="Palatino Linotype" w:hAnsi="Palatino Linotype"/>
          <w:i/>
          <w:color w:val="000000" w:themeColor="text1"/>
          <w:sz w:val="22"/>
          <w:szCs w:val="22"/>
        </w:rPr>
      </w:pPr>
      <w:r w:rsidRPr="00F96622">
        <w:rPr>
          <w:rFonts w:ascii="Palatino Linotype" w:hAnsi="Palatino Linotype"/>
          <w:i/>
          <w:color w:val="000000" w:themeColor="text1"/>
          <w:sz w:val="22"/>
          <w:szCs w:val="22"/>
          <w:lang w:val="es-EC"/>
        </w:rPr>
        <w:t>Pasaje Oe10B                                                         3.85m.</w:t>
      </w:r>
    </w:p>
    <w:p w:rsidR="00E64141" w:rsidRPr="00F96622" w:rsidRDefault="00E64141" w:rsidP="00641EB2">
      <w:pPr>
        <w:spacing w:after="120" w:line="276" w:lineRule="auto"/>
        <w:ind w:left="708"/>
        <w:jc w:val="both"/>
        <w:rPr>
          <w:rFonts w:ascii="Palatino Linotype" w:hAnsi="Palatino Linotype"/>
          <w:i/>
          <w:color w:val="000000" w:themeColor="text1"/>
          <w:sz w:val="22"/>
          <w:szCs w:val="22"/>
          <w:lang w:val="es-EC"/>
        </w:rPr>
      </w:pPr>
      <w:r w:rsidRPr="00F96622">
        <w:rPr>
          <w:rFonts w:ascii="Palatino Linotype" w:hAnsi="Palatino Linotype"/>
          <w:i/>
          <w:color w:val="000000" w:themeColor="text1"/>
          <w:sz w:val="22"/>
          <w:szCs w:val="22"/>
          <w:lang w:val="es-EC"/>
        </w:rPr>
        <w:t xml:space="preserve">Pasaje Oe10                                                           4.00m. </w:t>
      </w:r>
    </w:p>
    <w:p w:rsidR="00E64141" w:rsidRPr="00F96622" w:rsidRDefault="00E64141" w:rsidP="00641EB2">
      <w:pPr>
        <w:spacing w:after="120" w:line="276" w:lineRule="auto"/>
        <w:ind w:left="708"/>
        <w:jc w:val="both"/>
        <w:rPr>
          <w:rFonts w:ascii="Palatino Linotype" w:hAnsi="Palatino Linotype"/>
          <w:i/>
          <w:color w:val="000000" w:themeColor="text1"/>
          <w:sz w:val="22"/>
          <w:szCs w:val="22"/>
          <w:lang w:val="es-EC"/>
        </w:rPr>
      </w:pPr>
      <w:r w:rsidRPr="00F96622">
        <w:rPr>
          <w:rFonts w:ascii="Palatino Linotype" w:hAnsi="Palatino Linotype"/>
          <w:i/>
          <w:color w:val="000000" w:themeColor="text1"/>
          <w:sz w:val="22"/>
          <w:szCs w:val="22"/>
          <w:lang w:val="es-EC"/>
        </w:rPr>
        <w:t>Pasaje Oe9G                                                          4.00m.”</w:t>
      </w:r>
    </w:p>
    <w:p w:rsidR="00E64141" w:rsidRPr="00F96622" w:rsidRDefault="00E64141" w:rsidP="00E64141">
      <w:pPr>
        <w:spacing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8.- </w:t>
      </w:r>
      <w:r w:rsidRPr="00F96622">
        <w:rPr>
          <w:rFonts w:ascii="Palatino Linotype" w:hAnsi="Palatino Linotype"/>
          <w:bCs/>
          <w:sz w:val="22"/>
          <w:szCs w:val="22"/>
        </w:rPr>
        <w:t>Sustitúyase el artículo 8 de la Ordenanza No. 130, sancionada el 21 de octubre de 2011, por el siguiente texto:</w:t>
      </w:r>
    </w:p>
    <w:p w:rsidR="00E64141" w:rsidRPr="00F96622" w:rsidRDefault="00E64141" w:rsidP="00641EB2">
      <w:pPr>
        <w:spacing w:after="120" w:line="276" w:lineRule="auto"/>
        <w:ind w:left="708"/>
        <w:jc w:val="both"/>
        <w:rPr>
          <w:rFonts w:ascii="Palatino Linotype" w:hAnsi="Palatino Linotype"/>
          <w:i/>
          <w:sz w:val="22"/>
          <w:szCs w:val="22"/>
          <w:lang w:val="es-EC"/>
        </w:rPr>
      </w:pPr>
      <w:r w:rsidRPr="00F96622">
        <w:rPr>
          <w:rFonts w:ascii="Palatino Linotype" w:hAnsi="Palatino Linotype"/>
          <w:b/>
          <w:bCs/>
          <w:i/>
          <w:sz w:val="22"/>
          <w:szCs w:val="22"/>
        </w:rPr>
        <w:t>“Articulo 8.- Del plazo de ejecución de las obras.-</w:t>
      </w:r>
      <w:r w:rsidRPr="00F96622">
        <w:rPr>
          <w:rFonts w:ascii="Palatino Linotype" w:hAnsi="Palatino Linotype"/>
          <w:i/>
          <w:sz w:val="22"/>
          <w:szCs w:val="22"/>
        </w:rPr>
        <w:t xml:space="preserve"> </w:t>
      </w:r>
      <w:r w:rsidRPr="00F96622">
        <w:rPr>
          <w:rFonts w:ascii="Palatino Linotype" w:hAnsi="Palatino Linotype"/>
          <w:i/>
          <w:sz w:val="22"/>
          <w:szCs w:val="22"/>
          <w:lang w:val="es-EC"/>
        </w:rPr>
        <w:t xml:space="preserve">El plazo de ejecución de la totalidad de las obras civiles y de infraestructura, será de cuatro (4) años, </w:t>
      </w:r>
      <w:r w:rsidRPr="00F96622">
        <w:rPr>
          <w:rFonts w:ascii="Palatino Linotype" w:hAnsi="Palatino Linotype"/>
          <w:i/>
          <w:iCs/>
          <w:sz w:val="22"/>
          <w:szCs w:val="22"/>
        </w:rPr>
        <w:t xml:space="preserve">de conformidad al cronograma de obras presentado por </w:t>
      </w:r>
      <w:r w:rsidRPr="00F96622">
        <w:rPr>
          <w:rFonts w:ascii="Palatino Linotype" w:hAnsi="Palatino Linotype"/>
          <w:i/>
          <w:color w:val="0D0D0D"/>
          <w:sz w:val="22"/>
          <w:szCs w:val="22"/>
        </w:rPr>
        <w:t xml:space="preserve">los copropietarios  del inmueble donde se ubica </w:t>
      </w:r>
      <w:r w:rsidRPr="00F96622">
        <w:rPr>
          <w:rFonts w:ascii="Palatino Linotype" w:hAnsi="Palatino Linotype"/>
          <w:bCs/>
          <w:i/>
          <w:sz w:val="22"/>
          <w:szCs w:val="22"/>
        </w:rPr>
        <w:t xml:space="preserve"> </w:t>
      </w:r>
      <w:r w:rsidRPr="00F96622">
        <w:rPr>
          <w:rFonts w:ascii="Palatino Linotype" w:hAnsi="Palatino Linotype"/>
          <w:i/>
          <w:sz w:val="22"/>
          <w:szCs w:val="22"/>
        </w:rPr>
        <w:t xml:space="preserve">Asentamiento Humano de Hecho y Consolidado de interés social, </w:t>
      </w:r>
      <w:r w:rsidRPr="00F96622">
        <w:rPr>
          <w:rFonts w:ascii="Palatino Linotype" w:hAnsi="Palatino Linotype"/>
          <w:i/>
          <w:iCs/>
          <w:sz w:val="22"/>
          <w:szCs w:val="22"/>
        </w:rPr>
        <w:t>plazo que se contará a partir de la fecha de inscripción de la presente Ordenanza en el Registro de la Propiedad del Distrito Metropolitano de Quito.</w:t>
      </w:r>
    </w:p>
    <w:p w:rsidR="00E64141" w:rsidRPr="00F96622" w:rsidRDefault="00E64141" w:rsidP="00641EB2">
      <w:pPr>
        <w:spacing w:after="120" w:line="276" w:lineRule="auto"/>
        <w:ind w:left="708"/>
        <w:jc w:val="both"/>
        <w:rPr>
          <w:rFonts w:ascii="Palatino Linotype" w:hAnsi="Palatino Linotype"/>
          <w:i/>
          <w:iCs/>
          <w:sz w:val="22"/>
          <w:szCs w:val="22"/>
        </w:rPr>
      </w:pPr>
      <w:r w:rsidRPr="00F96622">
        <w:rPr>
          <w:rFonts w:ascii="Palatino Linotype" w:hAnsi="Palatino Linotype"/>
          <w:i/>
          <w:iCs/>
          <w:sz w:val="22"/>
          <w:szCs w:val="22"/>
        </w:rPr>
        <w:t>Cuando las obras se ejecutaren por autogestión de los copropietarios del inmueble donde se ubica el asentamiento, el valor por contribución especial a mejoras se establecerá de conformidad con la ley.”</w:t>
      </w:r>
    </w:p>
    <w:p w:rsidR="00E64141" w:rsidRPr="00F96622" w:rsidRDefault="00E64141" w:rsidP="00E64141">
      <w:pPr>
        <w:shd w:val="clear" w:color="auto" w:fill="FFFFFF"/>
        <w:spacing w:after="120" w:line="276" w:lineRule="auto"/>
        <w:jc w:val="both"/>
        <w:rPr>
          <w:rFonts w:ascii="Palatino Linotype" w:hAnsi="Palatino Linotype"/>
          <w:b/>
          <w:sz w:val="22"/>
          <w:szCs w:val="22"/>
          <w:lang w:val="es-EC"/>
        </w:rPr>
      </w:pPr>
      <w:r w:rsidRPr="00F96622">
        <w:rPr>
          <w:rFonts w:ascii="Palatino Linotype" w:hAnsi="Palatino Linotype"/>
          <w:b/>
          <w:bCs/>
          <w:sz w:val="22"/>
          <w:szCs w:val="22"/>
        </w:rPr>
        <w:lastRenderedPageBreak/>
        <w:t xml:space="preserve">Artículo 9.- </w:t>
      </w:r>
      <w:r w:rsidRPr="00F96622">
        <w:rPr>
          <w:rFonts w:ascii="Palatino Linotype" w:hAnsi="Palatino Linotype"/>
          <w:bCs/>
          <w:sz w:val="22"/>
          <w:szCs w:val="22"/>
        </w:rPr>
        <w:t>Sustitúyase en el artículo 9 de la Ordenanza No. 130, sancionada el 21 de octubre de 2011, las palabras “de urbanización” por las palabras “</w:t>
      </w:r>
      <w:r w:rsidRPr="00F96622">
        <w:rPr>
          <w:rFonts w:ascii="Palatino Linotype" w:hAnsi="Palatino Linotype"/>
          <w:bCs/>
          <w:i/>
          <w:sz w:val="22"/>
          <w:szCs w:val="22"/>
        </w:rPr>
        <w:t>civiles e infraestructura”</w:t>
      </w:r>
      <w:r w:rsidRPr="00F96622">
        <w:rPr>
          <w:rFonts w:ascii="Palatino Linotype" w:hAnsi="Palatino Linotype"/>
          <w:i/>
          <w:iCs/>
          <w:sz w:val="22"/>
          <w:szCs w:val="22"/>
        </w:rPr>
        <w:t>.</w:t>
      </w:r>
      <w:r w:rsidRPr="00F96622">
        <w:rPr>
          <w:rFonts w:ascii="Palatino Linotype" w:hAnsi="Palatino Linotype"/>
          <w:b/>
          <w:sz w:val="22"/>
          <w:szCs w:val="22"/>
          <w:lang w:val="es-EC"/>
        </w:rPr>
        <w:t xml:space="preserve"> </w:t>
      </w:r>
    </w:p>
    <w:p w:rsidR="00E64141" w:rsidRPr="00F96622" w:rsidRDefault="00E64141" w:rsidP="00E64141">
      <w:pPr>
        <w:shd w:val="clear" w:color="auto" w:fill="FFFFFF"/>
        <w:spacing w:after="120" w:line="276" w:lineRule="auto"/>
        <w:jc w:val="both"/>
        <w:rPr>
          <w:rFonts w:ascii="Palatino Linotype" w:hAnsi="Palatino Linotype"/>
          <w:sz w:val="22"/>
          <w:szCs w:val="22"/>
          <w:lang w:val="es-EC"/>
        </w:rPr>
      </w:pPr>
      <w:r w:rsidRPr="00F96622">
        <w:rPr>
          <w:rFonts w:ascii="Palatino Linotype" w:hAnsi="Palatino Linotype"/>
          <w:b/>
          <w:bCs/>
          <w:sz w:val="22"/>
          <w:szCs w:val="22"/>
        </w:rPr>
        <w:t>Artículo</w:t>
      </w:r>
      <w:r w:rsidRPr="00F96622">
        <w:rPr>
          <w:rFonts w:ascii="Palatino Linotype" w:hAnsi="Palatino Linotype"/>
          <w:b/>
          <w:sz w:val="22"/>
          <w:szCs w:val="22"/>
          <w:lang w:val="es-EC"/>
        </w:rPr>
        <w:t xml:space="preserve"> 10.-</w:t>
      </w:r>
      <w:r w:rsidR="00641EB2">
        <w:rPr>
          <w:rFonts w:ascii="Palatino Linotype" w:hAnsi="Palatino Linotype"/>
          <w:sz w:val="22"/>
          <w:szCs w:val="22"/>
          <w:lang w:val="es-EC"/>
        </w:rPr>
        <w:t xml:space="preserve"> Sustitúyase el artículo 10 </w:t>
      </w:r>
      <w:r w:rsidRPr="00F96622">
        <w:rPr>
          <w:rFonts w:ascii="Palatino Linotype" w:hAnsi="Palatino Linotype"/>
          <w:sz w:val="22"/>
          <w:szCs w:val="22"/>
          <w:lang w:val="es-EC"/>
        </w:rPr>
        <w:t xml:space="preserve">de la Ordenanza </w:t>
      </w:r>
      <w:r w:rsidRPr="00F96622">
        <w:rPr>
          <w:rFonts w:ascii="Palatino Linotype" w:hAnsi="Palatino Linotype"/>
          <w:bCs/>
          <w:sz w:val="22"/>
          <w:szCs w:val="22"/>
        </w:rPr>
        <w:t xml:space="preserve">No. 130, sancionada el 21 de octubre de 2011, </w:t>
      </w:r>
      <w:r w:rsidRPr="00F96622">
        <w:rPr>
          <w:rFonts w:ascii="Palatino Linotype" w:hAnsi="Palatino Linotype"/>
          <w:sz w:val="22"/>
          <w:szCs w:val="22"/>
          <w:lang w:val="es-EC"/>
        </w:rPr>
        <w:t xml:space="preserve">con el siguiente texto: </w:t>
      </w:r>
    </w:p>
    <w:p w:rsidR="00E64141" w:rsidRPr="00F96622" w:rsidRDefault="00E64141" w:rsidP="00641EB2">
      <w:pPr>
        <w:shd w:val="clear" w:color="auto" w:fill="FFFFFF"/>
        <w:spacing w:after="120" w:line="276" w:lineRule="auto"/>
        <w:ind w:left="708"/>
        <w:jc w:val="both"/>
        <w:rPr>
          <w:rFonts w:ascii="Palatino Linotype" w:hAnsi="Palatino Linotype"/>
          <w:bCs/>
          <w:i/>
          <w:color w:val="000000"/>
          <w:sz w:val="22"/>
          <w:szCs w:val="22"/>
        </w:rPr>
      </w:pPr>
      <w:r w:rsidRPr="00F96622">
        <w:rPr>
          <w:rFonts w:ascii="Palatino Linotype" w:hAnsi="Palatino Linotype"/>
          <w:b/>
          <w:i/>
          <w:sz w:val="22"/>
          <w:szCs w:val="22"/>
          <w:lang w:val="es-EC"/>
        </w:rPr>
        <w:t>“Artículo 10.- De la multa por retraso de ejecución de obras.-</w:t>
      </w:r>
      <w:r w:rsidRPr="00F96622">
        <w:rPr>
          <w:rFonts w:ascii="Palatino Linotype" w:hAnsi="Palatino Linotype"/>
          <w:b/>
          <w:bCs/>
          <w:i/>
          <w:sz w:val="22"/>
          <w:szCs w:val="22"/>
          <w:lang w:val="es-ES_tradnl"/>
        </w:rPr>
        <w:t xml:space="preserve"> </w:t>
      </w:r>
      <w:r w:rsidRPr="00F96622">
        <w:rPr>
          <w:rFonts w:ascii="Palatino Linotype" w:hAnsi="Palatino Linotype"/>
          <w:i/>
          <w:sz w:val="22"/>
          <w:szCs w:val="22"/>
          <w:lang w:val="es-ES_tradnl"/>
        </w:rPr>
        <w:t>En caso de retraso en la ejecución de las obras civiles y de infraestructura,</w:t>
      </w:r>
      <w:r w:rsidRPr="00F96622">
        <w:rPr>
          <w:rFonts w:ascii="Palatino Linotype" w:hAnsi="Palatino Linotype"/>
          <w:i/>
          <w:color w:val="0D0D0D"/>
          <w:sz w:val="22"/>
          <w:szCs w:val="22"/>
        </w:rPr>
        <w:t xml:space="preserve"> los copropietarios del inmueble sobre el cual se ubica el</w:t>
      </w:r>
      <w:r w:rsidRPr="00F96622">
        <w:rPr>
          <w:rFonts w:ascii="Palatino Linotype" w:hAnsi="Palatino Linotype"/>
          <w:bCs/>
          <w:i/>
          <w:sz w:val="22"/>
          <w:szCs w:val="22"/>
        </w:rPr>
        <w:t xml:space="preserve"> </w:t>
      </w:r>
      <w:r w:rsidRPr="00F96622">
        <w:rPr>
          <w:rFonts w:ascii="Palatino Linotype" w:hAnsi="Palatino Linotype"/>
          <w:i/>
          <w:sz w:val="22"/>
          <w:szCs w:val="22"/>
        </w:rPr>
        <w:t xml:space="preserve">Asentamiento Humano de Hecho y Consolidado de interés social denominado  “San Carlos de </w:t>
      </w:r>
      <w:proofErr w:type="spellStart"/>
      <w:r w:rsidRPr="00F96622">
        <w:rPr>
          <w:rFonts w:ascii="Palatino Linotype" w:hAnsi="Palatino Linotype"/>
          <w:i/>
          <w:sz w:val="22"/>
          <w:szCs w:val="22"/>
        </w:rPr>
        <w:t>Alangasí</w:t>
      </w:r>
      <w:proofErr w:type="spellEnd"/>
      <w:r w:rsidRPr="00F96622">
        <w:rPr>
          <w:rFonts w:ascii="Palatino Linotype" w:hAnsi="Palatino Linotype"/>
          <w:i/>
          <w:sz w:val="22"/>
          <w:szCs w:val="22"/>
        </w:rPr>
        <w:t xml:space="preserve"> Primera Etapa”,  </w:t>
      </w:r>
      <w:r w:rsidRPr="00F96622">
        <w:rPr>
          <w:rFonts w:ascii="Palatino Linotype" w:hAnsi="Palatino Linotype"/>
          <w:bCs/>
          <w:i/>
          <w:color w:val="000000"/>
          <w:sz w:val="22"/>
          <w:szCs w:val="22"/>
        </w:rPr>
        <w:t>se sujetarán a las sanciones contempladas en el Ordenamiento Jurídico Nacional y Metropolitano.”</w:t>
      </w:r>
    </w:p>
    <w:p w:rsidR="00E64141" w:rsidRPr="00F96622" w:rsidRDefault="00E64141" w:rsidP="00E64141">
      <w:pPr>
        <w:spacing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11.- </w:t>
      </w:r>
      <w:r w:rsidRPr="00F96622">
        <w:rPr>
          <w:rFonts w:ascii="Palatino Linotype" w:hAnsi="Palatino Linotype"/>
          <w:bCs/>
          <w:sz w:val="22"/>
          <w:szCs w:val="22"/>
        </w:rPr>
        <w:t>Elimínese</w:t>
      </w:r>
      <w:r w:rsidRPr="00F96622">
        <w:rPr>
          <w:rFonts w:ascii="Palatino Linotype" w:hAnsi="Palatino Linotype"/>
          <w:b/>
          <w:bCs/>
          <w:sz w:val="22"/>
          <w:szCs w:val="22"/>
        </w:rPr>
        <w:t xml:space="preserve"> </w:t>
      </w:r>
      <w:r w:rsidR="00641EB2">
        <w:rPr>
          <w:rFonts w:ascii="Palatino Linotype" w:hAnsi="Palatino Linotype"/>
          <w:bCs/>
          <w:sz w:val="22"/>
          <w:szCs w:val="22"/>
        </w:rPr>
        <w:t>en el artículo 11</w:t>
      </w:r>
      <w:r w:rsidRPr="00F96622">
        <w:rPr>
          <w:rFonts w:ascii="Palatino Linotype" w:hAnsi="Palatino Linotype"/>
          <w:bCs/>
          <w:sz w:val="22"/>
          <w:szCs w:val="22"/>
        </w:rPr>
        <w:t xml:space="preserve"> de la Ordenanza No. 130, sancionada el 21 de octubre de 2011, el siguiente texto: “</w:t>
      </w:r>
      <w:r w:rsidRPr="00F96622">
        <w:rPr>
          <w:rFonts w:ascii="Palatino Linotype" w:hAnsi="Palatino Linotype"/>
          <w:bCs/>
          <w:i/>
          <w:sz w:val="22"/>
          <w:szCs w:val="22"/>
        </w:rPr>
        <w:t>según el listado que consta en el plano adjunto a esta Ordenanza</w:t>
      </w:r>
      <w:r w:rsidRPr="00F96622">
        <w:rPr>
          <w:rFonts w:ascii="Palatino Linotype" w:hAnsi="Palatino Linotype"/>
          <w:bCs/>
          <w:sz w:val="22"/>
          <w:szCs w:val="22"/>
        </w:rPr>
        <w:t>”</w:t>
      </w:r>
    </w:p>
    <w:p w:rsidR="00641EB2" w:rsidRDefault="00E64141" w:rsidP="00641EB2">
      <w:pPr>
        <w:spacing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12.- </w:t>
      </w:r>
      <w:r w:rsidRPr="00F96622">
        <w:rPr>
          <w:rFonts w:ascii="Palatino Linotype" w:hAnsi="Palatino Linotype"/>
          <w:bCs/>
          <w:sz w:val="22"/>
          <w:szCs w:val="22"/>
        </w:rPr>
        <w:t>Sustitúyase el artículo 12 de la Ordenanza No. 130, sancionada el 21 de octubre de 2011, por el siguiente texto:</w:t>
      </w:r>
    </w:p>
    <w:p w:rsidR="00E64141" w:rsidRPr="00641EB2" w:rsidRDefault="00E64141" w:rsidP="00641EB2">
      <w:pPr>
        <w:spacing w:after="120" w:line="276" w:lineRule="auto"/>
        <w:ind w:left="708"/>
        <w:jc w:val="both"/>
        <w:rPr>
          <w:rFonts w:ascii="Palatino Linotype" w:hAnsi="Palatino Linotype"/>
          <w:bCs/>
          <w:sz w:val="22"/>
          <w:szCs w:val="22"/>
        </w:rPr>
      </w:pPr>
      <w:r w:rsidRPr="00F96622">
        <w:rPr>
          <w:rFonts w:ascii="Palatino Linotype" w:hAnsi="Palatino Linotype"/>
          <w:b/>
          <w:bCs/>
          <w:i/>
          <w:sz w:val="22"/>
          <w:szCs w:val="22"/>
        </w:rPr>
        <w:t xml:space="preserve">“Artículo 12.- </w:t>
      </w:r>
      <w:r w:rsidRPr="00F96622">
        <w:rPr>
          <w:rFonts w:ascii="Palatino Linotype" w:hAnsi="Palatino Linotype"/>
          <w:b/>
          <w:bCs/>
          <w:i/>
          <w:sz w:val="22"/>
          <w:szCs w:val="22"/>
          <w:lang w:val="es-ES_tradnl"/>
        </w:rPr>
        <w:t xml:space="preserve">De la </w:t>
      </w:r>
      <w:r w:rsidR="00641EB2" w:rsidRPr="00F96622">
        <w:rPr>
          <w:rFonts w:ascii="Palatino Linotype" w:hAnsi="Palatino Linotype"/>
          <w:b/>
          <w:bCs/>
          <w:i/>
          <w:sz w:val="22"/>
          <w:szCs w:val="22"/>
          <w:lang w:val="es-ES_tradnl"/>
        </w:rPr>
        <w:t>protocolización e inscripción de la ordenanza</w:t>
      </w:r>
      <w:r w:rsidR="00641EB2">
        <w:rPr>
          <w:rFonts w:ascii="Palatino Linotype" w:hAnsi="Palatino Linotype"/>
          <w:b/>
          <w:bCs/>
          <w:i/>
          <w:sz w:val="22"/>
          <w:szCs w:val="22"/>
          <w:lang w:val="es-ES_tradnl"/>
        </w:rPr>
        <w:t>.-</w:t>
      </w:r>
      <w:r w:rsidRPr="00F96622">
        <w:rPr>
          <w:rFonts w:ascii="Palatino Linotype" w:hAnsi="Palatino Linotype"/>
          <w:b/>
          <w:bCs/>
          <w:i/>
          <w:sz w:val="22"/>
          <w:szCs w:val="22"/>
          <w:lang w:val="es-ES_tradnl"/>
        </w:rPr>
        <w:t xml:space="preserve"> </w:t>
      </w:r>
      <w:r w:rsidRPr="00F96622">
        <w:rPr>
          <w:rFonts w:ascii="Palatino Linotype" w:hAnsi="Palatino Linotype"/>
          <w:i/>
          <w:sz w:val="22"/>
          <w:szCs w:val="22"/>
          <w:lang w:val="es-EC"/>
        </w:rPr>
        <w:t xml:space="preserve">Los copropietarios del predio del </w:t>
      </w:r>
      <w:r w:rsidRPr="00F96622">
        <w:rPr>
          <w:rFonts w:ascii="Palatino Linotype" w:hAnsi="Palatino Linotype"/>
          <w:i/>
          <w:sz w:val="22"/>
          <w:szCs w:val="22"/>
        </w:rPr>
        <w:t xml:space="preserve">Asentamiento Humano de Hecho y Consolidado de interés social denominado  “San Carlos de </w:t>
      </w:r>
      <w:proofErr w:type="spellStart"/>
      <w:r w:rsidRPr="00F96622">
        <w:rPr>
          <w:rFonts w:ascii="Palatino Linotype" w:hAnsi="Palatino Linotype"/>
          <w:i/>
          <w:sz w:val="22"/>
          <w:szCs w:val="22"/>
        </w:rPr>
        <w:t>Alangasí</w:t>
      </w:r>
      <w:proofErr w:type="spellEnd"/>
      <w:r w:rsidRPr="00F96622">
        <w:rPr>
          <w:rFonts w:ascii="Palatino Linotype" w:hAnsi="Palatino Linotype"/>
          <w:i/>
          <w:sz w:val="22"/>
          <w:szCs w:val="22"/>
        </w:rPr>
        <w:t xml:space="preserve"> Primera Etapa”, </w:t>
      </w:r>
      <w:r w:rsidRPr="00F96622">
        <w:rPr>
          <w:rFonts w:ascii="Palatino Linotype" w:hAnsi="Palatino Linotype"/>
          <w:i/>
          <w:sz w:val="22"/>
          <w:szCs w:val="22"/>
          <w:lang w:val="es-ES_tradnl"/>
        </w:rPr>
        <w:t xml:space="preserve">deberán </w:t>
      </w:r>
      <w:r w:rsidRPr="00F96622">
        <w:rPr>
          <w:rFonts w:ascii="Palatino Linotype" w:hAnsi="Palatino Linotype"/>
          <w:i/>
          <w:sz w:val="22"/>
          <w:szCs w:val="22"/>
          <w:lang w:val="es-EC"/>
        </w:rPr>
        <w:t xml:space="preserve">protocolizar la presente Ordenanza ante Notario Público e inscribirla en el Registro de la Propiedad del Distrito Metropolitano de Quito, </w:t>
      </w:r>
      <w:r w:rsidRPr="00F96622">
        <w:rPr>
          <w:rFonts w:ascii="Palatino Linotype" w:hAnsi="Palatino Linotype"/>
          <w:i/>
          <w:sz w:val="22"/>
          <w:szCs w:val="22"/>
          <w:lang w:val="es-ES_tradnl"/>
        </w:rPr>
        <w:t>con todos sus documentos habilitantes</w:t>
      </w:r>
      <w:r w:rsidRPr="00F96622">
        <w:rPr>
          <w:rFonts w:ascii="Palatino Linotype" w:hAnsi="Palatino Linotype"/>
          <w:i/>
          <w:sz w:val="22"/>
          <w:szCs w:val="22"/>
          <w:lang w:val="es-EC"/>
        </w:rPr>
        <w:t>.</w:t>
      </w:r>
    </w:p>
    <w:p w:rsidR="00E64141" w:rsidRPr="00F96622" w:rsidRDefault="00E64141" w:rsidP="00641EB2">
      <w:pPr>
        <w:spacing w:after="120" w:line="276" w:lineRule="auto"/>
        <w:ind w:left="708"/>
        <w:jc w:val="both"/>
        <w:rPr>
          <w:rFonts w:ascii="Palatino Linotype" w:hAnsi="Palatino Linotype"/>
          <w:bCs/>
          <w:i/>
          <w:sz w:val="22"/>
          <w:szCs w:val="22"/>
          <w:lang w:val="es-ES_tradnl"/>
        </w:rPr>
      </w:pPr>
      <w:r w:rsidRPr="00F96622">
        <w:rPr>
          <w:rFonts w:ascii="Palatino Linotype" w:hAnsi="Palatino Linotype"/>
          <w:bCs/>
          <w:i/>
          <w:sz w:val="22"/>
          <w:szCs w:val="22"/>
          <w:lang w:val="es-ES_tradnl"/>
        </w:rPr>
        <w:t>En caso no legalizar la presente ordenanza, ésta caducará conforme lo determinado en la normativa nacional vigente.</w:t>
      </w:r>
    </w:p>
    <w:p w:rsidR="00E64141" w:rsidRPr="00F96622" w:rsidRDefault="00E64141" w:rsidP="00641EB2">
      <w:pPr>
        <w:spacing w:after="120" w:line="276" w:lineRule="auto"/>
        <w:ind w:left="708"/>
        <w:jc w:val="both"/>
        <w:rPr>
          <w:rFonts w:ascii="Palatino Linotype" w:hAnsi="Palatino Linotype"/>
          <w:i/>
          <w:sz w:val="22"/>
          <w:szCs w:val="22"/>
          <w:lang w:val="es-ES_tradnl"/>
        </w:rPr>
      </w:pPr>
      <w:r w:rsidRPr="00F96622">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E64141" w:rsidRPr="00F96622" w:rsidRDefault="00E64141" w:rsidP="00E64141">
      <w:pPr>
        <w:spacing w:after="120" w:line="276" w:lineRule="auto"/>
        <w:jc w:val="both"/>
        <w:rPr>
          <w:rFonts w:ascii="Palatino Linotype" w:hAnsi="Palatino Linotype"/>
          <w:sz w:val="22"/>
          <w:szCs w:val="22"/>
          <w:lang w:val="es-EC"/>
        </w:rPr>
      </w:pPr>
      <w:r w:rsidRPr="00F96622">
        <w:rPr>
          <w:rFonts w:ascii="Palatino Linotype" w:hAnsi="Palatino Linotype"/>
          <w:b/>
          <w:bCs/>
          <w:sz w:val="22"/>
          <w:szCs w:val="22"/>
        </w:rPr>
        <w:t xml:space="preserve">Artículo 13.- </w:t>
      </w:r>
      <w:r w:rsidRPr="00F96622">
        <w:rPr>
          <w:rFonts w:ascii="Palatino Linotype" w:hAnsi="Palatino Linotype"/>
          <w:sz w:val="22"/>
          <w:szCs w:val="22"/>
          <w:lang w:val="es-EC"/>
        </w:rPr>
        <w:t xml:space="preserve">Inclúyase un artículo </w:t>
      </w:r>
      <w:proofErr w:type="spellStart"/>
      <w:r w:rsidRPr="00F96622">
        <w:rPr>
          <w:rFonts w:ascii="Palatino Linotype" w:hAnsi="Palatino Linotype"/>
          <w:sz w:val="22"/>
          <w:szCs w:val="22"/>
          <w:lang w:val="es-EC"/>
        </w:rPr>
        <w:t>innumerado</w:t>
      </w:r>
      <w:proofErr w:type="spellEnd"/>
      <w:r w:rsidR="00641EB2">
        <w:rPr>
          <w:rFonts w:ascii="Palatino Linotype" w:hAnsi="Palatino Linotype"/>
          <w:sz w:val="22"/>
          <w:szCs w:val="22"/>
          <w:lang w:val="es-EC"/>
        </w:rPr>
        <w:t xml:space="preserve"> después </w:t>
      </w:r>
      <w:r w:rsidRPr="00F96622">
        <w:rPr>
          <w:rFonts w:ascii="Palatino Linotype" w:hAnsi="Palatino Linotype"/>
          <w:sz w:val="22"/>
          <w:szCs w:val="22"/>
          <w:lang w:val="es-EC"/>
        </w:rPr>
        <w:t xml:space="preserve">del artículo 12 de la </w:t>
      </w:r>
      <w:r w:rsidRPr="00F96622">
        <w:rPr>
          <w:rFonts w:ascii="Palatino Linotype" w:hAnsi="Palatino Linotype"/>
          <w:bCs/>
          <w:sz w:val="22"/>
          <w:szCs w:val="22"/>
        </w:rPr>
        <w:t xml:space="preserve">Ordenanza No. 130, sancionada el 21 de octubre de 2011, </w:t>
      </w:r>
      <w:r w:rsidRPr="00F96622">
        <w:rPr>
          <w:rFonts w:ascii="Palatino Linotype" w:hAnsi="Palatino Linotype"/>
          <w:sz w:val="22"/>
          <w:szCs w:val="22"/>
          <w:lang w:val="es-EC"/>
        </w:rPr>
        <w:t xml:space="preserve">con el siguiente texto: </w:t>
      </w:r>
    </w:p>
    <w:p w:rsidR="00E64141" w:rsidRPr="00F96622" w:rsidRDefault="00E64141" w:rsidP="00641EB2">
      <w:pPr>
        <w:spacing w:after="120" w:line="276" w:lineRule="auto"/>
        <w:ind w:left="708"/>
        <w:jc w:val="both"/>
        <w:rPr>
          <w:rFonts w:ascii="Palatino Linotype" w:hAnsi="Palatino Linotype"/>
          <w:bCs/>
          <w:i/>
          <w:sz w:val="22"/>
          <w:szCs w:val="22"/>
          <w:lang w:val="es-ES_tradnl"/>
        </w:rPr>
      </w:pPr>
      <w:r w:rsidRPr="00F96622">
        <w:rPr>
          <w:rFonts w:ascii="Palatino Linotype" w:hAnsi="Palatino Linotype"/>
          <w:b/>
          <w:bCs/>
          <w:i/>
          <w:sz w:val="22"/>
          <w:szCs w:val="22"/>
          <w:lang w:val="es-EC"/>
        </w:rPr>
        <w:t xml:space="preserve">“Art....- </w:t>
      </w:r>
      <w:r w:rsidRPr="00F96622">
        <w:rPr>
          <w:rFonts w:ascii="Palatino Linotype" w:hAnsi="Palatino Linotype"/>
          <w:b/>
          <w:bCs/>
          <w:i/>
          <w:sz w:val="22"/>
          <w:szCs w:val="22"/>
          <w:lang w:val="es-ES_tradnl"/>
        </w:rPr>
        <w:t xml:space="preserve">Solicitudes de ampliación de plazo.- </w:t>
      </w:r>
      <w:r w:rsidRPr="00F96622">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E64141" w:rsidRPr="00F96622" w:rsidRDefault="00E64141" w:rsidP="00E64141">
      <w:pPr>
        <w:spacing w:after="120" w:line="276" w:lineRule="auto"/>
        <w:jc w:val="both"/>
        <w:rPr>
          <w:rFonts w:ascii="Palatino Linotype" w:hAnsi="Palatino Linotype"/>
          <w:bCs/>
          <w:sz w:val="22"/>
          <w:szCs w:val="22"/>
        </w:rPr>
      </w:pPr>
      <w:r w:rsidRPr="00F96622">
        <w:rPr>
          <w:rFonts w:ascii="Palatino Linotype" w:hAnsi="Palatino Linotype"/>
          <w:b/>
          <w:bCs/>
          <w:sz w:val="22"/>
          <w:szCs w:val="22"/>
        </w:rPr>
        <w:t xml:space="preserve">Artículo 14.- </w:t>
      </w:r>
      <w:r w:rsidRPr="00F96622">
        <w:rPr>
          <w:rFonts w:ascii="Palatino Linotype" w:hAnsi="Palatino Linotype"/>
          <w:bCs/>
          <w:sz w:val="22"/>
          <w:szCs w:val="22"/>
        </w:rPr>
        <w:t>Sustitúyase el artículo 13 de la Ordenanza No. 130, sancionada el 21 de octubre de 2011, por el siguiente texto:</w:t>
      </w:r>
    </w:p>
    <w:p w:rsidR="00E64141" w:rsidRDefault="00E64141" w:rsidP="00641EB2">
      <w:pPr>
        <w:spacing w:after="120" w:line="276" w:lineRule="auto"/>
        <w:ind w:left="708"/>
        <w:jc w:val="both"/>
        <w:rPr>
          <w:rFonts w:ascii="Palatino Linotype" w:hAnsi="Palatino Linotype"/>
          <w:b/>
          <w:sz w:val="22"/>
          <w:szCs w:val="22"/>
          <w:lang w:val="es-ES_tradnl"/>
        </w:rPr>
      </w:pPr>
      <w:r w:rsidRPr="00F96622">
        <w:rPr>
          <w:rFonts w:ascii="Palatino Linotype" w:hAnsi="Palatino Linotype"/>
          <w:b/>
          <w:bCs/>
          <w:sz w:val="22"/>
          <w:szCs w:val="22"/>
        </w:rPr>
        <w:t>“</w:t>
      </w:r>
      <w:r w:rsidRPr="00F96622">
        <w:rPr>
          <w:rFonts w:ascii="Palatino Linotype" w:hAnsi="Palatino Linotype"/>
          <w:b/>
          <w:bCs/>
          <w:i/>
          <w:sz w:val="22"/>
          <w:szCs w:val="22"/>
        </w:rPr>
        <w:t xml:space="preserve">Artículo 13.- </w:t>
      </w:r>
      <w:r w:rsidRPr="00F96622">
        <w:rPr>
          <w:rFonts w:ascii="Palatino Linotype" w:hAnsi="Palatino Linotype"/>
          <w:b/>
          <w:i/>
          <w:sz w:val="22"/>
          <w:szCs w:val="22"/>
          <w:lang w:val="es-ES_tradnl"/>
        </w:rPr>
        <w:t>De la partición y adjudicación.-</w:t>
      </w:r>
      <w:r w:rsidRPr="00F96622">
        <w:rPr>
          <w:rFonts w:ascii="Palatino Linotype" w:hAnsi="Palatino Linotype"/>
          <w:i/>
          <w:sz w:val="22"/>
          <w:szCs w:val="22"/>
          <w:lang w:val="es-ES_tradnl"/>
        </w:rPr>
        <w:t xml:space="preserve"> Se faculta al señor Alcalde para que mediante resolución administrativa, proceda con la partición administrativa </w:t>
      </w:r>
      <w:r w:rsidRPr="00F96622">
        <w:rPr>
          <w:rFonts w:ascii="Palatino Linotype" w:hAnsi="Palatino Linotype"/>
          <w:i/>
          <w:sz w:val="22"/>
          <w:szCs w:val="22"/>
          <w:lang w:val="es-ES_tradnl"/>
        </w:rPr>
        <w:lastRenderedPageBreak/>
        <w:t>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w:t>
      </w:r>
      <w:r w:rsidR="00641EB2">
        <w:rPr>
          <w:rFonts w:ascii="Palatino Linotype" w:hAnsi="Palatino Linotype"/>
          <w:i/>
          <w:sz w:val="22"/>
          <w:szCs w:val="22"/>
          <w:lang w:val="es-ES_tradnl"/>
        </w:rPr>
        <w:t xml:space="preserve"> y resueltas por </w:t>
      </w:r>
      <w:r w:rsidRPr="00F96622">
        <w:rPr>
          <w:rFonts w:ascii="Palatino Linotype" w:hAnsi="Palatino Linotype"/>
          <w:i/>
          <w:sz w:val="22"/>
          <w:szCs w:val="22"/>
          <w:lang w:val="es-ES_tradnl"/>
        </w:rPr>
        <w:t>el juez competente en juicio ordinario.”</w:t>
      </w:r>
      <w:r w:rsidRPr="00F96622">
        <w:rPr>
          <w:rFonts w:ascii="Palatino Linotype" w:hAnsi="Palatino Linotype"/>
          <w:sz w:val="22"/>
          <w:szCs w:val="22"/>
          <w:lang w:val="es-ES_tradnl"/>
        </w:rPr>
        <w:t xml:space="preserve">  </w:t>
      </w:r>
    </w:p>
    <w:p w:rsidR="00280C8E" w:rsidRPr="00C40CC0" w:rsidRDefault="00160923" w:rsidP="00386397">
      <w:pPr>
        <w:spacing w:after="120" w:line="276" w:lineRule="auto"/>
        <w:jc w:val="both"/>
        <w:rPr>
          <w:rFonts w:ascii="Palatino Linotype" w:hAnsi="Palatino Linotype"/>
          <w:i/>
          <w:sz w:val="22"/>
          <w:szCs w:val="22"/>
          <w:lang w:val="es-ES_tradnl"/>
        </w:rPr>
      </w:pPr>
      <w:r w:rsidRPr="00C40CC0">
        <w:rPr>
          <w:rFonts w:ascii="Palatino Linotype" w:hAnsi="Palatino Linotype"/>
          <w:b/>
          <w:sz w:val="22"/>
          <w:szCs w:val="22"/>
          <w:lang w:val="es-ES_tradnl"/>
        </w:rPr>
        <w:t>D</w:t>
      </w:r>
      <w:r w:rsidR="00280C8E" w:rsidRPr="00C40CC0">
        <w:rPr>
          <w:rFonts w:ascii="Palatino Linotype" w:hAnsi="Palatino Linotype"/>
          <w:b/>
          <w:sz w:val="22"/>
          <w:szCs w:val="22"/>
          <w:lang w:val="es-ES_tradnl"/>
        </w:rPr>
        <w:t xml:space="preserve">isposición </w:t>
      </w:r>
      <w:r w:rsidR="002E19B1" w:rsidRPr="00C40CC0">
        <w:rPr>
          <w:rFonts w:ascii="Palatino Linotype" w:hAnsi="Palatino Linotype"/>
          <w:b/>
          <w:sz w:val="22"/>
          <w:szCs w:val="22"/>
          <w:lang w:val="es-ES_tradnl"/>
        </w:rPr>
        <w:t>f</w:t>
      </w:r>
      <w:r w:rsidR="00280C8E" w:rsidRPr="00C40CC0">
        <w:rPr>
          <w:rFonts w:ascii="Palatino Linotype" w:hAnsi="Palatino Linotype"/>
          <w:b/>
          <w:sz w:val="22"/>
          <w:szCs w:val="22"/>
          <w:lang w:val="es-ES_tradnl"/>
        </w:rPr>
        <w:t xml:space="preserve">inal.- </w:t>
      </w:r>
      <w:r w:rsidR="00280C8E" w:rsidRPr="00C40C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40CC0" w:rsidRDefault="00AF343E" w:rsidP="00386397">
      <w:pPr>
        <w:spacing w:after="120" w:line="276" w:lineRule="auto"/>
        <w:contextualSpacing/>
        <w:jc w:val="both"/>
        <w:rPr>
          <w:rFonts w:ascii="Palatino Linotype" w:hAnsi="Palatino Linotype"/>
          <w:sz w:val="22"/>
          <w:szCs w:val="22"/>
        </w:rPr>
      </w:pPr>
      <w:r w:rsidRPr="00C40CC0">
        <w:rPr>
          <w:rFonts w:ascii="Palatino Linotype" w:hAnsi="Palatino Linotype"/>
          <w:sz w:val="22"/>
          <w:szCs w:val="22"/>
        </w:rPr>
        <w:t xml:space="preserve">Dada, en la Sala de Sesiones del Concejo Metropolitano de Quito, el </w:t>
      </w:r>
      <w:r w:rsidR="00145835">
        <w:rPr>
          <w:rFonts w:ascii="Palatino Linotype" w:hAnsi="Palatino Linotype"/>
          <w:sz w:val="22"/>
          <w:szCs w:val="22"/>
        </w:rPr>
        <w:t>13</w:t>
      </w:r>
      <w:r w:rsidRPr="00C40CC0">
        <w:rPr>
          <w:rFonts w:ascii="Palatino Linotype" w:hAnsi="Palatino Linotype"/>
          <w:sz w:val="22"/>
          <w:szCs w:val="22"/>
        </w:rPr>
        <w:t xml:space="preserve"> de </w:t>
      </w:r>
      <w:r w:rsidR="00145835">
        <w:rPr>
          <w:rFonts w:ascii="Palatino Linotype" w:hAnsi="Palatino Linotype"/>
          <w:sz w:val="22"/>
          <w:szCs w:val="22"/>
        </w:rPr>
        <w:t xml:space="preserve">noviembre </w:t>
      </w:r>
      <w:r w:rsidRPr="00C40CC0">
        <w:rPr>
          <w:rFonts w:ascii="Palatino Linotype" w:hAnsi="Palatino Linotype"/>
          <w:sz w:val="22"/>
          <w:szCs w:val="22"/>
        </w:rPr>
        <w:t>de 2018.</w:t>
      </w:r>
    </w:p>
    <w:p w:rsidR="00AF343E" w:rsidRPr="00C40CC0" w:rsidRDefault="00AF343E" w:rsidP="00AF343E">
      <w:pPr>
        <w:spacing w:after="240"/>
        <w:contextualSpacing/>
        <w:jc w:val="both"/>
        <w:rPr>
          <w:rFonts w:ascii="Palatino Linotype" w:hAnsi="Palatino Linotype"/>
          <w:sz w:val="22"/>
          <w:szCs w:val="22"/>
        </w:rPr>
      </w:pPr>
    </w:p>
    <w:p w:rsidR="009868C3" w:rsidRPr="00C40CC0" w:rsidRDefault="009868C3" w:rsidP="00AF343E">
      <w:pPr>
        <w:spacing w:after="240"/>
        <w:contextualSpacing/>
        <w:jc w:val="both"/>
        <w:rPr>
          <w:rFonts w:ascii="Palatino Linotype" w:hAnsi="Palatino Linotype"/>
          <w:sz w:val="22"/>
          <w:szCs w:val="22"/>
        </w:rPr>
      </w:pPr>
    </w:p>
    <w:p w:rsidR="00AF343E" w:rsidRPr="00C40CC0" w:rsidRDefault="00AF343E" w:rsidP="00AF343E">
      <w:pPr>
        <w:pStyle w:val="Textopredeterminado"/>
        <w:shd w:val="clear" w:color="auto" w:fill="FFFFFF"/>
        <w:jc w:val="both"/>
        <w:rPr>
          <w:rFonts w:ascii="Palatino Linotype" w:hAnsi="Palatino Linotype"/>
          <w:sz w:val="22"/>
          <w:szCs w:val="22"/>
          <w:lang w:val="es-ES"/>
        </w:rPr>
      </w:pPr>
    </w:p>
    <w:p w:rsidR="00F112F0" w:rsidRPr="00C40CC0" w:rsidRDefault="00F112F0" w:rsidP="00F112F0">
      <w:pPr>
        <w:pStyle w:val="Textosinformato"/>
        <w:jc w:val="center"/>
        <w:rPr>
          <w:rFonts w:ascii="Palatino Linotype" w:eastAsia="MS Mincho" w:hAnsi="Palatino Linotype"/>
          <w:sz w:val="22"/>
          <w:szCs w:val="22"/>
          <w:lang w:val="es-EC"/>
        </w:rPr>
      </w:pPr>
      <w:r w:rsidRPr="00C40CC0">
        <w:rPr>
          <w:rFonts w:ascii="Palatino Linotype" w:eastAsia="MS Mincho" w:hAnsi="Palatino Linotype"/>
          <w:sz w:val="22"/>
          <w:szCs w:val="22"/>
          <w:lang w:val="es-EC"/>
        </w:rPr>
        <w:t xml:space="preserve">Abg. </w:t>
      </w:r>
      <w:r w:rsidR="002E19B1" w:rsidRPr="00C40CC0">
        <w:rPr>
          <w:rFonts w:ascii="Palatino Linotype" w:eastAsia="MS Mincho" w:hAnsi="Palatino Linotype"/>
          <w:sz w:val="22"/>
          <w:szCs w:val="22"/>
          <w:lang w:val="es-EC"/>
        </w:rPr>
        <w:t>Diego Cevallos Salgado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SECRETARIO GENERAL DEL CONCEJO METROPOLITANO DE QUITO</w:t>
      </w:r>
    </w:p>
    <w:p w:rsidR="009868C3" w:rsidRPr="00C40CC0" w:rsidRDefault="009868C3" w:rsidP="00AF343E">
      <w:pPr>
        <w:pStyle w:val="Textopredeterminado"/>
        <w:shd w:val="clear" w:color="auto" w:fill="FFFFFF"/>
        <w:jc w:val="both"/>
        <w:rPr>
          <w:rFonts w:ascii="Palatino Linotype" w:hAnsi="Palatino Linotype"/>
          <w:sz w:val="22"/>
          <w:szCs w:val="22"/>
          <w:lang w:val="es-ES"/>
        </w:rPr>
      </w:pPr>
    </w:p>
    <w:p w:rsidR="00AF343E" w:rsidRPr="00C40C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0CC0">
        <w:rPr>
          <w:rFonts w:ascii="Palatino Linotype" w:eastAsia="MS Mincho" w:hAnsi="Palatino Linotype"/>
          <w:b/>
          <w:bCs/>
          <w:sz w:val="22"/>
          <w:szCs w:val="22"/>
        </w:rPr>
        <w:t>CERTIFICADO DE DISCUSIÓN</w:t>
      </w:r>
    </w:p>
    <w:p w:rsidR="00AF343E" w:rsidRPr="00C40CC0" w:rsidRDefault="00AF343E" w:rsidP="00AF343E">
      <w:pPr>
        <w:pStyle w:val="Textosinformato"/>
        <w:spacing w:line="276" w:lineRule="auto"/>
        <w:jc w:val="both"/>
        <w:rPr>
          <w:rFonts w:ascii="Palatino Linotype" w:eastAsia="MS Mincho" w:hAnsi="Palatino Linotype"/>
          <w:sz w:val="22"/>
          <w:szCs w:val="22"/>
        </w:rPr>
      </w:pPr>
    </w:p>
    <w:p w:rsidR="00AF343E" w:rsidRPr="00C40CC0" w:rsidRDefault="00AF343E" w:rsidP="00AF343E">
      <w:pPr>
        <w:pStyle w:val="Textosinformato"/>
        <w:jc w:val="both"/>
        <w:rPr>
          <w:rFonts w:ascii="Palatino Linotype" w:eastAsia="MS Mincho" w:hAnsi="Palatino Linotype"/>
          <w:sz w:val="22"/>
          <w:szCs w:val="22"/>
          <w:lang w:val="es-EC"/>
        </w:rPr>
      </w:pPr>
      <w:r w:rsidRPr="00C40CC0">
        <w:rPr>
          <w:rFonts w:ascii="Palatino Linotype" w:eastAsia="MS Mincho" w:hAnsi="Palatino Linotype"/>
          <w:sz w:val="22"/>
          <w:szCs w:val="22"/>
          <w:lang w:val="es-EC"/>
        </w:rPr>
        <w:t>El inf</w:t>
      </w:r>
      <w:r w:rsidR="00F112F0" w:rsidRPr="00C40CC0">
        <w:rPr>
          <w:rFonts w:ascii="Palatino Linotype" w:eastAsia="MS Mincho" w:hAnsi="Palatino Linotype"/>
          <w:sz w:val="22"/>
          <w:szCs w:val="22"/>
          <w:lang w:val="es-EC"/>
        </w:rPr>
        <w:t xml:space="preserve">rascrito Secretario General </w:t>
      </w:r>
      <w:r w:rsidRPr="00C40CC0">
        <w:rPr>
          <w:rFonts w:ascii="Palatino Linotype" w:eastAsia="MS Mincho" w:hAnsi="Palatino Linotype"/>
          <w:sz w:val="22"/>
          <w:szCs w:val="22"/>
          <w:lang w:val="es-EC"/>
        </w:rPr>
        <w:t>del Concejo Metropolitano de Quito, certifica que la presente ordenanza fue discutida y aprobada e</w:t>
      </w:r>
      <w:r w:rsidR="002E19B1" w:rsidRPr="00C40CC0">
        <w:rPr>
          <w:rFonts w:ascii="Palatino Linotype" w:eastAsia="MS Mincho" w:hAnsi="Palatino Linotype"/>
          <w:sz w:val="22"/>
          <w:szCs w:val="22"/>
          <w:lang w:val="es-EC"/>
        </w:rPr>
        <w:t xml:space="preserve">n dos debates, en sesiones de </w:t>
      </w:r>
      <w:r w:rsidR="00540D68" w:rsidRPr="00C40CC0">
        <w:rPr>
          <w:rFonts w:ascii="Palatino Linotype" w:eastAsia="MS Mincho" w:hAnsi="Palatino Linotype"/>
          <w:sz w:val="22"/>
          <w:szCs w:val="22"/>
          <w:lang w:val="es-EC"/>
        </w:rPr>
        <w:t>1</w:t>
      </w:r>
      <w:r w:rsidR="00145835">
        <w:rPr>
          <w:rFonts w:ascii="Palatino Linotype" w:eastAsia="MS Mincho" w:hAnsi="Palatino Linotype"/>
          <w:sz w:val="22"/>
          <w:szCs w:val="22"/>
          <w:lang w:val="es-EC"/>
        </w:rPr>
        <w:t>0</w:t>
      </w:r>
      <w:r w:rsidR="009451C2" w:rsidRPr="00C40CC0">
        <w:rPr>
          <w:rFonts w:ascii="Palatino Linotype" w:eastAsia="MS Mincho" w:hAnsi="Palatino Linotype"/>
          <w:sz w:val="22"/>
          <w:szCs w:val="22"/>
          <w:lang w:val="es-EC"/>
        </w:rPr>
        <w:t xml:space="preserve"> </w:t>
      </w:r>
      <w:r w:rsidRPr="00C40CC0">
        <w:rPr>
          <w:rFonts w:ascii="Palatino Linotype" w:eastAsia="MS Mincho" w:hAnsi="Palatino Linotype"/>
          <w:sz w:val="22"/>
          <w:szCs w:val="22"/>
          <w:lang w:val="es-EC"/>
        </w:rPr>
        <w:t xml:space="preserve">de </w:t>
      </w:r>
      <w:r w:rsidR="00145835">
        <w:rPr>
          <w:rFonts w:ascii="Palatino Linotype" w:eastAsia="MS Mincho" w:hAnsi="Palatino Linotype"/>
          <w:sz w:val="22"/>
          <w:szCs w:val="22"/>
          <w:lang w:val="es-EC"/>
        </w:rPr>
        <w:t xml:space="preserve">octubre </w:t>
      </w:r>
      <w:r w:rsidRPr="00C40CC0">
        <w:rPr>
          <w:rFonts w:ascii="Palatino Linotype" w:eastAsia="MS Mincho" w:hAnsi="Palatino Linotype"/>
          <w:sz w:val="22"/>
          <w:szCs w:val="22"/>
          <w:lang w:val="es-EC"/>
        </w:rPr>
        <w:t xml:space="preserve">y </w:t>
      </w:r>
      <w:r w:rsidR="002E19B1" w:rsidRPr="00C40CC0">
        <w:rPr>
          <w:rFonts w:ascii="Palatino Linotype" w:eastAsia="MS Mincho" w:hAnsi="Palatino Linotype"/>
          <w:sz w:val="22"/>
          <w:szCs w:val="22"/>
          <w:lang w:val="es-EC"/>
        </w:rPr>
        <w:t>1</w:t>
      </w:r>
      <w:r w:rsidR="00145835">
        <w:rPr>
          <w:rFonts w:ascii="Palatino Linotype" w:eastAsia="MS Mincho" w:hAnsi="Palatino Linotype"/>
          <w:sz w:val="22"/>
          <w:szCs w:val="22"/>
          <w:lang w:val="es-EC"/>
        </w:rPr>
        <w:t>3</w:t>
      </w:r>
      <w:r w:rsidRPr="00C40CC0">
        <w:rPr>
          <w:rFonts w:ascii="Palatino Linotype" w:eastAsia="MS Mincho" w:hAnsi="Palatino Linotype"/>
          <w:sz w:val="22"/>
          <w:szCs w:val="22"/>
          <w:lang w:val="es-EC"/>
        </w:rPr>
        <w:t xml:space="preserve"> de </w:t>
      </w:r>
      <w:r w:rsidR="00145835">
        <w:rPr>
          <w:rFonts w:ascii="Palatino Linotype" w:eastAsia="MS Mincho" w:hAnsi="Palatino Linotype"/>
          <w:sz w:val="22"/>
          <w:szCs w:val="22"/>
          <w:lang w:val="es-EC"/>
        </w:rPr>
        <w:t xml:space="preserve">noviembre </w:t>
      </w:r>
      <w:r w:rsidRPr="00C40CC0">
        <w:rPr>
          <w:rFonts w:ascii="Palatino Linotype" w:eastAsia="MS Mincho" w:hAnsi="Palatino Linotype"/>
          <w:sz w:val="22"/>
          <w:szCs w:val="22"/>
          <w:lang w:val="es-EC"/>
        </w:rPr>
        <w:t>de 2018.- Quito,</w:t>
      </w:r>
    </w:p>
    <w:p w:rsidR="00AF343E" w:rsidRPr="00C40CC0" w:rsidRDefault="00AF343E" w:rsidP="00AF343E">
      <w:pPr>
        <w:pStyle w:val="Textosinformato"/>
        <w:jc w:val="both"/>
        <w:rPr>
          <w:rFonts w:ascii="Palatino Linotype" w:eastAsia="MS Mincho" w:hAnsi="Palatino Linotype"/>
          <w:sz w:val="22"/>
          <w:szCs w:val="22"/>
          <w:lang w:val="es-EC"/>
        </w:rPr>
      </w:pPr>
    </w:p>
    <w:p w:rsidR="00AF343E" w:rsidRPr="00C40CC0" w:rsidRDefault="00AF343E" w:rsidP="00AF343E">
      <w:pPr>
        <w:pStyle w:val="Textosinformato"/>
        <w:jc w:val="both"/>
        <w:rPr>
          <w:rFonts w:ascii="Palatino Linotype" w:eastAsia="MS Mincho" w:hAnsi="Palatino Linotype"/>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r w:rsidRPr="00C40CC0">
        <w:rPr>
          <w:rFonts w:ascii="Palatino Linotype" w:eastAsia="MS Mincho" w:hAnsi="Palatino Linotype"/>
          <w:sz w:val="22"/>
          <w:szCs w:val="22"/>
          <w:lang w:val="es-EC"/>
        </w:rPr>
        <w:t>Abg. Diego Cevallos Salgado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SECRETARIO GENERAL DEL CONCEJO METROPOLITANO DE QUITO</w:t>
      </w:r>
    </w:p>
    <w:p w:rsidR="00F112F0" w:rsidRPr="00C40CC0" w:rsidRDefault="00F112F0" w:rsidP="00F112F0">
      <w:pPr>
        <w:pStyle w:val="Textosinformato"/>
        <w:jc w:val="center"/>
        <w:rPr>
          <w:rFonts w:ascii="Palatino Linotype" w:eastAsia="MS Mincho" w:hAnsi="Palatino Linotype"/>
          <w:b/>
          <w:bCs/>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r w:rsidRPr="00C40CC0">
        <w:rPr>
          <w:rFonts w:ascii="Palatino Linotype" w:eastAsia="MS Mincho" w:hAnsi="Palatino Linotype"/>
          <w:b/>
          <w:bCs/>
          <w:sz w:val="22"/>
          <w:szCs w:val="22"/>
          <w:lang w:val="es-EC"/>
        </w:rPr>
        <w:t>ALCALDÍA DEL DISTRITO METROPOLITANO DE QUITO.-</w:t>
      </w:r>
      <w:r w:rsidRPr="00C40CC0">
        <w:rPr>
          <w:rFonts w:ascii="Palatino Linotype" w:eastAsia="MS Mincho" w:hAnsi="Palatino Linotype"/>
          <w:sz w:val="22"/>
          <w:szCs w:val="22"/>
          <w:lang w:val="es-EC"/>
        </w:rPr>
        <w:t xml:space="preserve"> Distrito Metropolitano de Quito,</w:t>
      </w:r>
    </w:p>
    <w:p w:rsidR="00F112F0" w:rsidRPr="00C40CC0" w:rsidRDefault="00F112F0" w:rsidP="00F112F0">
      <w:pPr>
        <w:pStyle w:val="Textosinformato"/>
        <w:jc w:val="center"/>
        <w:rPr>
          <w:rFonts w:ascii="Palatino Linotype" w:eastAsia="MS Mincho" w:hAnsi="Palatino Linotype"/>
          <w:b/>
          <w:sz w:val="22"/>
          <w:szCs w:val="22"/>
          <w:lang w:val="es-EC"/>
        </w:rPr>
      </w:pPr>
      <w:r w:rsidRPr="00C40CC0">
        <w:rPr>
          <w:rFonts w:ascii="Palatino Linotype" w:eastAsia="MS Mincho" w:hAnsi="Palatino Linotype"/>
          <w:b/>
          <w:sz w:val="22"/>
          <w:szCs w:val="22"/>
          <w:lang w:val="es-EC"/>
        </w:rPr>
        <w:t>EJECÚTESE:</w:t>
      </w:r>
    </w:p>
    <w:p w:rsidR="00F112F0" w:rsidRPr="00C40CC0" w:rsidRDefault="00F112F0" w:rsidP="00F112F0">
      <w:pPr>
        <w:pStyle w:val="Textosinformato"/>
        <w:tabs>
          <w:tab w:val="left" w:pos="2655"/>
        </w:tabs>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641EB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ALCALDE DEL DISTRITO METROPOLITANO DE QUITO</w:t>
      </w:r>
      <w:r w:rsidR="00641EB2">
        <w:rPr>
          <w:rFonts w:ascii="Palatino Linotype" w:eastAsia="MS Mincho" w:hAnsi="Palatino Linotype"/>
          <w:b/>
          <w:bCs/>
          <w:sz w:val="22"/>
          <w:szCs w:val="22"/>
          <w:lang w:val="es-EC"/>
        </w:rPr>
        <w:t xml:space="preserve"> (S)</w:t>
      </w:r>
    </w:p>
    <w:p w:rsidR="00F112F0" w:rsidRPr="00C40CC0" w:rsidRDefault="00F112F0" w:rsidP="00F112F0">
      <w:pPr>
        <w:pStyle w:val="Textosinformato"/>
        <w:jc w:val="both"/>
        <w:rPr>
          <w:rFonts w:ascii="Palatino Linotype" w:eastAsia="MS Mincho" w:hAnsi="Palatino Linotype"/>
          <w:b/>
          <w:bCs/>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r w:rsidRPr="00C40CC0">
        <w:rPr>
          <w:rFonts w:ascii="Palatino Linotype" w:eastAsia="MS Mincho" w:hAnsi="Palatino Linotype"/>
          <w:b/>
          <w:bCs/>
          <w:sz w:val="22"/>
          <w:szCs w:val="22"/>
          <w:lang w:val="es-EC"/>
        </w:rPr>
        <w:lastRenderedPageBreak/>
        <w:t>CERTIFICO,</w:t>
      </w:r>
      <w:r w:rsidRPr="00C40CC0">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40CC0" w:rsidRDefault="00F112F0" w:rsidP="00F112F0">
      <w:pPr>
        <w:pStyle w:val="Textosinformato"/>
        <w:tabs>
          <w:tab w:val="right" w:pos="8504"/>
        </w:tabs>
        <w:jc w:val="both"/>
        <w:rPr>
          <w:rFonts w:ascii="Palatino Linotype" w:eastAsia="MS Mincho" w:hAnsi="Palatino Linotype"/>
          <w:sz w:val="22"/>
          <w:szCs w:val="22"/>
          <w:lang w:val="es-EC"/>
        </w:rPr>
      </w:pPr>
      <w:r w:rsidRPr="00C40CC0">
        <w:rPr>
          <w:rFonts w:ascii="Palatino Linotype" w:eastAsia="MS Mincho" w:hAnsi="Palatino Linotype"/>
          <w:sz w:val="22"/>
          <w:szCs w:val="22"/>
          <w:lang w:val="es-EC"/>
        </w:rPr>
        <w:t>.- Distrito Metropolitano de Quito,</w:t>
      </w: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p>
    <w:p w:rsidR="00F112F0" w:rsidRPr="00C40CC0" w:rsidRDefault="00F112F0" w:rsidP="00F112F0">
      <w:pPr>
        <w:pStyle w:val="Textosinformato"/>
        <w:jc w:val="both"/>
        <w:rPr>
          <w:rFonts w:ascii="Palatino Linotype" w:eastAsia="MS Mincho" w:hAnsi="Palatino Linotype"/>
          <w:sz w:val="22"/>
          <w:szCs w:val="22"/>
          <w:lang w:val="es-EC"/>
        </w:rPr>
      </w:pPr>
    </w:p>
    <w:p w:rsidR="00F112F0" w:rsidRPr="00C40CC0" w:rsidRDefault="00F112F0" w:rsidP="00F112F0">
      <w:pPr>
        <w:pStyle w:val="Textosinformato"/>
        <w:jc w:val="center"/>
        <w:rPr>
          <w:rFonts w:ascii="Palatino Linotype" w:eastAsia="MS Mincho" w:hAnsi="Palatino Linotype"/>
          <w:sz w:val="22"/>
          <w:szCs w:val="22"/>
          <w:lang w:val="es-EC"/>
        </w:rPr>
      </w:pPr>
      <w:r w:rsidRPr="00C40CC0">
        <w:rPr>
          <w:rFonts w:ascii="Palatino Linotype" w:eastAsia="MS Mincho" w:hAnsi="Palatino Linotype"/>
          <w:sz w:val="22"/>
          <w:szCs w:val="22"/>
          <w:lang w:val="es-EC"/>
        </w:rPr>
        <w:t>Abg. Diego Cevallos Salgado</w:t>
      </w:r>
    </w:p>
    <w:p w:rsidR="00F112F0" w:rsidRPr="00C40CC0" w:rsidRDefault="00F112F0" w:rsidP="00F112F0">
      <w:pPr>
        <w:pStyle w:val="Textosinformato"/>
        <w:jc w:val="center"/>
        <w:rPr>
          <w:rFonts w:ascii="Palatino Linotype" w:eastAsia="MS Mincho" w:hAnsi="Palatino Linotype"/>
          <w:b/>
          <w:bCs/>
          <w:sz w:val="22"/>
          <w:szCs w:val="22"/>
          <w:lang w:val="es-EC"/>
        </w:rPr>
      </w:pPr>
      <w:r w:rsidRPr="00C40CC0">
        <w:rPr>
          <w:rFonts w:ascii="Palatino Linotype" w:eastAsia="MS Mincho" w:hAnsi="Palatino Linotype"/>
          <w:b/>
          <w:bCs/>
          <w:sz w:val="22"/>
          <w:szCs w:val="22"/>
          <w:lang w:val="es-EC"/>
        </w:rPr>
        <w:t>SECRETARIO GENERAL DEL CONCEJO METROPOLITANO DE QUITO</w:t>
      </w:r>
    </w:p>
    <w:p w:rsidR="00280C8E" w:rsidRPr="00C40CC0" w:rsidRDefault="00FC3E54" w:rsidP="00FC3E54">
      <w:pPr>
        <w:jc w:val="both"/>
        <w:rPr>
          <w:rFonts w:ascii="Palatino Linotype" w:eastAsia="MS Mincho" w:hAnsi="Palatino Linotype"/>
          <w:sz w:val="21"/>
          <w:szCs w:val="21"/>
        </w:rPr>
      </w:pPr>
      <w:r w:rsidRPr="00C40CC0">
        <w:rPr>
          <w:rFonts w:ascii="Palatino Linotype" w:hAnsi="Palatino Linotype" w:cs="Arial"/>
          <w:sz w:val="16"/>
          <w:szCs w:val="16"/>
          <w:lang w:eastAsia="es-EC"/>
        </w:rPr>
        <w:t>DSCS</w:t>
      </w:r>
      <w:r w:rsidR="00BE247B">
        <w:rPr>
          <w:rFonts w:ascii="Palatino Linotype" w:hAnsi="Palatino Linotype" w:cs="Arial"/>
          <w:sz w:val="16"/>
          <w:szCs w:val="16"/>
          <w:lang w:eastAsia="es-EC"/>
        </w:rPr>
        <w:t xml:space="preserve"> </w:t>
      </w:r>
    </w:p>
    <w:sectPr w:rsidR="00280C8E" w:rsidRPr="00C40CC0"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AF" w:rsidRDefault="00836AAF">
      <w:r>
        <w:separator/>
      </w:r>
    </w:p>
  </w:endnote>
  <w:endnote w:type="continuationSeparator" w:id="0">
    <w:p w:rsidR="00836AAF" w:rsidRDefault="0083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04022">
              <w:rPr>
                <w:rFonts w:ascii="Palatino Linotype" w:hAnsi="Palatino Linotype"/>
                <w:b/>
                <w:bCs/>
                <w:noProof/>
                <w:sz w:val="22"/>
                <w:szCs w:val="22"/>
              </w:rPr>
              <w:t>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145835">
              <w:rPr>
                <w:rFonts w:ascii="Palatino Linotype" w:hAnsi="Palatino Linotype"/>
                <w:b/>
                <w:bCs/>
                <w:sz w:val="22"/>
                <w:szCs w:val="22"/>
              </w:rPr>
              <w:t>2</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104022">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145835">
              <w:rPr>
                <w:rFonts w:ascii="Palatino Linotype" w:hAnsi="Palatino Linotype"/>
                <w:b/>
                <w:bCs/>
                <w:sz w:val="22"/>
                <w:szCs w:val="22"/>
              </w:rPr>
              <w:t>2</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AF" w:rsidRDefault="00836AAF">
      <w:r>
        <w:separator/>
      </w:r>
    </w:p>
  </w:footnote>
  <w:footnote w:type="continuationSeparator" w:id="0">
    <w:p w:rsidR="00836AAF" w:rsidRDefault="0083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47F"/>
    <w:rsid w:val="000E65FF"/>
    <w:rsid w:val="000E698E"/>
    <w:rsid w:val="000F3EEA"/>
    <w:rsid w:val="00100762"/>
    <w:rsid w:val="00100D9A"/>
    <w:rsid w:val="00101BAE"/>
    <w:rsid w:val="00104022"/>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74C76"/>
    <w:rsid w:val="00386397"/>
    <w:rsid w:val="00387FE3"/>
    <w:rsid w:val="00391F73"/>
    <w:rsid w:val="00393369"/>
    <w:rsid w:val="003A1975"/>
    <w:rsid w:val="003C251F"/>
    <w:rsid w:val="003D07F3"/>
    <w:rsid w:val="003D31AF"/>
    <w:rsid w:val="003E1E12"/>
    <w:rsid w:val="003E2E75"/>
    <w:rsid w:val="003E7E18"/>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5E2"/>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36AAF"/>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2CDF"/>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E3C84"/>
    <w:rsid w:val="00DE5D70"/>
    <w:rsid w:val="00DF360F"/>
    <w:rsid w:val="00DF6ACB"/>
    <w:rsid w:val="00E12100"/>
    <w:rsid w:val="00E13A19"/>
    <w:rsid w:val="00E23200"/>
    <w:rsid w:val="00E27DC1"/>
    <w:rsid w:val="00E330BC"/>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E71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A9F5-52B5-43EF-B073-0115CAB1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4187</Words>
  <Characters>23030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2018-11-14T13:34:00Z</cp:lastPrinted>
  <dcterms:created xsi:type="dcterms:W3CDTF">2018-11-14T00:04:00Z</dcterms:created>
  <dcterms:modified xsi:type="dcterms:W3CDTF">2018-11-14T13:34:00Z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