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28" w:rsidRPr="009F70A7" w:rsidRDefault="00361728" w:rsidP="0002561F">
      <w:pPr>
        <w:pStyle w:val="a"/>
        <w:spacing w:after="120" w:line="276" w:lineRule="auto"/>
        <w:rPr>
          <w:rFonts w:ascii="Palatino Linotype" w:hAnsi="Palatino Linotype" w:cs="Times New Roman"/>
          <w:sz w:val="22"/>
          <w:szCs w:val="22"/>
        </w:rPr>
      </w:pPr>
      <w:r w:rsidRPr="009F70A7">
        <w:rPr>
          <w:rFonts w:ascii="Palatino Linotype" w:hAnsi="Palatino Linotype" w:cs="Times New Roman"/>
          <w:sz w:val="22"/>
          <w:szCs w:val="22"/>
        </w:rPr>
        <w:t>EXPOSICIÓN DE MOTIVOS</w:t>
      </w:r>
    </w:p>
    <w:p w:rsidR="006274AF" w:rsidRPr="009F70A7" w:rsidRDefault="006274AF" w:rsidP="006274AF">
      <w:pPr>
        <w:spacing w:after="120" w:line="276" w:lineRule="auto"/>
        <w:ind w:firstLine="709"/>
        <w:jc w:val="both"/>
        <w:rPr>
          <w:rFonts w:ascii="Palatino Linotype" w:hAnsi="Palatino Linotype"/>
          <w:b/>
          <w:sz w:val="22"/>
          <w:szCs w:val="22"/>
        </w:rPr>
      </w:pPr>
      <w:r w:rsidRPr="009F70A7">
        <w:rPr>
          <w:rFonts w:ascii="Palatino Linotype" w:hAnsi="Palatino Linotype"/>
          <w:sz w:val="22"/>
          <w:szCs w:val="22"/>
        </w:rPr>
        <w:t>La Constitución de la República del Ecuador, en su artículo 30, garantiza a las personas el “</w:t>
      </w:r>
      <w:r w:rsidRPr="009F70A7">
        <w:rPr>
          <w:rFonts w:ascii="Palatino Linotype" w:hAnsi="Palatino Linotype"/>
          <w:i/>
          <w:sz w:val="22"/>
          <w:szCs w:val="22"/>
        </w:rPr>
        <w:t>derecho a un hábitat seguro y saludable, y a una vivienda adecuada y digna, con independencia de su situación social y económica</w:t>
      </w:r>
      <w:r w:rsidRPr="009F70A7">
        <w:rPr>
          <w:rFonts w:ascii="Palatino Linotype" w:hAnsi="Palatino Linotype"/>
          <w:sz w:val="22"/>
          <w:szCs w:val="22"/>
        </w:rPr>
        <w:t>”; y, a su vez, establece que los gobiernos autónomos descentralizados municipales tienen</w:t>
      </w:r>
      <w:bookmarkStart w:id="0" w:name="_GoBack"/>
      <w:bookmarkEnd w:id="0"/>
      <w:r w:rsidRPr="009F70A7">
        <w:rPr>
          <w:rFonts w:ascii="Palatino Linotype" w:hAnsi="Palatino Linotype"/>
          <w:sz w:val="22"/>
          <w:szCs w:val="22"/>
        </w:rPr>
        <w:t xml:space="preserve"> la competencia exclusiva para planificar el desarrollo cantonal, así como para ejercer el control sobre el uso y ocupación del suelo en el cantón (artículo 264, numerales 1 y 2). </w:t>
      </w:r>
    </w:p>
    <w:p w:rsidR="003C6C67" w:rsidRPr="009F70A7" w:rsidRDefault="006274AF" w:rsidP="003C6C67">
      <w:pPr>
        <w:spacing w:after="120" w:line="276" w:lineRule="auto"/>
        <w:ind w:firstLine="709"/>
        <w:jc w:val="both"/>
        <w:rPr>
          <w:rFonts w:ascii="Palatino Linotype" w:hAnsi="Palatino Linotype"/>
          <w:sz w:val="22"/>
          <w:szCs w:val="22"/>
        </w:rPr>
      </w:pPr>
      <w:r w:rsidRPr="009F70A7">
        <w:rPr>
          <w:rFonts w:ascii="Palatino Linotype" w:hAnsi="Palatino Linotype"/>
          <w:sz w:val="22"/>
          <w:szCs w:val="22"/>
        </w:rPr>
        <w:t xml:space="preserve">La Administración Municipal, a través de la Unidad Especial Regula Tu Barrio, gestiona procesos tendientes a regularizar </w:t>
      </w:r>
      <w:r w:rsidRPr="009F70A7">
        <w:rPr>
          <w:rFonts w:ascii="Palatino Linotype" w:hAnsi="Palatino Linotype"/>
          <w:bCs/>
          <w:sz w:val="22"/>
          <w:szCs w:val="22"/>
        </w:rPr>
        <w:t xml:space="preserve"> la ocupación informal del suelo</w:t>
      </w:r>
      <w:r w:rsidRPr="009F70A7">
        <w:rPr>
          <w:rFonts w:ascii="Palatino Linotype" w:hAnsi="Palatino Linotype"/>
          <w:sz w:val="22"/>
          <w:szCs w:val="22"/>
        </w:rPr>
        <w:t xml:space="preserv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C6C67" w:rsidRPr="009F70A7" w:rsidRDefault="003C6C67" w:rsidP="003C6C67">
      <w:pPr>
        <w:spacing w:after="120" w:line="276" w:lineRule="auto"/>
        <w:ind w:firstLine="709"/>
        <w:jc w:val="both"/>
        <w:rPr>
          <w:rFonts w:ascii="Palatino Linotype" w:hAnsi="Palatino Linotype"/>
          <w:sz w:val="22"/>
          <w:szCs w:val="22"/>
        </w:rPr>
      </w:pPr>
      <w:r w:rsidRPr="009F70A7">
        <w:rPr>
          <w:rFonts w:ascii="Palatino Linotype" w:hAnsi="Palatino Linotype"/>
          <w:sz w:val="22"/>
          <w:szCs w:val="22"/>
        </w:rPr>
        <w:t xml:space="preserve">El Asentamiento Humano de Hecho y Consolidado de Interés Social denominado Barrio “Valle 4” de San Juan de Calderón, tiene una consolidación del 35.48%, al inicio del proceso de regularización contaba con 8 años de existencia; sin embargo, al momento de la sanción de la presente ordenanza el asentamiento cuenta con 10 años de asentamiento y 124 beneficiarios. </w:t>
      </w:r>
    </w:p>
    <w:p w:rsidR="003C6C67" w:rsidRPr="009F70A7" w:rsidRDefault="003C6C67" w:rsidP="003C6C67">
      <w:pPr>
        <w:spacing w:after="120" w:line="276" w:lineRule="auto"/>
        <w:ind w:firstLine="708"/>
        <w:rPr>
          <w:rFonts w:ascii="Palatino Linotype" w:hAnsi="Palatino Linotype"/>
          <w:b/>
          <w:sz w:val="22"/>
          <w:szCs w:val="22"/>
        </w:rPr>
      </w:pPr>
      <w:r w:rsidRPr="009F70A7">
        <w:rPr>
          <w:rFonts w:ascii="Palatino Linotype" w:hAnsi="Palatino Linotype"/>
          <w:sz w:val="22"/>
          <w:szCs w:val="22"/>
        </w:rPr>
        <w:t>Dicho Asentamiento Humano de Hecho y Consolidado de Interés Social no cuenta con reconocimiento legal por parte de la Municipalidad, por lo que la Unidad Especial Regula Tu Barrio gestionó el proceso destinado a regularizar el mismo, a fin de dotar a la población beneficiaria de servicios básicos; y, a su vez, permitir que los legítimos copropietarios cuenten con el título de dominio que garanticen su propiedad y el ejercicio del derecho a la vivienda, adecuada y digna, conforme lo prevé la Constitución del Ecuador.</w:t>
      </w:r>
    </w:p>
    <w:p w:rsidR="002305D7" w:rsidRPr="009F70A7" w:rsidRDefault="003C6C67" w:rsidP="003C6C67">
      <w:pPr>
        <w:pStyle w:val="Sinespaciado"/>
        <w:spacing w:after="120" w:line="276" w:lineRule="auto"/>
        <w:ind w:firstLine="709"/>
        <w:jc w:val="both"/>
        <w:rPr>
          <w:rFonts w:ascii="Palatino Linotype" w:hAnsi="Palatino Linotype"/>
          <w:b/>
        </w:rPr>
      </w:pPr>
      <w:r w:rsidRPr="009F70A7">
        <w:rPr>
          <w:rFonts w:ascii="Palatino Linotype" w:hAnsi="Palatino Linotype"/>
        </w:rPr>
        <w:t>En este sentido, la presente Ordenanza contiene la normativa tendiente a reconocer el fraccionamiento del predio donde se encuentra el Asentamiento Humano de Hecho y Consolidado de Interés Social denominado Barrio “Valle 4” de San Juan de Calderón, a fin de garantizar a los beneficiarios el ejercicio de su derecho a la vivienda y el acceso a servicios básicos de calidad</w:t>
      </w:r>
      <w:r w:rsidR="002305D7" w:rsidRPr="009F70A7">
        <w:rPr>
          <w:rFonts w:ascii="Palatino Linotype" w:hAnsi="Palatino Linotype"/>
        </w:rPr>
        <w:t>.</w:t>
      </w:r>
    </w:p>
    <w:p w:rsidR="0002561F" w:rsidRPr="009F70A7" w:rsidRDefault="0002561F" w:rsidP="0002561F">
      <w:pPr>
        <w:pStyle w:val="a"/>
        <w:spacing w:after="120" w:line="276" w:lineRule="auto"/>
        <w:ind w:firstLine="708"/>
        <w:jc w:val="both"/>
        <w:rPr>
          <w:rFonts w:ascii="Palatino Linotype" w:hAnsi="Palatino Linotype" w:cs="Times New Roman"/>
          <w:b w:val="0"/>
          <w:sz w:val="22"/>
          <w:szCs w:val="22"/>
        </w:rPr>
        <w:sectPr w:rsidR="0002561F" w:rsidRPr="009F70A7" w:rsidSect="00201283">
          <w:headerReference w:type="default" r:id="rId9"/>
          <w:footerReference w:type="first" r:id="rId10"/>
          <w:pgSz w:w="11906" w:h="16838"/>
          <w:pgMar w:top="3402" w:right="1416" w:bottom="567" w:left="1701" w:header="709" w:footer="70" w:gutter="0"/>
          <w:cols w:space="708"/>
          <w:docGrid w:linePitch="360"/>
        </w:sectPr>
      </w:pPr>
    </w:p>
    <w:p w:rsidR="00361728" w:rsidRPr="009F70A7" w:rsidRDefault="00361728" w:rsidP="0002561F">
      <w:pPr>
        <w:pStyle w:val="a"/>
        <w:spacing w:after="120" w:line="276" w:lineRule="auto"/>
        <w:rPr>
          <w:rFonts w:ascii="Palatino Linotype" w:hAnsi="Palatino Linotype" w:cs="Times New Roman"/>
          <w:sz w:val="22"/>
          <w:szCs w:val="22"/>
        </w:rPr>
      </w:pPr>
      <w:r w:rsidRPr="009F70A7">
        <w:rPr>
          <w:rFonts w:ascii="Palatino Linotype" w:hAnsi="Palatino Linotype" w:cs="Times New Roman"/>
          <w:sz w:val="22"/>
          <w:szCs w:val="22"/>
        </w:rPr>
        <w:lastRenderedPageBreak/>
        <w:t>EL CONCEJO METROPOLITANO DE QUITO</w:t>
      </w:r>
    </w:p>
    <w:p w:rsidR="00361728" w:rsidRPr="009F70A7" w:rsidRDefault="00A45897" w:rsidP="0002561F">
      <w:pPr>
        <w:spacing w:after="120" w:line="276" w:lineRule="auto"/>
        <w:jc w:val="both"/>
        <w:rPr>
          <w:rFonts w:ascii="Palatino Linotype" w:hAnsi="Palatino Linotype"/>
          <w:sz w:val="22"/>
          <w:szCs w:val="22"/>
        </w:rPr>
      </w:pPr>
      <w:r w:rsidRPr="009F70A7">
        <w:rPr>
          <w:rFonts w:ascii="Palatino Linotype" w:hAnsi="Palatino Linotype"/>
          <w:sz w:val="22"/>
          <w:szCs w:val="22"/>
        </w:rPr>
        <w:t xml:space="preserve">Vistos los </w:t>
      </w:r>
      <w:r w:rsidR="00361728" w:rsidRPr="009F70A7">
        <w:rPr>
          <w:rFonts w:ascii="Palatino Linotype" w:hAnsi="Palatino Linotype"/>
          <w:sz w:val="22"/>
          <w:szCs w:val="22"/>
        </w:rPr>
        <w:t>Informe</w:t>
      </w:r>
      <w:r w:rsidRPr="009F70A7">
        <w:rPr>
          <w:rFonts w:ascii="Palatino Linotype" w:hAnsi="Palatino Linotype"/>
          <w:sz w:val="22"/>
          <w:szCs w:val="22"/>
        </w:rPr>
        <w:t>s</w:t>
      </w:r>
      <w:r w:rsidR="00361728" w:rsidRPr="009F70A7">
        <w:rPr>
          <w:rFonts w:ascii="Palatino Linotype" w:hAnsi="Palatino Linotype"/>
          <w:sz w:val="22"/>
          <w:szCs w:val="22"/>
        </w:rPr>
        <w:t xml:space="preserve"> No</w:t>
      </w:r>
      <w:r w:rsidRPr="009F70A7">
        <w:rPr>
          <w:rFonts w:ascii="Palatino Linotype" w:hAnsi="Palatino Linotype"/>
          <w:sz w:val="22"/>
          <w:szCs w:val="22"/>
        </w:rPr>
        <w:t>s</w:t>
      </w:r>
      <w:r w:rsidR="00361728" w:rsidRPr="009F70A7">
        <w:rPr>
          <w:rFonts w:ascii="Palatino Linotype" w:hAnsi="Palatino Linotype"/>
          <w:sz w:val="22"/>
          <w:szCs w:val="22"/>
        </w:rPr>
        <w:t xml:space="preserve">. </w:t>
      </w:r>
      <w:proofErr w:type="spellStart"/>
      <w:r w:rsidR="00CD710B" w:rsidRPr="009F70A7">
        <w:rPr>
          <w:rFonts w:ascii="Palatino Linotype" w:hAnsi="Palatino Linotype"/>
          <w:sz w:val="22"/>
          <w:szCs w:val="22"/>
        </w:rPr>
        <w:t>IC</w:t>
      </w:r>
      <w:proofErr w:type="spellEnd"/>
      <w:r w:rsidR="00CD710B" w:rsidRPr="009F70A7">
        <w:rPr>
          <w:rFonts w:ascii="Palatino Linotype" w:hAnsi="Palatino Linotype"/>
          <w:sz w:val="22"/>
          <w:szCs w:val="22"/>
        </w:rPr>
        <w:t>-O-201</w:t>
      </w:r>
      <w:r w:rsidR="00BC5FD3" w:rsidRPr="009F70A7">
        <w:rPr>
          <w:rFonts w:ascii="Palatino Linotype" w:hAnsi="Palatino Linotype"/>
          <w:sz w:val="22"/>
          <w:szCs w:val="22"/>
        </w:rPr>
        <w:t>7</w:t>
      </w:r>
      <w:r w:rsidR="0002561F" w:rsidRPr="009F70A7">
        <w:rPr>
          <w:rFonts w:ascii="Palatino Linotype" w:hAnsi="Palatino Linotype"/>
          <w:sz w:val="22"/>
          <w:szCs w:val="22"/>
        </w:rPr>
        <w:t>-0</w:t>
      </w:r>
      <w:r w:rsidR="009F70A7" w:rsidRPr="009F70A7">
        <w:rPr>
          <w:rFonts w:ascii="Palatino Linotype" w:hAnsi="Palatino Linotype"/>
          <w:sz w:val="22"/>
          <w:szCs w:val="22"/>
        </w:rPr>
        <w:t>52</w:t>
      </w:r>
      <w:r w:rsidR="0002561F" w:rsidRPr="009F70A7">
        <w:rPr>
          <w:rFonts w:ascii="Palatino Linotype" w:hAnsi="Palatino Linotype"/>
          <w:sz w:val="22"/>
          <w:szCs w:val="22"/>
        </w:rPr>
        <w:t xml:space="preserve">, </w:t>
      </w:r>
      <w:r w:rsidR="00361728" w:rsidRPr="009F70A7">
        <w:rPr>
          <w:rFonts w:ascii="Palatino Linotype" w:hAnsi="Palatino Linotype"/>
          <w:sz w:val="22"/>
          <w:szCs w:val="22"/>
        </w:rPr>
        <w:t>de</w:t>
      </w:r>
      <w:r w:rsidR="0002561F" w:rsidRPr="009F70A7">
        <w:rPr>
          <w:rFonts w:ascii="Palatino Linotype" w:hAnsi="Palatino Linotype"/>
          <w:sz w:val="22"/>
          <w:szCs w:val="22"/>
        </w:rPr>
        <w:t xml:space="preserve"> </w:t>
      </w:r>
      <w:r w:rsidR="009F70A7" w:rsidRPr="009F70A7">
        <w:rPr>
          <w:rFonts w:ascii="Palatino Linotype" w:hAnsi="Palatino Linotype"/>
          <w:sz w:val="22"/>
          <w:szCs w:val="22"/>
        </w:rPr>
        <w:t>8</w:t>
      </w:r>
      <w:r w:rsidR="0002561F" w:rsidRPr="009F70A7">
        <w:rPr>
          <w:rFonts w:ascii="Palatino Linotype" w:hAnsi="Palatino Linotype"/>
          <w:sz w:val="22"/>
          <w:szCs w:val="22"/>
        </w:rPr>
        <w:t xml:space="preserve"> de </w:t>
      </w:r>
      <w:r w:rsidR="009F70A7" w:rsidRPr="009F70A7">
        <w:rPr>
          <w:rFonts w:ascii="Palatino Linotype" w:hAnsi="Palatino Linotype"/>
          <w:sz w:val="22"/>
          <w:szCs w:val="22"/>
        </w:rPr>
        <w:t xml:space="preserve">febrero </w:t>
      </w:r>
      <w:r w:rsidR="00BC5FD3" w:rsidRPr="009F70A7">
        <w:rPr>
          <w:rFonts w:ascii="Palatino Linotype" w:hAnsi="Palatino Linotype"/>
          <w:sz w:val="22"/>
          <w:szCs w:val="22"/>
        </w:rPr>
        <w:t xml:space="preserve">de 2017, emitido por las Comisiones de Uso de Suelo y de Ordenamiento Territorial; e, </w:t>
      </w:r>
      <w:proofErr w:type="spellStart"/>
      <w:r w:rsidR="00BC5FD3" w:rsidRPr="009F70A7">
        <w:rPr>
          <w:rFonts w:ascii="Palatino Linotype" w:hAnsi="Palatino Linotype"/>
          <w:sz w:val="22"/>
          <w:szCs w:val="22"/>
        </w:rPr>
        <w:t>IC</w:t>
      </w:r>
      <w:proofErr w:type="spellEnd"/>
      <w:r w:rsidR="00BC5FD3" w:rsidRPr="009F70A7">
        <w:rPr>
          <w:rFonts w:ascii="Palatino Linotype" w:hAnsi="Palatino Linotype"/>
          <w:sz w:val="22"/>
          <w:szCs w:val="22"/>
        </w:rPr>
        <w:t>-O-2017-2</w:t>
      </w:r>
      <w:r w:rsidR="009F70A7" w:rsidRPr="009F70A7">
        <w:rPr>
          <w:rFonts w:ascii="Palatino Linotype" w:hAnsi="Palatino Linotype"/>
          <w:sz w:val="22"/>
          <w:szCs w:val="22"/>
        </w:rPr>
        <w:t>70</w:t>
      </w:r>
      <w:r w:rsidR="00BC5FD3" w:rsidRPr="009F70A7">
        <w:rPr>
          <w:rFonts w:ascii="Palatino Linotype" w:hAnsi="Palatino Linotype"/>
          <w:sz w:val="22"/>
          <w:szCs w:val="22"/>
        </w:rPr>
        <w:t xml:space="preserve">, de 15 de </w:t>
      </w:r>
      <w:r w:rsidRPr="009F70A7">
        <w:rPr>
          <w:rFonts w:ascii="Palatino Linotype" w:hAnsi="Palatino Linotype"/>
          <w:sz w:val="22"/>
          <w:szCs w:val="22"/>
        </w:rPr>
        <w:t xml:space="preserve">noviembre </w:t>
      </w:r>
      <w:r w:rsidR="00BC5FD3" w:rsidRPr="009F70A7">
        <w:rPr>
          <w:rFonts w:ascii="Palatino Linotype" w:hAnsi="Palatino Linotype"/>
          <w:sz w:val="22"/>
          <w:szCs w:val="22"/>
        </w:rPr>
        <w:t>de 2017</w:t>
      </w:r>
      <w:r w:rsidR="00361728" w:rsidRPr="009F70A7">
        <w:rPr>
          <w:rFonts w:ascii="Palatino Linotype" w:hAnsi="Palatino Linotype"/>
          <w:sz w:val="22"/>
          <w:szCs w:val="22"/>
        </w:rPr>
        <w:t>, expedido por la Comisi</w:t>
      </w:r>
      <w:r w:rsidR="002305D7" w:rsidRPr="009F70A7">
        <w:rPr>
          <w:rFonts w:ascii="Palatino Linotype" w:hAnsi="Palatino Linotype"/>
          <w:sz w:val="22"/>
          <w:szCs w:val="22"/>
        </w:rPr>
        <w:t>ón</w:t>
      </w:r>
      <w:r w:rsidR="00361728" w:rsidRPr="009F70A7">
        <w:rPr>
          <w:rFonts w:ascii="Palatino Linotype" w:hAnsi="Palatino Linotype"/>
          <w:sz w:val="22"/>
          <w:szCs w:val="22"/>
        </w:rPr>
        <w:t xml:space="preserve"> de Ordenamiento Territorial.</w:t>
      </w:r>
    </w:p>
    <w:p w:rsidR="00361728" w:rsidRPr="009F70A7" w:rsidRDefault="00361728" w:rsidP="0002561F">
      <w:pPr>
        <w:spacing w:after="120" w:line="276" w:lineRule="auto"/>
        <w:jc w:val="center"/>
        <w:rPr>
          <w:rFonts w:ascii="Palatino Linotype" w:hAnsi="Palatino Linotype"/>
          <w:b/>
          <w:sz w:val="22"/>
          <w:szCs w:val="22"/>
        </w:rPr>
      </w:pPr>
      <w:r w:rsidRPr="009F70A7">
        <w:rPr>
          <w:rFonts w:ascii="Palatino Linotype" w:hAnsi="Palatino Linotype"/>
          <w:b/>
          <w:sz w:val="22"/>
          <w:szCs w:val="22"/>
        </w:rPr>
        <w:t>CONSIDERANDO:</w:t>
      </w:r>
    </w:p>
    <w:p w:rsidR="006274AF" w:rsidRPr="009F70A7" w:rsidRDefault="006274AF" w:rsidP="006274AF">
      <w:pPr>
        <w:pStyle w:val="Sinespaciado"/>
        <w:spacing w:after="120" w:line="276" w:lineRule="auto"/>
        <w:ind w:left="709" w:hanging="709"/>
        <w:jc w:val="both"/>
        <w:rPr>
          <w:rFonts w:ascii="Palatino Linotype" w:hAnsi="Palatino Linotype"/>
        </w:rPr>
      </w:pPr>
      <w:r w:rsidRPr="009F70A7">
        <w:rPr>
          <w:rFonts w:ascii="Palatino Linotype" w:hAnsi="Palatino Linotype"/>
          <w:b/>
        </w:rPr>
        <w:t xml:space="preserve">Que, </w:t>
      </w:r>
      <w:r w:rsidRPr="009F70A7">
        <w:rPr>
          <w:rFonts w:ascii="Palatino Linotype" w:hAnsi="Palatino Linotype"/>
          <w:b/>
        </w:rPr>
        <w:tab/>
      </w:r>
      <w:r w:rsidRPr="009F70A7">
        <w:rPr>
          <w:rFonts w:ascii="Palatino Linotype" w:hAnsi="Palatino Linotype"/>
        </w:rPr>
        <w:t>el artículo 30 de la Constitución de la República del Ecuador (en adelante “Constitución”) establece que: “</w:t>
      </w:r>
      <w:r w:rsidRPr="009F70A7">
        <w:rPr>
          <w:rFonts w:ascii="Palatino Linotype" w:hAnsi="Palatino Linotype"/>
          <w:i/>
        </w:rPr>
        <w:t>Las personas tienen derecho a un hábitat seguro y saludable, y a una vivienda adecuada y digna, con independencia de su situación social y económica.</w:t>
      </w:r>
      <w:r w:rsidRPr="009F70A7">
        <w:rPr>
          <w:rFonts w:ascii="Palatino Linotype" w:hAnsi="Palatino Linotype"/>
        </w:rPr>
        <w:t>”;</w:t>
      </w:r>
    </w:p>
    <w:p w:rsidR="006274AF" w:rsidRPr="009F70A7" w:rsidRDefault="006274AF" w:rsidP="006274AF">
      <w:pPr>
        <w:pStyle w:val="Sinespaciado"/>
        <w:spacing w:after="120" w:line="276" w:lineRule="auto"/>
        <w:ind w:left="709" w:hanging="709"/>
        <w:jc w:val="both"/>
        <w:rPr>
          <w:rFonts w:ascii="Palatino Linotype" w:hAnsi="Palatino Linotype"/>
          <w:bCs/>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bCs/>
        </w:rPr>
        <w:t>el artículo 31 de la Constitución expresa que: “</w:t>
      </w:r>
      <w:r w:rsidRPr="009F70A7">
        <w:rPr>
          <w:rFonts w:ascii="Palatino Linotype" w:hAnsi="Palatino Linotype"/>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F70A7">
        <w:rPr>
          <w:rFonts w:ascii="Palatino Linotype" w:hAnsi="Palatino Linotype"/>
          <w:bCs/>
        </w:rPr>
        <w:t xml:space="preserve">”; </w:t>
      </w:r>
    </w:p>
    <w:p w:rsidR="006274AF" w:rsidRPr="009F70A7" w:rsidRDefault="006274AF" w:rsidP="006274AF">
      <w:pPr>
        <w:pStyle w:val="Sinespaciado"/>
        <w:spacing w:after="120" w:line="276" w:lineRule="auto"/>
        <w:ind w:left="709" w:hanging="709"/>
        <w:jc w:val="both"/>
        <w:rPr>
          <w:rFonts w:ascii="Palatino Linotype" w:hAnsi="Palatino Linotype"/>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rPr>
        <w:t>el artículo 240 de la Constitución establece que: “</w:t>
      </w:r>
      <w:r w:rsidRPr="009F70A7">
        <w:rPr>
          <w:rFonts w:ascii="Palatino Linotype" w:hAnsi="Palatino Linotype"/>
          <w:i/>
        </w:rPr>
        <w:t>Los gobiernos autónomos descentralizados de las regiones, distritos metropolitanos, provincias y cantones tendrán facultades legislativas en el ámbito de sus competencias y jurisdicciones territoriales (…)</w:t>
      </w:r>
      <w:r w:rsidRPr="009F70A7">
        <w:rPr>
          <w:rFonts w:ascii="Palatino Linotype" w:hAnsi="Palatino Linotype"/>
        </w:rPr>
        <w:t>”;</w:t>
      </w:r>
    </w:p>
    <w:p w:rsidR="006274AF" w:rsidRPr="009F70A7" w:rsidRDefault="006274AF" w:rsidP="006274AF">
      <w:pPr>
        <w:pStyle w:val="Sinespaciado"/>
        <w:spacing w:after="120" w:line="276" w:lineRule="auto"/>
        <w:ind w:left="709" w:hanging="709"/>
        <w:jc w:val="both"/>
        <w:rPr>
          <w:rFonts w:ascii="Palatino Linotype" w:hAnsi="Palatino Linotype"/>
          <w:i/>
        </w:rPr>
      </w:pPr>
      <w:r w:rsidRPr="009F70A7">
        <w:rPr>
          <w:rFonts w:ascii="Palatino Linotype" w:hAnsi="Palatino Linotype"/>
          <w:b/>
          <w:bCs/>
        </w:rPr>
        <w:t>Que,</w:t>
      </w:r>
      <w:r w:rsidRPr="009F70A7">
        <w:rPr>
          <w:rFonts w:ascii="Palatino Linotype" w:hAnsi="Palatino Linotype"/>
        </w:rPr>
        <w:tab/>
        <w:t>el numeral 1 y 2  del artículo 264 de la Constitución manifiesta que: “</w:t>
      </w:r>
      <w:r w:rsidRPr="009F70A7">
        <w:rPr>
          <w:rFonts w:ascii="Palatino Linotype" w:hAnsi="Palatino Linotype"/>
          <w:i/>
        </w:rPr>
        <w:t>Los gobiernos municipales tendrán las siguientes competencias: (…) 1. Planificar el desarrollo cantonal y formular los correspondientes planes de ordenamiento territorial, de manera articulada con la planificación nacional, regional, provincial y parroquial, con el fin de regular el uso y la ocupación del suelo urbano y rural.</w:t>
      </w:r>
      <w:r w:rsidRPr="009F70A7">
        <w:rPr>
          <w:rFonts w:ascii="Palatino Linotype" w:hAnsi="Palatino Linotype"/>
        </w:rPr>
        <w:t xml:space="preserve">”; </w:t>
      </w:r>
      <w:r w:rsidRPr="009F70A7">
        <w:rPr>
          <w:rFonts w:ascii="Palatino Linotype" w:hAnsi="Palatino Linotype"/>
          <w:i/>
        </w:rPr>
        <w:t>(…)2.- “Ejercer el control sobre el uso y ocupación del suelo en el cantón (…)”.</w:t>
      </w:r>
    </w:p>
    <w:p w:rsidR="006274AF" w:rsidRPr="009F70A7" w:rsidRDefault="006274AF" w:rsidP="006274AF">
      <w:pPr>
        <w:pStyle w:val="Sinespaciado"/>
        <w:spacing w:after="120" w:line="276" w:lineRule="auto"/>
        <w:ind w:left="709" w:hanging="709"/>
        <w:jc w:val="both"/>
        <w:rPr>
          <w:rFonts w:ascii="Palatino Linotype" w:hAnsi="Palatino Linotype"/>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bCs/>
        </w:rPr>
        <w:t>el literal c) del artículo 54, en concordancia con el literal c) del artículo 84 del Código Orgánico de Organización Territorial, Autonomía y Descentralización (en adelante “COOTAD”), señala como una función del gobierno autónomo descentralizado municipal</w:t>
      </w:r>
      <w:r w:rsidRPr="009F70A7">
        <w:rPr>
          <w:rFonts w:ascii="Palatino Linotype" w:hAnsi="Palatino Linotype"/>
        </w:rPr>
        <w:t xml:space="preserve"> la de establecer el régimen de uso del suelo y urbanístico, para lo cual se debe determinar las condiciones de urbanización, parcelación, lotización, división o cualquier otra forma de fraccionamiento de conformidad con la planificación cantonal, asegurando porcentajes para zonas verdes y áreas comunales;</w:t>
      </w:r>
    </w:p>
    <w:p w:rsidR="006274AF" w:rsidRPr="009F70A7" w:rsidRDefault="006274AF" w:rsidP="006274AF">
      <w:pPr>
        <w:pStyle w:val="Sinespaciado"/>
        <w:spacing w:after="120" w:line="276" w:lineRule="auto"/>
        <w:ind w:left="709" w:hanging="709"/>
        <w:jc w:val="both"/>
        <w:rPr>
          <w:rFonts w:ascii="Palatino Linotype" w:hAnsi="Palatino Linotype"/>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rPr>
        <w:t xml:space="preserve">el artículo 57, en concordancia con el artículo 87 del COOTAD, establece que las funciones del Concejo Municipal, entre otras, son: </w:t>
      </w:r>
      <w:r w:rsidRPr="009F70A7">
        <w:rPr>
          <w:rFonts w:ascii="Palatino Linotype" w:hAnsi="Palatino Linotype"/>
          <w:iCs/>
        </w:rPr>
        <w:t>“</w:t>
      </w:r>
      <w:r w:rsidRPr="009F70A7">
        <w:rPr>
          <w:rFonts w:ascii="Palatino Linotype" w:hAnsi="Palatino Linotype"/>
          <w:i/>
          <w:iCs/>
        </w:rPr>
        <w:t xml:space="preserve">a) El ejercicio de la facultad normativa en las materias de competencia del gobierno autónomo descentralizado municipal, mediante la expedición de ordenanzas cantonales, acuerdos y resoluciones; (…) x) Regular y controlar, mediante la normativa cantonal correspondiente, el uso del suelo en el territorio del cantón, de </w:t>
      </w:r>
      <w:r w:rsidRPr="009F70A7">
        <w:rPr>
          <w:rFonts w:ascii="Palatino Linotype" w:hAnsi="Palatino Linotype"/>
          <w:i/>
          <w:iCs/>
        </w:rPr>
        <w:lastRenderedPageBreak/>
        <w:t>conformidad con las leyes sobre la materia, y establecer el régimen urbanístico de la tierra;</w:t>
      </w:r>
      <w:r w:rsidRPr="009F70A7">
        <w:rPr>
          <w:rFonts w:ascii="Palatino Linotype" w:hAnsi="Palatino Linotype"/>
          <w:i/>
        </w:rPr>
        <w:t xml:space="preserve"> y, (…) </w:t>
      </w:r>
      <w:r w:rsidRPr="009F70A7">
        <w:rPr>
          <w:rFonts w:ascii="Palatino Linotype" w:hAnsi="Palatino Linotype"/>
          <w:i/>
          <w:iCs/>
        </w:rPr>
        <w:t xml:space="preserve">z) Regular mediante ordenanza la delimitación de los barrios y parroquias urbanas tomando en cuenta la configuración territorial, identidad, historia, necesidades urbanísticas y administrativas y la aplicación del principio de equidad </w:t>
      </w:r>
      <w:proofErr w:type="spellStart"/>
      <w:r w:rsidRPr="009F70A7">
        <w:rPr>
          <w:rFonts w:ascii="Palatino Linotype" w:hAnsi="Palatino Linotype"/>
          <w:i/>
          <w:iCs/>
        </w:rPr>
        <w:t>interbarrial</w:t>
      </w:r>
      <w:proofErr w:type="spellEnd"/>
      <w:r w:rsidRPr="009F70A7">
        <w:rPr>
          <w:rFonts w:ascii="Palatino Linotype" w:hAnsi="Palatino Linotype"/>
          <w:i/>
          <w:iCs/>
        </w:rPr>
        <w:t>.</w:t>
      </w:r>
      <w:r w:rsidRPr="009F70A7">
        <w:rPr>
          <w:rFonts w:ascii="Palatino Linotype" w:hAnsi="Palatino Linotype"/>
          <w:iCs/>
        </w:rPr>
        <w:t xml:space="preserve">”; </w:t>
      </w:r>
    </w:p>
    <w:p w:rsidR="00FD5FAC" w:rsidRPr="009F70A7" w:rsidRDefault="006274AF" w:rsidP="00FD5FAC">
      <w:pPr>
        <w:pStyle w:val="Sinespaciado"/>
        <w:spacing w:after="120" w:line="276" w:lineRule="auto"/>
        <w:ind w:left="709" w:hanging="709"/>
        <w:jc w:val="both"/>
        <w:rPr>
          <w:rFonts w:ascii="Palatino Linotype" w:hAnsi="Palatino Linotype"/>
        </w:rPr>
      </w:pPr>
      <w:r w:rsidRPr="009F70A7">
        <w:rPr>
          <w:rFonts w:ascii="Palatino Linotype" w:hAnsi="Palatino Linotype"/>
          <w:b/>
          <w:bCs/>
        </w:rPr>
        <w:t xml:space="preserve">Que,  </w:t>
      </w:r>
      <w:r w:rsidRPr="009F70A7">
        <w:rPr>
          <w:rFonts w:ascii="Palatino Linotype" w:hAnsi="Palatino Linotype"/>
        </w:rPr>
        <w:t>el artículo 322 del COOTAD establece el procedimiento para la aprobación de las ordenanzas municipales;</w:t>
      </w:r>
    </w:p>
    <w:p w:rsidR="00FD5FAC" w:rsidRPr="009F70A7" w:rsidRDefault="00FD5FAC" w:rsidP="00FD5FAC">
      <w:pPr>
        <w:pStyle w:val="Sinespaciado"/>
        <w:spacing w:after="120" w:line="276" w:lineRule="auto"/>
        <w:ind w:left="709" w:hanging="709"/>
        <w:jc w:val="both"/>
        <w:rPr>
          <w:rFonts w:ascii="Palatino Linotype" w:hAnsi="Palatino Linotype"/>
        </w:rPr>
      </w:pPr>
      <w:r w:rsidRPr="009F70A7">
        <w:rPr>
          <w:rFonts w:ascii="Palatino Linotype" w:hAnsi="Palatino Linotype"/>
          <w:b/>
          <w:bCs/>
        </w:rPr>
        <w:t xml:space="preserve">Que, </w:t>
      </w:r>
      <w:r w:rsidRPr="009F70A7">
        <w:rPr>
          <w:rFonts w:ascii="Palatino Linotype" w:hAnsi="Palatino Linotype"/>
          <w:b/>
          <w:bCs/>
        </w:rPr>
        <w:tab/>
      </w:r>
      <w:r w:rsidRPr="009F70A7">
        <w:rPr>
          <w:rFonts w:ascii="Palatino Linotype" w:hAnsi="Palatino Linotype"/>
          <w:bCs/>
        </w:rPr>
        <w:t>el artículo 486 del COOTAD establece que: “</w:t>
      </w:r>
      <w:r w:rsidRPr="009F70A7">
        <w:rPr>
          <w:rFonts w:ascii="Palatino Linotype" w:hAnsi="Palatino Linotype"/>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F70A7">
        <w:rPr>
          <w:rFonts w:ascii="Palatino Linotype" w:hAnsi="Palatino Linotype"/>
          <w:bCs/>
          <w:lang w:val="es-ES_tradnl"/>
        </w:rPr>
        <w:t>”</w:t>
      </w:r>
      <w:r w:rsidRPr="009F70A7">
        <w:rPr>
          <w:rFonts w:ascii="Palatino Linotype" w:hAnsi="Palatino Linotype"/>
          <w:b/>
          <w:bCs/>
        </w:rPr>
        <w:t>;</w:t>
      </w:r>
    </w:p>
    <w:p w:rsidR="006274AF" w:rsidRPr="009F70A7" w:rsidRDefault="006274AF" w:rsidP="006274AF">
      <w:pPr>
        <w:pStyle w:val="Sinespaciado"/>
        <w:spacing w:after="120" w:line="276" w:lineRule="auto"/>
        <w:ind w:left="709" w:hanging="709"/>
        <w:jc w:val="both"/>
        <w:rPr>
          <w:rFonts w:ascii="Palatino Linotype" w:hAnsi="Palatino Linotype"/>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bCs/>
        </w:rPr>
        <w:t>la Disposición Transitoria Décima Cuarta del COOTAD, señala: “</w:t>
      </w:r>
      <w:r w:rsidRPr="009F70A7">
        <w:rPr>
          <w:rFonts w:ascii="Palatino Linotype" w:hAnsi="Palatino Linotype"/>
          <w:bCs/>
          <w:i/>
        </w:rPr>
        <w:t xml:space="preserve">(…) </w:t>
      </w:r>
      <w:r w:rsidRPr="009F70A7">
        <w:rPr>
          <w:rFonts w:ascii="Palatino Linotype" w:hAnsi="Palatino Linotype"/>
          <w:i/>
        </w:rPr>
        <w:t>Excepcionalmente en los casos de asentamientos de hecho y consolidados declarados de interés social, en que no se ha previsto el porcentaje de áreas verdes y comunales establecidas en la ley, serán exoneradas de este porcentaje</w:t>
      </w:r>
      <w:r w:rsidRPr="009F70A7">
        <w:rPr>
          <w:rFonts w:ascii="Palatino Linotype" w:hAnsi="Palatino Linotype"/>
        </w:rPr>
        <w:t>.”;</w:t>
      </w:r>
    </w:p>
    <w:p w:rsidR="006274AF" w:rsidRPr="009F70A7" w:rsidRDefault="006274AF" w:rsidP="006274AF">
      <w:pPr>
        <w:pStyle w:val="Sinespaciado"/>
        <w:spacing w:after="120" w:line="276" w:lineRule="auto"/>
        <w:ind w:left="709" w:hanging="709"/>
        <w:jc w:val="both"/>
        <w:rPr>
          <w:rFonts w:ascii="Palatino Linotype" w:hAnsi="Palatino Linotype"/>
          <w:bCs/>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6274AF" w:rsidRPr="009F70A7" w:rsidRDefault="006274AF" w:rsidP="006274AF">
      <w:pPr>
        <w:pStyle w:val="Sinespaciado"/>
        <w:spacing w:after="120" w:line="276" w:lineRule="auto"/>
        <w:ind w:left="709" w:hanging="709"/>
        <w:jc w:val="both"/>
        <w:rPr>
          <w:rFonts w:ascii="Palatino Linotype" w:hAnsi="Palatino Linotype"/>
          <w:bCs/>
        </w:rPr>
      </w:pPr>
      <w:r w:rsidRPr="009F70A7">
        <w:rPr>
          <w:rFonts w:ascii="Palatino Linotype" w:hAnsi="Palatino Linotype"/>
          <w:b/>
          <w:bCs/>
        </w:rPr>
        <w:t>Que,</w:t>
      </w:r>
      <w:r w:rsidRPr="009F70A7">
        <w:rPr>
          <w:rFonts w:ascii="Palatino Linotype" w:hAnsi="Palatino Linotype"/>
          <w:b/>
          <w:bCs/>
        </w:rPr>
        <w:tab/>
      </w:r>
      <w:r w:rsidRPr="009F70A7">
        <w:rPr>
          <w:rFonts w:ascii="Palatino Linotype" w:hAnsi="Palatino Linotype"/>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6274AF" w:rsidRPr="009F70A7" w:rsidRDefault="006274AF" w:rsidP="006274AF">
      <w:pPr>
        <w:spacing w:after="120" w:line="276" w:lineRule="auto"/>
        <w:ind w:left="705" w:hanging="705"/>
        <w:jc w:val="both"/>
        <w:rPr>
          <w:rFonts w:ascii="Palatino Linotype" w:hAnsi="Palatino Linotype"/>
          <w:sz w:val="22"/>
          <w:szCs w:val="22"/>
        </w:rPr>
      </w:pPr>
      <w:r w:rsidRPr="009F70A7">
        <w:rPr>
          <w:rFonts w:ascii="Palatino Linotype" w:hAnsi="Palatino Linotype"/>
          <w:b/>
          <w:bCs/>
          <w:sz w:val="22"/>
          <w:szCs w:val="22"/>
        </w:rPr>
        <w:t>Que,</w:t>
      </w:r>
      <w:r w:rsidRPr="009F70A7">
        <w:rPr>
          <w:rFonts w:ascii="Palatino Linotype" w:hAnsi="Palatino Linotype"/>
          <w:b/>
          <w:bCs/>
          <w:sz w:val="22"/>
          <w:szCs w:val="22"/>
        </w:rPr>
        <w:tab/>
      </w:r>
      <w:r w:rsidRPr="009F70A7">
        <w:rPr>
          <w:rFonts w:ascii="Palatino Linotype" w:hAnsi="Palatino Linotype"/>
          <w:sz w:val="22"/>
          <w:szCs w:val="22"/>
        </w:rPr>
        <w:t>la Unidad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w:t>
      </w:r>
      <w:r w:rsidR="00BC5FD3" w:rsidRPr="009F70A7">
        <w:rPr>
          <w:rFonts w:ascii="Palatino Linotype" w:hAnsi="Palatino Linotype"/>
          <w:sz w:val="22"/>
          <w:szCs w:val="22"/>
        </w:rPr>
        <w:t xml:space="preserve"> </w:t>
      </w:r>
      <w:r w:rsidRPr="009F70A7">
        <w:rPr>
          <w:rFonts w:ascii="Palatino Linotype" w:hAnsi="Palatino Linotype"/>
          <w:sz w:val="22"/>
          <w:szCs w:val="22"/>
        </w:rPr>
        <w:t>0010 de 19 de marzo de 2010;</w:t>
      </w:r>
    </w:p>
    <w:p w:rsidR="00447C04" w:rsidRPr="009F70A7" w:rsidRDefault="006274AF" w:rsidP="00447C04">
      <w:pPr>
        <w:spacing w:after="120" w:line="276" w:lineRule="auto"/>
        <w:ind w:left="705" w:hanging="705"/>
        <w:jc w:val="both"/>
        <w:rPr>
          <w:rFonts w:ascii="Palatino Linotype" w:hAnsi="Palatino Linotype"/>
          <w:b/>
          <w:bCs/>
          <w:sz w:val="22"/>
          <w:szCs w:val="22"/>
        </w:rPr>
      </w:pPr>
      <w:r w:rsidRPr="009F70A7">
        <w:rPr>
          <w:rFonts w:ascii="Palatino Linotype" w:hAnsi="Palatino Linotype"/>
          <w:b/>
          <w:bCs/>
          <w:sz w:val="22"/>
          <w:szCs w:val="22"/>
        </w:rPr>
        <w:t xml:space="preserve">Que,    </w:t>
      </w:r>
      <w:r w:rsidRPr="009F70A7">
        <w:rPr>
          <w:rFonts w:ascii="Palatino Linotype" w:hAnsi="Palatino Linotype"/>
          <w:bCs/>
          <w:sz w:val="22"/>
          <w:szCs w:val="22"/>
        </w:rPr>
        <w:t>la Ordenanza No</w:t>
      </w:r>
      <w:r w:rsidR="00CD710B" w:rsidRPr="009F70A7">
        <w:rPr>
          <w:rFonts w:ascii="Palatino Linotype" w:hAnsi="Palatino Linotype"/>
          <w:bCs/>
          <w:sz w:val="22"/>
          <w:szCs w:val="22"/>
        </w:rPr>
        <w:t>. 147 de 9 de diciembre de 2016,</w:t>
      </w:r>
      <w:r w:rsidRPr="009F70A7">
        <w:rPr>
          <w:rFonts w:ascii="Palatino Linotype" w:hAnsi="Palatino Linotype"/>
          <w:bCs/>
          <w:sz w:val="22"/>
          <w:szCs w:val="22"/>
        </w:rPr>
        <w:t xml:space="preserve"> en sus considerandos reconoce la creación de la Unidad Especial Regula Tu Barrio como el ente encargado de procesar, </w:t>
      </w:r>
      <w:r w:rsidRPr="009F70A7">
        <w:rPr>
          <w:rFonts w:ascii="Palatino Linotype" w:hAnsi="Palatino Linotype"/>
          <w:bCs/>
          <w:sz w:val="22"/>
          <w:szCs w:val="22"/>
        </w:rPr>
        <w:lastRenderedPageBreak/>
        <w:t>canalizar y resolver los procedimientos para la regularización de la ocupación informal del suelo;</w:t>
      </w:r>
    </w:p>
    <w:p w:rsidR="006274AF" w:rsidRPr="009F70A7" w:rsidRDefault="006274AF" w:rsidP="00447C04">
      <w:pPr>
        <w:spacing w:after="120" w:line="276" w:lineRule="auto"/>
        <w:ind w:left="705" w:hanging="705"/>
        <w:jc w:val="both"/>
        <w:rPr>
          <w:rFonts w:ascii="Palatino Linotype" w:hAnsi="Palatino Linotype"/>
          <w:b/>
          <w:bCs/>
          <w:sz w:val="22"/>
          <w:szCs w:val="22"/>
        </w:rPr>
      </w:pPr>
      <w:r w:rsidRPr="009F70A7">
        <w:rPr>
          <w:rFonts w:ascii="Palatino Linotype" w:hAnsi="Palatino Linotype"/>
          <w:b/>
          <w:bCs/>
          <w:sz w:val="22"/>
          <w:szCs w:val="22"/>
        </w:rPr>
        <w:t xml:space="preserve">Que,  </w:t>
      </w:r>
      <w:r w:rsidR="00447C04" w:rsidRPr="009F70A7">
        <w:rPr>
          <w:rFonts w:ascii="Palatino Linotype" w:hAnsi="Palatino Linotype"/>
          <w:b/>
          <w:bCs/>
          <w:sz w:val="22"/>
          <w:szCs w:val="22"/>
        </w:rPr>
        <w:tab/>
      </w:r>
      <w:r w:rsidRPr="009F70A7">
        <w:rPr>
          <w:rFonts w:ascii="Palatino Linotype" w:hAnsi="Palatino Linotype"/>
          <w:bCs/>
          <w:sz w:val="22"/>
          <w:szCs w:val="22"/>
        </w:rPr>
        <w:t>mediante Ordenanza No. 147 de 9 de diciembre de 2016, se establecieron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BC5FD3" w:rsidRPr="009F70A7" w:rsidRDefault="006274AF" w:rsidP="00BC5FD3">
      <w:pPr>
        <w:spacing w:after="120" w:line="276" w:lineRule="auto"/>
        <w:ind w:left="705" w:hanging="705"/>
        <w:jc w:val="both"/>
        <w:rPr>
          <w:rFonts w:ascii="Palatino Linotype" w:hAnsi="Palatino Linotype"/>
          <w:sz w:val="22"/>
          <w:szCs w:val="22"/>
        </w:rPr>
      </w:pPr>
      <w:r w:rsidRPr="009F70A7">
        <w:rPr>
          <w:rFonts w:ascii="Palatino Linotype" w:hAnsi="Palatino Linotype"/>
          <w:b/>
          <w:bCs/>
          <w:sz w:val="22"/>
          <w:szCs w:val="22"/>
        </w:rPr>
        <w:t xml:space="preserve">Que,   </w:t>
      </w:r>
      <w:r w:rsidR="00447C04" w:rsidRPr="009F70A7">
        <w:rPr>
          <w:rFonts w:ascii="Palatino Linotype" w:hAnsi="Palatino Linotype"/>
          <w:b/>
          <w:bCs/>
          <w:sz w:val="22"/>
          <w:szCs w:val="22"/>
        </w:rPr>
        <w:tab/>
      </w:r>
      <w:r w:rsidRPr="009F70A7">
        <w:rPr>
          <w:rFonts w:ascii="Palatino Linotype" w:hAnsi="Palatino Linotype"/>
          <w:bCs/>
          <w:sz w:val="22"/>
          <w:szCs w:val="22"/>
        </w:rPr>
        <w:t xml:space="preserve">de conformidad a la disposición transitoria segunda de la Ordenanza No. 147 de 9 de diciembre de 2016 se considerará en los procesos de regularización de asentamientos humanos de hecho y consolidados que se encuentren en trámite, se aplicará la norma más beneficiosa para la regularización del asentamiento; </w:t>
      </w:r>
    </w:p>
    <w:p w:rsidR="00BC5FD3" w:rsidRPr="009F70A7" w:rsidRDefault="00BC5FD3" w:rsidP="00BC5FD3">
      <w:pPr>
        <w:spacing w:after="120" w:line="276" w:lineRule="auto"/>
        <w:ind w:left="705" w:hanging="705"/>
        <w:jc w:val="both"/>
        <w:rPr>
          <w:rFonts w:ascii="Palatino Linotype" w:hAnsi="Palatino Linotype"/>
          <w:bCs/>
          <w:sz w:val="22"/>
          <w:szCs w:val="22"/>
        </w:rPr>
      </w:pPr>
      <w:r w:rsidRPr="009F70A7">
        <w:rPr>
          <w:rFonts w:ascii="Palatino Linotype" w:hAnsi="Palatino Linotype"/>
          <w:b/>
          <w:bCs/>
          <w:sz w:val="22"/>
          <w:szCs w:val="22"/>
        </w:rPr>
        <w:t>Que,</w:t>
      </w:r>
      <w:r w:rsidRPr="009F70A7">
        <w:rPr>
          <w:rFonts w:ascii="Palatino Linotype" w:hAnsi="Palatino Linotype"/>
          <w:b/>
          <w:bCs/>
          <w:sz w:val="22"/>
          <w:szCs w:val="22"/>
        </w:rPr>
        <w:tab/>
      </w:r>
      <w:r w:rsidRPr="009F70A7">
        <w:rPr>
          <w:rFonts w:ascii="Palatino Linotype" w:hAnsi="Palatino Linotype"/>
          <w:bCs/>
          <w:sz w:val="22"/>
          <w:szCs w:val="22"/>
        </w:rPr>
        <w:t xml:space="preserve">la Comisión de Uso de Suelo, en sesión conjunta realizada con la Comisión de Ordenamiento Territorial, el </w:t>
      </w:r>
      <w:r w:rsidR="009F70A7" w:rsidRPr="009F70A7">
        <w:rPr>
          <w:rFonts w:ascii="Palatino Linotype" w:hAnsi="Palatino Linotype"/>
          <w:bCs/>
          <w:sz w:val="22"/>
          <w:szCs w:val="22"/>
        </w:rPr>
        <w:t>8</w:t>
      </w:r>
      <w:r w:rsidRPr="009F70A7">
        <w:rPr>
          <w:rFonts w:ascii="Palatino Linotype" w:hAnsi="Palatino Linotype"/>
          <w:bCs/>
          <w:sz w:val="22"/>
          <w:szCs w:val="22"/>
        </w:rPr>
        <w:t xml:space="preserve"> de </w:t>
      </w:r>
      <w:r w:rsidR="009F70A7" w:rsidRPr="009F70A7">
        <w:rPr>
          <w:rFonts w:ascii="Palatino Linotype" w:hAnsi="Palatino Linotype"/>
          <w:bCs/>
          <w:sz w:val="22"/>
          <w:szCs w:val="22"/>
        </w:rPr>
        <w:t xml:space="preserve">febrero </w:t>
      </w:r>
      <w:r w:rsidRPr="009F70A7">
        <w:rPr>
          <w:rFonts w:ascii="Palatino Linotype" w:hAnsi="Palatino Linotype"/>
          <w:bCs/>
          <w:sz w:val="22"/>
          <w:szCs w:val="22"/>
        </w:rPr>
        <w:t xml:space="preserve">de 2017, mediante informe No. </w:t>
      </w:r>
      <w:proofErr w:type="spellStart"/>
      <w:r w:rsidRPr="009F70A7">
        <w:rPr>
          <w:rFonts w:ascii="Palatino Linotype" w:hAnsi="Palatino Linotype"/>
          <w:bCs/>
          <w:sz w:val="22"/>
          <w:szCs w:val="22"/>
        </w:rPr>
        <w:t>IC</w:t>
      </w:r>
      <w:proofErr w:type="spellEnd"/>
      <w:r w:rsidRPr="009F70A7">
        <w:rPr>
          <w:rFonts w:ascii="Palatino Linotype" w:hAnsi="Palatino Linotype"/>
          <w:bCs/>
          <w:sz w:val="22"/>
          <w:szCs w:val="22"/>
        </w:rPr>
        <w:t>-O-2017-0</w:t>
      </w:r>
      <w:r w:rsidR="009F70A7" w:rsidRPr="009F70A7">
        <w:rPr>
          <w:rFonts w:ascii="Palatino Linotype" w:hAnsi="Palatino Linotype"/>
          <w:bCs/>
          <w:sz w:val="22"/>
          <w:szCs w:val="22"/>
        </w:rPr>
        <w:t>52</w:t>
      </w:r>
      <w:r w:rsidRPr="009F70A7">
        <w:rPr>
          <w:rFonts w:ascii="Palatino Linotype" w:hAnsi="Palatino Linotype"/>
          <w:bCs/>
          <w:sz w:val="22"/>
          <w:szCs w:val="22"/>
        </w:rPr>
        <w:t>, emite su dictamen favorable para que el Concejo Metropolitano apruebe la presente Ordenanza, con los cambios de zonificación constantes en la misma; y,</w:t>
      </w:r>
    </w:p>
    <w:p w:rsidR="00F8528F" w:rsidRPr="009F70A7" w:rsidRDefault="00F8528F" w:rsidP="00BC5FD3">
      <w:pPr>
        <w:spacing w:after="120" w:line="276" w:lineRule="auto"/>
        <w:ind w:left="705" w:hanging="705"/>
        <w:jc w:val="both"/>
        <w:rPr>
          <w:rFonts w:ascii="Palatino Linotype" w:hAnsi="Palatino Linotype"/>
          <w:sz w:val="22"/>
          <w:szCs w:val="22"/>
        </w:rPr>
      </w:pPr>
      <w:r w:rsidRPr="009F70A7">
        <w:rPr>
          <w:rFonts w:ascii="Palatino Linotype" w:hAnsi="Palatino Linotype"/>
          <w:b/>
          <w:bCs/>
          <w:sz w:val="22"/>
          <w:szCs w:val="22"/>
        </w:rPr>
        <w:t>Que,</w:t>
      </w:r>
      <w:r w:rsidRPr="009F70A7">
        <w:rPr>
          <w:rFonts w:ascii="Palatino Linotype" w:hAnsi="Palatino Linotype"/>
          <w:sz w:val="22"/>
          <w:szCs w:val="22"/>
        </w:rPr>
        <w:tab/>
      </w:r>
      <w:r w:rsidR="009F70A7" w:rsidRPr="009F70A7">
        <w:rPr>
          <w:rFonts w:ascii="Palatino Linotype" w:hAnsi="Palatino Linotype"/>
          <w:sz w:val="22"/>
          <w:szCs w:val="22"/>
        </w:rPr>
        <w:tab/>
      </w:r>
      <w:r w:rsidR="009F70A7" w:rsidRPr="009F70A7">
        <w:rPr>
          <w:rFonts w:ascii="Palatino Linotype" w:hAnsi="Palatino Linotype"/>
          <w:sz w:val="22"/>
          <w:szCs w:val="22"/>
        </w:rPr>
        <w:t xml:space="preserve">la Mesa Institucional de Trabajo, reunida el 23 de noviembre de 2016 en la Administración Zonal Calderón, integrada por: el Ab. Henry Valencia, Administrador Zonal Calderón; Ab. Mónica Espín, Dirección Jurídica de la Administración Zonal Calderón; Ing. Galo Erazo, Director de Gestión de Territorio de la Administración Zonal Calderón; Arq. Víctor Aguilar, Delegado de la Dirección Metropolitana de Catastro; Ing. Marco </w:t>
      </w:r>
      <w:proofErr w:type="spellStart"/>
      <w:r w:rsidR="009F70A7" w:rsidRPr="009F70A7">
        <w:rPr>
          <w:rFonts w:ascii="Palatino Linotype" w:hAnsi="Palatino Linotype"/>
          <w:sz w:val="22"/>
          <w:szCs w:val="22"/>
        </w:rPr>
        <w:t>Manobanda</w:t>
      </w:r>
      <w:proofErr w:type="spellEnd"/>
      <w:r w:rsidR="009F70A7" w:rsidRPr="009F70A7">
        <w:rPr>
          <w:rFonts w:ascii="Palatino Linotype" w:hAnsi="Palatino Linotype"/>
          <w:sz w:val="22"/>
          <w:szCs w:val="22"/>
        </w:rPr>
        <w:t>, Delegado de la Dirección Metropolitana de Gestión de Riesgo; Arq. Elizabeth Ortiz, Delegada de la Secretaría de Territorio, Hábitat y Vivienda; Arq. Juan Echeverría, Coordinador Encargado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018-</w:t>
      </w:r>
      <w:proofErr w:type="spellStart"/>
      <w:r w:rsidR="009F70A7" w:rsidRPr="009F70A7">
        <w:rPr>
          <w:rFonts w:ascii="Palatino Linotype" w:hAnsi="Palatino Linotype"/>
          <w:sz w:val="22"/>
          <w:szCs w:val="22"/>
        </w:rPr>
        <w:t>UERB</w:t>
      </w:r>
      <w:proofErr w:type="spellEnd"/>
      <w:r w:rsidR="009F70A7" w:rsidRPr="009F70A7">
        <w:rPr>
          <w:rFonts w:ascii="Palatino Linotype" w:hAnsi="Palatino Linotype"/>
          <w:sz w:val="22"/>
          <w:szCs w:val="22"/>
        </w:rPr>
        <w:t>-</w:t>
      </w:r>
      <w:proofErr w:type="spellStart"/>
      <w:r w:rsidR="009F70A7" w:rsidRPr="009F70A7">
        <w:rPr>
          <w:rFonts w:ascii="Palatino Linotype" w:hAnsi="Palatino Linotype"/>
          <w:sz w:val="22"/>
          <w:szCs w:val="22"/>
        </w:rPr>
        <w:t>AZCA</w:t>
      </w:r>
      <w:proofErr w:type="spellEnd"/>
      <w:r w:rsidR="009F70A7" w:rsidRPr="009F70A7">
        <w:rPr>
          <w:rFonts w:ascii="Palatino Linotype" w:hAnsi="Palatino Linotype"/>
          <w:sz w:val="22"/>
          <w:szCs w:val="22"/>
        </w:rPr>
        <w:t>-</w:t>
      </w:r>
      <w:proofErr w:type="spellStart"/>
      <w:r w:rsidR="009F70A7" w:rsidRPr="009F70A7">
        <w:rPr>
          <w:rFonts w:ascii="Palatino Linotype" w:hAnsi="Palatino Linotype"/>
          <w:sz w:val="22"/>
          <w:szCs w:val="22"/>
        </w:rPr>
        <w:t>SOLT</w:t>
      </w:r>
      <w:proofErr w:type="spellEnd"/>
      <w:r w:rsidR="009F70A7" w:rsidRPr="009F70A7">
        <w:rPr>
          <w:rFonts w:ascii="Palatino Linotype" w:hAnsi="Palatino Linotype"/>
          <w:sz w:val="22"/>
          <w:szCs w:val="22"/>
        </w:rPr>
        <w:t>-2016, de fecha 23 de noviembre de 2016, habilitante de la Ordenanza de reconocimiento del</w:t>
      </w:r>
      <w:r w:rsidR="009F70A7" w:rsidRPr="009F70A7">
        <w:rPr>
          <w:rFonts w:ascii="Palatino Linotype" w:hAnsi="Palatino Linotype"/>
          <w:bCs/>
          <w:sz w:val="22"/>
          <w:szCs w:val="22"/>
        </w:rPr>
        <w:t xml:space="preserve"> Asentamiento Humano de Hecho y Consolidado de Interés Social, denominado Barrio “Valle 4” de </w:t>
      </w:r>
      <w:r w:rsidR="009F70A7" w:rsidRPr="009F70A7">
        <w:rPr>
          <w:rFonts w:ascii="Palatino Linotype" w:hAnsi="Palatino Linotype"/>
          <w:sz w:val="22"/>
          <w:szCs w:val="22"/>
        </w:rPr>
        <w:t>San Juan de Calderón</w:t>
      </w:r>
      <w:r w:rsidR="009F70A7" w:rsidRPr="009F70A7">
        <w:rPr>
          <w:rFonts w:ascii="Palatino Linotype" w:hAnsi="Palatino Linotype"/>
          <w:bCs/>
          <w:sz w:val="22"/>
          <w:szCs w:val="22"/>
        </w:rPr>
        <w:t xml:space="preserve"> a favor de sus copropietarios</w:t>
      </w:r>
      <w:r w:rsidR="00BC5FD3" w:rsidRPr="009F70A7">
        <w:rPr>
          <w:rFonts w:ascii="Palatino Linotype" w:hAnsi="Palatino Linotype"/>
          <w:bCs/>
          <w:sz w:val="22"/>
          <w:szCs w:val="22"/>
        </w:rPr>
        <w:t>.</w:t>
      </w:r>
    </w:p>
    <w:p w:rsidR="006274AF" w:rsidRPr="009F70A7" w:rsidRDefault="006274AF" w:rsidP="006274AF">
      <w:pPr>
        <w:spacing w:after="120" w:line="276" w:lineRule="auto"/>
        <w:jc w:val="both"/>
        <w:rPr>
          <w:rFonts w:ascii="Palatino Linotype" w:hAnsi="Palatino Linotype"/>
          <w:b/>
          <w:sz w:val="22"/>
          <w:szCs w:val="22"/>
        </w:rPr>
      </w:pPr>
      <w:r w:rsidRPr="009F70A7">
        <w:rPr>
          <w:rFonts w:ascii="Palatino Linotype" w:hAnsi="Palatino Linotype"/>
          <w:b/>
          <w:bCs/>
          <w:sz w:val="22"/>
          <w:szCs w:val="22"/>
        </w:rPr>
        <w:t xml:space="preserve">En </w:t>
      </w:r>
      <w:r w:rsidRPr="009F70A7">
        <w:rPr>
          <w:rFonts w:ascii="Palatino Linotype" w:hAnsi="Palatino Linotype"/>
          <w:b/>
          <w:sz w:val="22"/>
          <w:szCs w:val="22"/>
        </w:rPr>
        <w:t xml:space="preserve">ejercicio  de  sus  atribuciones  legales  constantes en los artículos 30, 31, 240 y 264 numeral 1 y 2 de la Constitución  de la República del Ecuador; 84, literal c), 87, literales a), v) y x), y 322 del Código Orgánico de Organización Territorial Autonomía y Descentralización; </w:t>
      </w:r>
      <w:r w:rsidRPr="009F70A7">
        <w:rPr>
          <w:rFonts w:ascii="Palatino Linotype" w:hAnsi="Palatino Linotype"/>
          <w:b/>
          <w:sz w:val="22"/>
          <w:szCs w:val="22"/>
        </w:rPr>
        <w:lastRenderedPageBreak/>
        <w:t xml:space="preserve">2, numeral 1, 8, numeral 1 de la Ley de Régimen para el  Distrito Metropolitano de Quito; y, 2 de la  Resolución No. </w:t>
      </w:r>
      <w:proofErr w:type="spellStart"/>
      <w:r w:rsidRPr="009F70A7">
        <w:rPr>
          <w:rFonts w:ascii="Palatino Linotype" w:hAnsi="Palatino Linotype"/>
          <w:b/>
          <w:sz w:val="22"/>
          <w:szCs w:val="22"/>
        </w:rPr>
        <w:t>A0010</w:t>
      </w:r>
      <w:proofErr w:type="spellEnd"/>
      <w:r w:rsidRPr="009F70A7">
        <w:rPr>
          <w:rFonts w:ascii="Palatino Linotype" w:hAnsi="Palatino Linotype"/>
          <w:b/>
          <w:sz w:val="22"/>
          <w:szCs w:val="22"/>
        </w:rPr>
        <w:t>, de 19 de marzo de 2010,</w:t>
      </w:r>
    </w:p>
    <w:p w:rsidR="006274AF" w:rsidRPr="009F70A7" w:rsidRDefault="006274AF" w:rsidP="006274AF">
      <w:pPr>
        <w:spacing w:after="120" w:line="276" w:lineRule="auto"/>
        <w:jc w:val="center"/>
        <w:rPr>
          <w:rFonts w:ascii="Palatino Linotype" w:hAnsi="Palatino Linotype"/>
          <w:b/>
          <w:sz w:val="22"/>
          <w:szCs w:val="22"/>
        </w:rPr>
      </w:pPr>
      <w:r w:rsidRPr="009F70A7">
        <w:rPr>
          <w:rFonts w:ascii="Palatino Linotype" w:hAnsi="Palatino Linotype"/>
          <w:b/>
          <w:sz w:val="22"/>
          <w:szCs w:val="22"/>
        </w:rPr>
        <w:t>EXPIDE LA SIGUIENTE:</w:t>
      </w:r>
    </w:p>
    <w:p w:rsidR="009F70A7" w:rsidRPr="009F70A7" w:rsidRDefault="009F70A7" w:rsidP="006274AF">
      <w:pPr>
        <w:spacing w:after="120" w:line="276" w:lineRule="auto"/>
        <w:jc w:val="center"/>
        <w:rPr>
          <w:rFonts w:ascii="Palatino Linotype" w:hAnsi="Palatino Linotype"/>
          <w:b/>
          <w:bCs/>
          <w:sz w:val="22"/>
          <w:szCs w:val="22"/>
        </w:rPr>
      </w:pPr>
      <w:r w:rsidRPr="009F70A7">
        <w:rPr>
          <w:rFonts w:ascii="Palatino Linotype" w:hAnsi="Palatino Linotype"/>
          <w:b/>
          <w:bCs/>
          <w:sz w:val="22"/>
          <w:szCs w:val="22"/>
        </w:rPr>
        <w:t>ORDENANZA QUE RECONOCE Y APRUEBA EL FRACCIONAMIENTO DEL PREDIO No. 5191345</w:t>
      </w:r>
      <w:r w:rsidRPr="009F70A7">
        <w:rPr>
          <w:rFonts w:ascii="Palatino Linotype" w:hAnsi="Palatino Linotype"/>
          <w:b/>
          <w:bCs/>
          <w:sz w:val="22"/>
          <w:szCs w:val="22"/>
        </w:rPr>
        <w:t>,</w:t>
      </w:r>
      <w:r w:rsidRPr="009F70A7">
        <w:rPr>
          <w:rFonts w:ascii="Palatino Linotype" w:hAnsi="Palatino Linotype"/>
          <w:b/>
          <w:bCs/>
          <w:sz w:val="22"/>
          <w:szCs w:val="22"/>
        </w:rPr>
        <w:t xml:space="preserve"> SOBRE EL QUE SE ENCUENTRA EL ASENTAMIENTO HUMANO DE HECHO Y CONSOLIDADO DE INTERÉS SOCIAL DENOMINADO BARRIO “VALLE 4” DE SAN JUAN DE CALDERÓN, A FAVOR DE SUS COPROPIETARIOS</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sz w:val="22"/>
          <w:szCs w:val="22"/>
        </w:rPr>
        <w:t xml:space="preserve">Artículo 1.- De los </w:t>
      </w:r>
      <w:r w:rsidRPr="009F70A7">
        <w:rPr>
          <w:rFonts w:ascii="Palatino Linotype" w:hAnsi="Palatino Linotype"/>
          <w:b/>
          <w:sz w:val="22"/>
          <w:szCs w:val="22"/>
        </w:rPr>
        <w:t>planos y documentos presentados</w:t>
      </w:r>
      <w:r w:rsidRPr="009F70A7">
        <w:rPr>
          <w:rFonts w:ascii="Palatino Linotype" w:hAnsi="Palatino Linotype"/>
          <w:b/>
          <w:sz w:val="22"/>
          <w:szCs w:val="22"/>
        </w:rPr>
        <w:t>.-</w:t>
      </w:r>
      <w:r w:rsidRPr="009F70A7">
        <w:rPr>
          <w:rFonts w:ascii="Palatino Linotype" w:hAnsi="Palatino Linotype"/>
          <w:sz w:val="22"/>
          <w:szCs w:val="22"/>
        </w:rPr>
        <w:t xml:space="preserve"> Los planos y documentos presentados son de exclusiva responsabilidad del proyectista y de los copropietarios del Asentamiento Humano de Hecho y Consolidado de Interés Social denominado Barrio “Valle 4” de San Juan de Calderón, sin perjuicio de la responsabilidad de quienes revisaron los planos y los documentos legales, excepto que hayan sido inducidos a engaño.</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En caso de comprobarse ocultación o falsedad en planos, datos, documentos, o de existir reclamos de terceros afectados, será de exclusiva responsabilidad del técnico y de los copropietarios del predio.</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 xml:space="preserve">Las dimensiones, superficies de los lotes son las determinadas en el plano aprobatorio, el cual forma parte integrante de esta ordenanza, siendo en el futuro indivisibles. </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Por las condiciones de asentamiento humano de hecho y consolidado, se lo aprueba considerándolo de Interés Social.</w:t>
      </w:r>
    </w:p>
    <w:p w:rsidR="009F70A7" w:rsidRPr="009F70A7" w:rsidRDefault="009F70A7" w:rsidP="009F70A7">
      <w:pPr>
        <w:spacing w:after="120" w:line="276" w:lineRule="auto"/>
        <w:jc w:val="both"/>
        <w:rPr>
          <w:rFonts w:ascii="Palatino Linotype" w:hAnsi="Palatino Linotype"/>
          <w:b/>
          <w:bCs/>
          <w:sz w:val="22"/>
          <w:szCs w:val="22"/>
        </w:rPr>
      </w:pPr>
      <w:r w:rsidRPr="009F70A7">
        <w:rPr>
          <w:rFonts w:ascii="Palatino Linotype" w:hAnsi="Palatino Linotype"/>
          <w:b/>
          <w:bCs/>
          <w:sz w:val="22"/>
          <w:szCs w:val="22"/>
        </w:rPr>
        <w:t>Artículo 2.- Especificaciones técnicas.-</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sz w:val="22"/>
          <w:szCs w:val="22"/>
        </w:rPr>
        <w:t>Zonificación actual:</w:t>
      </w:r>
      <w:r w:rsidRPr="009F70A7">
        <w:rPr>
          <w:rFonts w:ascii="Palatino Linotype" w:hAnsi="Palatino Linotype"/>
          <w:b/>
          <w:sz w:val="22"/>
          <w:szCs w:val="22"/>
        </w:rPr>
        <w:tab/>
      </w:r>
      <w:r w:rsidRPr="009F70A7">
        <w:rPr>
          <w:rFonts w:ascii="Palatino Linotype" w:hAnsi="Palatino Linotype"/>
          <w:b/>
          <w:sz w:val="22"/>
          <w:szCs w:val="22"/>
        </w:rPr>
        <w:tab/>
      </w:r>
      <w:r w:rsidRPr="009F70A7">
        <w:rPr>
          <w:rFonts w:ascii="Palatino Linotype" w:hAnsi="Palatino Linotype"/>
          <w:b/>
          <w:sz w:val="22"/>
          <w:szCs w:val="22"/>
        </w:rPr>
        <w:tab/>
      </w:r>
      <w:r w:rsidRPr="009F70A7">
        <w:rPr>
          <w:rFonts w:ascii="Palatino Linotype" w:hAnsi="Palatino Linotype"/>
          <w:b/>
          <w:sz w:val="22"/>
          <w:szCs w:val="22"/>
        </w:rPr>
        <w:tab/>
      </w:r>
      <w:proofErr w:type="spellStart"/>
      <w:proofErr w:type="gramStart"/>
      <w:r w:rsidRPr="009F70A7">
        <w:rPr>
          <w:rFonts w:ascii="Palatino Linotype" w:hAnsi="Palatino Linotype"/>
          <w:sz w:val="22"/>
          <w:szCs w:val="22"/>
        </w:rPr>
        <w:t>A4</w:t>
      </w:r>
      <w:proofErr w:type="spellEnd"/>
      <w:r w:rsidRPr="009F70A7">
        <w:rPr>
          <w:rFonts w:ascii="Palatino Linotype" w:hAnsi="Palatino Linotype"/>
          <w:sz w:val="22"/>
          <w:szCs w:val="22"/>
        </w:rPr>
        <w:t>(</w:t>
      </w:r>
      <w:proofErr w:type="spellStart"/>
      <w:proofErr w:type="gramEnd"/>
      <w:r w:rsidRPr="009F70A7">
        <w:rPr>
          <w:rFonts w:ascii="Palatino Linotype" w:hAnsi="Palatino Linotype"/>
          <w:sz w:val="22"/>
          <w:szCs w:val="22"/>
        </w:rPr>
        <w:t>A5002</w:t>
      </w:r>
      <w:proofErr w:type="spellEnd"/>
      <w:r w:rsidRPr="009F70A7">
        <w:rPr>
          <w:rFonts w:ascii="Palatino Linotype" w:hAnsi="Palatino Linotype"/>
          <w:sz w:val="22"/>
          <w:szCs w:val="22"/>
        </w:rPr>
        <w:t>-5)</w:t>
      </w:r>
      <w:r w:rsidRPr="009F70A7">
        <w:rPr>
          <w:rFonts w:ascii="Palatino Linotype" w:hAnsi="Palatino Linotype"/>
          <w:sz w:val="22"/>
          <w:szCs w:val="22"/>
        </w:rPr>
        <w:tab/>
        <w:t xml:space="preserve"> </w:t>
      </w:r>
    </w:p>
    <w:p w:rsidR="009F70A7" w:rsidRPr="009F70A7" w:rsidRDefault="009F70A7" w:rsidP="009F70A7">
      <w:pPr>
        <w:spacing w:after="120" w:line="276" w:lineRule="auto"/>
        <w:jc w:val="both"/>
        <w:rPr>
          <w:rFonts w:ascii="Palatino Linotype" w:hAnsi="Palatino Linotype"/>
          <w:b/>
          <w:bCs/>
          <w:sz w:val="22"/>
          <w:szCs w:val="22"/>
        </w:rPr>
      </w:pPr>
      <w:r w:rsidRPr="009F70A7">
        <w:rPr>
          <w:rFonts w:ascii="Palatino Linotype" w:hAnsi="Palatino Linotype"/>
          <w:b/>
          <w:sz w:val="22"/>
          <w:szCs w:val="22"/>
        </w:rPr>
        <w:t>Lote mínimo:</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t>5</w:t>
      </w:r>
      <w:r w:rsidRPr="009F70A7">
        <w:rPr>
          <w:rFonts w:ascii="Palatino Linotype" w:hAnsi="Palatino Linotype"/>
          <w:sz w:val="22"/>
          <w:szCs w:val="22"/>
        </w:rPr>
        <w:t>.</w:t>
      </w:r>
      <w:r w:rsidRPr="009F70A7">
        <w:rPr>
          <w:rFonts w:ascii="Palatino Linotype" w:hAnsi="Palatino Linotype"/>
          <w:sz w:val="22"/>
          <w:szCs w:val="22"/>
        </w:rPr>
        <w:t xml:space="preserve">000 </w:t>
      </w:r>
      <w:proofErr w:type="spellStart"/>
      <w:r w:rsidRPr="009F70A7">
        <w:rPr>
          <w:rFonts w:ascii="Palatino Linotype" w:hAnsi="Palatino Linotype"/>
          <w:sz w:val="22"/>
          <w:szCs w:val="22"/>
        </w:rPr>
        <w:t>m</w:t>
      </w:r>
      <w:r w:rsidRPr="009F70A7">
        <w:rPr>
          <w:rFonts w:ascii="Palatino Linotype" w:hAnsi="Palatino Linotype"/>
          <w:sz w:val="22"/>
          <w:szCs w:val="22"/>
          <w:vertAlign w:val="superscript"/>
        </w:rPr>
        <w:t>2</w:t>
      </w:r>
      <w:proofErr w:type="spellEnd"/>
    </w:p>
    <w:p w:rsidR="009F70A7" w:rsidRPr="009F70A7" w:rsidRDefault="009F70A7" w:rsidP="009F70A7">
      <w:pPr>
        <w:pStyle w:val="Ttulo3"/>
        <w:spacing w:before="0" w:after="120" w:line="276" w:lineRule="auto"/>
        <w:jc w:val="both"/>
        <w:rPr>
          <w:rFonts w:ascii="Palatino Linotype" w:hAnsi="Palatino Linotype"/>
          <w:sz w:val="22"/>
          <w:szCs w:val="22"/>
          <w:vertAlign w:val="superscript"/>
        </w:rPr>
      </w:pPr>
      <w:r w:rsidRPr="009F70A7">
        <w:rPr>
          <w:rFonts w:ascii="Palatino Linotype" w:hAnsi="Palatino Linotype"/>
          <w:sz w:val="22"/>
          <w:szCs w:val="22"/>
        </w:rPr>
        <w:t>Forma ocupación del suelo:</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b w:val="0"/>
          <w:sz w:val="22"/>
          <w:szCs w:val="22"/>
        </w:rPr>
        <w:t>(A) Aislada</w:t>
      </w:r>
    </w:p>
    <w:p w:rsidR="009F70A7" w:rsidRPr="009F70A7" w:rsidRDefault="009F70A7" w:rsidP="009F70A7">
      <w:pPr>
        <w:pStyle w:val="Ttulo3"/>
        <w:spacing w:before="0" w:after="120" w:line="276" w:lineRule="auto"/>
        <w:jc w:val="both"/>
        <w:rPr>
          <w:rFonts w:ascii="Palatino Linotype" w:hAnsi="Palatino Linotype" w:cs="Times New Roman"/>
          <w:b w:val="0"/>
          <w:sz w:val="22"/>
          <w:szCs w:val="22"/>
        </w:rPr>
      </w:pPr>
      <w:r w:rsidRPr="009F70A7">
        <w:rPr>
          <w:rFonts w:ascii="Palatino Linotype" w:hAnsi="Palatino Linotype" w:cs="Times New Roman"/>
          <w:sz w:val="22"/>
          <w:szCs w:val="22"/>
        </w:rPr>
        <w:t>Uso principal:</w:t>
      </w:r>
      <w:r w:rsidRPr="009F70A7">
        <w:rPr>
          <w:rFonts w:ascii="Palatino Linotype" w:hAnsi="Palatino Linotype" w:cs="Times New Roman"/>
          <w:sz w:val="22"/>
          <w:szCs w:val="22"/>
        </w:rPr>
        <w:tab/>
      </w:r>
      <w:r w:rsidRPr="009F70A7">
        <w:rPr>
          <w:rFonts w:ascii="Palatino Linotype" w:hAnsi="Palatino Linotype" w:cs="Times New Roman"/>
          <w:sz w:val="22"/>
          <w:szCs w:val="22"/>
        </w:rPr>
        <w:tab/>
      </w:r>
      <w:r w:rsidRPr="009F70A7">
        <w:rPr>
          <w:rFonts w:ascii="Palatino Linotype" w:hAnsi="Palatino Linotype" w:cs="Times New Roman"/>
          <w:sz w:val="22"/>
          <w:szCs w:val="22"/>
        </w:rPr>
        <w:tab/>
      </w:r>
      <w:r w:rsidRPr="009F70A7">
        <w:rPr>
          <w:rFonts w:ascii="Palatino Linotype" w:hAnsi="Palatino Linotype" w:cs="Times New Roman"/>
          <w:sz w:val="22"/>
          <w:szCs w:val="22"/>
        </w:rPr>
        <w:tab/>
      </w:r>
      <w:r w:rsidRPr="009F70A7">
        <w:rPr>
          <w:rFonts w:ascii="Palatino Linotype" w:hAnsi="Palatino Linotype" w:cs="Times New Roman"/>
          <w:b w:val="0"/>
          <w:sz w:val="22"/>
          <w:szCs w:val="22"/>
        </w:rPr>
        <w:t>(RN/PS) Recursos Naturales/Producción</w:t>
      </w:r>
    </w:p>
    <w:p w:rsidR="009F70A7" w:rsidRPr="009F70A7" w:rsidRDefault="009F70A7" w:rsidP="009F70A7">
      <w:pPr>
        <w:pStyle w:val="Ttulo3"/>
        <w:spacing w:before="0" w:after="120" w:line="276" w:lineRule="auto"/>
        <w:ind w:left="3540" w:firstLine="708"/>
        <w:jc w:val="both"/>
        <w:rPr>
          <w:rFonts w:ascii="Palatino Linotype" w:hAnsi="Palatino Linotype"/>
          <w:b w:val="0"/>
          <w:sz w:val="22"/>
          <w:szCs w:val="22"/>
        </w:rPr>
      </w:pPr>
      <w:r w:rsidRPr="009F70A7">
        <w:rPr>
          <w:rFonts w:ascii="Palatino Linotype" w:hAnsi="Palatino Linotype" w:cs="Times New Roman"/>
          <w:b w:val="0"/>
          <w:sz w:val="22"/>
          <w:szCs w:val="22"/>
        </w:rPr>
        <w:t>Sostenible</w:t>
      </w:r>
    </w:p>
    <w:p w:rsidR="009F70A7" w:rsidRPr="009F70A7" w:rsidRDefault="009F70A7" w:rsidP="009F70A7">
      <w:pPr>
        <w:spacing w:after="120" w:line="276" w:lineRule="auto"/>
        <w:contextualSpacing/>
        <w:jc w:val="both"/>
        <w:rPr>
          <w:rFonts w:ascii="Palatino Linotype" w:hAnsi="Palatino Linotype"/>
          <w:sz w:val="22"/>
          <w:szCs w:val="22"/>
          <w:highlight w:val="yellow"/>
        </w:rPr>
      </w:pPr>
      <w:r w:rsidRPr="009F70A7">
        <w:rPr>
          <w:rFonts w:ascii="Palatino Linotype" w:hAnsi="Palatino Linotype"/>
          <w:b/>
          <w:sz w:val="22"/>
          <w:szCs w:val="22"/>
        </w:rPr>
        <w:t xml:space="preserve">Clasificación del </w:t>
      </w:r>
      <w:r w:rsidRPr="009F70A7">
        <w:rPr>
          <w:rFonts w:ascii="Palatino Linotype" w:hAnsi="Palatino Linotype"/>
          <w:b/>
          <w:sz w:val="22"/>
          <w:szCs w:val="22"/>
        </w:rPr>
        <w:t>s</w:t>
      </w:r>
      <w:r w:rsidRPr="009F70A7">
        <w:rPr>
          <w:rFonts w:ascii="Palatino Linotype" w:hAnsi="Palatino Linotype"/>
          <w:b/>
          <w:sz w:val="22"/>
          <w:szCs w:val="22"/>
        </w:rPr>
        <w:t>uelo:</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t>(</w:t>
      </w:r>
      <w:proofErr w:type="spellStart"/>
      <w:r w:rsidRPr="009F70A7">
        <w:rPr>
          <w:rFonts w:ascii="Palatino Linotype" w:hAnsi="Palatino Linotype"/>
          <w:sz w:val="22"/>
          <w:szCs w:val="22"/>
        </w:rPr>
        <w:t>SRU</w:t>
      </w:r>
      <w:proofErr w:type="spellEnd"/>
      <w:r w:rsidRPr="009F70A7">
        <w:rPr>
          <w:rFonts w:ascii="Palatino Linotype" w:hAnsi="Palatino Linotype"/>
          <w:sz w:val="22"/>
          <w:szCs w:val="22"/>
        </w:rPr>
        <w:t>) Suelo Rural</w:t>
      </w:r>
    </w:p>
    <w:p w:rsidR="009F70A7" w:rsidRPr="009F70A7" w:rsidRDefault="009F70A7" w:rsidP="009F70A7">
      <w:pPr>
        <w:pStyle w:val="Ttulo3"/>
        <w:spacing w:before="0" w:after="120" w:line="276" w:lineRule="auto"/>
        <w:jc w:val="both"/>
        <w:rPr>
          <w:rFonts w:ascii="Palatino Linotype" w:hAnsi="Palatino Linotype"/>
          <w:sz w:val="22"/>
          <w:szCs w:val="22"/>
        </w:rPr>
      </w:pPr>
      <w:r w:rsidRPr="009F70A7">
        <w:rPr>
          <w:rFonts w:ascii="Palatino Linotype" w:hAnsi="Palatino Linotype"/>
          <w:sz w:val="22"/>
          <w:szCs w:val="22"/>
        </w:rPr>
        <w:lastRenderedPageBreak/>
        <w:t>Número de lotes:</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b w:val="0"/>
          <w:sz w:val="22"/>
          <w:szCs w:val="22"/>
        </w:rPr>
        <w:t>31</w:t>
      </w:r>
    </w:p>
    <w:p w:rsidR="009F70A7" w:rsidRPr="009F70A7" w:rsidRDefault="009F70A7" w:rsidP="009F70A7">
      <w:pPr>
        <w:pStyle w:val="Ttulo3"/>
        <w:spacing w:before="0" w:after="120" w:line="276" w:lineRule="auto"/>
        <w:jc w:val="both"/>
        <w:rPr>
          <w:rFonts w:ascii="Palatino Linotype" w:hAnsi="Palatino Linotype"/>
          <w:b w:val="0"/>
          <w:sz w:val="22"/>
          <w:szCs w:val="22"/>
          <w:vertAlign w:val="superscript"/>
        </w:rPr>
      </w:pPr>
      <w:r w:rsidRPr="009F70A7">
        <w:rPr>
          <w:rFonts w:ascii="Palatino Linotype" w:hAnsi="Palatino Linotype"/>
          <w:sz w:val="22"/>
          <w:szCs w:val="22"/>
        </w:rPr>
        <w:t>Área útil de lotes:</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b w:val="0"/>
          <w:sz w:val="22"/>
          <w:szCs w:val="22"/>
        </w:rPr>
        <w:t xml:space="preserve">6.942,17 </w:t>
      </w:r>
      <w:proofErr w:type="spellStart"/>
      <w:r w:rsidRPr="009F70A7">
        <w:rPr>
          <w:rFonts w:ascii="Palatino Linotype" w:hAnsi="Palatino Linotype"/>
          <w:b w:val="0"/>
          <w:sz w:val="22"/>
          <w:szCs w:val="22"/>
        </w:rPr>
        <w:t>m</w:t>
      </w:r>
      <w:r w:rsidRPr="009F70A7">
        <w:rPr>
          <w:rFonts w:ascii="Palatino Linotype" w:hAnsi="Palatino Linotype"/>
          <w:b w:val="0"/>
          <w:sz w:val="22"/>
          <w:szCs w:val="22"/>
          <w:vertAlign w:val="superscript"/>
        </w:rPr>
        <w:t>2</w:t>
      </w:r>
      <w:proofErr w:type="spellEnd"/>
    </w:p>
    <w:p w:rsidR="009F70A7" w:rsidRPr="009F70A7" w:rsidRDefault="009F70A7" w:rsidP="009F70A7">
      <w:pPr>
        <w:pStyle w:val="Ttulo3"/>
        <w:spacing w:before="0" w:after="120" w:line="276" w:lineRule="auto"/>
        <w:jc w:val="both"/>
        <w:rPr>
          <w:rFonts w:ascii="Palatino Linotype" w:hAnsi="Palatino Linotype"/>
          <w:b w:val="0"/>
          <w:sz w:val="22"/>
          <w:szCs w:val="22"/>
          <w:vertAlign w:val="superscript"/>
        </w:rPr>
      </w:pPr>
      <w:r w:rsidRPr="009F70A7">
        <w:rPr>
          <w:rFonts w:ascii="Palatino Linotype" w:hAnsi="Palatino Linotype"/>
          <w:sz w:val="22"/>
          <w:szCs w:val="22"/>
        </w:rPr>
        <w:t xml:space="preserve">Área </w:t>
      </w:r>
      <w:r w:rsidRPr="009F70A7">
        <w:rPr>
          <w:rFonts w:ascii="Palatino Linotype" w:hAnsi="Palatino Linotype"/>
          <w:sz w:val="22"/>
          <w:szCs w:val="22"/>
        </w:rPr>
        <w:t>v</w:t>
      </w:r>
      <w:r w:rsidRPr="009F70A7">
        <w:rPr>
          <w:rFonts w:ascii="Palatino Linotype" w:hAnsi="Palatino Linotype"/>
          <w:sz w:val="22"/>
          <w:szCs w:val="22"/>
        </w:rPr>
        <w:t xml:space="preserve">erde y de </w:t>
      </w:r>
      <w:r w:rsidRPr="009F70A7">
        <w:rPr>
          <w:rFonts w:ascii="Palatino Linotype" w:hAnsi="Palatino Linotype"/>
          <w:sz w:val="22"/>
          <w:szCs w:val="22"/>
        </w:rPr>
        <w:t>e</w:t>
      </w:r>
      <w:r w:rsidRPr="009F70A7">
        <w:rPr>
          <w:rFonts w:ascii="Palatino Linotype" w:hAnsi="Palatino Linotype"/>
          <w:sz w:val="22"/>
          <w:szCs w:val="22"/>
        </w:rPr>
        <w:t xml:space="preserve">quipamiento </w:t>
      </w:r>
      <w:r w:rsidRPr="009F70A7">
        <w:rPr>
          <w:rFonts w:ascii="Palatino Linotype" w:hAnsi="Palatino Linotype"/>
          <w:sz w:val="22"/>
          <w:szCs w:val="22"/>
        </w:rPr>
        <w:t>c</w:t>
      </w:r>
      <w:r w:rsidRPr="009F70A7">
        <w:rPr>
          <w:rFonts w:ascii="Palatino Linotype" w:hAnsi="Palatino Linotype"/>
          <w:sz w:val="22"/>
          <w:szCs w:val="22"/>
        </w:rPr>
        <w:t xml:space="preserve">omunal: </w:t>
      </w:r>
      <w:r w:rsidRPr="009F70A7">
        <w:rPr>
          <w:rFonts w:ascii="Palatino Linotype" w:hAnsi="Palatino Linotype"/>
          <w:sz w:val="22"/>
          <w:szCs w:val="22"/>
        </w:rPr>
        <w:tab/>
      </w:r>
      <w:r w:rsidRPr="009F70A7">
        <w:rPr>
          <w:rFonts w:ascii="Palatino Linotype" w:hAnsi="Palatino Linotype"/>
          <w:b w:val="0"/>
          <w:sz w:val="22"/>
          <w:szCs w:val="22"/>
        </w:rPr>
        <w:t xml:space="preserve">874,82 </w:t>
      </w:r>
      <w:proofErr w:type="spellStart"/>
      <w:r w:rsidRPr="009F70A7">
        <w:rPr>
          <w:rFonts w:ascii="Palatino Linotype" w:hAnsi="Palatino Linotype"/>
          <w:b w:val="0"/>
          <w:sz w:val="22"/>
          <w:szCs w:val="22"/>
        </w:rPr>
        <w:t>m</w:t>
      </w:r>
      <w:r w:rsidRPr="009F70A7">
        <w:rPr>
          <w:rFonts w:ascii="Palatino Linotype" w:hAnsi="Palatino Linotype"/>
          <w:b w:val="0"/>
          <w:sz w:val="22"/>
          <w:szCs w:val="22"/>
          <w:vertAlign w:val="superscript"/>
        </w:rPr>
        <w:t>2</w:t>
      </w:r>
      <w:proofErr w:type="spellEnd"/>
    </w:p>
    <w:p w:rsidR="009F70A7" w:rsidRPr="009F70A7" w:rsidRDefault="009F70A7" w:rsidP="009F70A7">
      <w:pPr>
        <w:pStyle w:val="Ttulo3"/>
        <w:spacing w:before="0" w:after="120" w:line="276" w:lineRule="auto"/>
        <w:jc w:val="both"/>
        <w:rPr>
          <w:rFonts w:ascii="Palatino Linotype" w:hAnsi="Palatino Linotype"/>
          <w:sz w:val="22"/>
          <w:szCs w:val="22"/>
          <w:vertAlign w:val="superscript"/>
        </w:rPr>
      </w:pPr>
      <w:r w:rsidRPr="009F70A7">
        <w:rPr>
          <w:rFonts w:ascii="Palatino Linotype" w:hAnsi="Palatino Linotype"/>
          <w:sz w:val="22"/>
          <w:szCs w:val="22"/>
        </w:rPr>
        <w:t>Área de vías y pasajes:</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b w:val="0"/>
          <w:sz w:val="22"/>
          <w:szCs w:val="22"/>
        </w:rPr>
        <w:t xml:space="preserve">1.885,55 </w:t>
      </w:r>
      <w:proofErr w:type="spellStart"/>
      <w:r w:rsidRPr="009F70A7">
        <w:rPr>
          <w:rFonts w:ascii="Palatino Linotype" w:hAnsi="Palatino Linotype"/>
          <w:b w:val="0"/>
          <w:sz w:val="22"/>
          <w:szCs w:val="22"/>
        </w:rPr>
        <w:t>m</w:t>
      </w:r>
      <w:r w:rsidRPr="009F70A7">
        <w:rPr>
          <w:rFonts w:ascii="Palatino Linotype" w:hAnsi="Palatino Linotype"/>
          <w:b w:val="0"/>
          <w:sz w:val="22"/>
          <w:szCs w:val="22"/>
          <w:vertAlign w:val="superscript"/>
        </w:rPr>
        <w:t>2</w:t>
      </w:r>
      <w:proofErr w:type="spellEnd"/>
    </w:p>
    <w:p w:rsidR="009F70A7" w:rsidRPr="009F70A7" w:rsidRDefault="009F70A7" w:rsidP="009F70A7">
      <w:pPr>
        <w:pStyle w:val="Ttulo3"/>
        <w:spacing w:before="0" w:after="120" w:line="276" w:lineRule="auto"/>
        <w:jc w:val="both"/>
        <w:rPr>
          <w:rFonts w:ascii="Palatino Linotype" w:hAnsi="Palatino Linotype"/>
          <w:b w:val="0"/>
          <w:sz w:val="22"/>
          <w:szCs w:val="22"/>
          <w:vertAlign w:val="superscript"/>
        </w:rPr>
      </w:pPr>
      <w:r w:rsidRPr="009F70A7">
        <w:rPr>
          <w:rFonts w:ascii="Palatino Linotype" w:hAnsi="Palatino Linotype"/>
          <w:sz w:val="22"/>
          <w:szCs w:val="22"/>
        </w:rPr>
        <w:t>Área total de lote:</w:t>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sz w:val="22"/>
          <w:szCs w:val="22"/>
        </w:rPr>
        <w:tab/>
      </w:r>
      <w:r w:rsidRPr="009F70A7">
        <w:rPr>
          <w:rFonts w:ascii="Palatino Linotype" w:hAnsi="Palatino Linotype"/>
          <w:b w:val="0"/>
          <w:sz w:val="22"/>
          <w:szCs w:val="22"/>
        </w:rPr>
        <w:t xml:space="preserve">9.702,54 </w:t>
      </w:r>
      <w:proofErr w:type="spellStart"/>
      <w:r w:rsidRPr="009F70A7">
        <w:rPr>
          <w:rFonts w:ascii="Palatino Linotype" w:hAnsi="Palatino Linotype"/>
          <w:b w:val="0"/>
          <w:sz w:val="22"/>
          <w:szCs w:val="22"/>
          <w:lang w:val="es-MX"/>
        </w:rPr>
        <w:t>m</w:t>
      </w:r>
      <w:r w:rsidRPr="009F70A7">
        <w:rPr>
          <w:rFonts w:ascii="Palatino Linotype" w:hAnsi="Palatino Linotype"/>
          <w:b w:val="0"/>
          <w:sz w:val="22"/>
          <w:szCs w:val="22"/>
          <w:vertAlign w:val="superscript"/>
          <w:lang w:val="es-MX"/>
        </w:rPr>
        <w:t>2</w:t>
      </w:r>
      <w:proofErr w:type="spellEnd"/>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El número total de lotes es de 31, signados del uno (1) al treinta y uno (31), cuyo detalle es el que consta en los planos aprobatorios que forman parte de la presente Ordenanza.</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bCs/>
          <w:sz w:val="22"/>
          <w:szCs w:val="22"/>
        </w:rPr>
        <w:t xml:space="preserve">Artículo 3.- Zonificación de lotes.- </w:t>
      </w:r>
      <w:r w:rsidRPr="009F70A7">
        <w:rPr>
          <w:rFonts w:ascii="Palatino Linotype" w:hAnsi="Palatino Linotype"/>
          <w:bCs/>
          <w:sz w:val="22"/>
          <w:szCs w:val="22"/>
        </w:rPr>
        <w:t xml:space="preserve">Los lotes fraccionados modificarán la zonificación </w:t>
      </w:r>
      <w:r w:rsidRPr="009F70A7">
        <w:rPr>
          <w:rFonts w:ascii="Palatino Linotype" w:hAnsi="Palatino Linotype"/>
          <w:sz w:val="22"/>
          <w:szCs w:val="22"/>
        </w:rPr>
        <w:t>para todos los 31 lotes</w:t>
      </w:r>
      <w:r w:rsidRPr="009F70A7">
        <w:rPr>
          <w:rFonts w:ascii="Palatino Linotype" w:hAnsi="Palatino Linotype"/>
          <w:bCs/>
          <w:sz w:val="22"/>
          <w:szCs w:val="22"/>
        </w:rPr>
        <w:t xml:space="preserve">, conforme se detalla a continuación: </w:t>
      </w:r>
      <w:proofErr w:type="spellStart"/>
      <w:r w:rsidRPr="009F70A7">
        <w:rPr>
          <w:rFonts w:ascii="Palatino Linotype" w:hAnsi="Palatino Linotype"/>
          <w:bCs/>
          <w:sz w:val="22"/>
          <w:szCs w:val="22"/>
        </w:rPr>
        <w:t>D3</w:t>
      </w:r>
      <w:proofErr w:type="spellEnd"/>
      <w:r w:rsidRPr="009F70A7">
        <w:rPr>
          <w:rFonts w:ascii="Palatino Linotype" w:hAnsi="Palatino Linotype"/>
          <w:bCs/>
          <w:sz w:val="22"/>
          <w:szCs w:val="22"/>
        </w:rPr>
        <w:t xml:space="preserve"> </w:t>
      </w:r>
      <w:r w:rsidRPr="009F70A7">
        <w:rPr>
          <w:rFonts w:ascii="Palatino Linotype" w:hAnsi="Palatino Linotype"/>
          <w:sz w:val="22"/>
          <w:szCs w:val="22"/>
        </w:rPr>
        <w:t>(</w:t>
      </w:r>
      <w:proofErr w:type="spellStart"/>
      <w:r w:rsidRPr="009F70A7">
        <w:rPr>
          <w:rFonts w:ascii="Palatino Linotype" w:hAnsi="Palatino Linotype"/>
          <w:sz w:val="22"/>
          <w:szCs w:val="22"/>
        </w:rPr>
        <w:t>D203</w:t>
      </w:r>
      <w:proofErr w:type="spellEnd"/>
      <w:r w:rsidRPr="009F70A7">
        <w:rPr>
          <w:rFonts w:ascii="Palatino Linotype" w:hAnsi="Palatino Linotype"/>
          <w:sz w:val="22"/>
          <w:szCs w:val="22"/>
        </w:rPr>
        <w:t xml:space="preserve">-80); forma de ocupación: (D) Sobre línea de fábrica; lote mínimo 200,00 </w:t>
      </w:r>
      <w:proofErr w:type="spellStart"/>
      <w:r w:rsidRPr="009F70A7">
        <w:rPr>
          <w:rFonts w:ascii="Palatino Linotype" w:hAnsi="Palatino Linotype"/>
          <w:sz w:val="22"/>
          <w:szCs w:val="22"/>
        </w:rPr>
        <w:t>m</w:t>
      </w:r>
      <w:r w:rsidRPr="009F70A7">
        <w:rPr>
          <w:rFonts w:ascii="Palatino Linotype" w:hAnsi="Palatino Linotype"/>
          <w:sz w:val="22"/>
          <w:szCs w:val="22"/>
          <w:vertAlign w:val="superscript"/>
        </w:rPr>
        <w:t>2</w:t>
      </w:r>
      <w:proofErr w:type="spellEnd"/>
      <w:r w:rsidRPr="009F70A7">
        <w:rPr>
          <w:rFonts w:ascii="Palatino Linotype" w:hAnsi="Palatino Linotype"/>
          <w:sz w:val="22"/>
          <w:szCs w:val="22"/>
        </w:rPr>
        <w:t xml:space="preserve">; número de pisos: 3 pisos; </w:t>
      </w:r>
      <w:proofErr w:type="spellStart"/>
      <w:r w:rsidRPr="009F70A7">
        <w:rPr>
          <w:rFonts w:ascii="Palatino Linotype" w:hAnsi="Palatino Linotype"/>
          <w:sz w:val="22"/>
          <w:szCs w:val="22"/>
        </w:rPr>
        <w:t>COS</w:t>
      </w:r>
      <w:proofErr w:type="spellEnd"/>
      <w:r w:rsidRPr="009F70A7">
        <w:rPr>
          <w:rFonts w:ascii="Palatino Linotype" w:hAnsi="Palatino Linotype"/>
          <w:sz w:val="22"/>
          <w:szCs w:val="22"/>
        </w:rPr>
        <w:t xml:space="preserve"> planta baja 80%, </w:t>
      </w:r>
      <w:proofErr w:type="spellStart"/>
      <w:r w:rsidRPr="009F70A7">
        <w:rPr>
          <w:rFonts w:ascii="Palatino Linotype" w:hAnsi="Palatino Linotype"/>
          <w:sz w:val="22"/>
          <w:szCs w:val="22"/>
        </w:rPr>
        <w:t>COS</w:t>
      </w:r>
      <w:proofErr w:type="spellEnd"/>
      <w:r w:rsidRPr="009F70A7">
        <w:rPr>
          <w:rFonts w:ascii="Palatino Linotype" w:hAnsi="Palatino Linotype"/>
          <w:sz w:val="22"/>
          <w:szCs w:val="22"/>
        </w:rPr>
        <w:t xml:space="preserve"> total 240%; Uso principal: (</w:t>
      </w:r>
      <w:proofErr w:type="spellStart"/>
      <w:r w:rsidRPr="009F70A7">
        <w:rPr>
          <w:rFonts w:ascii="Palatino Linotype" w:hAnsi="Palatino Linotype"/>
          <w:sz w:val="22"/>
          <w:szCs w:val="22"/>
        </w:rPr>
        <w:t>RR1</w:t>
      </w:r>
      <w:proofErr w:type="spellEnd"/>
      <w:r w:rsidRPr="009F70A7">
        <w:rPr>
          <w:rFonts w:ascii="Palatino Linotype" w:hAnsi="Palatino Linotype"/>
          <w:sz w:val="22"/>
          <w:szCs w:val="22"/>
        </w:rPr>
        <w:t>) Residencial rural 1.</w:t>
      </w:r>
    </w:p>
    <w:p w:rsidR="009F70A7" w:rsidRPr="009F70A7" w:rsidRDefault="009F70A7" w:rsidP="009F70A7">
      <w:pPr>
        <w:spacing w:after="120" w:line="276" w:lineRule="auto"/>
        <w:jc w:val="both"/>
        <w:rPr>
          <w:rFonts w:ascii="Palatino Linotype" w:hAnsi="Palatino Linotype"/>
          <w:bCs/>
          <w:sz w:val="22"/>
          <w:szCs w:val="22"/>
        </w:rPr>
      </w:pPr>
      <w:r w:rsidRPr="009F70A7">
        <w:rPr>
          <w:rFonts w:ascii="Palatino Linotype" w:hAnsi="Palatino Linotype"/>
          <w:b/>
          <w:bCs/>
          <w:sz w:val="22"/>
          <w:szCs w:val="22"/>
        </w:rPr>
        <w:t xml:space="preserve">Artículo 4.- Clasificación del </w:t>
      </w:r>
      <w:r w:rsidRPr="009F70A7">
        <w:rPr>
          <w:rFonts w:ascii="Palatino Linotype" w:hAnsi="Palatino Linotype"/>
          <w:b/>
          <w:bCs/>
          <w:sz w:val="22"/>
          <w:szCs w:val="22"/>
        </w:rPr>
        <w:t>s</w:t>
      </w:r>
      <w:r w:rsidRPr="009F70A7">
        <w:rPr>
          <w:rFonts w:ascii="Palatino Linotype" w:hAnsi="Palatino Linotype"/>
          <w:b/>
          <w:bCs/>
          <w:sz w:val="22"/>
          <w:szCs w:val="22"/>
        </w:rPr>
        <w:t xml:space="preserve">uelo.- </w:t>
      </w:r>
      <w:r w:rsidRPr="009F70A7">
        <w:rPr>
          <w:rFonts w:ascii="Palatino Linotype" w:hAnsi="Palatino Linotype"/>
          <w:bCs/>
          <w:sz w:val="22"/>
          <w:szCs w:val="22"/>
        </w:rPr>
        <w:t>Los lotes fraccionados mantendrán la clasificación vigente, esto es (</w:t>
      </w:r>
      <w:proofErr w:type="spellStart"/>
      <w:r w:rsidRPr="009F70A7">
        <w:rPr>
          <w:rFonts w:ascii="Palatino Linotype" w:hAnsi="Palatino Linotype"/>
          <w:bCs/>
          <w:sz w:val="22"/>
          <w:szCs w:val="22"/>
        </w:rPr>
        <w:t>SRU</w:t>
      </w:r>
      <w:proofErr w:type="spellEnd"/>
      <w:r w:rsidRPr="009F70A7">
        <w:rPr>
          <w:rFonts w:ascii="Palatino Linotype" w:hAnsi="Palatino Linotype"/>
          <w:bCs/>
          <w:sz w:val="22"/>
          <w:szCs w:val="22"/>
        </w:rPr>
        <w:t>) Suelo Rural.</w:t>
      </w:r>
    </w:p>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 xml:space="preserve">Artículo 5.- </w:t>
      </w:r>
      <w:r w:rsidRPr="009F70A7">
        <w:rPr>
          <w:rFonts w:ascii="Palatino Linotype" w:hAnsi="Palatino Linotype"/>
          <w:b/>
          <w:bCs/>
          <w:sz w:val="22"/>
          <w:szCs w:val="22"/>
        </w:rPr>
        <w:t xml:space="preserve">Del Área </w:t>
      </w:r>
      <w:r w:rsidRPr="009F70A7">
        <w:rPr>
          <w:rFonts w:ascii="Palatino Linotype" w:hAnsi="Palatino Linotype"/>
          <w:b/>
          <w:bCs/>
          <w:sz w:val="22"/>
          <w:szCs w:val="22"/>
        </w:rPr>
        <w:t>verde y área de equipamiento comunal</w:t>
      </w:r>
      <w:r w:rsidRPr="009F70A7">
        <w:rPr>
          <w:rFonts w:ascii="Palatino Linotype" w:hAnsi="Palatino Linotype"/>
          <w:bCs/>
          <w:sz w:val="22"/>
          <w:szCs w:val="22"/>
        </w:rPr>
        <w:t xml:space="preserve">.- Los copropietarios del </w:t>
      </w:r>
      <w:r w:rsidRPr="009F70A7">
        <w:rPr>
          <w:rFonts w:ascii="Palatino Linotype" w:hAnsi="Palatino Linotype"/>
          <w:sz w:val="22"/>
          <w:szCs w:val="22"/>
        </w:rPr>
        <w:t>Asentamiento Humano de Hecho y Consolidado de interés social denominado Barrio “Valle 4” de San Juan de Calderón, transfieren al Municipio del Distrito Metropolitano de Quito como contribución de áreas verdes y áreas de equipamiento comunal, un área total de 874,82</w:t>
      </w:r>
      <w:r w:rsidRPr="009F70A7">
        <w:rPr>
          <w:rFonts w:ascii="Palatino Linotype" w:hAnsi="Palatino Linotype"/>
          <w:sz w:val="22"/>
          <w:szCs w:val="22"/>
        </w:rPr>
        <w:t xml:space="preserve"> </w:t>
      </w:r>
      <w:proofErr w:type="spellStart"/>
      <w:r w:rsidRPr="009F70A7">
        <w:rPr>
          <w:rFonts w:ascii="Palatino Linotype" w:hAnsi="Palatino Linotype"/>
          <w:sz w:val="22"/>
          <w:szCs w:val="22"/>
        </w:rPr>
        <w:t>m</w:t>
      </w:r>
      <w:r w:rsidRPr="009F70A7">
        <w:rPr>
          <w:rFonts w:ascii="Palatino Linotype" w:hAnsi="Palatino Linotype"/>
          <w:sz w:val="22"/>
          <w:szCs w:val="22"/>
          <w:vertAlign w:val="superscript"/>
        </w:rPr>
        <w:t>2</w:t>
      </w:r>
      <w:proofErr w:type="spellEnd"/>
      <w:r w:rsidRPr="009F70A7">
        <w:rPr>
          <w:rFonts w:ascii="Palatino Linotype" w:hAnsi="Palatino Linotype"/>
          <w:sz w:val="22"/>
          <w:szCs w:val="22"/>
          <w:vertAlign w:val="superscript"/>
        </w:rPr>
        <w:t xml:space="preserve">  </w:t>
      </w:r>
      <w:r w:rsidRPr="009F70A7">
        <w:rPr>
          <w:rFonts w:ascii="Palatino Linotype" w:hAnsi="Palatino Linotype"/>
          <w:sz w:val="22"/>
          <w:szCs w:val="22"/>
        </w:rPr>
        <w:t>del área útil de los lotes, de conformidad al siguiente detalle</w:t>
      </w:r>
      <w:r w:rsidRPr="009F70A7">
        <w:rPr>
          <w:rFonts w:ascii="Palatino Linotype" w:hAnsi="Palatino Linotype"/>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975"/>
        <w:gridCol w:w="2397"/>
        <w:gridCol w:w="1224"/>
        <w:gridCol w:w="1533"/>
        <w:gridCol w:w="1494"/>
      </w:tblGrid>
      <w:tr w:rsidR="009F70A7" w:rsidRPr="009F70A7" w:rsidTr="00656DFB">
        <w:trPr>
          <w:trHeight w:val="295"/>
        </w:trPr>
        <w:tc>
          <w:tcPr>
            <w:tcW w:w="5000" w:type="pct"/>
            <w:gridSpan w:val="6"/>
            <w:shd w:val="clear" w:color="auto" w:fill="auto"/>
            <w:vAlign w:val="center"/>
          </w:tcPr>
          <w:p w:rsidR="009F70A7" w:rsidRPr="009F70A7" w:rsidRDefault="009F70A7" w:rsidP="009F70A7">
            <w:pPr>
              <w:spacing w:after="120" w:line="276" w:lineRule="auto"/>
              <w:jc w:val="center"/>
              <w:rPr>
                <w:rFonts w:ascii="Palatino Linotype" w:hAnsi="Palatino Linotype"/>
                <w:b/>
                <w:sz w:val="22"/>
                <w:szCs w:val="22"/>
              </w:rPr>
            </w:pPr>
            <w:r w:rsidRPr="009F70A7">
              <w:rPr>
                <w:rFonts w:ascii="Palatino Linotype" w:hAnsi="Palatino Linotype"/>
                <w:b/>
                <w:sz w:val="22"/>
                <w:szCs w:val="22"/>
              </w:rPr>
              <w:t>Área verde</w:t>
            </w:r>
          </w:p>
        </w:tc>
      </w:tr>
      <w:tr w:rsidR="009F70A7" w:rsidRPr="009F70A7" w:rsidTr="00656DFB">
        <w:trPr>
          <w:trHeight w:val="268"/>
        </w:trPr>
        <w:tc>
          <w:tcPr>
            <w:tcW w:w="958" w:type="pct"/>
            <w:vMerge w:val="restart"/>
            <w:shd w:val="clear" w:color="auto" w:fill="auto"/>
            <w:vAlign w:val="center"/>
          </w:tcPr>
          <w:p w:rsidR="009F70A7" w:rsidRPr="009F70A7" w:rsidRDefault="009F70A7" w:rsidP="009F70A7">
            <w:pPr>
              <w:spacing w:after="120" w:line="276" w:lineRule="auto"/>
              <w:jc w:val="both"/>
              <w:rPr>
                <w:rFonts w:ascii="Palatino Linotype" w:hAnsi="Palatino Linotype"/>
                <w:b/>
                <w:sz w:val="22"/>
                <w:szCs w:val="22"/>
              </w:rPr>
            </w:pPr>
          </w:p>
          <w:p w:rsidR="009F70A7" w:rsidRPr="009F70A7" w:rsidRDefault="009F70A7" w:rsidP="009F70A7">
            <w:pPr>
              <w:spacing w:after="120" w:line="276" w:lineRule="auto"/>
              <w:jc w:val="both"/>
              <w:rPr>
                <w:rFonts w:ascii="Palatino Linotype" w:hAnsi="Palatino Linotype"/>
                <w:b/>
                <w:sz w:val="22"/>
                <w:szCs w:val="22"/>
              </w:rPr>
            </w:pPr>
          </w:p>
          <w:p w:rsidR="009F70A7" w:rsidRPr="009F70A7" w:rsidRDefault="009F70A7" w:rsidP="009F70A7">
            <w:pPr>
              <w:spacing w:after="120" w:line="276" w:lineRule="auto"/>
              <w:jc w:val="both"/>
              <w:rPr>
                <w:rFonts w:ascii="Palatino Linotype" w:hAnsi="Palatino Linotype"/>
                <w:b/>
                <w:sz w:val="22"/>
                <w:szCs w:val="22"/>
              </w:rPr>
            </w:pP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sz w:val="22"/>
                <w:szCs w:val="22"/>
              </w:rPr>
              <w:t xml:space="preserve">Área </w:t>
            </w:r>
            <w:r w:rsidRPr="009F70A7">
              <w:rPr>
                <w:rFonts w:ascii="Palatino Linotype" w:hAnsi="Palatino Linotype"/>
                <w:b/>
                <w:sz w:val="22"/>
                <w:szCs w:val="22"/>
              </w:rPr>
              <w:t>verde y de equipamiento comunal</w:t>
            </w:r>
          </w:p>
        </w:tc>
        <w:tc>
          <w:tcPr>
            <w:tcW w:w="517" w:type="pct"/>
            <w:tcBorders>
              <w:right w:val="single" w:sz="4" w:space="0" w:color="auto"/>
            </w:tcBorders>
            <w:shd w:val="clear" w:color="auto" w:fill="auto"/>
          </w:tcPr>
          <w:p w:rsidR="009F70A7" w:rsidRPr="009F70A7" w:rsidRDefault="009F70A7" w:rsidP="009F70A7">
            <w:pPr>
              <w:spacing w:after="120" w:line="276" w:lineRule="auto"/>
              <w:jc w:val="both"/>
              <w:rPr>
                <w:rFonts w:ascii="Palatino Linotype" w:hAnsi="Palatino Linotype"/>
                <w:b/>
                <w:sz w:val="22"/>
                <w:szCs w:val="22"/>
              </w:rPr>
            </w:pPr>
          </w:p>
        </w:tc>
        <w:tc>
          <w:tcPr>
            <w:tcW w:w="1271" w:type="pct"/>
            <w:tcBorders>
              <w:left w:val="single" w:sz="4" w:space="0" w:color="auto"/>
            </w:tcBorders>
            <w:shd w:val="clear" w:color="auto" w:fill="auto"/>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Lindero</w:t>
            </w:r>
          </w:p>
        </w:tc>
        <w:tc>
          <w:tcPr>
            <w:tcW w:w="649" w:type="pct"/>
            <w:tcBorders>
              <w:left w:val="single" w:sz="4" w:space="0" w:color="auto"/>
              <w:righ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En parte</w:t>
            </w:r>
          </w:p>
        </w:tc>
        <w:tc>
          <w:tcPr>
            <w:tcW w:w="813" w:type="pct"/>
            <w:tcBorders>
              <w:lef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Total</w:t>
            </w:r>
          </w:p>
        </w:tc>
        <w:tc>
          <w:tcPr>
            <w:tcW w:w="792" w:type="pct"/>
            <w:tcBorders>
              <w:top w:val="single" w:sz="4" w:space="0" w:color="auto"/>
              <w:bottom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sz w:val="22"/>
                <w:szCs w:val="22"/>
              </w:rPr>
              <w:t>Superficie</w:t>
            </w:r>
          </w:p>
        </w:tc>
      </w:tr>
      <w:tr w:rsidR="009F70A7" w:rsidRPr="009F70A7" w:rsidTr="00656DFB">
        <w:trPr>
          <w:trHeight w:val="445"/>
        </w:trPr>
        <w:tc>
          <w:tcPr>
            <w:tcW w:w="958"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c>
          <w:tcPr>
            <w:tcW w:w="517" w:type="pct"/>
            <w:shd w:val="clear" w:color="auto" w:fill="auto"/>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Norte:</w:t>
            </w:r>
          </w:p>
        </w:tc>
        <w:tc>
          <w:tcPr>
            <w:tcW w:w="1271" w:type="pct"/>
            <w:shd w:val="clear" w:color="auto" w:fill="auto"/>
          </w:tcPr>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Lote 30</w:t>
            </w:r>
          </w:p>
        </w:tc>
        <w:tc>
          <w:tcPr>
            <w:tcW w:w="649" w:type="pct"/>
            <w:tcBorders>
              <w:righ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sz w:val="22"/>
                <w:szCs w:val="22"/>
              </w:rPr>
            </w:pPr>
          </w:p>
        </w:tc>
        <w:tc>
          <w:tcPr>
            <w:tcW w:w="813" w:type="pct"/>
            <w:tcBorders>
              <w:left w:val="single" w:sz="4" w:space="0" w:color="auto"/>
            </w:tcBorders>
            <w:shd w:val="clear" w:color="auto" w:fill="auto"/>
            <w:vAlign w:val="center"/>
          </w:tcPr>
          <w:p w:rsidR="009F70A7" w:rsidRPr="009F70A7" w:rsidRDefault="009F70A7" w:rsidP="009F70A7">
            <w:pPr>
              <w:spacing w:after="120" w:line="276" w:lineRule="auto"/>
              <w:jc w:val="center"/>
              <w:rPr>
                <w:rFonts w:ascii="Palatino Linotype" w:hAnsi="Palatino Linotype"/>
                <w:sz w:val="22"/>
                <w:szCs w:val="22"/>
              </w:rPr>
            </w:pPr>
            <w:r w:rsidRPr="009F70A7">
              <w:rPr>
                <w:rFonts w:ascii="Palatino Linotype" w:hAnsi="Palatino Linotype"/>
                <w:sz w:val="22"/>
                <w:szCs w:val="22"/>
              </w:rPr>
              <w:t>27,88 m.</w:t>
            </w:r>
          </w:p>
        </w:tc>
        <w:tc>
          <w:tcPr>
            <w:tcW w:w="792" w:type="pct"/>
            <w:vMerge w:val="restart"/>
            <w:tcBorders>
              <w:top w:val="single" w:sz="4" w:space="0" w:color="auto"/>
            </w:tcBorders>
            <w:shd w:val="clear" w:color="auto" w:fill="auto"/>
            <w:vAlign w:val="center"/>
          </w:tcPr>
          <w:p w:rsidR="009F70A7" w:rsidRPr="009F70A7" w:rsidRDefault="009F70A7" w:rsidP="009F70A7">
            <w:pPr>
              <w:spacing w:after="120" w:line="276" w:lineRule="auto"/>
              <w:jc w:val="center"/>
              <w:rPr>
                <w:rFonts w:ascii="Palatino Linotype" w:hAnsi="Palatino Linotype"/>
                <w:sz w:val="22"/>
                <w:szCs w:val="22"/>
              </w:rPr>
            </w:pPr>
            <w:r w:rsidRPr="009F70A7">
              <w:rPr>
                <w:rFonts w:ascii="Palatino Linotype" w:hAnsi="Palatino Linotype"/>
                <w:sz w:val="22"/>
                <w:szCs w:val="22"/>
              </w:rPr>
              <w:t xml:space="preserve">874,82 </w:t>
            </w:r>
            <w:proofErr w:type="spellStart"/>
            <w:r w:rsidRPr="009F70A7">
              <w:rPr>
                <w:rFonts w:ascii="Palatino Linotype" w:hAnsi="Palatino Linotype"/>
                <w:sz w:val="22"/>
                <w:szCs w:val="22"/>
              </w:rPr>
              <w:t>m</w:t>
            </w:r>
            <w:r w:rsidRPr="009F70A7">
              <w:rPr>
                <w:rFonts w:ascii="Palatino Linotype" w:hAnsi="Palatino Linotype"/>
                <w:sz w:val="22"/>
                <w:szCs w:val="22"/>
                <w:vertAlign w:val="superscript"/>
              </w:rPr>
              <w:t>2</w:t>
            </w:r>
            <w:proofErr w:type="spellEnd"/>
          </w:p>
        </w:tc>
      </w:tr>
      <w:tr w:rsidR="009F70A7" w:rsidRPr="009F70A7" w:rsidTr="00656DFB">
        <w:trPr>
          <w:trHeight w:val="275"/>
        </w:trPr>
        <w:tc>
          <w:tcPr>
            <w:tcW w:w="958"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c>
          <w:tcPr>
            <w:tcW w:w="517" w:type="pct"/>
            <w:shd w:val="clear" w:color="auto" w:fill="auto"/>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Sur:</w:t>
            </w:r>
          </w:p>
        </w:tc>
        <w:tc>
          <w:tcPr>
            <w:tcW w:w="1271" w:type="pct"/>
            <w:shd w:val="clear" w:color="auto" w:fill="auto"/>
          </w:tcPr>
          <w:p w:rsidR="009F70A7" w:rsidRPr="009F70A7" w:rsidRDefault="009F70A7" w:rsidP="009F70A7">
            <w:pPr>
              <w:spacing w:after="120" w:line="276" w:lineRule="auto"/>
              <w:jc w:val="both"/>
              <w:rPr>
                <w:rFonts w:ascii="Palatino Linotype" w:hAnsi="Palatino Linotype"/>
                <w:sz w:val="22"/>
                <w:szCs w:val="22"/>
                <w:lang w:val="en-US"/>
              </w:rPr>
            </w:pPr>
            <w:r w:rsidRPr="009F70A7">
              <w:rPr>
                <w:rFonts w:ascii="Palatino Linotype" w:hAnsi="Palatino Linotype"/>
                <w:sz w:val="22"/>
                <w:szCs w:val="22"/>
              </w:rPr>
              <w:t>Lote 29</w:t>
            </w:r>
            <w:r w:rsidRPr="009F70A7">
              <w:rPr>
                <w:rFonts w:ascii="Palatino Linotype" w:hAnsi="Palatino Linotype"/>
                <w:sz w:val="22"/>
                <w:szCs w:val="22"/>
                <w:lang w:val="en-US"/>
              </w:rPr>
              <w:t xml:space="preserve">                        </w:t>
            </w:r>
          </w:p>
        </w:tc>
        <w:tc>
          <w:tcPr>
            <w:tcW w:w="649" w:type="pct"/>
            <w:tcBorders>
              <w:righ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 xml:space="preserve"> </w:t>
            </w:r>
          </w:p>
        </w:tc>
        <w:tc>
          <w:tcPr>
            <w:tcW w:w="813" w:type="pct"/>
            <w:tcBorders>
              <w:left w:val="single" w:sz="4" w:space="0" w:color="auto"/>
            </w:tcBorders>
            <w:shd w:val="clear" w:color="auto" w:fill="auto"/>
            <w:vAlign w:val="center"/>
          </w:tcPr>
          <w:p w:rsidR="009F70A7" w:rsidRPr="009F70A7" w:rsidRDefault="009F70A7" w:rsidP="009F70A7">
            <w:pPr>
              <w:spacing w:after="120" w:line="276" w:lineRule="auto"/>
              <w:jc w:val="center"/>
              <w:rPr>
                <w:rFonts w:ascii="Palatino Linotype" w:hAnsi="Palatino Linotype"/>
                <w:sz w:val="22"/>
                <w:szCs w:val="22"/>
              </w:rPr>
            </w:pPr>
            <w:r w:rsidRPr="009F70A7">
              <w:rPr>
                <w:rFonts w:ascii="Palatino Linotype" w:hAnsi="Palatino Linotype"/>
                <w:sz w:val="22"/>
                <w:szCs w:val="22"/>
              </w:rPr>
              <w:t>27,76 m.</w:t>
            </w:r>
          </w:p>
        </w:tc>
        <w:tc>
          <w:tcPr>
            <w:tcW w:w="792"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r>
      <w:tr w:rsidR="009F70A7" w:rsidRPr="009F70A7" w:rsidTr="00656DFB">
        <w:trPr>
          <w:trHeight w:val="545"/>
        </w:trPr>
        <w:tc>
          <w:tcPr>
            <w:tcW w:w="958"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c>
          <w:tcPr>
            <w:tcW w:w="517" w:type="pct"/>
            <w:shd w:val="clear" w:color="auto" w:fill="auto"/>
            <w:vAlign w:val="center"/>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Este:</w:t>
            </w:r>
          </w:p>
        </w:tc>
        <w:tc>
          <w:tcPr>
            <w:tcW w:w="1271" w:type="pct"/>
            <w:shd w:val="clear" w:color="auto" w:fill="auto"/>
          </w:tcPr>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Propiedad Particular</w:t>
            </w:r>
          </w:p>
        </w:tc>
        <w:tc>
          <w:tcPr>
            <w:tcW w:w="649" w:type="pct"/>
            <w:tcBorders>
              <w:righ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sz w:val="22"/>
                <w:szCs w:val="22"/>
              </w:rPr>
            </w:pPr>
          </w:p>
        </w:tc>
        <w:tc>
          <w:tcPr>
            <w:tcW w:w="813" w:type="pct"/>
            <w:tcBorders>
              <w:left w:val="single" w:sz="4" w:space="0" w:color="auto"/>
            </w:tcBorders>
            <w:shd w:val="clear" w:color="auto" w:fill="auto"/>
            <w:vAlign w:val="center"/>
          </w:tcPr>
          <w:p w:rsidR="009F70A7" w:rsidRPr="009F70A7" w:rsidRDefault="009F70A7" w:rsidP="009F70A7">
            <w:pPr>
              <w:spacing w:after="120" w:line="276" w:lineRule="auto"/>
              <w:jc w:val="center"/>
              <w:rPr>
                <w:rFonts w:ascii="Palatino Linotype" w:hAnsi="Palatino Linotype"/>
                <w:sz w:val="22"/>
                <w:szCs w:val="22"/>
              </w:rPr>
            </w:pPr>
            <w:r w:rsidRPr="009F70A7">
              <w:rPr>
                <w:rFonts w:ascii="Palatino Linotype" w:hAnsi="Palatino Linotype"/>
                <w:sz w:val="22"/>
                <w:szCs w:val="22"/>
              </w:rPr>
              <w:t>31,44 m.</w:t>
            </w:r>
          </w:p>
        </w:tc>
        <w:tc>
          <w:tcPr>
            <w:tcW w:w="792"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r>
      <w:tr w:rsidR="009F70A7" w:rsidRPr="009F70A7" w:rsidTr="00656DFB">
        <w:trPr>
          <w:trHeight w:val="623"/>
        </w:trPr>
        <w:tc>
          <w:tcPr>
            <w:tcW w:w="958"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c>
          <w:tcPr>
            <w:tcW w:w="517" w:type="pct"/>
            <w:shd w:val="clear" w:color="auto" w:fill="auto"/>
          </w:tcPr>
          <w:p w:rsidR="009F70A7" w:rsidRPr="009F70A7" w:rsidRDefault="009F70A7" w:rsidP="009F70A7">
            <w:pPr>
              <w:spacing w:after="120" w:line="276" w:lineRule="auto"/>
              <w:jc w:val="both"/>
              <w:rPr>
                <w:rFonts w:ascii="Palatino Linotype" w:hAnsi="Palatino Linotype"/>
                <w:b/>
                <w:sz w:val="22"/>
                <w:szCs w:val="22"/>
              </w:rPr>
            </w:pPr>
            <w:r w:rsidRPr="009F70A7">
              <w:rPr>
                <w:rFonts w:ascii="Palatino Linotype" w:hAnsi="Palatino Linotype"/>
                <w:b/>
                <w:sz w:val="22"/>
                <w:szCs w:val="22"/>
              </w:rPr>
              <w:t>Oeste:</w:t>
            </w:r>
          </w:p>
        </w:tc>
        <w:tc>
          <w:tcPr>
            <w:tcW w:w="1271" w:type="pct"/>
            <w:shd w:val="clear" w:color="auto" w:fill="auto"/>
          </w:tcPr>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 xml:space="preserve">Calle  </w:t>
            </w:r>
            <w:proofErr w:type="spellStart"/>
            <w:r w:rsidRPr="009F70A7">
              <w:rPr>
                <w:rFonts w:ascii="Palatino Linotype" w:hAnsi="Palatino Linotype"/>
                <w:sz w:val="22"/>
                <w:szCs w:val="22"/>
              </w:rPr>
              <w:t>N12L</w:t>
            </w:r>
            <w:proofErr w:type="spellEnd"/>
          </w:p>
        </w:tc>
        <w:tc>
          <w:tcPr>
            <w:tcW w:w="649" w:type="pct"/>
            <w:tcBorders>
              <w:right w:val="single" w:sz="4" w:space="0" w:color="auto"/>
            </w:tcBorders>
            <w:shd w:val="clear" w:color="auto" w:fill="auto"/>
            <w:vAlign w:val="center"/>
          </w:tcPr>
          <w:p w:rsidR="009F70A7" w:rsidRPr="009F70A7" w:rsidRDefault="009F70A7" w:rsidP="009F70A7">
            <w:pPr>
              <w:spacing w:after="120" w:line="276" w:lineRule="auto"/>
              <w:jc w:val="both"/>
              <w:rPr>
                <w:rFonts w:ascii="Palatino Linotype" w:hAnsi="Palatino Linotype"/>
                <w:sz w:val="22"/>
                <w:szCs w:val="22"/>
              </w:rPr>
            </w:pPr>
          </w:p>
        </w:tc>
        <w:tc>
          <w:tcPr>
            <w:tcW w:w="813" w:type="pct"/>
            <w:tcBorders>
              <w:left w:val="single" w:sz="4" w:space="0" w:color="auto"/>
            </w:tcBorders>
            <w:shd w:val="clear" w:color="auto" w:fill="auto"/>
            <w:vAlign w:val="center"/>
          </w:tcPr>
          <w:p w:rsidR="009F70A7" w:rsidRPr="009F70A7" w:rsidRDefault="009F70A7" w:rsidP="009F70A7">
            <w:pPr>
              <w:spacing w:after="120" w:line="276" w:lineRule="auto"/>
              <w:jc w:val="center"/>
              <w:rPr>
                <w:rFonts w:ascii="Palatino Linotype" w:hAnsi="Palatino Linotype"/>
                <w:sz w:val="22"/>
                <w:szCs w:val="22"/>
              </w:rPr>
            </w:pPr>
            <w:r w:rsidRPr="009F70A7">
              <w:rPr>
                <w:rFonts w:ascii="Palatino Linotype" w:hAnsi="Palatino Linotype"/>
                <w:sz w:val="22"/>
                <w:szCs w:val="22"/>
              </w:rPr>
              <w:t>31,45 m.</w:t>
            </w:r>
          </w:p>
        </w:tc>
        <w:tc>
          <w:tcPr>
            <w:tcW w:w="792" w:type="pct"/>
            <w:vMerge/>
            <w:shd w:val="clear" w:color="auto" w:fill="auto"/>
          </w:tcPr>
          <w:p w:rsidR="009F70A7" w:rsidRPr="009F70A7" w:rsidRDefault="009F70A7" w:rsidP="009F70A7">
            <w:pPr>
              <w:spacing w:after="120" w:line="276" w:lineRule="auto"/>
              <w:jc w:val="both"/>
              <w:rPr>
                <w:rFonts w:ascii="Palatino Linotype" w:hAnsi="Palatino Linotype"/>
                <w:sz w:val="22"/>
                <w:szCs w:val="22"/>
              </w:rPr>
            </w:pPr>
          </w:p>
        </w:tc>
      </w:tr>
    </w:tbl>
    <w:p w:rsidR="009F70A7" w:rsidRPr="009F70A7" w:rsidRDefault="009F70A7" w:rsidP="009F70A7">
      <w:pPr>
        <w:spacing w:after="120" w:line="276" w:lineRule="auto"/>
        <w:contextualSpacing/>
        <w:jc w:val="both"/>
        <w:rPr>
          <w:rFonts w:ascii="Palatino Linotype" w:hAnsi="Palatino Linotype"/>
          <w:sz w:val="22"/>
          <w:szCs w:val="22"/>
          <w:highlight w:val="yellow"/>
        </w:rPr>
      </w:pP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bCs/>
          <w:sz w:val="22"/>
          <w:szCs w:val="22"/>
        </w:rPr>
        <w:t xml:space="preserve">Artículo 6.- Informe Técnico de Evaluación de Riesgos de la Secretaría General de Seguridad y Gobernabilidad.- </w:t>
      </w:r>
      <w:r w:rsidRPr="009F70A7">
        <w:rPr>
          <w:rFonts w:ascii="Palatino Linotype" w:hAnsi="Palatino Linotype"/>
          <w:bCs/>
          <w:sz w:val="22"/>
          <w:szCs w:val="22"/>
        </w:rPr>
        <w:t xml:space="preserve">Los copropietarios del predio, en un plazo no mayor a un año a partir de la inscripción de la presente ordenanza en el Registro de la Propiedad, deberán presentar el cronograma de obras de mitigación de riesgos elaborado por un especialista </w:t>
      </w:r>
      <w:r w:rsidRPr="009F70A7">
        <w:rPr>
          <w:rFonts w:ascii="Palatino Linotype" w:hAnsi="Palatino Linotype"/>
          <w:bCs/>
          <w:sz w:val="22"/>
          <w:szCs w:val="22"/>
        </w:rPr>
        <w:lastRenderedPageBreak/>
        <w:t>técnico, ante la Dirección Metropolitana de Gestión de Riesgos y la Unidad Desconcentrada de Control de la Administración Zonal Calderón</w:t>
      </w:r>
      <w:r w:rsidRPr="009F70A7">
        <w:rPr>
          <w:rFonts w:ascii="Palatino Linotype" w:hAnsi="Palatino Linotype"/>
          <w:sz w:val="22"/>
          <w:szCs w:val="22"/>
        </w:rPr>
        <w:t>, caso contrario el Concejo Metropolitano podrá revocar la presente ordenanza, notificándose del particular a la Agencia Metropolitana de Control, para que se inicie las acciones pertinentes.</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sz w:val="22"/>
          <w:szCs w:val="22"/>
        </w:rPr>
        <w:t xml:space="preserve">La Agencia Metropolitana de Control realizará el seguimiento en la ejecución y avance de las obras de mitigación hasta la terminación de las mismas. </w:t>
      </w:r>
    </w:p>
    <w:p w:rsidR="009F70A7" w:rsidRPr="009F70A7" w:rsidRDefault="009F70A7" w:rsidP="009F70A7">
      <w:pPr>
        <w:spacing w:after="120" w:line="276" w:lineRule="auto"/>
        <w:jc w:val="both"/>
        <w:rPr>
          <w:rFonts w:ascii="Palatino Linotype" w:hAnsi="Palatino Linotype"/>
          <w:bCs/>
          <w:sz w:val="22"/>
          <w:szCs w:val="22"/>
        </w:rPr>
      </w:pPr>
      <w:r w:rsidRPr="009F70A7">
        <w:rPr>
          <w:rFonts w:ascii="Palatino Linotype" w:hAnsi="Palatino Linotype"/>
          <w:sz w:val="22"/>
          <w:szCs w:val="22"/>
        </w:rPr>
        <w:t xml:space="preserve">El Asentamiento Humano de Hecho y Consolidado de Interés Social denominado Barrio “Valle 4” de San Juan de Calderón, deberán cumplir con lo establecido dentro de la calificación del riesgo y acatar las recomendaciones que se encuentran determinadas en el </w:t>
      </w:r>
      <w:r w:rsidRPr="009F70A7">
        <w:rPr>
          <w:rFonts w:ascii="Palatino Linotype" w:hAnsi="Palatino Linotype"/>
          <w:bCs/>
          <w:sz w:val="22"/>
          <w:szCs w:val="22"/>
        </w:rPr>
        <w:t>informe de la Dirección Metropolitana de Gestión de Riesgo No. 021-AT-</w:t>
      </w:r>
      <w:proofErr w:type="spellStart"/>
      <w:r w:rsidRPr="009F70A7">
        <w:rPr>
          <w:rFonts w:ascii="Palatino Linotype" w:hAnsi="Palatino Linotype"/>
          <w:bCs/>
          <w:sz w:val="22"/>
          <w:szCs w:val="22"/>
        </w:rPr>
        <w:t>DMGR</w:t>
      </w:r>
      <w:proofErr w:type="spellEnd"/>
      <w:r w:rsidRPr="009F70A7">
        <w:rPr>
          <w:rFonts w:ascii="Palatino Linotype" w:hAnsi="Palatino Linotype"/>
          <w:bCs/>
          <w:sz w:val="22"/>
          <w:szCs w:val="22"/>
        </w:rPr>
        <w:t>-2018, de fecha 22 de febrero del 2018 y que a continuación se detallan:</w:t>
      </w:r>
    </w:p>
    <w:p w:rsidR="009F70A7" w:rsidRPr="009F70A7" w:rsidRDefault="009F70A7" w:rsidP="009F70A7">
      <w:pPr>
        <w:spacing w:after="120" w:line="276" w:lineRule="auto"/>
        <w:jc w:val="both"/>
        <w:rPr>
          <w:rFonts w:ascii="Palatino Linotype" w:hAnsi="Palatino Linotype"/>
          <w:b/>
          <w:bCs/>
          <w:sz w:val="22"/>
          <w:szCs w:val="22"/>
        </w:rPr>
      </w:pPr>
      <w:r w:rsidRPr="009F70A7">
        <w:rPr>
          <w:rFonts w:ascii="Palatino Linotype" w:hAnsi="Palatino Linotype"/>
          <w:b/>
          <w:bCs/>
          <w:sz w:val="22"/>
          <w:szCs w:val="22"/>
        </w:rPr>
        <w:t xml:space="preserve">“6 CALIFICACIÓN DEL RIESGO. </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Fonts w:ascii="Palatino Linotype" w:hAnsi="Palatino Linotype" w:cs="Times New Roman"/>
          <w:i/>
          <w:sz w:val="22"/>
          <w:szCs w:val="22"/>
        </w:rPr>
        <w:t xml:space="preserve"> La zona en estudio, una vez realizada la inspección técnica al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de la Parroquia Calderón, considerando las amenazas, elementos expuestos y vulnerabilidades se determina que:</w:t>
      </w:r>
    </w:p>
    <w:p w:rsidR="009F70A7" w:rsidRPr="009F70A7" w:rsidRDefault="009F70A7" w:rsidP="009F70A7">
      <w:pPr>
        <w:pStyle w:val="Cuerpodeltexto20"/>
        <w:numPr>
          <w:ilvl w:val="0"/>
          <w:numId w:val="32"/>
        </w:numPr>
        <w:shd w:val="clear" w:color="auto" w:fill="auto"/>
        <w:tabs>
          <w:tab w:val="left" w:pos="763"/>
        </w:tabs>
        <w:spacing w:after="120" w:line="276" w:lineRule="auto"/>
        <w:rPr>
          <w:rFonts w:ascii="Palatino Linotype" w:hAnsi="Palatino Linotype" w:cs="Times New Roman"/>
          <w:i/>
          <w:sz w:val="22"/>
          <w:szCs w:val="22"/>
        </w:rPr>
      </w:pPr>
      <w:r w:rsidRPr="009F70A7">
        <w:rPr>
          <w:rStyle w:val="Cuerpodeltexto2Negrita"/>
          <w:rFonts w:ascii="Palatino Linotype" w:hAnsi="Palatino Linotype" w:cs="Times New Roman"/>
          <w:i/>
          <w:color w:val="auto"/>
          <w:sz w:val="22"/>
          <w:szCs w:val="22"/>
        </w:rPr>
        <w:t xml:space="preserve">Riesgo por movimientos en masa: </w:t>
      </w:r>
      <w:r w:rsidRPr="009F70A7">
        <w:rPr>
          <w:rFonts w:ascii="Palatino Linotype" w:hAnsi="Palatino Linotype" w:cs="Times New Roman"/>
          <w:i/>
          <w:sz w:val="22"/>
          <w:szCs w:val="22"/>
        </w:rPr>
        <w:t xml:space="preserve">el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4" de la Parroquia Calderón en general presenta </w:t>
      </w:r>
      <w:r w:rsidRPr="009F70A7">
        <w:rPr>
          <w:rStyle w:val="Cuerpodeltexto2Cursiva"/>
          <w:rFonts w:ascii="Palatino Linotype" w:hAnsi="Palatino Linotype" w:cs="Times New Roman"/>
          <w:b/>
          <w:color w:val="auto"/>
          <w:sz w:val="22"/>
          <w:szCs w:val="22"/>
        </w:rPr>
        <w:t>Riesgo</w:t>
      </w:r>
      <w:r w:rsidRPr="009F70A7">
        <w:rPr>
          <w:rStyle w:val="Cuerpodeltexto2Cursiva"/>
          <w:rFonts w:ascii="Palatino Linotype" w:hAnsi="Palatino Linotype" w:cs="Times New Roman"/>
          <w:color w:val="auto"/>
          <w:sz w:val="22"/>
          <w:szCs w:val="22"/>
        </w:rPr>
        <w:t xml:space="preserve"> </w:t>
      </w:r>
      <w:r w:rsidRPr="009F70A7">
        <w:rPr>
          <w:rStyle w:val="Cuerpodeltexto2Negrita"/>
          <w:rFonts w:ascii="Palatino Linotype" w:hAnsi="Palatino Linotype" w:cs="Times New Roman"/>
          <w:i/>
          <w:color w:val="auto"/>
          <w:sz w:val="22"/>
          <w:szCs w:val="22"/>
          <w:u w:val="single"/>
        </w:rPr>
        <w:t>Bajo Mitigable</w:t>
      </w:r>
    </w:p>
    <w:p w:rsidR="009F70A7" w:rsidRPr="009F70A7" w:rsidRDefault="009F70A7" w:rsidP="009F70A7">
      <w:pPr>
        <w:pStyle w:val="Cuerpodeltexto20"/>
        <w:numPr>
          <w:ilvl w:val="0"/>
          <w:numId w:val="32"/>
        </w:numPr>
        <w:shd w:val="clear" w:color="auto" w:fill="auto"/>
        <w:tabs>
          <w:tab w:val="left" w:pos="763"/>
        </w:tabs>
        <w:spacing w:after="120" w:line="276" w:lineRule="auto"/>
        <w:rPr>
          <w:rFonts w:ascii="Palatino Linotype" w:hAnsi="Palatino Linotype" w:cs="Times New Roman"/>
          <w:i/>
          <w:sz w:val="22"/>
          <w:szCs w:val="22"/>
        </w:rPr>
      </w:pPr>
      <w:r w:rsidRPr="009F70A7">
        <w:rPr>
          <w:rStyle w:val="Cuerpodeltexto2Negrita"/>
          <w:rFonts w:ascii="Palatino Linotype" w:hAnsi="Palatino Linotype" w:cs="Times New Roman"/>
          <w:i/>
          <w:color w:val="auto"/>
          <w:sz w:val="22"/>
          <w:szCs w:val="22"/>
        </w:rPr>
        <w:t xml:space="preserve">Riesgo por eventos sísmicos: </w:t>
      </w:r>
      <w:r w:rsidRPr="009F70A7">
        <w:rPr>
          <w:rFonts w:ascii="Palatino Linotype" w:hAnsi="Palatino Linotype" w:cs="Times New Roman"/>
          <w:i/>
          <w:sz w:val="22"/>
          <w:szCs w:val="22"/>
        </w:rPr>
        <w:t xml:space="preserve">de manera general, todo el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w:t>
      </w:r>
      <w:r w:rsidRPr="009F70A7">
        <w:rPr>
          <w:rStyle w:val="Cuerpodeltexto2Cursiva"/>
          <w:rFonts w:ascii="Palatino Linotype" w:hAnsi="Palatino Linotype" w:cs="Times New Roman"/>
          <w:color w:val="auto"/>
          <w:sz w:val="22"/>
          <w:szCs w:val="22"/>
        </w:rPr>
        <w:t>4</w:t>
      </w:r>
      <w:r w:rsidRPr="009F70A7">
        <w:rPr>
          <w:rStyle w:val="Cuerpodeltexto2Negrita"/>
          <w:rFonts w:ascii="Palatino Linotype" w:hAnsi="Palatino Linotype" w:cs="Times New Roman"/>
          <w:i/>
          <w:color w:val="auto"/>
          <w:sz w:val="22"/>
          <w:szCs w:val="22"/>
        </w:rPr>
        <w:t xml:space="preserve">" </w:t>
      </w:r>
      <w:r w:rsidRPr="009F70A7">
        <w:rPr>
          <w:rFonts w:ascii="Palatino Linotype" w:hAnsi="Palatino Linotype" w:cs="Times New Roman"/>
          <w:i/>
          <w:sz w:val="22"/>
          <w:szCs w:val="22"/>
        </w:rPr>
        <w:t xml:space="preserve">de la Parroquia Calderón presenta condiciones de </w:t>
      </w:r>
      <w:r w:rsidRPr="009F70A7">
        <w:rPr>
          <w:rFonts w:ascii="Palatino Linotype" w:hAnsi="Palatino Linotype" w:cs="Times New Roman"/>
          <w:i/>
          <w:sz w:val="22"/>
          <w:szCs w:val="22"/>
          <w:u w:val="single"/>
        </w:rPr>
        <w:t>Riesgo Alto Mitigable</w:t>
      </w:r>
      <w:r w:rsidRPr="009F70A7">
        <w:rPr>
          <w:rFonts w:ascii="Palatino Linotype" w:hAnsi="Palatino Linotype" w:cs="Times New Roman"/>
          <w:i/>
          <w:sz w:val="22"/>
          <w:szCs w:val="22"/>
        </w:rPr>
        <w:t xml:space="preserve">,  debido a la vulnerabilidad de sus construcciones, el tipo de suelo y la cercanía a una fuente sísmica (falla geológica). </w:t>
      </w:r>
    </w:p>
    <w:p w:rsidR="009F70A7" w:rsidRPr="009F70A7" w:rsidRDefault="009F70A7" w:rsidP="009F70A7">
      <w:pPr>
        <w:pStyle w:val="Cuerpodeltexto20"/>
        <w:numPr>
          <w:ilvl w:val="0"/>
          <w:numId w:val="32"/>
        </w:numPr>
        <w:shd w:val="clear" w:color="auto" w:fill="auto"/>
        <w:tabs>
          <w:tab w:val="left" w:pos="763"/>
        </w:tabs>
        <w:spacing w:after="120" w:line="276" w:lineRule="auto"/>
        <w:rPr>
          <w:rStyle w:val="Cuerpodeltexto2Negrita"/>
          <w:rFonts w:ascii="Palatino Linotype" w:hAnsi="Palatino Linotype" w:cs="Times New Roman"/>
          <w:b w:val="0"/>
          <w:bCs w:val="0"/>
          <w:i/>
          <w:iCs/>
          <w:color w:val="auto"/>
          <w:sz w:val="22"/>
          <w:szCs w:val="22"/>
        </w:rPr>
      </w:pPr>
      <w:r w:rsidRPr="009F70A7">
        <w:rPr>
          <w:rStyle w:val="Cuerpodeltexto2Negrita"/>
          <w:rFonts w:ascii="Palatino Linotype" w:hAnsi="Palatino Linotype" w:cs="Times New Roman"/>
          <w:i/>
          <w:color w:val="auto"/>
          <w:sz w:val="22"/>
          <w:szCs w:val="22"/>
        </w:rPr>
        <w:t xml:space="preserve">Riesgo por fenómenos volcánicos: </w:t>
      </w:r>
      <w:r w:rsidRPr="009F70A7">
        <w:rPr>
          <w:rFonts w:ascii="Palatino Linotype" w:hAnsi="Palatino Linotype" w:cs="Times New Roman"/>
          <w:i/>
          <w:sz w:val="22"/>
          <w:szCs w:val="22"/>
        </w:rPr>
        <w:t xml:space="preserve">el principal fenómeno volcánico al que está expuesto el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4" de la Parroquia Calderón, así como la región norte del </w:t>
      </w:r>
      <w:proofErr w:type="spellStart"/>
      <w:r w:rsidRPr="009F70A7">
        <w:rPr>
          <w:rFonts w:ascii="Palatino Linotype" w:hAnsi="Palatino Linotype" w:cs="Times New Roman"/>
          <w:i/>
          <w:sz w:val="22"/>
          <w:szCs w:val="22"/>
        </w:rPr>
        <w:t>DMQ</w:t>
      </w:r>
      <w:proofErr w:type="spellEnd"/>
      <w:r w:rsidRPr="009F70A7">
        <w:rPr>
          <w:rFonts w:ascii="Palatino Linotype" w:hAnsi="Palatino Linotype" w:cs="Times New Roman"/>
          <w:i/>
          <w:sz w:val="22"/>
          <w:szCs w:val="22"/>
        </w:rPr>
        <w:t xml:space="preserve">, es la potencial caída </w:t>
      </w:r>
      <w:proofErr w:type="spellStart"/>
      <w:r w:rsidRPr="009F70A7">
        <w:rPr>
          <w:rFonts w:ascii="Palatino Linotype" w:hAnsi="Palatino Linotype" w:cs="Times New Roman"/>
          <w:i/>
          <w:sz w:val="22"/>
          <w:szCs w:val="22"/>
        </w:rPr>
        <w:t>piroclastos</w:t>
      </w:r>
      <w:proofErr w:type="spellEnd"/>
      <w:r w:rsidRPr="009F70A7">
        <w:rPr>
          <w:rFonts w:ascii="Palatino Linotype" w:hAnsi="Palatino Linotype" w:cs="Times New Roman"/>
          <w:i/>
          <w:sz w:val="22"/>
          <w:szCs w:val="22"/>
        </w:rPr>
        <w:t xml:space="preserve"> (material sólido de tamaño ceniza y/o lapilli) de los volcanes Guagua Pichincha Cotopaxi, Reventador y </w:t>
      </w:r>
      <w:proofErr w:type="spellStart"/>
      <w:r w:rsidRPr="009F70A7">
        <w:rPr>
          <w:rFonts w:ascii="Palatino Linotype" w:hAnsi="Palatino Linotype" w:cs="Times New Roman"/>
          <w:i/>
          <w:sz w:val="22"/>
          <w:szCs w:val="22"/>
        </w:rPr>
        <w:t>Pululahua</w:t>
      </w:r>
      <w:proofErr w:type="spellEnd"/>
      <w:r w:rsidRPr="009F70A7">
        <w:rPr>
          <w:rFonts w:ascii="Palatino Linotype" w:hAnsi="Palatino Linotype" w:cs="Times New Roman"/>
          <w:i/>
          <w:sz w:val="22"/>
          <w:szCs w:val="22"/>
        </w:rPr>
        <w:t xml:space="preserve">; ante esta amenaza se presenta un </w:t>
      </w:r>
      <w:r w:rsidRPr="009F70A7">
        <w:rPr>
          <w:rStyle w:val="Cuerpodeltexto2Negrita"/>
          <w:rFonts w:ascii="Palatino Linotype" w:hAnsi="Palatino Linotype" w:cs="Times New Roman"/>
          <w:b w:val="0"/>
          <w:i/>
          <w:color w:val="auto"/>
          <w:sz w:val="22"/>
          <w:szCs w:val="22"/>
          <w:u w:val="single"/>
        </w:rPr>
        <w:t>Riesgo Moderado Mitigable</w:t>
      </w:r>
      <w:r w:rsidRPr="009F70A7">
        <w:rPr>
          <w:rStyle w:val="Cuerpodeltexto2Negrita"/>
          <w:rFonts w:ascii="Palatino Linotype" w:hAnsi="Palatino Linotype" w:cs="Times New Roman"/>
          <w:i/>
          <w:color w:val="auto"/>
          <w:sz w:val="22"/>
          <w:szCs w:val="22"/>
        </w:rPr>
        <w:t>.</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Fonts w:ascii="Palatino Linotype" w:hAnsi="Palatino Linotype" w:cs="Times New Roman"/>
          <w:i/>
          <w:sz w:val="22"/>
          <w:szCs w:val="22"/>
        </w:rPr>
        <w:t xml:space="preserve">Por lo tanto, la </w:t>
      </w:r>
      <w:proofErr w:type="spellStart"/>
      <w:r w:rsidRPr="009F70A7">
        <w:rPr>
          <w:rFonts w:ascii="Palatino Linotype" w:hAnsi="Palatino Linotype" w:cs="Times New Roman"/>
          <w:i/>
          <w:sz w:val="22"/>
          <w:szCs w:val="22"/>
        </w:rPr>
        <w:t>DMGR</w:t>
      </w:r>
      <w:proofErr w:type="spellEnd"/>
      <w:r w:rsidRPr="009F70A7">
        <w:rPr>
          <w:rFonts w:ascii="Palatino Linotype" w:hAnsi="Palatino Linotype" w:cs="Times New Roman"/>
          <w:i/>
          <w:sz w:val="22"/>
          <w:szCs w:val="22"/>
        </w:rPr>
        <w:t xml:space="preserve"> sugiere que se puede continuar con el proceso de regularización del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4" de la Parroquia Calderón, para lo cual, una vez concluido dicho proceso, sus habitantes deberán cumplir las recomendaciones que se describen en este informe, lo cual contribuirá a reducir el riesgo identificado en la zona en análisis.</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Fonts w:ascii="Palatino Linotype" w:hAnsi="Palatino Linotype" w:cs="Times New Roman"/>
          <w:i/>
          <w:sz w:val="22"/>
          <w:szCs w:val="22"/>
        </w:rPr>
        <w:t xml:space="preserve">El Riesgo identificado es considerado "Mitigable" cuando es factible técnica, económica, social y políticamente intervenir el territorio mediante la implementación de medidas estructurales y/o no estructurales que permitan reducir las condiciones de exposición, vulnerabilidad y el potencial impacto esperado en caso que dicho riesgo se materialice, dentro de márgenes razonables y aceptables de </w:t>
      </w:r>
      <w:r w:rsidRPr="009F70A7">
        <w:rPr>
          <w:rFonts w:ascii="Palatino Linotype" w:hAnsi="Palatino Linotype" w:cs="Times New Roman"/>
          <w:i/>
          <w:sz w:val="22"/>
          <w:szCs w:val="22"/>
        </w:rPr>
        <w:lastRenderedPageBreak/>
        <w:t>seguridad.</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Style w:val="Cuerpodeltexto2Negrita"/>
          <w:rFonts w:ascii="Palatino Linotype" w:hAnsi="Palatino Linotype" w:cs="Times New Roman"/>
          <w:i/>
          <w:color w:val="auto"/>
          <w:sz w:val="22"/>
          <w:szCs w:val="22"/>
        </w:rPr>
        <w:t xml:space="preserve">Medidas Estructurales: </w:t>
      </w:r>
      <w:r w:rsidRPr="009F70A7">
        <w:rPr>
          <w:rFonts w:ascii="Palatino Linotype" w:hAnsi="Palatino Linotype" w:cs="Times New Roman"/>
          <w:i/>
          <w:sz w:val="22"/>
          <w:szCs w:val="22"/>
        </w:rPr>
        <w:t>Acciones de ingeniería para reducir impactos de las amenazas como:</w:t>
      </w:r>
    </w:p>
    <w:p w:rsidR="009F70A7" w:rsidRPr="009F70A7" w:rsidRDefault="009F70A7" w:rsidP="009F70A7">
      <w:pPr>
        <w:pStyle w:val="Cuerpodeltexto20"/>
        <w:numPr>
          <w:ilvl w:val="0"/>
          <w:numId w:val="33"/>
        </w:numPr>
        <w:shd w:val="clear" w:color="auto" w:fill="auto"/>
        <w:tabs>
          <w:tab w:val="left" w:pos="1260"/>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Protección y control: Intervención directa de la amenaza (Diques, muros de contención, canalización de aguas.)</w:t>
      </w:r>
    </w:p>
    <w:p w:rsidR="009F70A7" w:rsidRPr="009F70A7" w:rsidRDefault="009F70A7" w:rsidP="009F70A7">
      <w:pPr>
        <w:pStyle w:val="Cuerpodeltexto20"/>
        <w:numPr>
          <w:ilvl w:val="0"/>
          <w:numId w:val="33"/>
        </w:numPr>
        <w:shd w:val="clear" w:color="auto" w:fill="auto"/>
        <w:tabs>
          <w:tab w:val="left" w:pos="1260"/>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Modificar las condiciones de vulnerabilidad física de los elementos expuestos (refuerzo de infraestructura de líneas vitales, códigos de construcción, reubicación de viviendas.)</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Style w:val="Cuerpodeltexto2Negrita"/>
          <w:rFonts w:ascii="Palatino Linotype" w:hAnsi="Palatino Linotype" w:cs="Times New Roman"/>
          <w:i/>
          <w:color w:val="auto"/>
          <w:sz w:val="22"/>
          <w:szCs w:val="22"/>
        </w:rPr>
        <w:t xml:space="preserve">Medidas No estructurales: </w:t>
      </w:r>
      <w:r w:rsidRPr="009F70A7">
        <w:rPr>
          <w:rFonts w:ascii="Palatino Linotype" w:hAnsi="Palatino Linotype" w:cs="Times New Roman"/>
          <w:i/>
          <w:sz w:val="22"/>
          <w:szCs w:val="22"/>
        </w:rPr>
        <w:t>Desarrollo del conocimiento, políticas, leyes y mecanismos participativos.</w:t>
      </w:r>
    </w:p>
    <w:p w:rsidR="009F70A7" w:rsidRPr="009F70A7" w:rsidRDefault="009F70A7" w:rsidP="009F70A7">
      <w:pPr>
        <w:pStyle w:val="Cuerpodeltexto20"/>
        <w:numPr>
          <w:ilvl w:val="0"/>
          <w:numId w:val="34"/>
        </w:numPr>
        <w:shd w:val="clear" w:color="auto" w:fill="auto"/>
        <w:tabs>
          <w:tab w:val="left" w:pos="1260"/>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Acciones Activas: Promueve interacción activa de las personas (organización para la respuesta, educación y capacitación, información pública, participación comunitaria)</w:t>
      </w:r>
    </w:p>
    <w:p w:rsidR="009F70A7" w:rsidRPr="009F70A7" w:rsidRDefault="009F70A7" w:rsidP="009F70A7">
      <w:pPr>
        <w:pStyle w:val="Cuerpodeltexto20"/>
        <w:numPr>
          <w:ilvl w:val="0"/>
          <w:numId w:val="34"/>
        </w:numPr>
        <w:shd w:val="clear" w:color="auto" w:fill="auto"/>
        <w:tabs>
          <w:tab w:val="left" w:pos="1260"/>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Acciones Pasivas: Relacionadas con legislación y planificación (normas de construcción, uso del suelo y ordenamiento territorial, etc.)</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b/>
          <w:i/>
          <w:sz w:val="22"/>
          <w:szCs w:val="22"/>
        </w:rPr>
      </w:pPr>
      <w:r w:rsidRPr="009F70A7">
        <w:rPr>
          <w:rFonts w:ascii="Palatino Linotype" w:hAnsi="Palatino Linotype" w:cs="Times New Roman"/>
          <w:b/>
          <w:i/>
          <w:sz w:val="22"/>
          <w:szCs w:val="22"/>
        </w:rPr>
        <w:t>7  RECOMENDACIONES</w:t>
      </w:r>
    </w:p>
    <w:p w:rsidR="009F70A7" w:rsidRPr="009F70A7" w:rsidRDefault="009F70A7" w:rsidP="009F70A7">
      <w:pPr>
        <w:pStyle w:val="Cuerpodeltexto20"/>
        <w:shd w:val="clear" w:color="auto" w:fill="auto"/>
        <w:spacing w:after="120" w:line="276" w:lineRule="auto"/>
        <w:ind w:firstLine="0"/>
        <w:rPr>
          <w:rFonts w:ascii="Palatino Linotype" w:hAnsi="Palatino Linotype" w:cs="Times New Roman"/>
          <w:i/>
          <w:sz w:val="22"/>
          <w:szCs w:val="22"/>
        </w:rPr>
      </w:pPr>
      <w:r w:rsidRPr="009F70A7">
        <w:rPr>
          <w:rFonts w:ascii="Palatino Linotype" w:hAnsi="Palatino Linotype" w:cs="Times New Roman"/>
          <w:i/>
          <w:sz w:val="22"/>
          <w:szCs w:val="22"/>
        </w:rPr>
        <w:t>La Dirección Metropolitana de Gestión de Riesgos manifiesta que la calificación de riesgo realizada en este informe, desprende una serie de recomendaciones que podrán ser confirmadas, modificadas o ampliadas como consecuencia de información adicional producida, como la realización de las obras de infraestructura, la zonificación respectiva y la consolidación futura.</w:t>
      </w:r>
    </w:p>
    <w:p w:rsidR="009F70A7" w:rsidRPr="009F70A7" w:rsidRDefault="009F70A7" w:rsidP="009F70A7">
      <w:pPr>
        <w:spacing w:after="120" w:line="276" w:lineRule="auto"/>
        <w:ind w:left="360" w:hanging="360"/>
        <w:jc w:val="both"/>
        <w:rPr>
          <w:rFonts w:ascii="Palatino Linotype" w:hAnsi="Palatino Linotype"/>
          <w:i/>
          <w:sz w:val="22"/>
          <w:szCs w:val="22"/>
        </w:rPr>
      </w:pPr>
      <w:r w:rsidRPr="009F70A7">
        <w:rPr>
          <w:rFonts w:ascii="Palatino Linotype" w:hAnsi="Palatino Linotype"/>
          <w:b/>
          <w:i/>
          <w:sz w:val="22"/>
          <w:szCs w:val="22"/>
        </w:rPr>
        <w:t>Para el riesgo por movimientos en masa:</w:t>
      </w:r>
    </w:p>
    <w:p w:rsidR="009F70A7" w:rsidRPr="009F70A7" w:rsidRDefault="009F70A7" w:rsidP="009F70A7">
      <w:pPr>
        <w:pStyle w:val="Cuerpodeltexto20"/>
        <w:numPr>
          <w:ilvl w:val="0"/>
          <w:numId w:val="35"/>
        </w:numPr>
        <w:shd w:val="clear" w:color="auto" w:fill="auto"/>
        <w:tabs>
          <w:tab w:val="left" w:pos="467"/>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Se recomienda que mediante mingas comunitarias se implemente sistemas de conducción de escorrentía pluvial (canales o zanjas) en la calle de tierra afirmada para prevenir la erosión del suelo y arrastre de material que pueda afectar a viviendas y asentamientos humanos ubicados en cotas inferiores.</w:t>
      </w:r>
    </w:p>
    <w:p w:rsidR="009F70A7" w:rsidRPr="009F70A7" w:rsidRDefault="009F70A7" w:rsidP="009F70A7">
      <w:pPr>
        <w:spacing w:after="120" w:line="276" w:lineRule="auto"/>
        <w:ind w:left="360" w:hanging="360"/>
        <w:jc w:val="both"/>
        <w:rPr>
          <w:rFonts w:ascii="Palatino Linotype" w:hAnsi="Palatino Linotype"/>
          <w:b/>
          <w:i/>
          <w:sz w:val="22"/>
          <w:szCs w:val="22"/>
        </w:rPr>
      </w:pPr>
      <w:r w:rsidRPr="009F70A7">
        <w:rPr>
          <w:rFonts w:ascii="Palatino Linotype" w:hAnsi="Palatino Linotype"/>
          <w:b/>
          <w:i/>
          <w:sz w:val="22"/>
          <w:szCs w:val="22"/>
        </w:rPr>
        <w:t>Para el riesgo sísmico:</w:t>
      </w:r>
    </w:p>
    <w:p w:rsidR="009F70A7" w:rsidRPr="009F70A7" w:rsidRDefault="009F70A7" w:rsidP="009F70A7">
      <w:pPr>
        <w:pStyle w:val="Cuerpodeltexto20"/>
        <w:numPr>
          <w:ilvl w:val="0"/>
          <w:numId w:val="35"/>
        </w:numPr>
        <w:shd w:val="clear" w:color="auto" w:fill="auto"/>
        <w:tabs>
          <w:tab w:val="left" w:pos="467"/>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 xml:space="preserve">Se recomienda que los propietarios y/o posesionarios actuales suspendan todo proceso constructivo en el </w:t>
      </w:r>
      <w:proofErr w:type="spellStart"/>
      <w:r w:rsidRPr="009F70A7">
        <w:rPr>
          <w:rFonts w:ascii="Palatino Linotype" w:hAnsi="Palatino Linotype" w:cs="Times New Roman"/>
          <w:i/>
          <w:sz w:val="22"/>
          <w:szCs w:val="22"/>
        </w:rPr>
        <w:t>macrolote</w:t>
      </w:r>
      <w:proofErr w:type="spellEnd"/>
      <w:r w:rsidRPr="009F70A7">
        <w:rPr>
          <w:rFonts w:ascii="Palatino Linotype" w:hAnsi="Palatino Linotype" w:cs="Times New Roman"/>
          <w:i/>
          <w:sz w:val="22"/>
          <w:szCs w:val="22"/>
        </w:rPr>
        <w:t xml:space="preserve"> evaluado, incluidas ampliaciones en las edificaciones existentes, hasta que el proceso de regularización del asentamiento culmine y se determine su normativa específica de edificabilidad que deberá constar en los Informes de Regulación Metropolitana individuales. Posterior a este proceso, los propietarios de cada lote podrán solicitar la emisión de la licencia de construcción respectiva a la autoridad competente, para lo cual deberán cumplir la normativa constructiva y de urbanismo vigentes.</w:t>
      </w:r>
    </w:p>
    <w:p w:rsidR="009F70A7" w:rsidRPr="009F70A7" w:rsidRDefault="009F70A7" w:rsidP="009F70A7">
      <w:pPr>
        <w:pStyle w:val="Cuerpodeltexto20"/>
        <w:numPr>
          <w:ilvl w:val="0"/>
          <w:numId w:val="35"/>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 xml:space="preserve">Para reducir el riesgo existente, posterior al proceso de regularización, se recomienda que los propietarios de lotes edificados que no hayan construido sus viviendas según la normativa </w:t>
      </w:r>
      <w:r w:rsidRPr="009F70A7">
        <w:rPr>
          <w:rFonts w:ascii="Palatino Linotype" w:hAnsi="Palatino Linotype" w:cs="Times New Roman"/>
          <w:i/>
          <w:sz w:val="22"/>
          <w:szCs w:val="22"/>
        </w:rPr>
        <w:lastRenderedPageBreak/>
        <w:t>técnica vigente (NEC-2015), contraten un especialista (Ing. Civil Estructural) para que evalúe estructuralmente las edificaciones y proponga alternativas de reparación y/o reforzamiento estructural en caso de ameritarlo.</w:t>
      </w:r>
    </w:p>
    <w:p w:rsidR="009F70A7" w:rsidRPr="009F70A7" w:rsidRDefault="009F70A7" w:rsidP="009F70A7">
      <w:pPr>
        <w:pStyle w:val="Cuerpodeltexto20"/>
        <w:numPr>
          <w:ilvl w:val="0"/>
          <w:numId w:val="35"/>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La municipalidad, a través de sus organismos de control, deberá dar el seguimiento a los procesos de construcción tanto de la infraestructura de servicios como de las edificaciones nuevas o ampliaciones de las existentes.</w:t>
      </w:r>
    </w:p>
    <w:p w:rsidR="009F70A7" w:rsidRPr="009F70A7" w:rsidRDefault="009F70A7" w:rsidP="009F70A7">
      <w:pPr>
        <w:spacing w:after="120" w:line="276" w:lineRule="auto"/>
        <w:ind w:left="360" w:hanging="360"/>
        <w:jc w:val="both"/>
        <w:rPr>
          <w:rFonts w:ascii="Palatino Linotype" w:hAnsi="Palatino Linotype"/>
          <w:b/>
          <w:i/>
          <w:sz w:val="22"/>
          <w:szCs w:val="22"/>
        </w:rPr>
      </w:pPr>
      <w:r w:rsidRPr="009F70A7">
        <w:rPr>
          <w:rFonts w:ascii="Palatino Linotype" w:hAnsi="Palatino Linotype"/>
          <w:b/>
          <w:i/>
          <w:sz w:val="22"/>
          <w:szCs w:val="22"/>
        </w:rPr>
        <w:t>Para el riesgo Volcánico (caída de ceniza):</w:t>
      </w:r>
    </w:p>
    <w:p w:rsidR="009F70A7" w:rsidRPr="009F70A7" w:rsidRDefault="009F70A7" w:rsidP="009F70A7">
      <w:pPr>
        <w:pStyle w:val="Cuerpodeltexto20"/>
        <w:numPr>
          <w:ilvl w:val="0"/>
          <w:numId w:val="36"/>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 xml:space="preserve">Las afectaciones que podría ocasionar la caída de </w:t>
      </w:r>
      <w:proofErr w:type="spellStart"/>
      <w:r w:rsidRPr="009F70A7">
        <w:rPr>
          <w:rFonts w:ascii="Palatino Linotype" w:hAnsi="Palatino Linotype" w:cs="Times New Roman"/>
          <w:i/>
          <w:sz w:val="22"/>
          <w:szCs w:val="22"/>
        </w:rPr>
        <w:t>piroclastos</w:t>
      </w:r>
      <w:proofErr w:type="spellEnd"/>
      <w:r w:rsidRPr="009F70A7">
        <w:rPr>
          <w:rFonts w:ascii="Palatino Linotype" w:hAnsi="Palatino Linotype" w:cs="Times New Roman"/>
          <w:i/>
          <w:sz w:val="22"/>
          <w:szCs w:val="22"/>
        </w:rPr>
        <w:t xml:space="preserve"> (ceniza y lapilli) se mitiga efectuando mantenimiento preventivo de las cubiertas de las viviendas para evitar que los canales de agua se obstruyan con la ceniza. Otra medida no estructural consiste en saber aplicar técnicas de auto protección como quedarse en lugares cerrados para no exponerse a la ceniza, proteger vías respiratorias y vista, utilizando gorras, gafas o lentes, mascarillas o bufandas, entre otros.</w:t>
      </w:r>
    </w:p>
    <w:p w:rsidR="009F70A7" w:rsidRPr="009F70A7" w:rsidRDefault="009F70A7" w:rsidP="009F70A7">
      <w:pPr>
        <w:pStyle w:val="Cuerpodeltexto20"/>
        <w:numPr>
          <w:ilvl w:val="0"/>
          <w:numId w:val="36"/>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Mantenerse informado en caso de producirse un evento de erupción volcánica. Acatar las recomendaciones emitidas por las autoridades competentes en cuanto al volumen posible de ceniza que pueda caer; considerar que la única protección contra la lluvia de ceniza y material volcánico de tamaño considerable son los refugios y techos reforzados, razón por la cual las habitantes de las viviendas con techos frágiles se recomienda buscar refugio.</w:t>
      </w:r>
    </w:p>
    <w:p w:rsidR="009F70A7" w:rsidRPr="009F70A7" w:rsidRDefault="009F70A7" w:rsidP="009F70A7">
      <w:pPr>
        <w:spacing w:after="120" w:line="276" w:lineRule="auto"/>
        <w:ind w:left="360" w:hanging="360"/>
        <w:jc w:val="both"/>
        <w:rPr>
          <w:rFonts w:ascii="Palatino Linotype" w:hAnsi="Palatino Linotype"/>
          <w:b/>
          <w:i/>
          <w:sz w:val="22"/>
          <w:szCs w:val="22"/>
        </w:rPr>
      </w:pPr>
      <w:r w:rsidRPr="009F70A7">
        <w:rPr>
          <w:rFonts w:ascii="Palatino Linotype" w:hAnsi="Palatino Linotype"/>
          <w:b/>
          <w:i/>
          <w:sz w:val="22"/>
          <w:szCs w:val="22"/>
        </w:rPr>
        <w:t>Cumplimiento de la normativa vigente:</w:t>
      </w:r>
    </w:p>
    <w:p w:rsidR="009F70A7" w:rsidRPr="009F70A7" w:rsidRDefault="009F70A7" w:rsidP="009F70A7">
      <w:pPr>
        <w:pStyle w:val="Cuerpodeltexto20"/>
        <w:numPr>
          <w:ilvl w:val="0"/>
          <w:numId w:val="37"/>
        </w:numPr>
        <w:shd w:val="clear" w:color="auto" w:fill="auto"/>
        <w:tabs>
          <w:tab w:val="left" w:pos="311"/>
        </w:tabs>
        <w:spacing w:after="120" w:line="276" w:lineRule="auto"/>
        <w:rPr>
          <w:rFonts w:ascii="Palatino Linotype" w:hAnsi="Palatino Linotype" w:cs="Times New Roman"/>
          <w:b/>
          <w:i/>
          <w:sz w:val="22"/>
          <w:szCs w:val="22"/>
        </w:rPr>
      </w:pPr>
      <w:r w:rsidRPr="009F70A7">
        <w:rPr>
          <w:rFonts w:ascii="Palatino Linotype" w:hAnsi="Palatino Linotype" w:cs="Times New Roman"/>
          <w:i/>
          <w:sz w:val="22"/>
          <w:szCs w:val="22"/>
        </w:rPr>
        <w:t xml:space="preserve">En el proyecto de regularización se debe respetar la normativa vigente de las Ordenanzas Metropolitanas de: aprobación de los </w:t>
      </w:r>
      <w:r w:rsidRPr="009F70A7">
        <w:rPr>
          <w:rStyle w:val="Cuerpodeltexto2Negrita"/>
          <w:rFonts w:ascii="Palatino Linotype" w:hAnsi="Palatino Linotype" w:cs="Times New Roman"/>
          <w:b w:val="0"/>
          <w:i/>
          <w:color w:val="auto"/>
          <w:sz w:val="22"/>
          <w:szCs w:val="22"/>
        </w:rPr>
        <w:t xml:space="preserve">Planes Metropolitanos de Desarrollo y Ordenamiento Territorial, </w:t>
      </w:r>
      <w:r w:rsidRPr="009F70A7">
        <w:rPr>
          <w:rFonts w:ascii="Palatino Linotype" w:hAnsi="Palatino Linotype" w:cs="Times New Roman"/>
          <w:i/>
          <w:sz w:val="22"/>
          <w:szCs w:val="22"/>
        </w:rPr>
        <w:t>(</w:t>
      </w:r>
      <w:proofErr w:type="spellStart"/>
      <w:r w:rsidRPr="009F70A7">
        <w:rPr>
          <w:rFonts w:ascii="Palatino Linotype" w:hAnsi="Palatino Linotype" w:cs="Times New Roman"/>
          <w:i/>
          <w:sz w:val="22"/>
          <w:szCs w:val="22"/>
        </w:rPr>
        <w:t>PMDyOT</w:t>
      </w:r>
      <w:proofErr w:type="spellEnd"/>
      <w:r w:rsidRPr="009F70A7">
        <w:rPr>
          <w:rFonts w:ascii="Palatino Linotype" w:hAnsi="Palatino Linotype" w:cs="Times New Roman"/>
          <w:i/>
          <w:sz w:val="22"/>
          <w:szCs w:val="22"/>
        </w:rPr>
        <w:t>),</w:t>
      </w:r>
      <w:r w:rsidRPr="009F70A7">
        <w:rPr>
          <w:rFonts w:ascii="Palatino Linotype" w:hAnsi="Palatino Linotype" w:cs="Times New Roman"/>
          <w:b/>
          <w:i/>
          <w:sz w:val="22"/>
          <w:szCs w:val="22"/>
        </w:rPr>
        <w:t xml:space="preserve"> </w:t>
      </w:r>
      <w:r w:rsidRPr="009F70A7">
        <w:rPr>
          <w:rStyle w:val="Cuerpodeltexto2Negrita"/>
          <w:rFonts w:ascii="Palatino Linotype" w:hAnsi="Palatino Linotype" w:cs="Times New Roman"/>
          <w:b w:val="0"/>
          <w:i/>
          <w:color w:val="auto"/>
          <w:sz w:val="22"/>
          <w:szCs w:val="22"/>
        </w:rPr>
        <w:t xml:space="preserve">Uso y Ocupación del Suelo, </w:t>
      </w:r>
      <w:r w:rsidRPr="009F70A7">
        <w:rPr>
          <w:rFonts w:ascii="Palatino Linotype" w:hAnsi="Palatino Linotype" w:cs="Times New Roman"/>
          <w:i/>
          <w:sz w:val="22"/>
          <w:szCs w:val="22"/>
        </w:rPr>
        <w:t>(</w:t>
      </w:r>
      <w:proofErr w:type="spellStart"/>
      <w:r w:rsidRPr="009F70A7">
        <w:rPr>
          <w:rFonts w:ascii="Palatino Linotype" w:hAnsi="Palatino Linotype" w:cs="Times New Roman"/>
          <w:i/>
          <w:sz w:val="22"/>
          <w:szCs w:val="22"/>
        </w:rPr>
        <w:t>PUOS</w:t>
      </w:r>
      <w:proofErr w:type="spellEnd"/>
      <w:r w:rsidRPr="009F70A7">
        <w:rPr>
          <w:rFonts w:ascii="Palatino Linotype" w:hAnsi="Palatino Linotype" w:cs="Times New Roman"/>
          <w:i/>
          <w:sz w:val="22"/>
          <w:szCs w:val="22"/>
        </w:rPr>
        <w:t>)</w:t>
      </w:r>
      <w:r w:rsidRPr="009F70A7">
        <w:rPr>
          <w:rFonts w:ascii="Palatino Linotype" w:hAnsi="Palatino Linotype" w:cs="Times New Roman"/>
          <w:b/>
          <w:i/>
          <w:sz w:val="22"/>
          <w:szCs w:val="22"/>
        </w:rPr>
        <w:t xml:space="preserve"> y </w:t>
      </w:r>
      <w:r w:rsidRPr="009F70A7">
        <w:rPr>
          <w:rStyle w:val="Cuerpodeltexto2Negrita"/>
          <w:rFonts w:ascii="Palatino Linotype" w:hAnsi="Palatino Linotype" w:cs="Times New Roman"/>
          <w:b w:val="0"/>
          <w:i/>
          <w:color w:val="auto"/>
          <w:sz w:val="22"/>
          <w:szCs w:val="22"/>
        </w:rPr>
        <w:t xml:space="preserve">Régimen Administrativo del Suelo en el </w:t>
      </w:r>
      <w:proofErr w:type="spellStart"/>
      <w:r w:rsidRPr="009F70A7">
        <w:rPr>
          <w:rStyle w:val="Cuerpodeltexto2Negrita"/>
          <w:rFonts w:ascii="Palatino Linotype" w:hAnsi="Palatino Linotype" w:cs="Times New Roman"/>
          <w:b w:val="0"/>
          <w:i/>
          <w:color w:val="auto"/>
          <w:sz w:val="22"/>
          <w:szCs w:val="22"/>
        </w:rPr>
        <w:t>D.M.Q</w:t>
      </w:r>
      <w:proofErr w:type="spellEnd"/>
      <w:r w:rsidRPr="009F70A7">
        <w:rPr>
          <w:rStyle w:val="Cuerpodeltexto2Negrita"/>
          <w:rFonts w:ascii="Palatino Linotype" w:hAnsi="Palatino Linotype" w:cs="Times New Roman"/>
          <w:b w:val="0"/>
          <w:i/>
          <w:color w:val="auto"/>
          <w:sz w:val="22"/>
          <w:szCs w:val="22"/>
        </w:rPr>
        <w:t>.</w:t>
      </w:r>
    </w:p>
    <w:p w:rsidR="009F70A7" w:rsidRPr="009F70A7" w:rsidRDefault="009F70A7" w:rsidP="009F70A7">
      <w:pPr>
        <w:pStyle w:val="Cuerpodeltexto20"/>
        <w:numPr>
          <w:ilvl w:val="0"/>
          <w:numId w:val="37"/>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 xml:space="preserve">Incluir en el Informe de Regulación Metropolitana, </w:t>
      </w:r>
      <w:proofErr w:type="spellStart"/>
      <w:r w:rsidRPr="009F70A7">
        <w:rPr>
          <w:rFonts w:ascii="Palatino Linotype" w:hAnsi="Palatino Linotype" w:cs="Times New Roman"/>
          <w:i/>
          <w:sz w:val="22"/>
          <w:szCs w:val="22"/>
        </w:rPr>
        <w:t>IRM</w:t>
      </w:r>
      <w:proofErr w:type="spellEnd"/>
      <w:r w:rsidRPr="009F70A7">
        <w:rPr>
          <w:rFonts w:ascii="Palatino Linotype" w:hAnsi="Palatino Linotype" w:cs="Times New Roman"/>
          <w:i/>
          <w:sz w:val="22"/>
          <w:szCs w:val="22"/>
        </w:rPr>
        <w:t>, las observaciones de calificación del riesgo y recomendaciones para emisión de permisos y control de usos futuros y ocupación del suelo, en cumplimiento estricto con el cuerpo normativo que garantice el adecuado cuidado ambiental, en prevención de riesgos naturales y antrópicos que se podrían presentar.</w:t>
      </w:r>
    </w:p>
    <w:p w:rsidR="009F70A7" w:rsidRPr="009F70A7" w:rsidRDefault="009F70A7" w:rsidP="009F70A7">
      <w:pPr>
        <w:pStyle w:val="Cuerpodeltexto20"/>
        <w:numPr>
          <w:ilvl w:val="0"/>
          <w:numId w:val="37"/>
        </w:numPr>
        <w:shd w:val="clear" w:color="auto" w:fill="auto"/>
        <w:tabs>
          <w:tab w:val="left" w:pos="311"/>
        </w:tabs>
        <w:spacing w:after="120" w:line="276" w:lineRule="auto"/>
        <w:rPr>
          <w:rFonts w:ascii="Palatino Linotype" w:hAnsi="Palatino Linotype" w:cs="Times New Roman"/>
          <w:i/>
          <w:sz w:val="22"/>
          <w:szCs w:val="22"/>
        </w:rPr>
      </w:pPr>
      <w:r w:rsidRPr="009F70A7">
        <w:rPr>
          <w:rFonts w:ascii="Palatino Linotype" w:hAnsi="Palatino Linotype" w:cs="Times New Roman"/>
          <w:i/>
          <w:sz w:val="22"/>
          <w:szCs w:val="22"/>
        </w:rPr>
        <w:t xml:space="preserve">La Unidad Especial Regula Tu Barrio deberá comunicar a la comunidad del </w:t>
      </w:r>
      <w:proofErr w:type="spellStart"/>
      <w:r w:rsidRPr="009F70A7">
        <w:rPr>
          <w:rFonts w:ascii="Palatino Linotype" w:hAnsi="Palatino Linotype" w:cs="Times New Roman"/>
          <w:i/>
          <w:sz w:val="22"/>
          <w:szCs w:val="22"/>
        </w:rPr>
        <w:t>AHHYC</w:t>
      </w:r>
      <w:proofErr w:type="spellEnd"/>
      <w:r w:rsidRPr="009F70A7">
        <w:rPr>
          <w:rFonts w:ascii="Palatino Linotype" w:hAnsi="Palatino Linotype" w:cs="Times New Roman"/>
          <w:i/>
          <w:sz w:val="22"/>
          <w:szCs w:val="22"/>
        </w:rPr>
        <w:t xml:space="preserve"> "Valle 4" lo descrito en el presente informe, especialmente la calificación del riesgo ante las diferentes amenazas analizadas y las respectivas recomendaciones técnicas.</w:t>
      </w:r>
      <w:r w:rsidRPr="009F70A7">
        <w:rPr>
          <w:rFonts w:ascii="Palatino Linotype" w:hAnsi="Palatino Linotype" w:cs="Times New Roman"/>
          <w:b/>
          <w:i/>
          <w:sz w:val="22"/>
          <w:szCs w:val="22"/>
        </w:rPr>
        <w:t xml:space="preserve">” </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iCs/>
          <w:sz w:val="22"/>
          <w:szCs w:val="22"/>
        </w:rPr>
      </w:pPr>
      <w:r w:rsidRPr="009F70A7">
        <w:rPr>
          <w:rFonts w:ascii="Palatino Linotype" w:hAnsi="Palatino Linotype" w:cs="Times New Roman"/>
          <w:b/>
          <w:bCs/>
          <w:sz w:val="22"/>
          <w:szCs w:val="22"/>
        </w:rPr>
        <w:t xml:space="preserve">Artículo 7.- De las vías.- </w:t>
      </w:r>
      <w:r w:rsidRPr="009F70A7">
        <w:rPr>
          <w:rFonts w:ascii="Palatino Linotype" w:hAnsi="Palatino Linotype" w:cs="Times New Roman"/>
          <w:bCs/>
          <w:iCs/>
          <w:sz w:val="22"/>
          <w:szCs w:val="22"/>
        </w:rPr>
        <w:t>El a</w:t>
      </w:r>
      <w:r w:rsidRPr="009F70A7">
        <w:rPr>
          <w:rFonts w:ascii="Palatino Linotype" w:hAnsi="Palatino Linotype" w:cs="Times New Roman"/>
          <w:sz w:val="22"/>
          <w:szCs w:val="22"/>
        </w:rPr>
        <w:t>sentamiento humano de hecho y consolidado de Interés Social denominado</w:t>
      </w:r>
      <w:r w:rsidRPr="009F70A7">
        <w:rPr>
          <w:rFonts w:ascii="Palatino Linotype" w:hAnsi="Palatino Linotype" w:cs="Times New Roman"/>
          <w:b/>
          <w:sz w:val="22"/>
          <w:szCs w:val="22"/>
        </w:rPr>
        <w:t xml:space="preserve"> </w:t>
      </w:r>
      <w:r w:rsidRPr="009F70A7">
        <w:rPr>
          <w:rFonts w:ascii="Palatino Linotype" w:hAnsi="Palatino Linotype" w:cs="Times New Roman"/>
          <w:sz w:val="22"/>
          <w:szCs w:val="22"/>
        </w:rPr>
        <w:t xml:space="preserve">Barrio “Valle 4” de San Juan de Calderón </w:t>
      </w:r>
      <w:r w:rsidRPr="009F70A7">
        <w:rPr>
          <w:rFonts w:ascii="Palatino Linotype" w:hAnsi="Palatino Linotype" w:cs="Times New Roman"/>
          <w:iCs/>
          <w:sz w:val="22"/>
          <w:szCs w:val="22"/>
        </w:rPr>
        <w:t xml:space="preserve">contempla un sistema vial de uso </w:t>
      </w:r>
      <w:r w:rsidRPr="009F70A7">
        <w:rPr>
          <w:rFonts w:ascii="Palatino Linotype" w:hAnsi="Palatino Linotype" w:cs="Times New Roman"/>
          <w:iCs/>
          <w:sz w:val="22"/>
          <w:szCs w:val="22"/>
        </w:rPr>
        <w:lastRenderedPageBreak/>
        <w:t>público, debido a que éste es un asentamiento humano de hecho y consolidado de interés social de 10 años de existencia, con 35</w:t>
      </w:r>
      <w:r w:rsidRPr="009F70A7">
        <w:rPr>
          <w:rFonts w:ascii="Palatino Linotype" w:hAnsi="Palatino Linotype"/>
          <w:iCs/>
          <w:sz w:val="22"/>
          <w:szCs w:val="22"/>
        </w:rPr>
        <w:t>,</w:t>
      </w:r>
      <w:r w:rsidRPr="009F70A7">
        <w:rPr>
          <w:rFonts w:ascii="Palatino Linotype" w:hAnsi="Palatino Linotype" w:cs="Times New Roman"/>
          <w:iCs/>
          <w:sz w:val="22"/>
          <w:szCs w:val="22"/>
        </w:rPr>
        <w:t>48% de consolidación de viviendas y se encuentra ejecutando obras de infraestructura, razón por la cual los anchos viales se sujetarán al plano adjunto a la presente ordenanza.</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iCs/>
          <w:sz w:val="22"/>
          <w:szCs w:val="22"/>
        </w:rPr>
      </w:pPr>
      <w:r w:rsidRPr="009F70A7">
        <w:rPr>
          <w:rFonts w:ascii="Palatino Linotype" w:hAnsi="Palatino Linotype" w:cs="Times New Roman"/>
          <w:iCs/>
          <w:sz w:val="22"/>
          <w:szCs w:val="22"/>
        </w:rPr>
        <w:t>Se aprueban las vías con los siguientes anchos:</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sz w:val="22"/>
          <w:szCs w:val="22"/>
        </w:rPr>
      </w:pPr>
      <w:r w:rsidRPr="009F70A7">
        <w:rPr>
          <w:rFonts w:ascii="Palatino Linotype" w:hAnsi="Palatino Linotype" w:cs="Times New Roman"/>
          <w:sz w:val="22"/>
          <w:szCs w:val="22"/>
        </w:rPr>
        <w:t xml:space="preserve">Calle </w:t>
      </w:r>
      <w:proofErr w:type="spellStart"/>
      <w:r w:rsidRPr="009F70A7">
        <w:rPr>
          <w:rFonts w:ascii="Palatino Linotype" w:hAnsi="Palatino Linotype" w:cs="Times New Roman"/>
          <w:sz w:val="22"/>
          <w:szCs w:val="22"/>
        </w:rPr>
        <w:t>N12M</w:t>
      </w:r>
      <w:proofErr w:type="spellEnd"/>
      <w:r w:rsidRPr="009F70A7">
        <w:rPr>
          <w:rFonts w:ascii="Palatino Linotype" w:hAnsi="Palatino Linotype" w:cs="Times New Roman"/>
          <w:sz w:val="22"/>
          <w:szCs w:val="22"/>
        </w:rPr>
        <w:tab/>
      </w:r>
      <w:r w:rsidRPr="009F70A7">
        <w:rPr>
          <w:rFonts w:ascii="Palatino Linotype" w:hAnsi="Palatino Linotype" w:cs="Times New Roman"/>
          <w:sz w:val="22"/>
          <w:szCs w:val="22"/>
        </w:rPr>
        <w:tab/>
      </w:r>
      <w:r w:rsidRPr="009F70A7">
        <w:rPr>
          <w:rFonts w:ascii="Palatino Linotype" w:hAnsi="Palatino Linotype" w:cs="Times New Roman"/>
          <w:sz w:val="22"/>
          <w:szCs w:val="22"/>
        </w:rPr>
        <w:tab/>
        <w:t>10,00 m.</w:t>
      </w:r>
      <w:r>
        <w:rPr>
          <w:rFonts w:ascii="Palatino Linotype" w:hAnsi="Palatino Linotype" w:cs="Times New Roman"/>
          <w:sz w:val="22"/>
          <w:szCs w:val="22"/>
        </w:rPr>
        <w:tab/>
      </w:r>
      <w:r>
        <w:rPr>
          <w:rFonts w:ascii="Palatino Linotype" w:hAnsi="Palatino Linotype" w:cs="Times New Roman"/>
          <w:sz w:val="22"/>
          <w:szCs w:val="22"/>
        </w:rPr>
        <w:tab/>
      </w:r>
      <w:r w:rsidRPr="009F70A7">
        <w:rPr>
          <w:rFonts w:ascii="Palatino Linotype" w:hAnsi="Palatino Linotype" w:cs="Times New Roman"/>
          <w:sz w:val="22"/>
          <w:szCs w:val="22"/>
        </w:rPr>
        <w:t xml:space="preserve">Calle </w:t>
      </w:r>
      <w:proofErr w:type="spellStart"/>
      <w:r w:rsidRPr="009F70A7">
        <w:rPr>
          <w:rFonts w:ascii="Palatino Linotype" w:hAnsi="Palatino Linotype" w:cs="Times New Roman"/>
          <w:sz w:val="22"/>
          <w:szCs w:val="22"/>
        </w:rPr>
        <w:t>N12L</w:t>
      </w:r>
      <w:proofErr w:type="spellEnd"/>
      <w:r w:rsidRPr="009F70A7">
        <w:rPr>
          <w:rFonts w:ascii="Palatino Linotype" w:hAnsi="Palatino Linotype" w:cs="Times New Roman"/>
          <w:sz w:val="22"/>
          <w:szCs w:val="22"/>
        </w:rPr>
        <w:tab/>
      </w:r>
      <w:r w:rsidRPr="009F70A7">
        <w:rPr>
          <w:rFonts w:ascii="Palatino Linotype" w:hAnsi="Palatino Linotype" w:cs="Times New Roman"/>
          <w:sz w:val="22"/>
          <w:szCs w:val="22"/>
        </w:rPr>
        <w:tab/>
      </w:r>
      <w:r w:rsidRPr="009F70A7">
        <w:rPr>
          <w:rFonts w:ascii="Palatino Linotype" w:hAnsi="Palatino Linotype" w:cs="Times New Roman"/>
          <w:sz w:val="22"/>
          <w:szCs w:val="22"/>
        </w:rPr>
        <w:tab/>
        <w:t>10,00 m.</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sz w:val="22"/>
          <w:szCs w:val="22"/>
        </w:rPr>
      </w:pPr>
      <w:r w:rsidRPr="009F70A7">
        <w:rPr>
          <w:rFonts w:ascii="Palatino Linotype" w:hAnsi="Palatino Linotype" w:cs="Times New Roman"/>
          <w:b/>
          <w:bCs/>
          <w:sz w:val="22"/>
          <w:szCs w:val="22"/>
        </w:rPr>
        <w:t xml:space="preserve">Artículo 8.- De las obras a ejecutarse.- </w:t>
      </w:r>
      <w:r w:rsidRPr="009F70A7">
        <w:rPr>
          <w:rFonts w:ascii="Palatino Linotype" w:hAnsi="Palatino Linotype" w:cs="Times New Roman"/>
          <w:sz w:val="22"/>
          <w:szCs w:val="22"/>
        </w:rPr>
        <w:t xml:space="preserve">Las obras a ejecutarse en el Asentamiento Humano de Hecho y Consolidado de Interés Social denominado Barrio “Valle 4” de San Juan de Calderón, son  las siguientes: </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bCs/>
          <w:sz w:val="22"/>
          <w:szCs w:val="22"/>
        </w:rPr>
      </w:pPr>
      <w:r w:rsidRPr="009F70A7">
        <w:rPr>
          <w:rFonts w:ascii="Palatino Linotype" w:hAnsi="Palatino Linotype" w:cs="Times New Roman"/>
          <w:bCs/>
          <w:sz w:val="22"/>
          <w:szCs w:val="22"/>
        </w:rPr>
        <w:t xml:space="preserve">Calzada:  </w:t>
      </w:r>
      <w:r w:rsidRPr="009F70A7">
        <w:rPr>
          <w:rFonts w:ascii="Palatino Linotype" w:hAnsi="Palatino Linotype" w:cs="Times New Roman"/>
          <w:bCs/>
          <w:sz w:val="22"/>
          <w:szCs w:val="22"/>
        </w:rPr>
        <w:tab/>
      </w:r>
      <w:r w:rsidRPr="009F70A7">
        <w:rPr>
          <w:rFonts w:ascii="Palatino Linotype" w:hAnsi="Palatino Linotype" w:cs="Times New Roman"/>
          <w:bCs/>
          <w:sz w:val="22"/>
          <w:szCs w:val="22"/>
        </w:rPr>
        <w:tab/>
      </w:r>
      <w:r w:rsidRPr="009F70A7">
        <w:rPr>
          <w:rFonts w:ascii="Palatino Linotype" w:hAnsi="Palatino Linotype" w:cs="Times New Roman"/>
          <w:bCs/>
          <w:sz w:val="22"/>
          <w:szCs w:val="22"/>
        </w:rPr>
        <w:tab/>
        <w:t>100,00%</w:t>
      </w:r>
      <w:r>
        <w:rPr>
          <w:rFonts w:ascii="Palatino Linotype" w:hAnsi="Palatino Linotype" w:cs="Times New Roman"/>
          <w:bCs/>
          <w:sz w:val="22"/>
          <w:szCs w:val="22"/>
        </w:rPr>
        <w:tab/>
      </w:r>
      <w:r>
        <w:rPr>
          <w:rFonts w:ascii="Palatino Linotype" w:hAnsi="Palatino Linotype" w:cs="Times New Roman"/>
          <w:bCs/>
          <w:sz w:val="22"/>
          <w:szCs w:val="22"/>
        </w:rPr>
        <w:tab/>
      </w:r>
      <w:r w:rsidRPr="009F70A7">
        <w:rPr>
          <w:rFonts w:ascii="Palatino Linotype" w:hAnsi="Palatino Linotype" w:cs="Times New Roman"/>
          <w:bCs/>
          <w:sz w:val="22"/>
          <w:szCs w:val="22"/>
        </w:rPr>
        <w:t>Aceras:</w:t>
      </w:r>
      <w:r w:rsidRPr="009F70A7">
        <w:rPr>
          <w:rFonts w:ascii="Palatino Linotype" w:hAnsi="Palatino Linotype" w:cs="Times New Roman"/>
          <w:bCs/>
          <w:sz w:val="22"/>
          <w:szCs w:val="22"/>
        </w:rPr>
        <w:tab/>
      </w:r>
      <w:r w:rsidRPr="009F70A7">
        <w:rPr>
          <w:rFonts w:ascii="Palatino Linotype" w:hAnsi="Palatino Linotype" w:cs="Times New Roman"/>
          <w:bCs/>
          <w:sz w:val="22"/>
          <w:szCs w:val="22"/>
        </w:rPr>
        <w:tab/>
      </w:r>
      <w:r w:rsidRPr="009F70A7">
        <w:rPr>
          <w:rFonts w:ascii="Palatino Linotype" w:hAnsi="Palatino Linotype" w:cs="Times New Roman"/>
          <w:bCs/>
          <w:sz w:val="22"/>
          <w:szCs w:val="22"/>
        </w:rPr>
        <w:tab/>
        <w:t>100,00%</w:t>
      </w:r>
    </w:p>
    <w:p w:rsid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bCs/>
          <w:sz w:val="22"/>
          <w:szCs w:val="22"/>
        </w:rPr>
      </w:pPr>
      <w:r w:rsidRPr="009F70A7">
        <w:rPr>
          <w:rFonts w:ascii="Palatino Linotype" w:hAnsi="Palatino Linotype" w:cs="Times New Roman"/>
          <w:bCs/>
          <w:sz w:val="22"/>
          <w:szCs w:val="22"/>
        </w:rPr>
        <w:t xml:space="preserve">Bordillos:                          </w:t>
      </w:r>
      <w:r w:rsidRPr="009F70A7">
        <w:rPr>
          <w:rFonts w:ascii="Palatino Linotype" w:hAnsi="Palatino Linotype" w:cs="Times New Roman"/>
          <w:bCs/>
          <w:sz w:val="22"/>
          <w:szCs w:val="22"/>
        </w:rPr>
        <w:tab/>
        <w:t>100,00%</w:t>
      </w:r>
      <w:r>
        <w:rPr>
          <w:rFonts w:ascii="Palatino Linotype" w:hAnsi="Palatino Linotype" w:cs="Times New Roman"/>
          <w:bCs/>
          <w:sz w:val="22"/>
          <w:szCs w:val="22"/>
        </w:rPr>
        <w:tab/>
      </w:r>
      <w:r>
        <w:rPr>
          <w:rFonts w:ascii="Palatino Linotype" w:hAnsi="Palatino Linotype" w:cs="Times New Roman"/>
          <w:bCs/>
          <w:sz w:val="22"/>
          <w:szCs w:val="22"/>
        </w:rPr>
        <w:tab/>
      </w:r>
      <w:r w:rsidRPr="009F70A7">
        <w:rPr>
          <w:rFonts w:ascii="Palatino Linotype" w:hAnsi="Palatino Linotype" w:cs="Times New Roman"/>
          <w:bCs/>
          <w:sz w:val="22"/>
          <w:szCs w:val="22"/>
        </w:rPr>
        <w:t xml:space="preserve">Agua </w:t>
      </w:r>
      <w:r>
        <w:rPr>
          <w:rFonts w:ascii="Palatino Linotype" w:hAnsi="Palatino Linotype" w:cs="Times New Roman"/>
          <w:bCs/>
          <w:sz w:val="22"/>
          <w:szCs w:val="22"/>
        </w:rPr>
        <w:t>p</w:t>
      </w:r>
      <w:r w:rsidRPr="009F70A7">
        <w:rPr>
          <w:rFonts w:ascii="Palatino Linotype" w:hAnsi="Palatino Linotype" w:cs="Times New Roman"/>
          <w:bCs/>
          <w:sz w:val="22"/>
          <w:szCs w:val="22"/>
        </w:rPr>
        <w:t xml:space="preserve">otable: </w:t>
      </w:r>
      <w:r w:rsidRPr="009F70A7">
        <w:rPr>
          <w:rFonts w:ascii="Palatino Linotype" w:hAnsi="Palatino Linotype" w:cs="Times New Roman"/>
          <w:bCs/>
          <w:sz w:val="22"/>
          <w:szCs w:val="22"/>
        </w:rPr>
        <w:tab/>
      </w:r>
      <w:r w:rsidRPr="009F70A7">
        <w:rPr>
          <w:rFonts w:ascii="Palatino Linotype" w:hAnsi="Palatino Linotype" w:cs="Times New Roman"/>
          <w:bCs/>
          <w:sz w:val="22"/>
          <w:szCs w:val="22"/>
        </w:rPr>
        <w:tab/>
        <w:t>70,00%</w:t>
      </w:r>
    </w:p>
    <w:p w:rsidR="009F70A7" w:rsidRPr="009F70A7" w:rsidRDefault="009F70A7" w:rsidP="009F70A7">
      <w:pPr>
        <w:pStyle w:val="Cuerpodeltexto20"/>
        <w:shd w:val="clear" w:color="auto" w:fill="auto"/>
        <w:tabs>
          <w:tab w:val="left" w:pos="311"/>
        </w:tabs>
        <w:spacing w:after="120" w:line="276" w:lineRule="auto"/>
        <w:ind w:firstLine="0"/>
        <w:rPr>
          <w:rFonts w:ascii="Palatino Linotype" w:hAnsi="Palatino Linotype" w:cs="Times New Roman"/>
          <w:i/>
          <w:sz w:val="22"/>
          <w:szCs w:val="22"/>
        </w:rPr>
      </w:pPr>
      <w:r w:rsidRPr="009F70A7">
        <w:rPr>
          <w:rFonts w:ascii="Palatino Linotype" w:hAnsi="Palatino Linotype" w:cs="Times New Roman"/>
          <w:bCs/>
          <w:sz w:val="22"/>
          <w:szCs w:val="22"/>
        </w:rPr>
        <w:t xml:space="preserve">Alcantarillado                      </w:t>
      </w:r>
      <w:r w:rsidRPr="009F70A7">
        <w:rPr>
          <w:rFonts w:ascii="Palatino Linotype" w:hAnsi="Palatino Linotype" w:cs="Times New Roman"/>
          <w:bCs/>
          <w:sz w:val="22"/>
          <w:szCs w:val="22"/>
        </w:rPr>
        <w:tab/>
        <w:t>70,00%</w:t>
      </w:r>
      <w:r>
        <w:rPr>
          <w:rFonts w:ascii="Palatino Linotype" w:hAnsi="Palatino Linotype" w:cs="Times New Roman"/>
          <w:bCs/>
          <w:sz w:val="22"/>
          <w:szCs w:val="22"/>
        </w:rPr>
        <w:tab/>
      </w:r>
      <w:r>
        <w:rPr>
          <w:rFonts w:ascii="Palatino Linotype" w:hAnsi="Palatino Linotype" w:cs="Times New Roman"/>
          <w:bCs/>
          <w:sz w:val="22"/>
          <w:szCs w:val="22"/>
        </w:rPr>
        <w:tab/>
      </w:r>
      <w:r>
        <w:rPr>
          <w:rFonts w:ascii="Palatino Linotype" w:hAnsi="Palatino Linotype" w:cs="Times New Roman"/>
          <w:bCs/>
          <w:sz w:val="22"/>
          <w:szCs w:val="22"/>
        </w:rPr>
        <w:tab/>
      </w:r>
      <w:r w:rsidRPr="009F70A7">
        <w:rPr>
          <w:rFonts w:ascii="Palatino Linotype" w:hAnsi="Palatino Linotype" w:cs="Times New Roman"/>
          <w:bCs/>
          <w:sz w:val="22"/>
          <w:szCs w:val="22"/>
        </w:rPr>
        <w:t xml:space="preserve">Energía </w:t>
      </w:r>
      <w:r>
        <w:rPr>
          <w:rFonts w:ascii="Palatino Linotype" w:hAnsi="Palatino Linotype" w:cs="Times New Roman"/>
          <w:bCs/>
          <w:sz w:val="22"/>
          <w:szCs w:val="22"/>
        </w:rPr>
        <w:t>e</w:t>
      </w:r>
      <w:r w:rsidRPr="009F70A7">
        <w:rPr>
          <w:rFonts w:ascii="Palatino Linotype" w:hAnsi="Palatino Linotype" w:cs="Times New Roman"/>
          <w:bCs/>
          <w:sz w:val="22"/>
          <w:szCs w:val="22"/>
        </w:rPr>
        <w:t xml:space="preserve">léctrica:                </w:t>
      </w:r>
      <w:r w:rsidRPr="009F70A7">
        <w:rPr>
          <w:rFonts w:ascii="Palatino Linotype" w:hAnsi="Palatino Linotype" w:cs="Times New Roman"/>
          <w:bCs/>
          <w:sz w:val="22"/>
          <w:szCs w:val="22"/>
        </w:rPr>
        <w:tab/>
        <w:t>70,00%</w:t>
      </w:r>
    </w:p>
    <w:p w:rsidR="009F70A7" w:rsidRPr="009F70A7" w:rsidRDefault="009F70A7" w:rsidP="009F70A7">
      <w:pPr>
        <w:spacing w:after="120" w:line="276" w:lineRule="auto"/>
        <w:jc w:val="both"/>
        <w:rPr>
          <w:rFonts w:ascii="Palatino Linotype" w:hAnsi="Palatino Linotype"/>
          <w:iCs/>
          <w:sz w:val="22"/>
          <w:szCs w:val="22"/>
        </w:rPr>
      </w:pPr>
      <w:r w:rsidRPr="009F70A7">
        <w:rPr>
          <w:rFonts w:ascii="Palatino Linotype" w:hAnsi="Palatino Linotype"/>
          <w:b/>
          <w:bCs/>
          <w:sz w:val="22"/>
          <w:szCs w:val="22"/>
        </w:rPr>
        <w:t>Artículo 9.- Del plazo de ejecución de las obras.-</w:t>
      </w:r>
      <w:r w:rsidRPr="009F70A7">
        <w:rPr>
          <w:rFonts w:ascii="Palatino Linotype" w:hAnsi="Palatino Linotype"/>
          <w:sz w:val="22"/>
          <w:szCs w:val="22"/>
        </w:rPr>
        <w:t xml:space="preserve"> El plazo de ejecución de la totalidad de las obras civiles y de infraestructura, será de ocho (8) años, </w:t>
      </w:r>
      <w:r w:rsidRPr="009F70A7">
        <w:rPr>
          <w:rFonts w:ascii="Palatino Linotype" w:hAnsi="Palatino Linotype"/>
          <w:iCs/>
          <w:sz w:val="22"/>
          <w:szCs w:val="22"/>
        </w:rPr>
        <w:t xml:space="preserve">de conformidad al cronograma de obras presentado por </w:t>
      </w:r>
      <w:r w:rsidRPr="009F70A7">
        <w:rPr>
          <w:rFonts w:ascii="Palatino Linotype" w:hAnsi="Palatino Linotype"/>
          <w:sz w:val="22"/>
          <w:szCs w:val="22"/>
        </w:rPr>
        <w:t>los copropietarios del inmueble donde se ubica el Asentamiento Humano de Hecho y Consolidado de Interés Social,</w:t>
      </w:r>
      <w:r w:rsidRPr="009F70A7">
        <w:rPr>
          <w:rFonts w:ascii="Palatino Linotype" w:hAnsi="Palatino Linotype"/>
          <w:b/>
          <w:sz w:val="22"/>
          <w:szCs w:val="22"/>
        </w:rPr>
        <w:t xml:space="preserve"> </w:t>
      </w:r>
      <w:r w:rsidRPr="009F70A7">
        <w:rPr>
          <w:rFonts w:ascii="Palatino Linotype" w:hAnsi="Palatino Linotype"/>
          <w:iCs/>
          <w:sz w:val="22"/>
          <w:szCs w:val="22"/>
        </w:rPr>
        <w:t xml:space="preserve">plazo que se contará a partir de la inscripción de la presente Ordenanza en el Registro de la Propiedad del Distrito Metropolitano de Quito. </w:t>
      </w:r>
    </w:p>
    <w:p w:rsidR="009F70A7" w:rsidRPr="009F70A7" w:rsidRDefault="009F70A7" w:rsidP="009F70A7">
      <w:pPr>
        <w:spacing w:after="120" w:line="276" w:lineRule="auto"/>
        <w:jc w:val="both"/>
        <w:rPr>
          <w:rFonts w:ascii="Palatino Linotype" w:hAnsi="Palatino Linotype"/>
          <w:iCs/>
          <w:sz w:val="22"/>
          <w:szCs w:val="22"/>
        </w:rPr>
      </w:pPr>
      <w:r w:rsidRPr="009F70A7">
        <w:rPr>
          <w:rFonts w:ascii="Palatino Linotype" w:hAnsi="Palatino Linotype"/>
          <w:iCs/>
          <w:sz w:val="22"/>
          <w:szCs w:val="22"/>
        </w:rPr>
        <w:t xml:space="preserve">Cuando las obras se ejecutaren por autogestión de </w:t>
      </w:r>
      <w:r w:rsidRPr="009F70A7">
        <w:rPr>
          <w:rFonts w:ascii="Palatino Linotype" w:hAnsi="Palatino Linotype"/>
          <w:bCs/>
          <w:sz w:val="22"/>
          <w:szCs w:val="22"/>
        </w:rPr>
        <w:t>los copropietarios del inmueble donde se ubica el asentamiento, el valor por c</w:t>
      </w:r>
      <w:r w:rsidRPr="009F70A7">
        <w:rPr>
          <w:rFonts w:ascii="Palatino Linotype" w:hAnsi="Palatino Linotype"/>
          <w:iCs/>
          <w:sz w:val="22"/>
          <w:szCs w:val="22"/>
        </w:rPr>
        <w:t xml:space="preserve">ontribución especial de mejoras se establecerá de conformidad con la ley. </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bCs/>
          <w:sz w:val="22"/>
          <w:szCs w:val="22"/>
        </w:rPr>
        <w:t>Artículo 10</w:t>
      </w:r>
      <w:r w:rsidRPr="009F70A7">
        <w:rPr>
          <w:rFonts w:ascii="Palatino Linotype" w:hAnsi="Palatino Linotype"/>
          <w:b/>
          <w:bCs/>
          <w:sz w:val="22"/>
          <w:szCs w:val="22"/>
          <w:lang w:val="es-ES_tradnl"/>
        </w:rPr>
        <w:t xml:space="preserve">.- Del </w:t>
      </w:r>
      <w:r w:rsidRPr="009F70A7">
        <w:rPr>
          <w:rFonts w:ascii="Palatino Linotype" w:hAnsi="Palatino Linotype"/>
          <w:b/>
          <w:bCs/>
          <w:sz w:val="22"/>
          <w:szCs w:val="22"/>
          <w:lang w:val="es-ES_tradnl"/>
        </w:rPr>
        <w:t>control de ejecución de las obras</w:t>
      </w:r>
      <w:r w:rsidRPr="009F70A7">
        <w:rPr>
          <w:rFonts w:ascii="Palatino Linotype" w:hAnsi="Palatino Linotype"/>
          <w:b/>
          <w:bCs/>
          <w:sz w:val="22"/>
          <w:szCs w:val="22"/>
          <w:lang w:val="es-ES_tradnl"/>
        </w:rPr>
        <w:t xml:space="preserve">.- </w:t>
      </w:r>
      <w:r w:rsidRPr="009F70A7">
        <w:rPr>
          <w:rFonts w:ascii="Palatino Linotype" w:hAnsi="Palatino Linotype"/>
          <w:sz w:val="22"/>
          <w:szCs w:val="22"/>
        </w:rPr>
        <w:t xml:space="preserve">La Administración Zonal Calderón realizará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 será indispensable para cancelar la hipoteca. </w:t>
      </w:r>
    </w:p>
    <w:p w:rsidR="009F70A7" w:rsidRPr="009F70A7" w:rsidRDefault="009F70A7" w:rsidP="009F70A7">
      <w:pPr>
        <w:spacing w:after="120" w:line="276" w:lineRule="auto"/>
        <w:jc w:val="both"/>
        <w:rPr>
          <w:rFonts w:ascii="Palatino Linotype" w:hAnsi="Palatino Linotype"/>
          <w:bCs/>
          <w:sz w:val="22"/>
          <w:szCs w:val="22"/>
          <w:lang w:val="es-ES_tradnl"/>
        </w:rPr>
      </w:pPr>
      <w:r w:rsidRPr="009F70A7">
        <w:rPr>
          <w:rFonts w:ascii="Palatino Linotype" w:hAnsi="Palatino Linotype"/>
          <w:b/>
          <w:bCs/>
          <w:sz w:val="22"/>
          <w:szCs w:val="22"/>
        </w:rPr>
        <w:t>Artículo</w:t>
      </w:r>
      <w:r w:rsidRPr="009F70A7">
        <w:rPr>
          <w:rFonts w:ascii="Palatino Linotype" w:hAnsi="Palatino Linotype"/>
          <w:b/>
          <w:bCs/>
          <w:sz w:val="22"/>
          <w:szCs w:val="22"/>
          <w:lang w:val="es-ES_tradnl"/>
        </w:rPr>
        <w:t xml:space="preserve"> 11.- De la </w:t>
      </w:r>
      <w:r>
        <w:rPr>
          <w:rFonts w:ascii="Palatino Linotype" w:hAnsi="Palatino Linotype"/>
          <w:b/>
          <w:bCs/>
          <w:sz w:val="22"/>
          <w:szCs w:val="22"/>
          <w:lang w:val="es-ES_tradnl"/>
        </w:rPr>
        <w:t>m</w:t>
      </w:r>
      <w:r w:rsidRPr="009F70A7">
        <w:rPr>
          <w:rFonts w:ascii="Palatino Linotype" w:hAnsi="Palatino Linotype"/>
          <w:b/>
          <w:bCs/>
          <w:sz w:val="22"/>
          <w:szCs w:val="22"/>
          <w:lang w:val="es-ES_tradnl"/>
        </w:rPr>
        <w:t xml:space="preserve">ulta por retraso en ejecución de obras.- </w:t>
      </w:r>
      <w:r w:rsidRPr="009F70A7">
        <w:rPr>
          <w:rFonts w:ascii="Palatino Linotype" w:hAnsi="Palatino Linotype"/>
          <w:sz w:val="22"/>
          <w:szCs w:val="22"/>
          <w:lang w:val="es-ES_tradnl"/>
        </w:rPr>
        <w:t xml:space="preserve">En caso de retraso en la ejecución de las obras </w:t>
      </w:r>
      <w:r w:rsidRPr="009F70A7">
        <w:rPr>
          <w:rFonts w:ascii="Palatino Linotype" w:hAnsi="Palatino Linotype"/>
          <w:sz w:val="22"/>
          <w:szCs w:val="22"/>
        </w:rPr>
        <w:t>civiles y de infraestructura</w:t>
      </w:r>
      <w:r w:rsidRPr="009F70A7">
        <w:rPr>
          <w:rFonts w:ascii="Palatino Linotype" w:hAnsi="Palatino Linotype"/>
          <w:sz w:val="22"/>
          <w:szCs w:val="22"/>
          <w:lang w:val="es-ES_tradnl"/>
        </w:rPr>
        <w:t>,</w:t>
      </w:r>
      <w:r w:rsidRPr="009F70A7">
        <w:rPr>
          <w:rFonts w:ascii="Palatino Linotype" w:hAnsi="Palatino Linotype"/>
          <w:sz w:val="22"/>
          <w:szCs w:val="22"/>
        </w:rPr>
        <w:t xml:space="preserve"> los copropietarios del inmueble sobre el cual se ubica el Asentamiento Humano de Hecho y Consolidado de Interés Social denominado Barrio “Valle 4” de San Juan de Calderón, se sujetarán a las sanciones contempladas en el Ordenamiento Jurídico Nacional y Metropolitano.</w:t>
      </w:r>
    </w:p>
    <w:p w:rsidR="009F70A7" w:rsidRPr="009F70A7" w:rsidRDefault="009F70A7" w:rsidP="009F70A7">
      <w:pPr>
        <w:spacing w:after="120" w:line="276" w:lineRule="auto"/>
        <w:jc w:val="both"/>
        <w:rPr>
          <w:rFonts w:ascii="Palatino Linotype" w:hAnsi="Palatino Linotype"/>
          <w:sz w:val="22"/>
          <w:szCs w:val="22"/>
        </w:rPr>
      </w:pPr>
      <w:r w:rsidRPr="009F70A7">
        <w:rPr>
          <w:rFonts w:ascii="Palatino Linotype" w:hAnsi="Palatino Linotype"/>
          <w:b/>
          <w:bCs/>
          <w:iCs/>
          <w:sz w:val="22"/>
          <w:szCs w:val="22"/>
        </w:rPr>
        <w:lastRenderedPageBreak/>
        <w:t xml:space="preserve">Artículo 12.- De la garantía de ejecución de las obras.- </w:t>
      </w:r>
      <w:r w:rsidRPr="009F70A7">
        <w:rPr>
          <w:rFonts w:ascii="Palatino Linotype" w:hAnsi="Palatino Linotype"/>
          <w:sz w:val="22"/>
          <w:szCs w:val="22"/>
        </w:rPr>
        <w:t>Los lotes producto del fraccionamiento donde se encuentra ubicado el Asentamiento Humano de Hecho y Consolidado de Interés Social denominado Barrio “Valle 4” de San Juan de Calderón, quedan gravados con primera, especial y preferente hipoteca a favor del Municipio del Distrito Metropolitano de Quito, gravamen que regirá una vez que se adjudiquen los lotes a sus respectivos beneficiarios y que subsistirá hasta la terminación de la ejecución de las obras civiles y de infraestructura.</w:t>
      </w:r>
    </w:p>
    <w:p w:rsidR="009F70A7" w:rsidRPr="009F70A7" w:rsidRDefault="009F70A7" w:rsidP="009F70A7">
      <w:pPr>
        <w:pStyle w:val="Textoindependiente"/>
        <w:tabs>
          <w:tab w:val="left" w:pos="1306"/>
        </w:tabs>
        <w:spacing w:line="276" w:lineRule="auto"/>
        <w:jc w:val="both"/>
        <w:rPr>
          <w:rFonts w:ascii="Palatino Linotype" w:hAnsi="Palatino Linotype"/>
          <w:sz w:val="22"/>
          <w:szCs w:val="22"/>
          <w:lang w:val="es-ES_tradnl"/>
        </w:rPr>
      </w:pPr>
      <w:r w:rsidRPr="009F70A7">
        <w:rPr>
          <w:rFonts w:ascii="Palatino Linotype" w:hAnsi="Palatino Linotype"/>
          <w:b/>
          <w:bCs/>
          <w:sz w:val="22"/>
          <w:szCs w:val="22"/>
        </w:rPr>
        <w:t>Artículo</w:t>
      </w:r>
      <w:r w:rsidRPr="009F70A7">
        <w:rPr>
          <w:rFonts w:ascii="Palatino Linotype" w:hAnsi="Palatino Linotype"/>
          <w:b/>
          <w:bCs/>
          <w:sz w:val="22"/>
          <w:szCs w:val="22"/>
          <w:lang w:val="es-ES_tradnl"/>
        </w:rPr>
        <w:t xml:space="preserve"> 13.- De la </w:t>
      </w:r>
      <w:r>
        <w:rPr>
          <w:rFonts w:ascii="Palatino Linotype" w:hAnsi="Palatino Linotype"/>
          <w:b/>
          <w:bCs/>
          <w:sz w:val="22"/>
          <w:szCs w:val="22"/>
          <w:lang w:val="es-ES_tradnl"/>
        </w:rPr>
        <w:t>p</w:t>
      </w:r>
      <w:r w:rsidRPr="009F70A7">
        <w:rPr>
          <w:rFonts w:ascii="Palatino Linotype" w:hAnsi="Palatino Linotype"/>
          <w:b/>
          <w:bCs/>
          <w:sz w:val="22"/>
          <w:szCs w:val="22"/>
          <w:lang w:val="es-ES_tradnl"/>
        </w:rPr>
        <w:t xml:space="preserve">rotocolización e </w:t>
      </w:r>
      <w:r>
        <w:rPr>
          <w:rFonts w:ascii="Palatino Linotype" w:hAnsi="Palatino Linotype"/>
          <w:b/>
          <w:bCs/>
          <w:sz w:val="22"/>
          <w:szCs w:val="22"/>
          <w:lang w:val="es-ES_tradnl"/>
        </w:rPr>
        <w:t>i</w:t>
      </w:r>
      <w:r w:rsidRPr="009F70A7">
        <w:rPr>
          <w:rFonts w:ascii="Palatino Linotype" w:hAnsi="Palatino Linotype"/>
          <w:b/>
          <w:bCs/>
          <w:sz w:val="22"/>
          <w:szCs w:val="22"/>
          <w:lang w:val="es-ES_tradnl"/>
        </w:rPr>
        <w:t xml:space="preserve">nscripción de la Ordenanza.- </w:t>
      </w:r>
      <w:r w:rsidRPr="009F70A7">
        <w:rPr>
          <w:rFonts w:ascii="Palatino Linotype" w:hAnsi="Palatino Linotype"/>
          <w:sz w:val="22"/>
          <w:szCs w:val="22"/>
        </w:rPr>
        <w:t>Los copropietarios del predio de</w:t>
      </w:r>
      <w:r w:rsidRPr="009F70A7">
        <w:rPr>
          <w:rFonts w:ascii="Palatino Linotype" w:hAnsi="Palatino Linotype"/>
          <w:bCs/>
          <w:iCs/>
          <w:sz w:val="22"/>
          <w:szCs w:val="22"/>
        </w:rPr>
        <w:t xml:space="preserve">l </w:t>
      </w:r>
      <w:r w:rsidRPr="009F70A7">
        <w:rPr>
          <w:rFonts w:ascii="Palatino Linotype" w:hAnsi="Palatino Linotype"/>
          <w:sz w:val="22"/>
          <w:szCs w:val="22"/>
        </w:rPr>
        <w:t xml:space="preserve">Asentamiento Humano de Hecho y Consolidado de Interés Social denominado Barrio “Valle 4” de San Juan de Calderón, </w:t>
      </w:r>
      <w:r w:rsidRPr="009F70A7">
        <w:rPr>
          <w:rFonts w:ascii="Palatino Linotype" w:hAnsi="Palatino Linotype"/>
          <w:sz w:val="22"/>
          <w:szCs w:val="22"/>
          <w:lang w:val="es-ES_tradnl"/>
        </w:rPr>
        <w:t xml:space="preserve">deberán </w:t>
      </w:r>
      <w:r w:rsidRPr="009F70A7">
        <w:rPr>
          <w:rFonts w:ascii="Palatino Linotype" w:hAnsi="Palatino Linotype"/>
          <w:sz w:val="22"/>
          <w:szCs w:val="22"/>
        </w:rPr>
        <w:t xml:space="preserve">protocolizar la presente Ordenanza ante Notario Público e inscribirla en el Registro de la Propiedad del Distrito Metropolitano de Quito, </w:t>
      </w:r>
      <w:r w:rsidRPr="009F70A7">
        <w:rPr>
          <w:rFonts w:ascii="Palatino Linotype" w:hAnsi="Palatino Linotype"/>
          <w:sz w:val="22"/>
          <w:szCs w:val="22"/>
          <w:lang w:val="es-ES_tradnl"/>
        </w:rPr>
        <w:t>con todos sus documentos habilitantes</w:t>
      </w:r>
      <w:r w:rsidRPr="009F70A7">
        <w:rPr>
          <w:rFonts w:ascii="Palatino Linotype" w:hAnsi="Palatino Linotype"/>
          <w:sz w:val="22"/>
          <w:szCs w:val="22"/>
        </w:rPr>
        <w:t>.</w:t>
      </w:r>
    </w:p>
    <w:p w:rsidR="009F70A7" w:rsidRPr="009F70A7" w:rsidRDefault="009F70A7" w:rsidP="009F70A7">
      <w:pPr>
        <w:spacing w:after="120" w:line="276" w:lineRule="auto"/>
        <w:ind w:left="1"/>
        <w:jc w:val="both"/>
        <w:rPr>
          <w:rFonts w:ascii="Palatino Linotype" w:hAnsi="Palatino Linotype"/>
          <w:bCs/>
          <w:sz w:val="22"/>
          <w:szCs w:val="22"/>
          <w:lang w:val="es-ES_tradnl"/>
        </w:rPr>
      </w:pPr>
      <w:r w:rsidRPr="009F70A7">
        <w:rPr>
          <w:rFonts w:ascii="Palatino Linotype" w:hAnsi="Palatino Linotype"/>
          <w:bCs/>
          <w:sz w:val="22"/>
          <w:szCs w:val="22"/>
          <w:lang w:val="es-ES_tradnl"/>
        </w:rPr>
        <w:t>En caso de no legalizar la presente ordenanza, ésta caducará conforme lo determinado en la normativa nacional vigente.</w:t>
      </w:r>
    </w:p>
    <w:p w:rsidR="009F70A7" w:rsidRPr="009F70A7" w:rsidRDefault="009F70A7" w:rsidP="009F70A7">
      <w:pPr>
        <w:spacing w:after="120" w:line="276" w:lineRule="auto"/>
        <w:jc w:val="both"/>
        <w:rPr>
          <w:rFonts w:ascii="Palatino Linotype" w:hAnsi="Palatino Linotype"/>
          <w:sz w:val="22"/>
          <w:szCs w:val="22"/>
          <w:lang w:val="es-ES_tradnl"/>
        </w:rPr>
      </w:pPr>
      <w:r w:rsidRPr="009F70A7">
        <w:rPr>
          <w:rFonts w:ascii="Palatino Linotype" w:hAnsi="Palatino Linotype"/>
          <w:sz w:val="22"/>
          <w:szCs w:val="22"/>
          <w:lang w:val="es-ES_tradnl"/>
        </w:rPr>
        <w:t>La inscripción de la presente ordenanza servirá como título de dominio para efectos de la transferencia de áreas verdes, en caso de que existan.</w:t>
      </w:r>
    </w:p>
    <w:p w:rsidR="009F70A7" w:rsidRPr="009F70A7" w:rsidRDefault="009F70A7" w:rsidP="009F70A7">
      <w:pPr>
        <w:spacing w:after="120" w:line="276" w:lineRule="auto"/>
        <w:jc w:val="both"/>
        <w:rPr>
          <w:rFonts w:ascii="Palatino Linotype" w:hAnsi="Palatino Linotype"/>
          <w:sz w:val="22"/>
          <w:szCs w:val="22"/>
          <w:lang w:val="es-ES_tradnl"/>
        </w:rPr>
      </w:pPr>
      <w:r w:rsidRPr="009F70A7">
        <w:rPr>
          <w:rFonts w:ascii="Palatino Linotype" w:hAnsi="Palatino Linotype"/>
          <w:b/>
          <w:sz w:val="22"/>
          <w:szCs w:val="22"/>
          <w:lang w:val="es-ES_tradnl"/>
        </w:rPr>
        <w:t>Artículo 14.- De la partición y adjudicación.-</w:t>
      </w:r>
      <w:r w:rsidRPr="009F70A7">
        <w:rPr>
          <w:rFonts w:ascii="Palatino Linotype" w:hAnsi="Palatino Linotype"/>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9F70A7" w:rsidRPr="009F70A7" w:rsidRDefault="009F70A7" w:rsidP="009F70A7">
      <w:pPr>
        <w:spacing w:after="120" w:line="276" w:lineRule="auto"/>
        <w:jc w:val="both"/>
        <w:rPr>
          <w:rFonts w:ascii="Palatino Linotype" w:hAnsi="Palatino Linotype"/>
          <w:bCs/>
          <w:sz w:val="22"/>
          <w:szCs w:val="22"/>
          <w:lang w:val="es-ES_tradnl"/>
        </w:rPr>
      </w:pPr>
      <w:r w:rsidRPr="009F70A7">
        <w:rPr>
          <w:rFonts w:ascii="Palatino Linotype" w:hAnsi="Palatino Linotype"/>
          <w:b/>
          <w:bCs/>
          <w:sz w:val="22"/>
          <w:szCs w:val="22"/>
          <w:lang w:val="es-ES_tradnl"/>
        </w:rPr>
        <w:t xml:space="preserve">Artículo 15.- Solicitudes de ampliación de plazo.- </w:t>
      </w:r>
      <w:r w:rsidRPr="009F70A7">
        <w:rPr>
          <w:rFonts w:ascii="Palatino Linotype" w:hAnsi="Palatino Linotype"/>
          <w:bCs/>
          <w:sz w:val="22"/>
          <w:szCs w:val="22"/>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9F70A7" w:rsidRPr="009F70A7" w:rsidRDefault="009F70A7" w:rsidP="009F70A7">
      <w:pPr>
        <w:spacing w:after="120" w:line="276" w:lineRule="auto"/>
        <w:jc w:val="both"/>
        <w:rPr>
          <w:rFonts w:ascii="Palatino Linotype" w:hAnsi="Palatino Linotype"/>
          <w:bCs/>
          <w:sz w:val="22"/>
          <w:szCs w:val="22"/>
          <w:lang w:val="es-ES_tradnl"/>
        </w:rPr>
      </w:pPr>
      <w:r w:rsidRPr="009F70A7">
        <w:rPr>
          <w:rFonts w:ascii="Palatino Linotype" w:hAnsi="Palatino Linotype"/>
          <w:b/>
          <w:bCs/>
          <w:sz w:val="22"/>
          <w:szCs w:val="22"/>
          <w:lang w:val="es-ES_tradnl"/>
        </w:rPr>
        <w:t>Artículo 16.- Potestad de ejecución.-</w:t>
      </w:r>
      <w:r w:rsidRPr="009F70A7">
        <w:rPr>
          <w:rFonts w:ascii="Palatino Linotype" w:hAnsi="Palatino Linotype"/>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w:t>
      </w:r>
      <w:r w:rsidRPr="009F70A7">
        <w:rPr>
          <w:rFonts w:ascii="Palatino Linotype" w:hAnsi="Palatino Linotype"/>
          <w:bCs/>
          <w:sz w:val="22"/>
          <w:szCs w:val="22"/>
          <w:lang w:val="es-ES_tradnl"/>
        </w:rPr>
        <w:lastRenderedPageBreak/>
        <w:t>por la vía coactiva, con un recargo del veinte por ciento (20%) más los intereses correspondientes.</w:t>
      </w:r>
    </w:p>
    <w:p w:rsidR="00A654C3" w:rsidRPr="009F70A7" w:rsidRDefault="00A654C3" w:rsidP="00A654C3">
      <w:pPr>
        <w:spacing w:after="120" w:line="276" w:lineRule="auto"/>
        <w:jc w:val="both"/>
        <w:rPr>
          <w:rFonts w:ascii="Palatino Linotype" w:hAnsi="Palatino Linotype" w:cs="Arial"/>
          <w:sz w:val="22"/>
          <w:szCs w:val="22"/>
        </w:rPr>
      </w:pPr>
      <w:r w:rsidRPr="009F70A7">
        <w:rPr>
          <w:rFonts w:ascii="Palatino Linotype" w:hAnsi="Palatino Linotype" w:cs="Arial"/>
          <w:b/>
          <w:sz w:val="22"/>
          <w:szCs w:val="22"/>
        </w:rPr>
        <w:t>Disposición final.-</w:t>
      </w:r>
      <w:r w:rsidRPr="009F70A7">
        <w:rPr>
          <w:rFonts w:ascii="Palatino Linotype" w:hAnsi="Palatino Linotype" w:cs="Arial"/>
          <w:sz w:val="22"/>
          <w:szCs w:val="22"/>
        </w:rPr>
        <w:t xml:space="preserve"> La presente ordenanza entrará en vigencia a partir de su sanción, sin perjuicio de su publicación en la página web institucional de la Municipalidad.</w:t>
      </w:r>
    </w:p>
    <w:p w:rsidR="00A654C3" w:rsidRPr="009F70A7" w:rsidRDefault="00A654C3" w:rsidP="00A654C3">
      <w:pPr>
        <w:pStyle w:val="Cuadrculaclara-nfasis31"/>
        <w:tabs>
          <w:tab w:val="left" w:pos="2410"/>
        </w:tabs>
        <w:suppressAutoHyphens w:val="0"/>
        <w:spacing w:after="120" w:line="276" w:lineRule="auto"/>
        <w:ind w:left="0"/>
        <w:jc w:val="both"/>
        <w:rPr>
          <w:rFonts w:ascii="Palatino Linotype" w:hAnsi="Palatino Linotype"/>
          <w:sz w:val="22"/>
          <w:szCs w:val="22"/>
        </w:rPr>
      </w:pPr>
      <w:r w:rsidRPr="009F70A7">
        <w:rPr>
          <w:rFonts w:ascii="Palatino Linotype" w:hAnsi="Palatino Linotype"/>
          <w:sz w:val="22"/>
          <w:szCs w:val="22"/>
        </w:rPr>
        <w:t xml:space="preserve">Dada, en la Sala de Sesiones del Concejo Metropolitano de Quito, el </w:t>
      </w:r>
      <w:r w:rsidR="00F853F8" w:rsidRPr="009F70A7">
        <w:rPr>
          <w:rFonts w:ascii="Palatino Linotype" w:hAnsi="Palatino Linotype"/>
          <w:sz w:val="22"/>
          <w:szCs w:val="22"/>
        </w:rPr>
        <w:t xml:space="preserve">3 de abril </w:t>
      </w:r>
      <w:r w:rsidR="000D0BB5" w:rsidRPr="009F70A7">
        <w:rPr>
          <w:rFonts w:ascii="Palatino Linotype" w:hAnsi="Palatino Linotype"/>
          <w:sz w:val="22"/>
          <w:szCs w:val="22"/>
        </w:rPr>
        <w:t>de 2018</w:t>
      </w:r>
      <w:r w:rsidRPr="009F70A7">
        <w:rPr>
          <w:rFonts w:ascii="Palatino Linotype" w:hAnsi="Palatino Linotype"/>
          <w:sz w:val="22"/>
          <w:szCs w:val="22"/>
        </w:rPr>
        <w:t>.</w:t>
      </w:r>
    </w:p>
    <w:p w:rsidR="00F853F8" w:rsidRPr="009F70A7" w:rsidRDefault="00F853F8" w:rsidP="00A654C3">
      <w:pPr>
        <w:pStyle w:val="Textopredeterminado"/>
        <w:shd w:val="clear" w:color="auto" w:fill="FFFFFF"/>
        <w:jc w:val="both"/>
        <w:rPr>
          <w:rFonts w:ascii="Palatino Linotype" w:hAnsi="Palatino Linotype"/>
          <w:sz w:val="22"/>
          <w:szCs w:val="22"/>
        </w:rPr>
      </w:pPr>
    </w:p>
    <w:p w:rsidR="00DE01FF" w:rsidRPr="009F70A7" w:rsidRDefault="00DE01FF" w:rsidP="00A654C3">
      <w:pPr>
        <w:pStyle w:val="Textopredeterminado"/>
        <w:shd w:val="clear" w:color="auto" w:fill="FFFFFF"/>
        <w:jc w:val="both"/>
        <w:rPr>
          <w:rFonts w:ascii="Palatino Linotype" w:hAnsi="Palatino Linotype"/>
          <w:sz w:val="22"/>
          <w:szCs w:val="22"/>
        </w:rPr>
      </w:pPr>
    </w:p>
    <w:p w:rsidR="000D0BB5" w:rsidRPr="009F70A7" w:rsidRDefault="000D0BB5" w:rsidP="000D0BB5">
      <w:pPr>
        <w:pStyle w:val="Textosinformato"/>
        <w:jc w:val="center"/>
        <w:rPr>
          <w:rFonts w:ascii="Palatino Linotype" w:eastAsia="MS Mincho" w:hAnsi="Palatino Linotype" w:cs="Arial"/>
          <w:sz w:val="22"/>
          <w:szCs w:val="22"/>
        </w:rPr>
      </w:pPr>
      <w:r w:rsidRPr="009F70A7">
        <w:rPr>
          <w:rFonts w:ascii="Palatino Linotype" w:eastAsia="MS Mincho" w:hAnsi="Palatino Linotype" w:cs="Arial"/>
          <w:sz w:val="22"/>
          <w:szCs w:val="22"/>
        </w:rPr>
        <w:t>Abg. Diego Cevallos Salgado</w:t>
      </w:r>
    </w:p>
    <w:p w:rsidR="000D0BB5" w:rsidRPr="009F70A7" w:rsidRDefault="000D0BB5" w:rsidP="000D0BB5">
      <w:pPr>
        <w:pStyle w:val="Textosinformato"/>
        <w:jc w:val="center"/>
        <w:rPr>
          <w:rFonts w:ascii="Palatino Linotype" w:eastAsia="MS Mincho" w:hAnsi="Palatino Linotype" w:cs="Arial"/>
          <w:b/>
          <w:bCs/>
          <w:sz w:val="22"/>
          <w:szCs w:val="22"/>
        </w:rPr>
      </w:pPr>
      <w:r w:rsidRPr="009F70A7">
        <w:rPr>
          <w:rFonts w:ascii="Palatino Linotype" w:eastAsia="MS Mincho" w:hAnsi="Palatino Linotype" w:cs="Arial"/>
          <w:b/>
          <w:bCs/>
          <w:sz w:val="22"/>
          <w:szCs w:val="22"/>
        </w:rPr>
        <w:t>SECRETARIO GENERAL DEL CONCEJO METROPOLITANO DE QUITO</w:t>
      </w: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cs="Arial"/>
          <w:b/>
          <w:bCs/>
          <w:sz w:val="22"/>
          <w:szCs w:val="22"/>
        </w:rPr>
      </w:pPr>
      <w:r w:rsidRPr="009F70A7">
        <w:rPr>
          <w:rFonts w:ascii="Palatino Linotype" w:eastAsia="MS Mincho" w:hAnsi="Palatino Linotype" w:cs="Arial"/>
          <w:b/>
          <w:bCs/>
          <w:sz w:val="22"/>
          <w:szCs w:val="22"/>
        </w:rPr>
        <w:t>CERTIFICADO DE DISCUSIÓN</w:t>
      </w:r>
    </w:p>
    <w:p w:rsidR="00A654C3" w:rsidRPr="009F70A7" w:rsidRDefault="00A654C3" w:rsidP="00A654C3">
      <w:pPr>
        <w:pStyle w:val="Textosinformato"/>
        <w:jc w:val="both"/>
        <w:rPr>
          <w:rFonts w:ascii="Palatino Linotype" w:eastAsia="MS Mincho" w:hAnsi="Palatino Linotype" w:cs="Arial"/>
          <w:sz w:val="22"/>
          <w:szCs w:val="22"/>
        </w:rPr>
      </w:pPr>
    </w:p>
    <w:p w:rsidR="00A654C3" w:rsidRPr="009F70A7" w:rsidRDefault="00A654C3" w:rsidP="00A654C3">
      <w:pPr>
        <w:pStyle w:val="Textosinformato"/>
        <w:spacing w:line="276" w:lineRule="auto"/>
        <w:jc w:val="both"/>
        <w:rPr>
          <w:rFonts w:ascii="Palatino Linotype" w:eastAsia="MS Mincho" w:hAnsi="Palatino Linotype" w:cs="Arial"/>
          <w:sz w:val="22"/>
          <w:szCs w:val="22"/>
        </w:rPr>
      </w:pPr>
      <w:r w:rsidRPr="009F70A7">
        <w:rPr>
          <w:rFonts w:ascii="Palatino Linotype" w:eastAsia="MS Mincho" w:hAnsi="Palatino Linotype" w:cs="Arial"/>
          <w:sz w:val="22"/>
          <w:szCs w:val="22"/>
        </w:rPr>
        <w:t xml:space="preserve">El infrascrito Secretario General del Concejo Metropolitano de Quito, certifica que la presente ordenanza fue discutida y aprobada en dos debates, en sesiones de </w:t>
      </w:r>
      <w:r w:rsidR="00BF342B" w:rsidRPr="009F70A7">
        <w:rPr>
          <w:rFonts w:ascii="Palatino Linotype" w:eastAsia="MS Mincho" w:hAnsi="Palatino Linotype" w:cs="Arial"/>
          <w:sz w:val="22"/>
          <w:szCs w:val="22"/>
        </w:rPr>
        <w:t>15</w:t>
      </w:r>
      <w:r w:rsidRPr="009F70A7">
        <w:rPr>
          <w:rFonts w:ascii="Palatino Linotype" w:eastAsia="MS Mincho" w:hAnsi="Palatino Linotype" w:cs="Arial"/>
          <w:sz w:val="22"/>
          <w:szCs w:val="22"/>
        </w:rPr>
        <w:t xml:space="preserve"> de </w:t>
      </w:r>
      <w:r w:rsidR="00E62A50" w:rsidRPr="009F70A7">
        <w:rPr>
          <w:rFonts w:ascii="Palatino Linotype" w:eastAsia="MS Mincho" w:hAnsi="Palatino Linotype" w:cs="Arial"/>
          <w:sz w:val="22"/>
          <w:szCs w:val="22"/>
        </w:rPr>
        <w:t xml:space="preserve">junio </w:t>
      </w:r>
      <w:r w:rsidR="000D0BB5" w:rsidRPr="009F70A7">
        <w:rPr>
          <w:rFonts w:ascii="Palatino Linotype" w:eastAsia="MS Mincho" w:hAnsi="Palatino Linotype" w:cs="Arial"/>
          <w:sz w:val="22"/>
          <w:szCs w:val="22"/>
        </w:rPr>
        <w:t xml:space="preserve">de 2017 </w:t>
      </w:r>
      <w:r w:rsidRPr="009F70A7">
        <w:rPr>
          <w:rFonts w:ascii="Palatino Linotype" w:eastAsia="MS Mincho" w:hAnsi="Palatino Linotype" w:cs="Arial"/>
          <w:sz w:val="22"/>
          <w:szCs w:val="22"/>
        </w:rPr>
        <w:t xml:space="preserve">y </w:t>
      </w:r>
      <w:r w:rsidR="00BF342B" w:rsidRPr="009F70A7">
        <w:rPr>
          <w:rFonts w:ascii="Palatino Linotype" w:eastAsia="MS Mincho" w:hAnsi="Palatino Linotype" w:cs="Arial"/>
          <w:sz w:val="22"/>
          <w:szCs w:val="22"/>
        </w:rPr>
        <w:t>3</w:t>
      </w:r>
      <w:r w:rsidRPr="009F70A7">
        <w:rPr>
          <w:rFonts w:ascii="Palatino Linotype" w:eastAsia="MS Mincho" w:hAnsi="Palatino Linotype" w:cs="Arial"/>
          <w:sz w:val="22"/>
          <w:szCs w:val="22"/>
        </w:rPr>
        <w:t xml:space="preserve"> de </w:t>
      </w:r>
      <w:r w:rsidR="00BF342B" w:rsidRPr="009F70A7">
        <w:rPr>
          <w:rFonts w:ascii="Palatino Linotype" w:eastAsia="MS Mincho" w:hAnsi="Palatino Linotype" w:cs="Arial"/>
          <w:sz w:val="22"/>
          <w:szCs w:val="22"/>
        </w:rPr>
        <w:t xml:space="preserve">abril </w:t>
      </w:r>
      <w:r w:rsidRPr="009F70A7">
        <w:rPr>
          <w:rFonts w:ascii="Palatino Linotype" w:eastAsia="MS Mincho" w:hAnsi="Palatino Linotype" w:cs="Arial"/>
          <w:sz w:val="22"/>
          <w:szCs w:val="22"/>
        </w:rPr>
        <w:t>de 201</w:t>
      </w:r>
      <w:r w:rsidR="000D0BB5" w:rsidRPr="009F70A7">
        <w:rPr>
          <w:rFonts w:ascii="Palatino Linotype" w:eastAsia="MS Mincho" w:hAnsi="Palatino Linotype" w:cs="Arial"/>
          <w:sz w:val="22"/>
          <w:szCs w:val="22"/>
        </w:rPr>
        <w:t>8</w:t>
      </w:r>
      <w:r w:rsidRPr="009F70A7">
        <w:rPr>
          <w:rFonts w:ascii="Palatino Linotype" w:eastAsia="MS Mincho" w:hAnsi="Palatino Linotype" w:cs="Arial"/>
          <w:sz w:val="22"/>
          <w:szCs w:val="22"/>
        </w:rPr>
        <w:t>.- Quito,</w:t>
      </w:r>
    </w:p>
    <w:p w:rsidR="00DE01FF" w:rsidRPr="009F70A7" w:rsidRDefault="00DE01FF" w:rsidP="00A654C3">
      <w:pPr>
        <w:pStyle w:val="Textosinformato"/>
        <w:jc w:val="center"/>
        <w:rPr>
          <w:rFonts w:ascii="Palatino Linotype" w:eastAsia="MS Mincho" w:hAnsi="Palatino Linotype" w:cs="Arial"/>
          <w:sz w:val="22"/>
          <w:szCs w:val="22"/>
        </w:rPr>
      </w:pPr>
    </w:p>
    <w:p w:rsidR="00927B50" w:rsidRPr="009F70A7" w:rsidRDefault="00927B50"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r w:rsidRPr="009F70A7">
        <w:rPr>
          <w:rFonts w:ascii="Palatino Linotype" w:eastAsia="MS Mincho" w:hAnsi="Palatino Linotype" w:cs="Arial"/>
          <w:sz w:val="22"/>
          <w:szCs w:val="22"/>
        </w:rPr>
        <w:t>Abg. Diego Cevallos Salgado</w:t>
      </w:r>
    </w:p>
    <w:p w:rsidR="00A654C3" w:rsidRPr="009F70A7" w:rsidRDefault="00A654C3" w:rsidP="00A654C3">
      <w:pPr>
        <w:pStyle w:val="Textosinformato"/>
        <w:jc w:val="center"/>
        <w:rPr>
          <w:rFonts w:ascii="Palatino Linotype" w:eastAsia="MS Mincho" w:hAnsi="Palatino Linotype" w:cs="Arial"/>
          <w:b/>
          <w:bCs/>
          <w:sz w:val="22"/>
          <w:szCs w:val="22"/>
        </w:rPr>
      </w:pPr>
      <w:r w:rsidRPr="009F70A7">
        <w:rPr>
          <w:rFonts w:ascii="Palatino Linotype" w:eastAsia="MS Mincho" w:hAnsi="Palatino Linotype" w:cs="Arial"/>
          <w:b/>
          <w:bCs/>
          <w:sz w:val="22"/>
          <w:szCs w:val="22"/>
        </w:rPr>
        <w:t>SECRETARIO GENERAL DEL CONCEJO METROPOLITANO DE QUITO</w:t>
      </w:r>
    </w:p>
    <w:p w:rsidR="000D0BB5" w:rsidRPr="009F70A7" w:rsidRDefault="000D0BB5" w:rsidP="00A654C3">
      <w:pPr>
        <w:pStyle w:val="Textosinformato"/>
        <w:jc w:val="center"/>
        <w:rPr>
          <w:rFonts w:ascii="Palatino Linotype" w:eastAsia="MS Mincho" w:hAnsi="Palatino Linotype" w:cs="Arial"/>
          <w:b/>
          <w:bCs/>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r w:rsidRPr="009F70A7">
        <w:rPr>
          <w:rFonts w:ascii="Palatino Linotype" w:eastAsia="MS Mincho" w:hAnsi="Palatino Linotype" w:cs="Arial"/>
          <w:b/>
          <w:bCs/>
          <w:sz w:val="22"/>
          <w:szCs w:val="22"/>
        </w:rPr>
        <w:t>ALCALDÍA DEL DISTRITO METROPOLITANO.-</w:t>
      </w:r>
      <w:r w:rsidRPr="009F70A7">
        <w:rPr>
          <w:rFonts w:ascii="Palatino Linotype" w:eastAsia="MS Mincho" w:hAnsi="Palatino Linotype" w:cs="Arial"/>
          <w:sz w:val="22"/>
          <w:szCs w:val="22"/>
        </w:rPr>
        <w:t xml:space="preserve">  Distrito Metropolitano de Quito,</w:t>
      </w:r>
    </w:p>
    <w:p w:rsidR="00A654C3" w:rsidRPr="009F70A7" w:rsidRDefault="00A654C3" w:rsidP="00A654C3">
      <w:pPr>
        <w:pStyle w:val="Textosinformato"/>
        <w:jc w:val="center"/>
        <w:rPr>
          <w:rFonts w:ascii="Palatino Linotype" w:eastAsia="MS Mincho" w:hAnsi="Palatino Linotype" w:cs="Arial"/>
          <w:b/>
          <w:sz w:val="22"/>
          <w:szCs w:val="22"/>
        </w:rPr>
      </w:pPr>
    </w:p>
    <w:p w:rsidR="00A654C3" w:rsidRPr="009F70A7" w:rsidRDefault="00A654C3" w:rsidP="00A654C3">
      <w:pPr>
        <w:pStyle w:val="Textosinformato"/>
        <w:jc w:val="center"/>
        <w:rPr>
          <w:rFonts w:ascii="Palatino Linotype" w:eastAsia="MS Mincho" w:hAnsi="Palatino Linotype" w:cs="Arial"/>
          <w:b/>
          <w:sz w:val="22"/>
          <w:szCs w:val="22"/>
        </w:rPr>
      </w:pPr>
      <w:r w:rsidRPr="009F70A7">
        <w:rPr>
          <w:rFonts w:ascii="Palatino Linotype" w:eastAsia="MS Mincho" w:hAnsi="Palatino Linotype" w:cs="Arial"/>
          <w:b/>
          <w:sz w:val="22"/>
          <w:szCs w:val="22"/>
        </w:rPr>
        <w:t>EJECÚTESE:</w:t>
      </w: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r w:rsidRPr="009F70A7">
        <w:rPr>
          <w:rFonts w:ascii="Palatino Linotype" w:eastAsia="MS Mincho" w:hAnsi="Palatino Linotype" w:cs="Arial"/>
          <w:sz w:val="22"/>
          <w:szCs w:val="22"/>
        </w:rPr>
        <w:t>Dr. Mauricio Rodas Espinel</w:t>
      </w:r>
    </w:p>
    <w:p w:rsidR="00A654C3" w:rsidRPr="009F70A7" w:rsidRDefault="00A654C3" w:rsidP="00A654C3">
      <w:pPr>
        <w:pStyle w:val="Textosinformato"/>
        <w:jc w:val="center"/>
        <w:rPr>
          <w:rFonts w:ascii="Palatino Linotype" w:eastAsia="MS Mincho" w:hAnsi="Palatino Linotype" w:cs="Arial"/>
          <w:b/>
          <w:bCs/>
          <w:sz w:val="22"/>
          <w:szCs w:val="22"/>
        </w:rPr>
      </w:pPr>
      <w:r w:rsidRPr="009F70A7">
        <w:rPr>
          <w:rFonts w:ascii="Palatino Linotype" w:eastAsia="MS Mincho" w:hAnsi="Palatino Linotype" w:cs="Arial"/>
          <w:b/>
          <w:bCs/>
          <w:sz w:val="22"/>
          <w:szCs w:val="22"/>
        </w:rPr>
        <w:t>ALCALDE DEL DISTRITO METROPOLITANO DE QUITO</w:t>
      </w:r>
    </w:p>
    <w:p w:rsidR="002E561C" w:rsidRPr="009F70A7" w:rsidRDefault="002E561C" w:rsidP="00A654C3">
      <w:pPr>
        <w:pStyle w:val="Textosinformato"/>
        <w:jc w:val="center"/>
        <w:rPr>
          <w:rFonts w:ascii="Palatino Linotype" w:eastAsia="MS Mincho" w:hAnsi="Palatino Linotype" w:cs="Arial"/>
          <w:b/>
          <w:bCs/>
          <w:sz w:val="22"/>
          <w:szCs w:val="22"/>
        </w:rPr>
      </w:pPr>
    </w:p>
    <w:p w:rsidR="00A654C3" w:rsidRPr="009F70A7" w:rsidRDefault="00A654C3" w:rsidP="00A654C3">
      <w:pPr>
        <w:pStyle w:val="Textosinformato"/>
        <w:spacing w:line="276" w:lineRule="auto"/>
        <w:jc w:val="both"/>
        <w:rPr>
          <w:rFonts w:ascii="Palatino Linotype" w:eastAsia="MS Mincho" w:hAnsi="Palatino Linotype" w:cs="Arial"/>
          <w:sz w:val="22"/>
          <w:szCs w:val="22"/>
        </w:rPr>
      </w:pPr>
      <w:r w:rsidRPr="009F70A7">
        <w:rPr>
          <w:rFonts w:ascii="Palatino Linotype" w:eastAsia="MS Mincho" w:hAnsi="Palatino Linotype" w:cs="Arial"/>
          <w:b/>
          <w:bCs/>
          <w:sz w:val="22"/>
          <w:szCs w:val="22"/>
        </w:rPr>
        <w:t>CERTIFICO,</w:t>
      </w:r>
      <w:r w:rsidRPr="009F70A7">
        <w:rPr>
          <w:rFonts w:ascii="Palatino Linotype" w:eastAsia="MS Mincho" w:hAnsi="Palatino Linotype" w:cs="Arial"/>
          <w:sz w:val="22"/>
          <w:szCs w:val="22"/>
        </w:rPr>
        <w:t xml:space="preserve"> que la presente ordenanza fue sancionada por el Dr. Mauricio Rodas Espinel, Alcalde  del Distrito Metropolitano de Quito, el</w:t>
      </w:r>
    </w:p>
    <w:p w:rsidR="00A654C3" w:rsidRPr="009F70A7" w:rsidRDefault="00A654C3" w:rsidP="00A654C3">
      <w:pPr>
        <w:pStyle w:val="Textosinformato"/>
        <w:tabs>
          <w:tab w:val="right" w:pos="8504"/>
        </w:tabs>
        <w:spacing w:line="276" w:lineRule="auto"/>
        <w:jc w:val="both"/>
        <w:rPr>
          <w:rFonts w:ascii="Palatino Linotype" w:eastAsia="MS Mincho" w:hAnsi="Palatino Linotype" w:cs="Arial"/>
          <w:sz w:val="22"/>
          <w:szCs w:val="22"/>
        </w:rPr>
      </w:pPr>
      <w:r w:rsidRPr="009F70A7">
        <w:rPr>
          <w:rFonts w:ascii="Palatino Linotype" w:eastAsia="MS Mincho" w:hAnsi="Palatino Linotype" w:cs="Arial"/>
          <w:sz w:val="22"/>
          <w:szCs w:val="22"/>
        </w:rPr>
        <w:t>.- Distrito Metropolitano de Quito,</w:t>
      </w: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p>
    <w:p w:rsidR="00A654C3" w:rsidRPr="009F70A7" w:rsidRDefault="00A654C3" w:rsidP="00A654C3">
      <w:pPr>
        <w:pStyle w:val="Textosinformato"/>
        <w:jc w:val="center"/>
        <w:rPr>
          <w:rFonts w:ascii="Palatino Linotype" w:eastAsia="MS Mincho" w:hAnsi="Palatino Linotype" w:cs="Arial"/>
          <w:sz w:val="22"/>
          <w:szCs w:val="22"/>
        </w:rPr>
      </w:pPr>
      <w:r w:rsidRPr="009F70A7">
        <w:rPr>
          <w:rFonts w:ascii="Palatino Linotype" w:eastAsia="MS Mincho" w:hAnsi="Palatino Linotype" w:cs="Arial"/>
          <w:sz w:val="22"/>
          <w:szCs w:val="22"/>
        </w:rPr>
        <w:t>Abg. Diego Cevallos Salgado</w:t>
      </w:r>
    </w:p>
    <w:p w:rsidR="00A654C3" w:rsidRPr="009F70A7" w:rsidRDefault="00A654C3" w:rsidP="00A654C3">
      <w:pPr>
        <w:pStyle w:val="Textosinformato"/>
        <w:jc w:val="center"/>
        <w:rPr>
          <w:rFonts w:ascii="Palatino Linotype" w:eastAsia="MS Mincho" w:hAnsi="Palatino Linotype" w:cs="Arial"/>
          <w:b/>
          <w:bCs/>
          <w:sz w:val="22"/>
          <w:szCs w:val="22"/>
        </w:rPr>
      </w:pPr>
      <w:r w:rsidRPr="009F70A7">
        <w:rPr>
          <w:rFonts w:ascii="Palatino Linotype" w:eastAsia="MS Mincho" w:hAnsi="Palatino Linotype" w:cs="Arial"/>
          <w:b/>
          <w:bCs/>
          <w:sz w:val="22"/>
          <w:szCs w:val="22"/>
        </w:rPr>
        <w:t>SECRETARIO GENERAL DEL CONCEJO METROPOLITANO DE QUITO</w:t>
      </w:r>
    </w:p>
    <w:p w:rsidR="00201283" w:rsidRPr="009F70A7" w:rsidRDefault="00A654C3" w:rsidP="000D0BB5">
      <w:pPr>
        <w:pStyle w:val="Cuerpodeltexto0"/>
        <w:shd w:val="clear" w:color="auto" w:fill="auto"/>
        <w:spacing w:after="300" w:line="322" w:lineRule="exact"/>
        <w:ind w:right="100" w:firstLine="0"/>
        <w:jc w:val="both"/>
        <w:rPr>
          <w:rFonts w:ascii="Palatino Linotype" w:hAnsi="Palatino Linotype"/>
          <w:sz w:val="22"/>
          <w:szCs w:val="22"/>
        </w:rPr>
      </w:pPr>
      <w:proofErr w:type="spellStart"/>
      <w:r w:rsidRPr="009F70A7">
        <w:rPr>
          <w:rFonts w:ascii="Palatino Linotype" w:eastAsia="MS Mincho" w:hAnsi="Palatino Linotype" w:cs="Arial"/>
          <w:b w:val="0"/>
          <w:bCs w:val="0"/>
          <w:sz w:val="16"/>
          <w:szCs w:val="16"/>
          <w:lang w:val="es-ES"/>
        </w:rPr>
        <w:t>DSCS</w:t>
      </w:r>
      <w:proofErr w:type="spellEnd"/>
    </w:p>
    <w:sectPr w:rsidR="00201283" w:rsidRPr="009F70A7" w:rsidSect="00927B50">
      <w:headerReference w:type="even" r:id="rId11"/>
      <w:headerReference w:type="default" r:id="rId12"/>
      <w:footerReference w:type="default" r:id="rId13"/>
      <w:headerReference w:type="first" r:id="rId14"/>
      <w:footerReference w:type="first" r:id="rId15"/>
      <w:pgSz w:w="11906" w:h="16838"/>
      <w:pgMar w:top="3402" w:right="1274" w:bottom="567" w:left="1418" w:header="709" w:footer="2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91" w:rsidRDefault="00C95F91">
      <w:r>
        <w:separator/>
      </w:r>
    </w:p>
  </w:endnote>
  <w:endnote w:type="continuationSeparator" w:id="0">
    <w:p w:rsidR="00C95F91" w:rsidRDefault="00C9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Default="00BC5FD3">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8381C">
      <w:rPr>
        <w:b/>
        <w:noProof/>
      </w:rPr>
      <w:t>12</w:t>
    </w:r>
    <w:r>
      <w:rPr>
        <w:b/>
        <w:sz w:val="24"/>
        <w:szCs w:val="24"/>
      </w:rPr>
      <w:fldChar w:fldCharType="end"/>
    </w:r>
  </w:p>
  <w:p w:rsidR="00BC5FD3" w:rsidRDefault="00BC5F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Pr="00A654C3" w:rsidRDefault="00BC5FD3">
    <w:pPr>
      <w:pStyle w:val="Piedepgina"/>
      <w:jc w:val="right"/>
      <w:rPr>
        <w:rFonts w:ascii="Palatino Linotype" w:hAnsi="Palatino Linotype"/>
        <w:b/>
        <w:sz w:val="22"/>
        <w:szCs w:val="22"/>
      </w:rPr>
    </w:pPr>
    <w:r w:rsidRPr="00A654C3">
      <w:rPr>
        <w:rFonts w:ascii="Palatino Linotype" w:hAnsi="Palatino Linotype"/>
        <w:b/>
        <w:sz w:val="22"/>
        <w:szCs w:val="22"/>
      </w:rPr>
      <w:t xml:space="preserve">Página </w:t>
    </w:r>
    <w:r w:rsidRPr="00A654C3">
      <w:rPr>
        <w:rFonts w:ascii="Palatino Linotype" w:hAnsi="Palatino Linotype"/>
        <w:b/>
        <w:sz w:val="22"/>
        <w:szCs w:val="22"/>
      </w:rPr>
      <w:fldChar w:fldCharType="begin"/>
    </w:r>
    <w:r w:rsidRPr="00A654C3">
      <w:rPr>
        <w:rFonts w:ascii="Palatino Linotype" w:hAnsi="Palatino Linotype"/>
        <w:b/>
        <w:sz w:val="22"/>
        <w:szCs w:val="22"/>
      </w:rPr>
      <w:instrText>PAGE</w:instrText>
    </w:r>
    <w:r w:rsidRPr="00A654C3">
      <w:rPr>
        <w:rFonts w:ascii="Palatino Linotype" w:hAnsi="Palatino Linotype"/>
        <w:b/>
        <w:sz w:val="22"/>
        <w:szCs w:val="22"/>
      </w:rPr>
      <w:fldChar w:fldCharType="separate"/>
    </w:r>
    <w:r w:rsidR="00F8381C">
      <w:rPr>
        <w:rFonts w:ascii="Palatino Linotype" w:hAnsi="Palatino Linotype"/>
        <w:b/>
        <w:noProof/>
        <w:sz w:val="22"/>
        <w:szCs w:val="22"/>
      </w:rPr>
      <w:t>11</w:t>
    </w:r>
    <w:r w:rsidRPr="00A654C3">
      <w:rPr>
        <w:rFonts w:ascii="Palatino Linotype" w:hAnsi="Palatino Linotype"/>
        <w:b/>
        <w:sz w:val="22"/>
        <w:szCs w:val="22"/>
      </w:rPr>
      <w:fldChar w:fldCharType="end"/>
    </w:r>
    <w:r w:rsidRPr="00A654C3">
      <w:rPr>
        <w:rFonts w:ascii="Palatino Linotype" w:hAnsi="Palatino Linotype"/>
        <w:b/>
        <w:sz w:val="22"/>
        <w:szCs w:val="22"/>
      </w:rPr>
      <w:t xml:space="preserve"> de </w:t>
    </w:r>
    <w:r w:rsidR="009F70A7">
      <w:rPr>
        <w:rFonts w:ascii="Palatino Linotype" w:hAnsi="Palatino Linotype"/>
        <w:b/>
        <w:sz w:val="22"/>
        <w:szCs w:val="22"/>
      </w:rPr>
      <w:t>11</w:t>
    </w:r>
  </w:p>
  <w:p w:rsidR="00BC5FD3" w:rsidRPr="00A654C3" w:rsidRDefault="00BC5FD3">
    <w:pPr>
      <w:pStyle w:val="Piedepgina"/>
      <w:jc w:val="right"/>
      <w:rPr>
        <w:rFonts w:ascii="Palatino Linotype" w:hAnsi="Palatino Linotype"/>
        <w:b/>
        <w:sz w:val="22"/>
        <w:szCs w:val="22"/>
      </w:rPr>
    </w:pPr>
  </w:p>
  <w:p w:rsidR="00BC5FD3" w:rsidRPr="00A654C3" w:rsidRDefault="00BC5FD3">
    <w:pPr>
      <w:pStyle w:val="Piedepgina"/>
      <w:rPr>
        <w:rFonts w:ascii="Palatino Linotype" w:hAnsi="Palatino Linotype"/>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Pr="0002561F" w:rsidRDefault="00BC5FD3">
    <w:pPr>
      <w:pStyle w:val="Piedepgina"/>
      <w:jc w:val="right"/>
      <w:rPr>
        <w:rFonts w:ascii="Palatino Linotype" w:hAnsi="Palatino Linotype"/>
        <w:sz w:val="22"/>
        <w:szCs w:val="22"/>
      </w:rPr>
    </w:pPr>
    <w:r w:rsidRPr="0002561F">
      <w:rPr>
        <w:rFonts w:ascii="Palatino Linotype" w:hAnsi="Palatino Linotype"/>
        <w:sz w:val="22"/>
        <w:szCs w:val="22"/>
      </w:rPr>
      <w:t xml:space="preserve">Página </w:t>
    </w:r>
    <w:r w:rsidRPr="0002561F">
      <w:rPr>
        <w:rFonts w:ascii="Palatino Linotype" w:hAnsi="Palatino Linotype"/>
        <w:b/>
        <w:sz w:val="22"/>
        <w:szCs w:val="22"/>
      </w:rPr>
      <w:fldChar w:fldCharType="begin"/>
    </w:r>
    <w:r w:rsidRPr="0002561F">
      <w:rPr>
        <w:rFonts w:ascii="Palatino Linotype" w:hAnsi="Palatino Linotype"/>
        <w:b/>
        <w:sz w:val="22"/>
        <w:szCs w:val="22"/>
      </w:rPr>
      <w:instrText>PAGE</w:instrText>
    </w:r>
    <w:r w:rsidRPr="0002561F">
      <w:rPr>
        <w:rFonts w:ascii="Palatino Linotype" w:hAnsi="Palatino Linotype"/>
        <w:b/>
        <w:sz w:val="22"/>
        <w:szCs w:val="22"/>
      </w:rPr>
      <w:fldChar w:fldCharType="separate"/>
    </w:r>
    <w:r w:rsidR="00F8381C">
      <w:rPr>
        <w:rFonts w:ascii="Palatino Linotype" w:hAnsi="Palatino Linotype"/>
        <w:b/>
        <w:noProof/>
        <w:sz w:val="22"/>
        <w:szCs w:val="22"/>
      </w:rPr>
      <w:t>1</w:t>
    </w:r>
    <w:r w:rsidRPr="0002561F">
      <w:rPr>
        <w:rFonts w:ascii="Palatino Linotype" w:hAnsi="Palatino Linotype"/>
        <w:b/>
        <w:sz w:val="22"/>
        <w:szCs w:val="22"/>
      </w:rPr>
      <w:fldChar w:fldCharType="end"/>
    </w:r>
    <w:r w:rsidRPr="0002561F">
      <w:rPr>
        <w:rFonts w:ascii="Palatino Linotype" w:hAnsi="Palatino Linotype"/>
        <w:sz w:val="22"/>
        <w:szCs w:val="22"/>
      </w:rPr>
      <w:t xml:space="preserve"> de </w:t>
    </w:r>
    <w:r>
      <w:rPr>
        <w:rFonts w:ascii="Palatino Linotype" w:hAnsi="Palatino Linotype"/>
        <w:b/>
        <w:sz w:val="22"/>
        <w:szCs w:val="22"/>
      </w:rPr>
      <w:t>12</w:t>
    </w:r>
  </w:p>
  <w:p w:rsidR="00BC5FD3" w:rsidRDefault="00BC5F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91" w:rsidRDefault="00C95F91">
      <w:r>
        <w:separator/>
      </w:r>
    </w:p>
  </w:footnote>
  <w:footnote w:type="continuationSeparator" w:id="0">
    <w:p w:rsidR="00C95F91" w:rsidRDefault="00C95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Pr="00476B21" w:rsidRDefault="00BC5FD3" w:rsidP="00201283">
    <w:pPr>
      <w:pStyle w:val="a"/>
      <w:rPr>
        <w:rFonts w:ascii="Palatino Linotype" w:hAnsi="Palatino Linotype" w:cs="Arial"/>
        <w:sz w:val="22"/>
        <w:szCs w:val="22"/>
      </w:rPr>
    </w:pPr>
    <w:r w:rsidRPr="00716956">
      <w:rPr>
        <w:rFonts w:ascii="Palatino Linotype" w:hAnsi="Palatino Linotype" w:cs="Arial"/>
        <w:sz w:val="22"/>
        <w:szCs w:val="22"/>
      </w:rPr>
      <w:t>ORDENANZA No.</w:t>
    </w:r>
  </w:p>
  <w:p w:rsidR="00BC5FD3" w:rsidRPr="00150606" w:rsidRDefault="00BC5FD3">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Default="00BC5F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Default="00BC5FD3" w:rsidP="00201283">
    <w:pPr>
      <w:pStyle w:val="a"/>
      <w:rPr>
        <w:rFonts w:ascii="Palatino Linotype" w:hAnsi="Palatino Linotype" w:cs="Arial"/>
        <w:sz w:val="22"/>
        <w:szCs w:val="22"/>
      </w:rPr>
    </w:pPr>
  </w:p>
  <w:p w:rsidR="00BC5FD3" w:rsidRPr="00476B21" w:rsidRDefault="00BC5FD3" w:rsidP="00201283">
    <w:pPr>
      <w:pStyle w:val="a"/>
      <w:rPr>
        <w:rFonts w:ascii="Palatino Linotype" w:hAnsi="Palatino Linotype" w:cs="Arial"/>
        <w:sz w:val="22"/>
        <w:szCs w:val="22"/>
      </w:rPr>
    </w:pPr>
    <w:r w:rsidRPr="00716956">
      <w:rPr>
        <w:rFonts w:ascii="Palatino Linotype" w:hAnsi="Palatino Linotype" w:cs="Arial"/>
        <w:sz w:val="22"/>
        <w:szCs w:val="22"/>
      </w:rPr>
      <w:t>ORDENANZA No.</w:t>
    </w:r>
  </w:p>
  <w:p w:rsidR="00BC5FD3" w:rsidRDefault="00BC5F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Default="00BC5FD3">
    <w:pPr>
      <w:pStyle w:val="Encabezado"/>
      <w:rPr>
        <w:lang w:val="es-EC"/>
      </w:rPr>
    </w:pPr>
  </w:p>
  <w:p w:rsidR="00BC5FD3" w:rsidRPr="0002561F" w:rsidRDefault="00BC5FD3" w:rsidP="0002561F">
    <w:pPr>
      <w:pStyle w:val="a"/>
      <w:spacing w:after="120" w:line="276" w:lineRule="auto"/>
      <w:rPr>
        <w:rFonts w:ascii="Palatino Linotype" w:hAnsi="Palatino Linotype" w:cs="Arial"/>
        <w:sz w:val="22"/>
        <w:szCs w:val="22"/>
      </w:rPr>
    </w:pPr>
    <w:r w:rsidRPr="00716956">
      <w:rPr>
        <w:rFonts w:ascii="Palatino Linotype" w:hAnsi="Palatino Linotype" w:cs="Arial"/>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5EE"/>
    <w:multiLevelType w:val="hybridMultilevel"/>
    <w:tmpl w:val="486A9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1D2FD5"/>
    <w:multiLevelType w:val="hybridMultilevel"/>
    <w:tmpl w:val="59822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547974"/>
    <w:multiLevelType w:val="hybridMultilevel"/>
    <w:tmpl w:val="6AF6F8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B585C29"/>
    <w:multiLevelType w:val="hybridMultilevel"/>
    <w:tmpl w:val="0B4A6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1E7B74"/>
    <w:multiLevelType w:val="multilevel"/>
    <w:tmpl w:val="EEEC842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141A4"/>
    <w:multiLevelType w:val="hybridMultilevel"/>
    <w:tmpl w:val="C2B89AB2"/>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6">
    <w:nsid w:val="19A16362"/>
    <w:multiLevelType w:val="multilevel"/>
    <w:tmpl w:val="EEEC842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56F29"/>
    <w:multiLevelType w:val="hybridMultilevel"/>
    <w:tmpl w:val="85269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F60BC6"/>
    <w:multiLevelType w:val="hybridMultilevel"/>
    <w:tmpl w:val="C506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4713B0"/>
    <w:multiLevelType w:val="hybridMultilevel"/>
    <w:tmpl w:val="F0BE657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30597930"/>
    <w:multiLevelType w:val="hybridMultilevel"/>
    <w:tmpl w:val="1570E132"/>
    <w:lvl w:ilvl="0" w:tplc="0C0A000B">
      <w:start w:val="1"/>
      <w:numFmt w:val="bullet"/>
      <w:lvlText w:val=""/>
      <w:lvlJc w:val="left"/>
      <w:pPr>
        <w:ind w:left="1363" w:hanging="360"/>
      </w:pPr>
      <w:rPr>
        <w:rFonts w:ascii="Wingdings" w:hAnsi="Wingdings" w:hint="default"/>
      </w:rPr>
    </w:lvl>
    <w:lvl w:ilvl="1" w:tplc="0C0A0003" w:tentative="1">
      <w:start w:val="1"/>
      <w:numFmt w:val="bullet"/>
      <w:lvlText w:val="o"/>
      <w:lvlJc w:val="left"/>
      <w:pPr>
        <w:ind w:left="2083" w:hanging="360"/>
      </w:pPr>
      <w:rPr>
        <w:rFonts w:ascii="Courier New" w:hAnsi="Courier New" w:cs="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cs="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cs="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13">
    <w:nsid w:val="30A1557F"/>
    <w:multiLevelType w:val="hybridMultilevel"/>
    <w:tmpl w:val="858232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A60945"/>
    <w:multiLevelType w:val="hybridMultilevel"/>
    <w:tmpl w:val="B406B8E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640622E"/>
    <w:multiLevelType w:val="hybridMultilevel"/>
    <w:tmpl w:val="D604E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B85C7D"/>
    <w:multiLevelType w:val="hybridMultilevel"/>
    <w:tmpl w:val="D5501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9504A5"/>
    <w:multiLevelType w:val="hybridMultilevel"/>
    <w:tmpl w:val="A768CE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7D110C0"/>
    <w:multiLevelType w:val="hybridMultilevel"/>
    <w:tmpl w:val="AEB833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BB6905"/>
    <w:multiLevelType w:val="hybridMultilevel"/>
    <w:tmpl w:val="52F01B0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ADE1748"/>
    <w:multiLevelType w:val="hybridMultilevel"/>
    <w:tmpl w:val="9D9E2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00029E"/>
    <w:multiLevelType w:val="hybridMultilevel"/>
    <w:tmpl w:val="57B88544"/>
    <w:lvl w:ilvl="0" w:tplc="F5D819B0">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BB0A91"/>
    <w:multiLevelType w:val="hybridMultilevel"/>
    <w:tmpl w:val="F9189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A35E85"/>
    <w:multiLevelType w:val="multilevel"/>
    <w:tmpl w:val="02444CD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3D529B"/>
    <w:multiLevelType w:val="hybridMultilevel"/>
    <w:tmpl w:val="FF3C6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821E53"/>
    <w:multiLevelType w:val="hybridMultilevel"/>
    <w:tmpl w:val="FE7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310475A"/>
    <w:multiLevelType w:val="hybridMultilevel"/>
    <w:tmpl w:val="08A63C4A"/>
    <w:lvl w:ilvl="0" w:tplc="0C0A000B">
      <w:start w:val="1"/>
      <w:numFmt w:val="bullet"/>
      <w:lvlText w:val=""/>
      <w:lvlJc w:val="left"/>
      <w:pPr>
        <w:ind w:left="1363" w:hanging="360"/>
      </w:pPr>
      <w:rPr>
        <w:rFonts w:ascii="Wingdings" w:hAnsi="Wingdings" w:hint="default"/>
      </w:rPr>
    </w:lvl>
    <w:lvl w:ilvl="1" w:tplc="0C0A0003" w:tentative="1">
      <w:start w:val="1"/>
      <w:numFmt w:val="bullet"/>
      <w:lvlText w:val="o"/>
      <w:lvlJc w:val="left"/>
      <w:pPr>
        <w:ind w:left="2083" w:hanging="360"/>
      </w:pPr>
      <w:rPr>
        <w:rFonts w:ascii="Courier New" w:hAnsi="Courier New" w:cs="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cs="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cs="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27">
    <w:nsid w:val="553E0109"/>
    <w:multiLevelType w:val="hybridMultilevel"/>
    <w:tmpl w:val="BD3E6E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9EF7912"/>
    <w:multiLevelType w:val="hybridMultilevel"/>
    <w:tmpl w:val="150A66B2"/>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63184A0A"/>
    <w:multiLevelType w:val="hybridMultilevel"/>
    <w:tmpl w:val="1876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1">
    <w:nsid w:val="6977590F"/>
    <w:multiLevelType w:val="hybridMultilevel"/>
    <w:tmpl w:val="DC1E06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70A3770E"/>
    <w:multiLevelType w:val="hybridMultilevel"/>
    <w:tmpl w:val="6632E1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1F16A6A"/>
    <w:multiLevelType w:val="hybridMultilevel"/>
    <w:tmpl w:val="44B43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771B2453"/>
    <w:multiLevelType w:val="hybridMultilevel"/>
    <w:tmpl w:val="97ECC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2364E6"/>
    <w:multiLevelType w:val="hybridMultilevel"/>
    <w:tmpl w:val="51E2A5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7DD470CB"/>
    <w:multiLevelType w:val="hybridMultilevel"/>
    <w:tmpl w:val="F32C6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36"/>
  </w:num>
  <w:num w:numId="5">
    <w:abstractNumId w:val="8"/>
  </w:num>
  <w:num w:numId="6">
    <w:abstractNumId w:val="32"/>
  </w:num>
  <w:num w:numId="7">
    <w:abstractNumId w:val="14"/>
  </w:num>
  <w:num w:numId="8">
    <w:abstractNumId w:val="19"/>
  </w:num>
  <w:num w:numId="9">
    <w:abstractNumId w:val="17"/>
  </w:num>
  <w:num w:numId="10">
    <w:abstractNumId w:val="2"/>
  </w:num>
  <w:num w:numId="11">
    <w:abstractNumId w:val="31"/>
  </w:num>
  <w:num w:numId="12">
    <w:abstractNumId w:val="24"/>
  </w:num>
  <w:num w:numId="13">
    <w:abstractNumId w:val="11"/>
  </w:num>
  <w:num w:numId="14">
    <w:abstractNumId w:val="28"/>
  </w:num>
  <w:num w:numId="15">
    <w:abstractNumId w:val="5"/>
  </w:num>
  <w:num w:numId="16">
    <w:abstractNumId w:val="34"/>
  </w:num>
  <w:num w:numId="17">
    <w:abstractNumId w:val="29"/>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0"/>
  </w:num>
  <w:num w:numId="21">
    <w:abstractNumId w:val="12"/>
  </w:num>
  <w:num w:numId="22">
    <w:abstractNumId w:val="15"/>
  </w:num>
  <w:num w:numId="23">
    <w:abstractNumId w:val="0"/>
  </w:num>
  <w:num w:numId="24">
    <w:abstractNumId w:val="7"/>
  </w:num>
  <w:num w:numId="25">
    <w:abstractNumId w:val="33"/>
  </w:num>
  <w:num w:numId="26">
    <w:abstractNumId w:val="23"/>
  </w:num>
  <w:num w:numId="27">
    <w:abstractNumId w:val="22"/>
  </w:num>
  <w:num w:numId="28">
    <w:abstractNumId w:val="13"/>
  </w:num>
  <w:num w:numId="29">
    <w:abstractNumId w:val="6"/>
  </w:num>
  <w:num w:numId="30">
    <w:abstractNumId w:val="4"/>
  </w:num>
  <w:num w:numId="31">
    <w:abstractNumId w:val="35"/>
  </w:num>
  <w:num w:numId="32">
    <w:abstractNumId w:val="1"/>
  </w:num>
  <w:num w:numId="33">
    <w:abstractNumId w:val="18"/>
  </w:num>
  <w:num w:numId="34">
    <w:abstractNumId w:val="27"/>
  </w:num>
  <w:num w:numId="35">
    <w:abstractNumId w:val="21"/>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14B70"/>
    <w:rsid w:val="0002561F"/>
    <w:rsid w:val="000B3A35"/>
    <w:rsid w:val="000C5A07"/>
    <w:rsid w:val="000D0BB5"/>
    <w:rsid w:val="000E65FF"/>
    <w:rsid w:val="00107B8D"/>
    <w:rsid w:val="00140220"/>
    <w:rsid w:val="00163CDA"/>
    <w:rsid w:val="001C2217"/>
    <w:rsid w:val="001C525E"/>
    <w:rsid w:val="001C75F4"/>
    <w:rsid w:val="001E6BF8"/>
    <w:rsid w:val="00201283"/>
    <w:rsid w:val="0021780A"/>
    <w:rsid w:val="002305D7"/>
    <w:rsid w:val="00255F86"/>
    <w:rsid w:val="002776A8"/>
    <w:rsid w:val="00280287"/>
    <w:rsid w:val="0029274C"/>
    <w:rsid w:val="002C365A"/>
    <w:rsid w:val="002C61E0"/>
    <w:rsid w:val="002E561C"/>
    <w:rsid w:val="002E637E"/>
    <w:rsid w:val="002E6B27"/>
    <w:rsid w:val="003402D5"/>
    <w:rsid w:val="00342AED"/>
    <w:rsid w:val="00361728"/>
    <w:rsid w:val="00370CC4"/>
    <w:rsid w:val="003A3C04"/>
    <w:rsid w:val="003C6C67"/>
    <w:rsid w:val="003C78C8"/>
    <w:rsid w:val="003E1E12"/>
    <w:rsid w:val="003E2585"/>
    <w:rsid w:val="003E53E0"/>
    <w:rsid w:val="003E70CC"/>
    <w:rsid w:val="003F21D6"/>
    <w:rsid w:val="00406D6A"/>
    <w:rsid w:val="00414095"/>
    <w:rsid w:val="004141F6"/>
    <w:rsid w:val="004230DF"/>
    <w:rsid w:val="00426B25"/>
    <w:rsid w:val="00447C04"/>
    <w:rsid w:val="00475FDB"/>
    <w:rsid w:val="004D35A7"/>
    <w:rsid w:val="004F6F68"/>
    <w:rsid w:val="00506B01"/>
    <w:rsid w:val="00520E1B"/>
    <w:rsid w:val="00546F26"/>
    <w:rsid w:val="00555C0E"/>
    <w:rsid w:val="00557A57"/>
    <w:rsid w:val="00591ED3"/>
    <w:rsid w:val="005D2B94"/>
    <w:rsid w:val="005D708A"/>
    <w:rsid w:val="005E2686"/>
    <w:rsid w:val="00606113"/>
    <w:rsid w:val="0061407B"/>
    <w:rsid w:val="006274AF"/>
    <w:rsid w:val="00696358"/>
    <w:rsid w:val="006D0D23"/>
    <w:rsid w:val="006E42E3"/>
    <w:rsid w:val="00703D5E"/>
    <w:rsid w:val="00720DC8"/>
    <w:rsid w:val="00771383"/>
    <w:rsid w:val="00780693"/>
    <w:rsid w:val="00783C8A"/>
    <w:rsid w:val="007B5434"/>
    <w:rsid w:val="007D4670"/>
    <w:rsid w:val="007E4F53"/>
    <w:rsid w:val="007F311B"/>
    <w:rsid w:val="007F7F6E"/>
    <w:rsid w:val="00815646"/>
    <w:rsid w:val="00840E40"/>
    <w:rsid w:val="008870D4"/>
    <w:rsid w:val="008D4A2E"/>
    <w:rsid w:val="008D5942"/>
    <w:rsid w:val="00914E9C"/>
    <w:rsid w:val="00927B50"/>
    <w:rsid w:val="00936A45"/>
    <w:rsid w:val="009750C0"/>
    <w:rsid w:val="009D2B5B"/>
    <w:rsid w:val="009F70A7"/>
    <w:rsid w:val="00A25BE6"/>
    <w:rsid w:val="00A437A7"/>
    <w:rsid w:val="00A45897"/>
    <w:rsid w:val="00A4709D"/>
    <w:rsid w:val="00A63EFB"/>
    <w:rsid w:val="00A6520D"/>
    <w:rsid w:val="00A654C3"/>
    <w:rsid w:val="00AF2F72"/>
    <w:rsid w:val="00B2554B"/>
    <w:rsid w:val="00B55856"/>
    <w:rsid w:val="00B97F78"/>
    <w:rsid w:val="00BC5FD3"/>
    <w:rsid w:val="00BF342B"/>
    <w:rsid w:val="00C15F19"/>
    <w:rsid w:val="00C472C7"/>
    <w:rsid w:val="00C76887"/>
    <w:rsid w:val="00C8272A"/>
    <w:rsid w:val="00C95F91"/>
    <w:rsid w:val="00CD710B"/>
    <w:rsid w:val="00D25F6E"/>
    <w:rsid w:val="00D30211"/>
    <w:rsid w:val="00DA4B8C"/>
    <w:rsid w:val="00DB3496"/>
    <w:rsid w:val="00DE01FF"/>
    <w:rsid w:val="00DE3C84"/>
    <w:rsid w:val="00DE447D"/>
    <w:rsid w:val="00E12100"/>
    <w:rsid w:val="00E13A19"/>
    <w:rsid w:val="00E62A50"/>
    <w:rsid w:val="00E62FDF"/>
    <w:rsid w:val="00EC0DB0"/>
    <w:rsid w:val="00F043D7"/>
    <w:rsid w:val="00F05B9F"/>
    <w:rsid w:val="00F173EA"/>
    <w:rsid w:val="00F27DAE"/>
    <w:rsid w:val="00F43388"/>
    <w:rsid w:val="00F70841"/>
    <w:rsid w:val="00F8381C"/>
    <w:rsid w:val="00F83A4E"/>
    <w:rsid w:val="00F8528F"/>
    <w:rsid w:val="00F853F8"/>
    <w:rsid w:val="00F9008F"/>
    <w:rsid w:val="00FD10C8"/>
    <w:rsid w:val="00FD5FAC"/>
    <w:rsid w:val="00FE7C42"/>
    <w:rsid w:val="00FF31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2305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character" w:customStyle="1" w:styleId="Cuerpodeltexto">
    <w:name w:val="Cuerpo del texto_"/>
    <w:link w:val="Cuerpodeltexto0"/>
    <w:rsid w:val="00A654C3"/>
    <w:rPr>
      <w:rFonts w:ascii="Book Antiqua" w:eastAsia="Book Antiqua" w:hAnsi="Book Antiqua" w:cs="Book Antiqua"/>
      <w:b/>
      <w:bCs/>
      <w:sz w:val="19"/>
      <w:szCs w:val="19"/>
      <w:shd w:val="clear" w:color="auto" w:fill="FFFFFF"/>
    </w:rPr>
  </w:style>
  <w:style w:type="paragraph" w:customStyle="1" w:styleId="Cuerpodeltexto0">
    <w:name w:val="Cuerpo del texto"/>
    <w:basedOn w:val="Normal"/>
    <w:link w:val="Cuerpodeltexto"/>
    <w:rsid w:val="00A654C3"/>
    <w:pPr>
      <w:widowControl w:val="0"/>
      <w:shd w:val="clear" w:color="auto" w:fill="FFFFFF"/>
      <w:spacing w:line="269" w:lineRule="exact"/>
      <w:ind w:hanging="680"/>
    </w:pPr>
    <w:rPr>
      <w:rFonts w:ascii="Book Antiqua" w:eastAsia="Book Antiqua" w:hAnsi="Book Antiqua" w:cs="Book Antiqua"/>
      <w:b/>
      <w:bCs/>
      <w:sz w:val="19"/>
      <w:szCs w:val="19"/>
      <w:lang w:val="es-EC" w:eastAsia="en-US"/>
    </w:rPr>
  </w:style>
  <w:style w:type="paragraph" w:customStyle="1" w:styleId="Cuadrculaclara-nfasis31">
    <w:name w:val="Cuadrícula clara - Énfasis 31"/>
    <w:basedOn w:val="Normal"/>
    <w:link w:val="Cuadrculaclara-nfasis3Car"/>
    <w:uiPriority w:val="34"/>
    <w:qFormat/>
    <w:rsid w:val="00A654C3"/>
    <w:pPr>
      <w:suppressAutoHyphens/>
      <w:spacing w:line="100" w:lineRule="atLeast"/>
      <w:ind w:left="708"/>
    </w:pPr>
    <w:rPr>
      <w:rFonts w:eastAsia="Arial Unicode MS"/>
      <w:kern w:val="1"/>
      <w:sz w:val="24"/>
      <w:szCs w:val="24"/>
      <w:lang w:val="es-ES_tradnl" w:eastAsia="ar-SA"/>
    </w:rPr>
  </w:style>
  <w:style w:type="character" w:customStyle="1" w:styleId="Cuadrculaclara-nfasis3Car">
    <w:name w:val="Cuadrícula clara - Énfasis 3 Car"/>
    <w:link w:val="Cuadrculaclara-nfasis31"/>
    <w:uiPriority w:val="34"/>
    <w:rsid w:val="00A654C3"/>
    <w:rPr>
      <w:rFonts w:ascii="Times New Roman" w:eastAsia="Arial Unicode MS" w:hAnsi="Times New Roman" w:cs="Times New Roman"/>
      <w:kern w:val="1"/>
      <w:sz w:val="24"/>
      <w:szCs w:val="24"/>
      <w:lang w:val="es-ES_tradnl" w:eastAsia="ar-SA"/>
    </w:rPr>
  </w:style>
  <w:style w:type="character" w:customStyle="1" w:styleId="Ttulo1Car">
    <w:name w:val="Título 1 Car"/>
    <w:basedOn w:val="Fuentedeprrafopredeter"/>
    <w:link w:val="Ttulo1"/>
    <w:uiPriority w:val="9"/>
    <w:rsid w:val="002305D7"/>
    <w:rPr>
      <w:rFonts w:asciiTheme="majorHAnsi" w:eastAsiaTheme="majorEastAsia" w:hAnsiTheme="majorHAnsi" w:cstheme="majorBidi"/>
      <w:b/>
      <w:bCs/>
      <w:color w:val="2E74B5" w:themeColor="accent1" w:themeShade="BF"/>
      <w:sz w:val="28"/>
      <w:szCs w:val="28"/>
      <w:lang w:val="es-ES" w:eastAsia="es-ES"/>
    </w:rPr>
  </w:style>
  <w:style w:type="paragraph" w:styleId="NormalWeb">
    <w:name w:val="Normal (Web)"/>
    <w:basedOn w:val="Normal"/>
    <w:uiPriority w:val="99"/>
    <w:unhideWhenUsed/>
    <w:rsid w:val="002305D7"/>
    <w:pPr>
      <w:spacing w:before="100" w:beforeAutospacing="1" w:after="100" w:afterAutospacing="1"/>
    </w:pPr>
    <w:rPr>
      <w:sz w:val="24"/>
      <w:szCs w:val="24"/>
    </w:rPr>
  </w:style>
  <w:style w:type="character" w:customStyle="1" w:styleId="Cuerpodeltexto3">
    <w:name w:val="Cuerpo del texto (3)"/>
    <w:basedOn w:val="Fuentedeprrafopredeter"/>
    <w:rsid w:val="00BC5FD3"/>
    <w:rPr>
      <w:rFonts w:ascii="Century Gothic" w:eastAsia="Century Gothic" w:hAnsi="Century Gothic" w:cs="Century Gothic"/>
      <w:b/>
      <w:bCs/>
      <w:i w:val="0"/>
      <w:iCs w:val="0"/>
      <w:smallCaps w:val="0"/>
      <w:strike w:val="0"/>
      <w:color w:val="000000"/>
      <w:spacing w:val="0"/>
      <w:w w:val="100"/>
      <w:position w:val="0"/>
      <w:sz w:val="17"/>
      <w:szCs w:val="17"/>
      <w:u w:val="single"/>
      <w:lang w:val="es-ES" w:eastAsia="es-ES" w:bidi="es-ES"/>
    </w:rPr>
  </w:style>
  <w:style w:type="character" w:customStyle="1" w:styleId="Cuerpodeltexto2">
    <w:name w:val="Cuerpo del texto (2)_"/>
    <w:basedOn w:val="Fuentedeprrafopredeter"/>
    <w:link w:val="Cuerpodeltexto20"/>
    <w:rsid w:val="00BC5FD3"/>
    <w:rPr>
      <w:rFonts w:ascii="Century Gothic" w:eastAsia="Century Gothic" w:hAnsi="Century Gothic" w:cs="Century Gothic"/>
      <w:sz w:val="17"/>
      <w:szCs w:val="17"/>
      <w:shd w:val="clear" w:color="auto" w:fill="FFFFFF"/>
    </w:rPr>
  </w:style>
  <w:style w:type="character" w:customStyle="1" w:styleId="Cuerpodeltexto2Negrita">
    <w:name w:val="Cuerpo del texto (2) + Negrita"/>
    <w:aliases w:val="Cursiva,Cuerpo del texto (2) + 6 pto,Cuerpo del texto (2) + 9 pto"/>
    <w:basedOn w:val="Cuerpodeltexto2"/>
    <w:rsid w:val="00BC5FD3"/>
    <w:rPr>
      <w:rFonts w:ascii="Century Gothic" w:eastAsia="Century Gothic" w:hAnsi="Century Gothic" w:cs="Century Gothic"/>
      <w:b/>
      <w:bCs/>
      <w:color w:val="000000"/>
      <w:spacing w:val="0"/>
      <w:w w:val="100"/>
      <w:position w:val="0"/>
      <w:sz w:val="17"/>
      <w:szCs w:val="17"/>
      <w:shd w:val="clear" w:color="auto" w:fill="FFFFFF"/>
      <w:lang w:val="es-ES" w:eastAsia="es-ES" w:bidi="es-ES"/>
    </w:rPr>
  </w:style>
  <w:style w:type="character" w:customStyle="1" w:styleId="Cuerpodeltexto2Cursiva">
    <w:name w:val="Cuerpo del texto (2) + Cursiva"/>
    <w:aliases w:val="Espaciado 0 pto"/>
    <w:basedOn w:val="Cuerpodeltexto2"/>
    <w:rsid w:val="00BC5FD3"/>
    <w:rPr>
      <w:rFonts w:ascii="Century Gothic" w:eastAsia="Century Gothic" w:hAnsi="Century Gothic" w:cs="Century Gothic"/>
      <w:i/>
      <w:iCs/>
      <w:color w:val="000000"/>
      <w:spacing w:val="0"/>
      <w:w w:val="100"/>
      <w:position w:val="0"/>
      <w:sz w:val="17"/>
      <w:szCs w:val="17"/>
      <w:u w:val="single"/>
      <w:shd w:val="clear" w:color="auto" w:fill="FFFFFF"/>
      <w:lang w:val="es-ES" w:eastAsia="es-ES" w:bidi="es-ES"/>
    </w:rPr>
  </w:style>
  <w:style w:type="character" w:customStyle="1" w:styleId="Cuerpodeltexto2Versales">
    <w:name w:val="Cuerpo del texto (2) + Versales"/>
    <w:basedOn w:val="Cuerpodeltexto2"/>
    <w:rsid w:val="00BC5FD3"/>
    <w:rPr>
      <w:rFonts w:ascii="Century Gothic" w:eastAsia="Century Gothic" w:hAnsi="Century Gothic" w:cs="Century Gothic"/>
      <w:smallCaps/>
      <w:color w:val="000000"/>
      <w:spacing w:val="0"/>
      <w:w w:val="100"/>
      <w:position w:val="0"/>
      <w:sz w:val="17"/>
      <w:szCs w:val="17"/>
      <w:shd w:val="clear" w:color="auto" w:fill="FFFFFF"/>
      <w:lang w:val="es-ES" w:eastAsia="es-ES" w:bidi="es-ES"/>
    </w:rPr>
  </w:style>
  <w:style w:type="paragraph" w:customStyle="1" w:styleId="Cuerpodeltexto20">
    <w:name w:val="Cuerpo del texto (2)"/>
    <w:basedOn w:val="Normal"/>
    <w:link w:val="Cuerpodeltexto2"/>
    <w:rsid w:val="00BC5FD3"/>
    <w:pPr>
      <w:widowControl w:val="0"/>
      <w:shd w:val="clear" w:color="auto" w:fill="FFFFFF"/>
      <w:spacing w:line="213" w:lineRule="exact"/>
      <w:ind w:hanging="320"/>
      <w:jc w:val="both"/>
    </w:pPr>
    <w:rPr>
      <w:rFonts w:ascii="Century Gothic" w:eastAsia="Century Gothic" w:hAnsi="Century Gothic" w:cs="Century Gothic"/>
      <w:sz w:val="17"/>
      <w:szCs w:val="17"/>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2305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character" w:customStyle="1" w:styleId="Cuerpodeltexto">
    <w:name w:val="Cuerpo del texto_"/>
    <w:link w:val="Cuerpodeltexto0"/>
    <w:rsid w:val="00A654C3"/>
    <w:rPr>
      <w:rFonts w:ascii="Book Antiqua" w:eastAsia="Book Antiqua" w:hAnsi="Book Antiqua" w:cs="Book Antiqua"/>
      <w:b/>
      <w:bCs/>
      <w:sz w:val="19"/>
      <w:szCs w:val="19"/>
      <w:shd w:val="clear" w:color="auto" w:fill="FFFFFF"/>
    </w:rPr>
  </w:style>
  <w:style w:type="paragraph" w:customStyle="1" w:styleId="Cuerpodeltexto0">
    <w:name w:val="Cuerpo del texto"/>
    <w:basedOn w:val="Normal"/>
    <w:link w:val="Cuerpodeltexto"/>
    <w:rsid w:val="00A654C3"/>
    <w:pPr>
      <w:widowControl w:val="0"/>
      <w:shd w:val="clear" w:color="auto" w:fill="FFFFFF"/>
      <w:spacing w:line="269" w:lineRule="exact"/>
      <w:ind w:hanging="680"/>
    </w:pPr>
    <w:rPr>
      <w:rFonts w:ascii="Book Antiqua" w:eastAsia="Book Antiqua" w:hAnsi="Book Antiqua" w:cs="Book Antiqua"/>
      <w:b/>
      <w:bCs/>
      <w:sz w:val="19"/>
      <w:szCs w:val="19"/>
      <w:lang w:val="es-EC" w:eastAsia="en-US"/>
    </w:rPr>
  </w:style>
  <w:style w:type="paragraph" w:customStyle="1" w:styleId="Cuadrculaclara-nfasis31">
    <w:name w:val="Cuadrícula clara - Énfasis 31"/>
    <w:basedOn w:val="Normal"/>
    <w:link w:val="Cuadrculaclara-nfasis3Car"/>
    <w:uiPriority w:val="34"/>
    <w:qFormat/>
    <w:rsid w:val="00A654C3"/>
    <w:pPr>
      <w:suppressAutoHyphens/>
      <w:spacing w:line="100" w:lineRule="atLeast"/>
      <w:ind w:left="708"/>
    </w:pPr>
    <w:rPr>
      <w:rFonts w:eastAsia="Arial Unicode MS"/>
      <w:kern w:val="1"/>
      <w:sz w:val="24"/>
      <w:szCs w:val="24"/>
      <w:lang w:val="es-ES_tradnl" w:eastAsia="ar-SA"/>
    </w:rPr>
  </w:style>
  <w:style w:type="character" w:customStyle="1" w:styleId="Cuadrculaclara-nfasis3Car">
    <w:name w:val="Cuadrícula clara - Énfasis 3 Car"/>
    <w:link w:val="Cuadrculaclara-nfasis31"/>
    <w:uiPriority w:val="34"/>
    <w:rsid w:val="00A654C3"/>
    <w:rPr>
      <w:rFonts w:ascii="Times New Roman" w:eastAsia="Arial Unicode MS" w:hAnsi="Times New Roman" w:cs="Times New Roman"/>
      <w:kern w:val="1"/>
      <w:sz w:val="24"/>
      <w:szCs w:val="24"/>
      <w:lang w:val="es-ES_tradnl" w:eastAsia="ar-SA"/>
    </w:rPr>
  </w:style>
  <w:style w:type="character" w:customStyle="1" w:styleId="Ttulo1Car">
    <w:name w:val="Título 1 Car"/>
    <w:basedOn w:val="Fuentedeprrafopredeter"/>
    <w:link w:val="Ttulo1"/>
    <w:uiPriority w:val="9"/>
    <w:rsid w:val="002305D7"/>
    <w:rPr>
      <w:rFonts w:asciiTheme="majorHAnsi" w:eastAsiaTheme="majorEastAsia" w:hAnsiTheme="majorHAnsi" w:cstheme="majorBidi"/>
      <w:b/>
      <w:bCs/>
      <w:color w:val="2E74B5" w:themeColor="accent1" w:themeShade="BF"/>
      <w:sz w:val="28"/>
      <w:szCs w:val="28"/>
      <w:lang w:val="es-ES" w:eastAsia="es-ES"/>
    </w:rPr>
  </w:style>
  <w:style w:type="paragraph" w:styleId="NormalWeb">
    <w:name w:val="Normal (Web)"/>
    <w:basedOn w:val="Normal"/>
    <w:uiPriority w:val="99"/>
    <w:unhideWhenUsed/>
    <w:rsid w:val="002305D7"/>
    <w:pPr>
      <w:spacing w:before="100" w:beforeAutospacing="1" w:after="100" w:afterAutospacing="1"/>
    </w:pPr>
    <w:rPr>
      <w:sz w:val="24"/>
      <w:szCs w:val="24"/>
    </w:rPr>
  </w:style>
  <w:style w:type="character" w:customStyle="1" w:styleId="Cuerpodeltexto3">
    <w:name w:val="Cuerpo del texto (3)"/>
    <w:basedOn w:val="Fuentedeprrafopredeter"/>
    <w:rsid w:val="00BC5FD3"/>
    <w:rPr>
      <w:rFonts w:ascii="Century Gothic" w:eastAsia="Century Gothic" w:hAnsi="Century Gothic" w:cs="Century Gothic"/>
      <w:b/>
      <w:bCs/>
      <w:i w:val="0"/>
      <w:iCs w:val="0"/>
      <w:smallCaps w:val="0"/>
      <w:strike w:val="0"/>
      <w:color w:val="000000"/>
      <w:spacing w:val="0"/>
      <w:w w:val="100"/>
      <w:position w:val="0"/>
      <w:sz w:val="17"/>
      <w:szCs w:val="17"/>
      <w:u w:val="single"/>
      <w:lang w:val="es-ES" w:eastAsia="es-ES" w:bidi="es-ES"/>
    </w:rPr>
  </w:style>
  <w:style w:type="character" w:customStyle="1" w:styleId="Cuerpodeltexto2">
    <w:name w:val="Cuerpo del texto (2)_"/>
    <w:basedOn w:val="Fuentedeprrafopredeter"/>
    <w:link w:val="Cuerpodeltexto20"/>
    <w:rsid w:val="00BC5FD3"/>
    <w:rPr>
      <w:rFonts w:ascii="Century Gothic" w:eastAsia="Century Gothic" w:hAnsi="Century Gothic" w:cs="Century Gothic"/>
      <w:sz w:val="17"/>
      <w:szCs w:val="17"/>
      <w:shd w:val="clear" w:color="auto" w:fill="FFFFFF"/>
    </w:rPr>
  </w:style>
  <w:style w:type="character" w:customStyle="1" w:styleId="Cuerpodeltexto2Negrita">
    <w:name w:val="Cuerpo del texto (2) + Negrita"/>
    <w:aliases w:val="Cursiva,Cuerpo del texto (2) + 6 pto,Cuerpo del texto (2) + 9 pto"/>
    <w:basedOn w:val="Cuerpodeltexto2"/>
    <w:rsid w:val="00BC5FD3"/>
    <w:rPr>
      <w:rFonts w:ascii="Century Gothic" w:eastAsia="Century Gothic" w:hAnsi="Century Gothic" w:cs="Century Gothic"/>
      <w:b/>
      <w:bCs/>
      <w:color w:val="000000"/>
      <w:spacing w:val="0"/>
      <w:w w:val="100"/>
      <w:position w:val="0"/>
      <w:sz w:val="17"/>
      <w:szCs w:val="17"/>
      <w:shd w:val="clear" w:color="auto" w:fill="FFFFFF"/>
      <w:lang w:val="es-ES" w:eastAsia="es-ES" w:bidi="es-ES"/>
    </w:rPr>
  </w:style>
  <w:style w:type="character" w:customStyle="1" w:styleId="Cuerpodeltexto2Cursiva">
    <w:name w:val="Cuerpo del texto (2) + Cursiva"/>
    <w:aliases w:val="Espaciado 0 pto"/>
    <w:basedOn w:val="Cuerpodeltexto2"/>
    <w:rsid w:val="00BC5FD3"/>
    <w:rPr>
      <w:rFonts w:ascii="Century Gothic" w:eastAsia="Century Gothic" w:hAnsi="Century Gothic" w:cs="Century Gothic"/>
      <w:i/>
      <w:iCs/>
      <w:color w:val="000000"/>
      <w:spacing w:val="0"/>
      <w:w w:val="100"/>
      <w:position w:val="0"/>
      <w:sz w:val="17"/>
      <w:szCs w:val="17"/>
      <w:u w:val="single"/>
      <w:shd w:val="clear" w:color="auto" w:fill="FFFFFF"/>
      <w:lang w:val="es-ES" w:eastAsia="es-ES" w:bidi="es-ES"/>
    </w:rPr>
  </w:style>
  <w:style w:type="character" w:customStyle="1" w:styleId="Cuerpodeltexto2Versales">
    <w:name w:val="Cuerpo del texto (2) + Versales"/>
    <w:basedOn w:val="Cuerpodeltexto2"/>
    <w:rsid w:val="00BC5FD3"/>
    <w:rPr>
      <w:rFonts w:ascii="Century Gothic" w:eastAsia="Century Gothic" w:hAnsi="Century Gothic" w:cs="Century Gothic"/>
      <w:smallCaps/>
      <w:color w:val="000000"/>
      <w:spacing w:val="0"/>
      <w:w w:val="100"/>
      <w:position w:val="0"/>
      <w:sz w:val="17"/>
      <w:szCs w:val="17"/>
      <w:shd w:val="clear" w:color="auto" w:fill="FFFFFF"/>
      <w:lang w:val="es-ES" w:eastAsia="es-ES" w:bidi="es-ES"/>
    </w:rPr>
  </w:style>
  <w:style w:type="paragraph" w:customStyle="1" w:styleId="Cuerpodeltexto20">
    <w:name w:val="Cuerpo del texto (2)"/>
    <w:basedOn w:val="Normal"/>
    <w:link w:val="Cuerpodeltexto2"/>
    <w:rsid w:val="00BC5FD3"/>
    <w:pPr>
      <w:widowControl w:val="0"/>
      <w:shd w:val="clear" w:color="auto" w:fill="FFFFFF"/>
      <w:spacing w:line="213" w:lineRule="exact"/>
      <w:ind w:hanging="320"/>
      <w:jc w:val="both"/>
    </w:pPr>
    <w:rPr>
      <w:rFonts w:ascii="Century Gothic" w:eastAsia="Century Gothic" w:hAnsi="Century Gothic" w:cs="Century Gothic"/>
      <w:sz w:val="17"/>
      <w:szCs w:val="17"/>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B8A3-A29B-4288-955A-20A28C73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4196</Words>
  <Characters>23079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Diego Sebastian Cevallos Salgado</cp:lastModifiedBy>
  <cp:revision>6</cp:revision>
  <cp:lastPrinted>2018-04-06T20:04:00Z</cp:lastPrinted>
  <dcterms:created xsi:type="dcterms:W3CDTF">2018-04-06T19:44:00Z</dcterms:created>
  <dcterms:modified xsi:type="dcterms:W3CDTF">2018-04-06T20:18:00Z</dcterms:modified>
</cp:coreProperties>
</file>