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A30" w:rsidRPr="00C4643C" w:rsidRDefault="00691A30" w:rsidP="00C4643C">
      <w:pPr>
        <w:autoSpaceDE w:val="0"/>
        <w:autoSpaceDN w:val="0"/>
        <w:adjustRightInd w:val="0"/>
        <w:spacing w:before="240" w:after="0"/>
        <w:jc w:val="center"/>
        <w:rPr>
          <w:rFonts w:ascii="Palatino Linotype" w:hAnsi="Palatino Linotype"/>
          <w:b/>
          <w:bCs/>
        </w:rPr>
      </w:pPr>
      <w:r w:rsidRPr="00C4643C">
        <w:rPr>
          <w:rFonts w:ascii="Palatino Linotype" w:hAnsi="Palatino Linotype"/>
          <w:b/>
          <w:bCs/>
        </w:rPr>
        <w:t>EXPOSICIÓN DE MOTIVOS</w:t>
      </w:r>
    </w:p>
    <w:p w:rsidR="00D81392" w:rsidRPr="00C4643C" w:rsidRDefault="00D81392" w:rsidP="00C4643C">
      <w:pPr>
        <w:spacing w:before="240" w:after="0"/>
        <w:ind w:firstLine="567"/>
        <w:jc w:val="both"/>
        <w:rPr>
          <w:rFonts w:ascii="Palatino Linotype" w:hAnsi="Palatino Linotype" w:cstheme="minorHAnsi"/>
        </w:rPr>
      </w:pPr>
      <w:r w:rsidRPr="00C4643C">
        <w:rPr>
          <w:rFonts w:ascii="Palatino Linotype" w:hAnsi="Palatino Linotype" w:cstheme="minorHAnsi"/>
        </w:rPr>
        <w:t>Para el desarrollo del Proyecto Urban</w:t>
      </w:r>
      <w:r w:rsidR="00E43867">
        <w:rPr>
          <w:rFonts w:ascii="Palatino Linotype" w:hAnsi="Palatino Linotype" w:cstheme="minorHAnsi"/>
        </w:rPr>
        <w:t xml:space="preserve">ístico </w:t>
      </w:r>
      <w:r w:rsidRPr="00C4643C">
        <w:rPr>
          <w:rFonts w:ascii="Palatino Linotype" w:hAnsi="Palatino Linotype" w:cstheme="minorHAnsi"/>
        </w:rPr>
        <w:t xml:space="preserve">Arquitectónico Especial (PUAE) Complejo Judicial Quito Norte, el Consejo de la Judicatura presenta un proyecto que conlleva determinaciones específicas para la habilitación del suelo del predio </w:t>
      </w:r>
      <w:r w:rsidR="00587B14">
        <w:rPr>
          <w:rFonts w:ascii="Palatino Linotype" w:hAnsi="Palatino Linotype" w:cstheme="minorHAnsi"/>
        </w:rPr>
        <w:t>No.</w:t>
      </w:r>
      <w:r w:rsidRPr="00C4643C">
        <w:rPr>
          <w:rFonts w:ascii="Palatino Linotype" w:hAnsi="Palatino Linotype" w:cstheme="minorHAnsi"/>
        </w:rPr>
        <w:t xml:space="preserve"> 131351, ubicado en el sector de Iñaquito.</w:t>
      </w:r>
    </w:p>
    <w:p w:rsidR="00D81392" w:rsidRDefault="00D81392" w:rsidP="00C4643C">
      <w:pPr>
        <w:spacing w:before="240" w:after="0"/>
        <w:ind w:firstLine="567"/>
        <w:jc w:val="both"/>
        <w:rPr>
          <w:rFonts w:ascii="Palatino Linotype" w:hAnsi="Palatino Linotype" w:cstheme="minorHAnsi"/>
        </w:rPr>
      </w:pPr>
      <w:r w:rsidRPr="00C4643C">
        <w:rPr>
          <w:rFonts w:ascii="Palatino Linotype" w:hAnsi="Palatino Linotype" w:cstheme="minorHAnsi"/>
        </w:rPr>
        <w:t xml:space="preserve">Mediante </w:t>
      </w:r>
      <w:r w:rsidR="00587B14">
        <w:rPr>
          <w:rFonts w:ascii="Palatino Linotype" w:hAnsi="Palatino Linotype" w:cstheme="minorHAnsi"/>
        </w:rPr>
        <w:t>R</w:t>
      </w:r>
      <w:r w:rsidRPr="00C4643C">
        <w:rPr>
          <w:rFonts w:ascii="Palatino Linotype" w:hAnsi="Palatino Linotype" w:cstheme="minorHAnsi"/>
        </w:rPr>
        <w:t xml:space="preserve">esolución de </w:t>
      </w:r>
      <w:r w:rsidR="00587B14">
        <w:rPr>
          <w:rFonts w:ascii="Palatino Linotype" w:hAnsi="Palatino Linotype" w:cstheme="minorHAnsi"/>
        </w:rPr>
        <w:t>E</w:t>
      </w:r>
      <w:r w:rsidRPr="00C4643C">
        <w:rPr>
          <w:rFonts w:ascii="Palatino Linotype" w:hAnsi="Palatino Linotype" w:cstheme="minorHAnsi"/>
        </w:rPr>
        <w:t>mergencia No. 01-CJT-DG-2011 de 22 de septiembre de 2011 el Consejo de la Judicatura resolvió “</w:t>
      </w:r>
      <w:r w:rsidRPr="002A5CFC">
        <w:rPr>
          <w:rFonts w:ascii="Palatino Linotype" w:hAnsi="Palatino Linotype" w:cstheme="minorHAnsi"/>
          <w:i/>
        </w:rPr>
        <w:t>Declarar la emergencia en la Función Judicial, a fin de resolver la situación crítica por la que atraviesa y garantizar en debida forma el derecho al acceso a la justicia y a la tutela judicial efectiva y atender la inminente conmoción interna que se ha producido por este hecho</w:t>
      </w:r>
      <w:r w:rsidRPr="00C4643C">
        <w:rPr>
          <w:rFonts w:ascii="Palatino Linotype" w:hAnsi="Palatino Linotype" w:cstheme="minorHAnsi"/>
        </w:rPr>
        <w:t>”.</w:t>
      </w:r>
    </w:p>
    <w:p w:rsidR="004B56C6" w:rsidRPr="00F15A49" w:rsidRDefault="004B56C6" w:rsidP="004B56C6">
      <w:pPr>
        <w:spacing w:before="240" w:after="0"/>
        <w:ind w:firstLine="567"/>
        <w:jc w:val="both"/>
        <w:rPr>
          <w:rFonts w:ascii="Palatino Linotype" w:hAnsi="Palatino Linotype" w:cstheme="minorHAnsi"/>
        </w:rPr>
      </w:pPr>
      <w:r>
        <w:rPr>
          <w:rFonts w:ascii="Palatino Linotype" w:hAnsi="Palatino Linotype" w:cstheme="minorHAnsi"/>
        </w:rPr>
        <w:t xml:space="preserve">De la misma manera, mediante </w:t>
      </w:r>
      <w:r w:rsidR="00587B14">
        <w:rPr>
          <w:rFonts w:ascii="Palatino Linotype" w:hAnsi="Palatino Linotype" w:cstheme="minorHAnsi"/>
        </w:rPr>
        <w:t>R</w:t>
      </w:r>
      <w:r>
        <w:rPr>
          <w:rFonts w:ascii="Palatino Linotype" w:hAnsi="Palatino Linotype" w:cstheme="minorHAnsi"/>
        </w:rPr>
        <w:t>esolución No. 52-CJ-DG-2014, de 24 de julio de 2014, la Dirección General del Consejo de la Judicatura resuelve: “</w:t>
      </w:r>
      <w:r>
        <w:rPr>
          <w:rFonts w:ascii="Palatino Linotype" w:hAnsi="Palatino Linotype" w:cstheme="minorHAnsi"/>
          <w:i/>
        </w:rPr>
        <w:t>Declarar de interés nacional la ejecución de los “Proyectos Urbano Arquitectónicos Especiales Complejo Judicial Sur y Complejo Judicial Norte” que serán puestos en marcha en los predios No. 3586203 clave catastral 31708-01-003 y 131351 clave catastral 11305-16-001 del Distrito Metropolitano de Quito”</w:t>
      </w:r>
      <w:r>
        <w:rPr>
          <w:rFonts w:ascii="Palatino Linotype" w:hAnsi="Palatino Linotype" w:cstheme="minorHAnsi"/>
        </w:rPr>
        <w:t>.</w:t>
      </w:r>
    </w:p>
    <w:p w:rsidR="00D81392" w:rsidRPr="00C4643C" w:rsidRDefault="00D81392" w:rsidP="00C4643C">
      <w:pPr>
        <w:pStyle w:val="Prrafodelista"/>
        <w:tabs>
          <w:tab w:val="left" w:pos="426"/>
        </w:tabs>
        <w:spacing w:before="240" w:after="0"/>
        <w:ind w:left="0" w:firstLine="567"/>
        <w:jc w:val="both"/>
        <w:rPr>
          <w:rFonts w:ascii="Palatino Linotype" w:hAnsi="Palatino Linotype" w:cstheme="minorHAnsi"/>
        </w:rPr>
      </w:pPr>
      <w:r w:rsidRPr="00C4643C">
        <w:rPr>
          <w:rFonts w:ascii="Palatino Linotype" w:hAnsi="Palatino Linotype" w:cstheme="minorHAnsi"/>
        </w:rPr>
        <w:t xml:space="preserve">Esta declaración es una de las acciones estratégicas para transformar la Función Judicial </w:t>
      </w:r>
      <w:r w:rsidR="002A5CFC">
        <w:rPr>
          <w:rFonts w:ascii="Palatino Linotype" w:hAnsi="Palatino Linotype" w:cstheme="minorHAnsi"/>
        </w:rPr>
        <w:t>co</w:t>
      </w:r>
      <w:r w:rsidRPr="00C4643C">
        <w:rPr>
          <w:rFonts w:ascii="Palatino Linotype" w:hAnsi="Palatino Linotype" w:cstheme="minorHAnsi"/>
        </w:rPr>
        <w:t>n el objetivo de brindar un servicio de calidad, de acuerdo a las necesidades de los usuarios, mediante la creación de espacios adecuados y concordantes con las actividades que estos demandan. Para esto</w:t>
      </w:r>
      <w:r w:rsidR="002A5CFC">
        <w:rPr>
          <w:rFonts w:ascii="Palatino Linotype" w:hAnsi="Palatino Linotype" w:cstheme="minorHAnsi"/>
        </w:rPr>
        <w:t>,</w:t>
      </w:r>
      <w:r w:rsidRPr="00C4643C">
        <w:rPr>
          <w:rFonts w:ascii="Palatino Linotype" w:hAnsi="Palatino Linotype" w:cstheme="minorHAnsi"/>
        </w:rPr>
        <w:t xml:space="preserve"> se declara como acción prioritaria la ejecución de los proyectos de infraestructura que acompañan la transformación de la justicia</w:t>
      </w:r>
      <w:r w:rsidR="002A5CFC">
        <w:rPr>
          <w:rFonts w:ascii="Palatino Linotype" w:hAnsi="Palatino Linotype" w:cstheme="minorHAnsi"/>
        </w:rPr>
        <w:t>,</w:t>
      </w:r>
      <w:r w:rsidRPr="00C4643C">
        <w:rPr>
          <w:rFonts w:ascii="Palatino Linotype" w:hAnsi="Palatino Linotype" w:cstheme="minorHAnsi"/>
        </w:rPr>
        <w:t xml:space="preserve"> como son la construcción de los Complejos Judiciales Quito Norte y Quito Sur. </w:t>
      </w:r>
    </w:p>
    <w:p w:rsidR="00D81392" w:rsidRPr="00C4643C" w:rsidRDefault="00D81392" w:rsidP="00C4643C">
      <w:pPr>
        <w:spacing w:before="240" w:after="0"/>
        <w:ind w:firstLine="567"/>
        <w:jc w:val="both"/>
        <w:rPr>
          <w:rFonts w:ascii="Palatino Linotype" w:hAnsi="Palatino Linotype" w:cstheme="minorHAnsi"/>
        </w:rPr>
      </w:pPr>
      <w:r w:rsidRPr="00C4643C">
        <w:rPr>
          <w:rFonts w:ascii="Palatino Linotype" w:hAnsi="Palatino Linotype" w:cstheme="minorHAnsi"/>
        </w:rPr>
        <w:t xml:space="preserve">El objetivo de la ordenanza que regula al presente </w:t>
      </w:r>
      <w:r w:rsidR="004443F7">
        <w:rPr>
          <w:rFonts w:ascii="Palatino Linotype" w:hAnsi="Palatino Linotype" w:cstheme="minorHAnsi"/>
        </w:rPr>
        <w:t>proyecto urbanístico</w:t>
      </w:r>
      <w:r w:rsidR="002A5CFC">
        <w:rPr>
          <w:rFonts w:ascii="Palatino Linotype" w:hAnsi="Palatino Linotype" w:cstheme="minorHAnsi"/>
        </w:rPr>
        <w:t xml:space="preserve"> arquitectónico especial –</w:t>
      </w:r>
      <w:r w:rsidR="002A5CFC" w:rsidRPr="00EE6285">
        <w:rPr>
          <w:rFonts w:ascii="Palatino Linotype" w:hAnsi="Palatino Linotype" w:cstheme="minorHAnsi"/>
        </w:rPr>
        <w:t>PUAE</w:t>
      </w:r>
      <w:r w:rsidR="002A5CFC">
        <w:rPr>
          <w:rFonts w:ascii="Palatino Linotype" w:hAnsi="Palatino Linotype" w:cstheme="minorHAnsi"/>
        </w:rPr>
        <w:t>-</w:t>
      </w:r>
      <w:r w:rsidRPr="00C4643C">
        <w:rPr>
          <w:rFonts w:ascii="Palatino Linotype" w:hAnsi="Palatino Linotype" w:cstheme="minorHAnsi"/>
        </w:rPr>
        <w:t xml:space="preserve">consiste en establecer las regulaciones aplicables para el predio </w:t>
      </w:r>
      <w:r w:rsidR="002A5CFC">
        <w:rPr>
          <w:rFonts w:ascii="Palatino Linotype" w:hAnsi="Palatino Linotype" w:cstheme="minorHAnsi"/>
        </w:rPr>
        <w:t xml:space="preserve">No. </w:t>
      </w:r>
      <w:r w:rsidRPr="00C4643C">
        <w:rPr>
          <w:rFonts w:ascii="Palatino Linotype" w:hAnsi="Palatino Linotype" w:cstheme="minorHAnsi"/>
        </w:rPr>
        <w:t>131351</w:t>
      </w:r>
      <w:r w:rsidR="002A5CFC">
        <w:rPr>
          <w:rFonts w:ascii="Palatino Linotype" w:hAnsi="Palatino Linotype" w:cstheme="minorHAnsi"/>
        </w:rPr>
        <w:t>,</w:t>
      </w:r>
      <w:r w:rsidRPr="00C4643C">
        <w:rPr>
          <w:rFonts w:ascii="Palatino Linotype" w:hAnsi="Palatino Linotype" w:cstheme="minorHAnsi"/>
        </w:rPr>
        <w:t xml:space="preserve"> donde se implantará el Complejo Judicial Quito Norte, mismo que busca concentrar servicios integrales de justicia para el sector norte del Distrito Metropolitano de Quito y que en la actualidad se encuentran dispersos en la ciudad. </w:t>
      </w:r>
    </w:p>
    <w:p w:rsidR="00D81392" w:rsidRPr="00C4643C" w:rsidRDefault="00D81392" w:rsidP="00C4643C">
      <w:pPr>
        <w:spacing w:before="240" w:after="0"/>
        <w:ind w:firstLine="567"/>
        <w:jc w:val="both"/>
        <w:rPr>
          <w:rFonts w:ascii="Palatino Linotype" w:hAnsi="Palatino Linotype" w:cstheme="minorHAnsi"/>
        </w:rPr>
      </w:pPr>
      <w:r w:rsidRPr="00C4643C">
        <w:rPr>
          <w:rFonts w:ascii="Palatino Linotype" w:hAnsi="Palatino Linotype" w:cstheme="minorHAnsi"/>
        </w:rPr>
        <w:t xml:space="preserve">En esta edificación se concentrarán los modelos de gestión estandarizados para los servicios de justicia, concebidos sobre la base de las atribuciones, competencias y productos establecidos en la normativa judicial existente. </w:t>
      </w:r>
    </w:p>
    <w:p w:rsidR="00D81392" w:rsidRPr="00C4643C" w:rsidRDefault="00D81392" w:rsidP="00C4643C">
      <w:pPr>
        <w:spacing w:before="240" w:after="0"/>
        <w:ind w:firstLine="567"/>
        <w:jc w:val="both"/>
        <w:rPr>
          <w:rFonts w:ascii="Palatino Linotype" w:hAnsi="Palatino Linotype" w:cstheme="minorHAnsi"/>
        </w:rPr>
      </w:pPr>
      <w:r w:rsidRPr="00C4643C">
        <w:rPr>
          <w:rFonts w:ascii="Palatino Linotype" w:hAnsi="Palatino Linotype" w:cstheme="minorHAnsi"/>
        </w:rPr>
        <w:t>El proyecto consolidará el sistema de centralidades del Distrito Metropolitano de Quito y particularmente a la centralidad metropolitana norte (Iñaquito), de acuerdo a lo establecido en el Plan Metropolitano de Ordenamiento Territorial.</w:t>
      </w:r>
    </w:p>
    <w:p w:rsidR="00D81392" w:rsidRPr="00C4643C" w:rsidRDefault="002A5CFC" w:rsidP="00C4643C">
      <w:pPr>
        <w:spacing w:before="240" w:after="0"/>
        <w:ind w:firstLine="567"/>
        <w:jc w:val="both"/>
        <w:rPr>
          <w:rFonts w:ascii="Palatino Linotype" w:hAnsi="Palatino Linotype" w:cstheme="minorHAnsi"/>
        </w:rPr>
      </w:pPr>
      <w:r>
        <w:rPr>
          <w:rFonts w:ascii="Palatino Linotype" w:hAnsi="Palatino Linotype" w:cstheme="minorHAnsi"/>
        </w:rPr>
        <w:lastRenderedPageBreak/>
        <w:t>Adicionalmente, el proyecto p</w:t>
      </w:r>
      <w:r w:rsidR="00D81392" w:rsidRPr="00C4643C">
        <w:rPr>
          <w:rFonts w:ascii="Palatino Linotype" w:hAnsi="Palatino Linotype" w:cstheme="minorHAnsi"/>
        </w:rPr>
        <w:t>resenta contribuciones a la ciudad, expresadas en la generación de áreas destinadas a espacios y equipamientos públicos y áreas verdes que vinculan a la edificación con el tejido urbano circundante al predio.</w:t>
      </w:r>
    </w:p>
    <w:p w:rsidR="00D81392" w:rsidRPr="00C4643C" w:rsidRDefault="00D81392" w:rsidP="00C4643C">
      <w:pPr>
        <w:spacing w:before="240" w:after="0"/>
        <w:ind w:firstLine="567"/>
        <w:jc w:val="both"/>
        <w:rPr>
          <w:rFonts w:ascii="Palatino Linotype" w:hAnsi="Palatino Linotype" w:cstheme="minorHAnsi"/>
        </w:rPr>
      </w:pPr>
      <w:r w:rsidRPr="00C4643C">
        <w:rPr>
          <w:rFonts w:ascii="Palatino Linotype" w:hAnsi="Palatino Linotype" w:cstheme="minorHAnsi"/>
        </w:rPr>
        <w:t>El proyecto cuenta con la viabilidad de la Mesa Técnica de PUAE así como con los informes de las Secretarías de Territorio, Hábitat y Vivienda; Movilidad</w:t>
      </w:r>
      <w:r w:rsidR="002A5CFC">
        <w:rPr>
          <w:rFonts w:ascii="Palatino Linotype" w:hAnsi="Palatino Linotype" w:cstheme="minorHAnsi"/>
        </w:rPr>
        <w:t>;</w:t>
      </w:r>
      <w:r w:rsidRPr="00C4643C">
        <w:rPr>
          <w:rFonts w:ascii="Palatino Linotype" w:hAnsi="Palatino Linotype" w:cstheme="minorHAnsi"/>
        </w:rPr>
        <w:t xml:space="preserve"> y</w:t>
      </w:r>
      <w:r w:rsidR="002A5CFC">
        <w:rPr>
          <w:rFonts w:ascii="Palatino Linotype" w:hAnsi="Palatino Linotype" w:cstheme="minorHAnsi"/>
        </w:rPr>
        <w:t>,</w:t>
      </w:r>
      <w:r w:rsidRPr="00C4643C">
        <w:rPr>
          <w:rFonts w:ascii="Palatino Linotype" w:hAnsi="Palatino Linotype" w:cstheme="minorHAnsi"/>
        </w:rPr>
        <w:t xml:space="preserve"> Ambiente, cumpliendo con los parámetros y las condiciones técnicas exigidas a un Proyecto Urbanístico Arquitectónico Especial que en su conjunto representa un aporte al desarrollo del Distrito.</w:t>
      </w:r>
    </w:p>
    <w:p w:rsidR="00D81392" w:rsidRPr="00C4643C" w:rsidRDefault="00D81392" w:rsidP="00C4643C">
      <w:pPr>
        <w:spacing w:before="240" w:after="0"/>
        <w:jc w:val="center"/>
        <w:rPr>
          <w:rFonts w:ascii="Palatino Linotype" w:hAnsi="Palatino Linotype" w:cstheme="minorHAnsi"/>
          <w:b/>
          <w:bCs/>
        </w:rPr>
      </w:pPr>
    </w:p>
    <w:p w:rsidR="00D81392" w:rsidRPr="00C4643C" w:rsidRDefault="00D81392" w:rsidP="00C4643C">
      <w:pPr>
        <w:spacing w:before="240" w:after="0"/>
        <w:jc w:val="center"/>
        <w:rPr>
          <w:rFonts w:ascii="Palatino Linotype" w:hAnsi="Palatino Linotype" w:cstheme="minorHAnsi"/>
          <w:b/>
          <w:bCs/>
        </w:rPr>
      </w:pPr>
    </w:p>
    <w:p w:rsidR="00D81392" w:rsidRPr="00C4643C" w:rsidRDefault="00D81392" w:rsidP="00C4643C">
      <w:pPr>
        <w:spacing w:before="240" w:after="0"/>
        <w:jc w:val="center"/>
        <w:rPr>
          <w:rFonts w:ascii="Palatino Linotype" w:hAnsi="Palatino Linotype" w:cstheme="minorHAnsi"/>
          <w:b/>
          <w:bCs/>
        </w:rPr>
      </w:pPr>
    </w:p>
    <w:p w:rsidR="00D81392" w:rsidRPr="00C4643C" w:rsidRDefault="00D81392" w:rsidP="00C4643C">
      <w:pPr>
        <w:spacing w:before="240" w:after="0"/>
        <w:jc w:val="center"/>
        <w:rPr>
          <w:rFonts w:ascii="Palatino Linotype" w:hAnsi="Palatino Linotype" w:cstheme="minorHAnsi"/>
          <w:b/>
          <w:bCs/>
        </w:rPr>
      </w:pPr>
    </w:p>
    <w:p w:rsidR="00D81392" w:rsidRPr="00C4643C" w:rsidRDefault="00D81392" w:rsidP="00C4643C">
      <w:pPr>
        <w:spacing w:before="240" w:after="0"/>
        <w:jc w:val="center"/>
        <w:rPr>
          <w:rFonts w:ascii="Palatino Linotype" w:hAnsi="Palatino Linotype" w:cstheme="minorHAnsi"/>
          <w:b/>
          <w:bCs/>
        </w:rPr>
      </w:pPr>
    </w:p>
    <w:p w:rsidR="00D81392" w:rsidRPr="00C4643C" w:rsidRDefault="00D81392" w:rsidP="00C4643C">
      <w:pPr>
        <w:spacing w:before="240" w:after="0"/>
        <w:jc w:val="center"/>
        <w:rPr>
          <w:rFonts w:ascii="Palatino Linotype" w:hAnsi="Palatino Linotype" w:cstheme="minorHAnsi"/>
          <w:b/>
          <w:bCs/>
        </w:rPr>
      </w:pPr>
    </w:p>
    <w:p w:rsidR="00D81392" w:rsidRPr="00C4643C" w:rsidRDefault="00D81392" w:rsidP="00C4643C">
      <w:pPr>
        <w:spacing w:before="240" w:after="0"/>
        <w:jc w:val="center"/>
        <w:rPr>
          <w:rFonts w:ascii="Palatino Linotype" w:hAnsi="Palatino Linotype" w:cstheme="minorHAnsi"/>
          <w:b/>
          <w:bCs/>
        </w:rPr>
      </w:pPr>
    </w:p>
    <w:p w:rsidR="00D81392" w:rsidRPr="00C4643C" w:rsidRDefault="00D81392" w:rsidP="00C4643C">
      <w:pPr>
        <w:spacing w:before="240" w:after="0"/>
        <w:jc w:val="center"/>
        <w:rPr>
          <w:rFonts w:ascii="Palatino Linotype" w:hAnsi="Palatino Linotype" w:cstheme="minorHAnsi"/>
          <w:b/>
          <w:bCs/>
        </w:rPr>
      </w:pPr>
    </w:p>
    <w:p w:rsidR="00D81392" w:rsidRPr="00C4643C" w:rsidRDefault="00D81392" w:rsidP="00C4643C">
      <w:pPr>
        <w:spacing w:before="240" w:after="0"/>
        <w:jc w:val="center"/>
        <w:rPr>
          <w:rFonts w:ascii="Palatino Linotype" w:hAnsi="Palatino Linotype" w:cstheme="minorHAnsi"/>
          <w:b/>
          <w:bCs/>
        </w:rPr>
      </w:pPr>
    </w:p>
    <w:p w:rsidR="00D81392" w:rsidRPr="00C4643C" w:rsidRDefault="00D81392" w:rsidP="00C4643C">
      <w:pPr>
        <w:spacing w:before="240" w:after="0"/>
        <w:jc w:val="center"/>
        <w:rPr>
          <w:rFonts w:ascii="Palatino Linotype" w:hAnsi="Palatino Linotype" w:cstheme="minorHAnsi"/>
          <w:b/>
          <w:bCs/>
        </w:rPr>
      </w:pPr>
    </w:p>
    <w:p w:rsidR="00D81392" w:rsidRDefault="00D81392" w:rsidP="00C4643C">
      <w:pPr>
        <w:spacing w:before="240" w:after="0"/>
        <w:jc w:val="center"/>
        <w:rPr>
          <w:rFonts w:ascii="Palatino Linotype" w:hAnsi="Palatino Linotype" w:cstheme="minorHAnsi"/>
          <w:b/>
          <w:bCs/>
        </w:rPr>
      </w:pPr>
    </w:p>
    <w:p w:rsidR="00587B14" w:rsidRDefault="00587B14" w:rsidP="00C4643C">
      <w:pPr>
        <w:spacing w:before="240" w:after="0"/>
        <w:jc w:val="center"/>
        <w:rPr>
          <w:rFonts w:ascii="Palatino Linotype" w:hAnsi="Palatino Linotype" w:cstheme="minorHAnsi"/>
          <w:b/>
          <w:bCs/>
        </w:rPr>
      </w:pPr>
    </w:p>
    <w:p w:rsidR="00587B14" w:rsidRDefault="00587B14" w:rsidP="00C4643C">
      <w:pPr>
        <w:spacing w:before="240" w:after="0"/>
        <w:jc w:val="center"/>
        <w:rPr>
          <w:rFonts w:ascii="Palatino Linotype" w:hAnsi="Palatino Linotype" w:cstheme="minorHAnsi"/>
          <w:b/>
          <w:bCs/>
        </w:rPr>
      </w:pPr>
    </w:p>
    <w:p w:rsidR="00587B14" w:rsidRDefault="00587B14" w:rsidP="00C4643C">
      <w:pPr>
        <w:spacing w:before="240" w:after="0"/>
        <w:jc w:val="center"/>
        <w:rPr>
          <w:rFonts w:ascii="Palatino Linotype" w:hAnsi="Palatino Linotype" w:cstheme="minorHAnsi"/>
          <w:b/>
          <w:bCs/>
        </w:rPr>
      </w:pPr>
    </w:p>
    <w:p w:rsidR="00587B14" w:rsidRDefault="00587B14" w:rsidP="00C4643C">
      <w:pPr>
        <w:spacing w:before="240" w:after="0"/>
        <w:jc w:val="center"/>
        <w:rPr>
          <w:rFonts w:ascii="Palatino Linotype" w:hAnsi="Palatino Linotype" w:cstheme="minorHAnsi"/>
          <w:b/>
          <w:bCs/>
        </w:rPr>
        <w:sectPr w:rsidR="00587B14" w:rsidSect="00380076">
          <w:headerReference w:type="default" r:id="rId8"/>
          <w:footerReference w:type="default" r:id="rId9"/>
          <w:pgSz w:w="12240" w:h="15840"/>
          <w:pgMar w:top="1417" w:right="1041" w:bottom="709" w:left="1276" w:header="708" w:footer="119" w:gutter="0"/>
          <w:cols w:space="708"/>
          <w:docGrid w:linePitch="360"/>
        </w:sectPr>
      </w:pPr>
    </w:p>
    <w:p w:rsidR="000C548D" w:rsidRPr="00C4643C" w:rsidRDefault="000C548D" w:rsidP="00C4643C">
      <w:pPr>
        <w:spacing w:before="240" w:after="0"/>
        <w:jc w:val="center"/>
        <w:rPr>
          <w:rFonts w:ascii="Palatino Linotype" w:hAnsi="Palatino Linotype" w:cstheme="minorHAnsi"/>
          <w:b/>
          <w:bCs/>
        </w:rPr>
      </w:pPr>
      <w:r w:rsidRPr="00C4643C">
        <w:rPr>
          <w:rFonts w:ascii="Palatino Linotype" w:hAnsi="Palatino Linotype" w:cstheme="minorHAnsi"/>
          <w:b/>
          <w:bCs/>
        </w:rPr>
        <w:lastRenderedPageBreak/>
        <w:t>EL CONCEJO METROPOLITANO DE QUITO</w:t>
      </w:r>
    </w:p>
    <w:p w:rsidR="00AE1A04" w:rsidRPr="00C4643C" w:rsidRDefault="00AE1A04" w:rsidP="00AE1A04">
      <w:pPr>
        <w:spacing w:before="240" w:after="0"/>
        <w:jc w:val="both"/>
        <w:rPr>
          <w:rFonts w:ascii="Palatino Linotype" w:hAnsi="Palatino Linotype" w:cstheme="minorHAnsi"/>
          <w:bCs/>
        </w:rPr>
      </w:pPr>
      <w:r w:rsidRPr="00C4643C">
        <w:rPr>
          <w:rFonts w:ascii="Palatino Linotype" w:hAnsi="Palatino Linotype" w:cstheme="minorHAnsi"/>
          <w:bCs/>
        </w:rPr>
        <w:t>Visto</w:t>
      </w:r>
      <w:r>
        <w:rPr>
          <w:rFonts w:ascii="Palatino Linotype" w:hAnsi="Palatino Linotype" w:cstheme="minorHAnsi"/>
          <w:bCs/>
        </w:rPr>
        <w:t>s</w:t>
      </w:r>
      <w:r w:rsidRPr="00C4643C">
        <w:rPr>
          <w:rFonts w:ascii="Palatino Linotype" w:hAnsi="Palatino Linotype" w:cstheme="minorHAnsi"/>
          <w:bCs/>
        </w:rPr>
        <w:t xml:space="preserve"> l</w:t>
      </w:r>
      <w:r>
        <w:rPr>
          <w:rFonts w:ascii="Palatino Linotype" w:hAnsi="Palatino Linotype" w:cstheme="minorHAnsi"/>
          <w:bCs/>
        </w:rPr>
        <w:t>os</w:t>
      </w:r>
      <w:r w:rsidRPr="00C4643C">
        <w:rPr>
          <w:rFonts w:ascii="Palatino Linotype" w:hAnsi="Palatino Linotype" w:cstheme="minorHAnsi"/>
          <w:bCs/>
        </w:rPr>
        <w:t xml:space="preserve"> informe</w:t>
      </w:r>
      <w:r>
        <w:rPr>
          <w:rFonts w:ascii="Palatino Linotype" w:hAnsi="Palatino Linotype" w:cstheme="minorHAnsi"/>
          <w:bCs/>
        </w:rPr>
        <w:t>s</w:t>
      </w:r>
      <w:r w:rsidRPr="00C4643C">
        <w:rPr>
          <w:rFonts w:ascii="Palatino Linotype" w:hAnsi="Palatino Linotype" w:cstheme="minorHAnsi"/>
          <w:bCs/>
        </w:rPr>
        <w:t xml:space="preserve"> No</w:t>
      </w:r>
      <w:r>
        <w:rPr>
          <w:rFonts w:ascii="Palatino Linotype" w:hAnsi="Palatino Linotype" w:cstheme="minorHAnsi"/>
          <w:bCs/>
        </w:rPr>
        <w:t>s</w:t>
      </w:r>
      <w:r w:rsidRPr="00C4643C">
        <w:rPr>
          <w:rFonts w:ascii="Palatino Linotype" w:hAnsi="Palatino Linotype" w:cstheme="minorHAnsi"/>
          <w:bCs/>
        </w:rPr>
        <w:t>. IC-O-2014-10</w:t>
      </w:r>
      <w:r>
        <w:rPr>
          <w:rFonts w:ascii="Palatino Linotype" w:hAnsi="Palatino Linotype" w:cstheme="minorHAnsi"/>
          <w:bCs/>
        </w:rPr>
        <w:t>5 e IC-O-2014-108</w:t>
      </w:r>
      <w:r w:rsidRPr="00C4643C">
        <w:rPr>
          <w:rFonts w:ascii="Palatino Linotype" w:hAnsi="Palatino Linotype" w:cstheme="minorHAnsi"/>
          <w:bCs/>
        </w:rPr>
        <w:t xml:space="preserve">, de 20 </w:t>
      </w:r>
      <w:r>
        <w:rPr>
          <w:rFonts w:ascii="Palatino Linotype" w:hAnsi="Palatino Linotype" w:cstheme="minorHAnsi"/>
          <w:bCs/>
        </w:rPr>
        <w:t xml:space="preserve">y 23 </w:t>
      </w:r>
      <w:r w:rsidRPr="00C4643C">
        <w:rPr>
          <w:rFonts w:ascii="Palatino Linotype" w:hAnsi="Palatino Linotype" w:cstheme="minorHAnsi"/>
          <w:bCs/>
        </w:rPr>
        <w:t xml:space="preserve">de octubre de 2014, </w:t>
      </w:r>
      <w:r>
        <w:rPr>
          <w:rFonts w:ascii="Palatino Linotype" w:hAnsi="Palatino Linotype" w:cstheme="minorHAnsi"/>
          <w:bCs/>
        </w:rPr>
        <w:t xml:space="preserve">respectivamente, </w:t>
      </w:r>
      <w:r w:rsidRPr="00C4643C">
        <w:rPr>
          <w:rFonts w:ascii="Palatino Linotype" w:hAnsi="Palatino Linotype" w:cstheme="minorHAnsi"/>
          <w:bCs/>
        </w:rPr>
        <w:t>expedido</w:t>
      </w:r>
      <w:r>
        <w:rPr>
          <w:rFonts w:ascii="Palatino Linotype" w:hAnsi="Palatino Linotype" w:cstheme="minorHAnsi"/>
          <w:bCs/>
        </w:rPr>
        <w:t>s</w:t>
      </w:r>
      <w:r w:rsidRPr="00C4643C">
        <w:rPr>
          <w:rFonts w:ascii="Palatino Linotype" w:hAnsi="Palatino Linotype" w:cstheme="minorHAnsi"/>
          <w:bCs/>
        </w:rPr>
        <w:t xml:space="preserve"> por la Comisión de  Uso de Suelo.</w:t>
      </w:r>
    </w:p>
    <w:p w:rsidR="000C548D" w:rsidRPr="00C4643C" w:rsidRDefault="000C548D" w:rsidP="00C4643C">
      <w:pPr>
        <w:spacing w:before="240" w:after="0"/>
        <w:jc w:val="center"/>
        <w:rPr>
          <w:rFonts w:ascii="Palatino Linotype" w:hAnsi="Palatino Linotype" w:cstheme="minorHAnsi"/>
          <w:b/>
          <w:bCs/>
        </w:rPr>
      </w:pPr>
      <w:r w:rsidRPr="00C4643C">
        <w:rPr>
          <w:rFonts w:ascii="Palatino Linotype" w:hAnsi="Palatino Linotype" w:cstheme="minorHAnsi"/>
          <w:b/>
          <w:bCs/>
        </w:rPr>
        <w:t>CONSIDERANDO:</w:t>
      </w:r>
    </w:p>
    <w:p w:rsidR="00340209" w:rsidRPr="00C4643C" w:rsidRDefault="00340209" w:rsidP="00340209">
      <w:pPr>
        <w:spacing w:before="240" w:after="0"/>
        <w:ind w:left="567" w:hanging="567"/>
        <w:jc w:val="both"/>
        <w:rPr>
          <w:rFonts w:ascii="Palatino Linotype" w:hAnsi="Palatino Linotype"/>
          <w:i/>
        </w:rPr>
      </w:pPr>
      <w:r w:rsidRPr="00C4643C">
        <w:rPr>
          <w:rFonts w:ascii="Palatino Linotype" w:hAnsi="Palatino Linotype"/>
          <w:b/>
        </w:rPr>
        <w:t xml:space="preserve">Que, </w:t>
      </w:r>
      <w:r w:rsidRPr="00C4643C">
        <w:rPr>
          <w:rFonts w:ascii="Palatino Linotype" w:hAnsi="Palatino Linotype"/>
          <w:b/>
        </w:rPr>
        <w:tab/>
      </w:r>
      <w:r w:rsidRPr="00C4643C">
        <w:rPr>
          <w:rFonts w:ascii="Palatino Linotype" w:hAnsi="Palatino Linotype"/>
        </w:rPr>
        <w:t>los numerales 1 y 2 del artículo 264 de la Constitución de la República del Ecuador</w:t>
      </w:r>
      <w:r>
        <w:rPr>
          <w:rFonts w:ascii="Palatino Linotype" w:hAnsi="Palatino Linotype"/>
        </w:rPr>
        <w:t xml:space="preserve"> (en adelante “Constitución”)</w:t>
      </w:r>
      <w:r w:rsidRPr="00C4643C">
        <w:rPr>
          <w:rFonts w:ascii="Palatino Linotype" w:hAnsi="Palatino Linotype"/>
        </w:rPr>
        <w:t>, en concordancia con el artículo 266 del mismo cuerpo normativo, determinan que: “Los gobiernos municipales</w:t>
      </w:r>
      <w:r w:rsidRPr="00C4643C">
        <w:rPr>
          <w:rFonts w:ascii="Palatino Linotype" w:hAnsi="Palatino Linotype"/>
          <w:lang w:val="es-ES_tradnl"/>
        </w:rPr>
        <w:t xml:space="preserve"> tendrán las siguientes competencias exclusivas sin perjuicio de otras que determine la ley: </w:t>
      </w:r>
      <w:r w:rsidRPr="00C4643C">
        <w:rPr>
          <w:rFonts w:ascii="Palatino Linotype" w:hAnsi="Palatino Linotype"/>
          <w:i/>
          <w:lang w:val="es-ES_tradnl"/>
        </w:rPr>
        <w:t>“1</w:t>
      </w:r>
      <w:r>
        <w:rPr>
          <w:rFonts w:ascii="Palatino Linotype" w:hAnsi="Palatino Linotype"/>
          <w:i/>
          <w:lang w:val="es-ES_tradnl"/>
        </w:rPr>
        <w:t xml:space="preserve">. </w:t>
      </w:r>
      <w:r w:rsidRPr="00C4643C">
        <w:rPr>
          <w:rFonts w:ascii="Palatino Linotype" w:hAnsi="Palatino Linotype"/>
          <w:i/>
          <w:lang w:val="es-ES_tradnl"/>
        </w:rPr>
        <w:t>Planificar el desarrollo cantonal y formular los correspondientes planes de ordenamiento territorial, de manera articulada con la planificación nacional, regional, provincial y parroquial, con el fin de regular el uso y la ocupación del suelo urbano y rural</w:t>
      </w:r>
      <w:r w:rsidRPr="00C4643C">
        <w:rPr>
          <w:rFonts w:ascii="Palatino Linotype" w:hAnsi="Palatino Linotype"/>
          <w:i/>
        </w:rPr>
        <w:t>; y, 2. Ejercer el control sobre el uso y ocupación del suelo en el cantón ”;</w:t>
      </w:r>
    </w:p>
    <w:p w:rsidR="00340209" w:rsidRPr="00C4643C" w:rsidRDefault="00340209" w:rsidP="00340209">
      <w:pPr>
        <w:spacing w:before="240" w:after="0"/>
        <w:ind w:left="567" w:hanging="567"/>
        <w:jc w:val="both"/>
        <w:rPr>
          <w:rFonts w:ascii="Palatino Linotype" w:hAnsi="Palatino Linotype"/>
        </w:rPr>
      </w:pPr>
      <w:r w:rsidRPr="00C4643C">
        <w:rPr>
          <w:rFonts w:ascii="Palatino Linotype" w:hAnsi="Palatino Linotype"/>
          <w:b/>
        </w:rPr>
        <w:t>Que,</w:t>
      </w:r>
      <w:r w:rsidRPr="00C4643C">
        <w:rPr>
          <w:rFonts w:ascii="Palatino Linotype" w:hAnsi="Palatino Linotype"/>
        </w:rPr>
        <w:t xml:space="preserve"> </w:t>
      </w:r>
      <w:r w:rsidRPr="00C4643C">
        <w:rPr>
          <w:rFonts w:ascii="Palatino Linotype" w:hAnsi="Palatino Linotype"/>
        </w:rPr>
        <w:tab/>
        <w:t>el numeral 2 del artículo 168 de la Constitución, determina que la Función Judicial gozará de autonomía administrativa, económica y financiera;</w:t>
      </w:r>
    </w:p>
    <w:p w:rsidR="00340209" w:rsidRPr="00C4643C" w:rsidRDefault="00340209" w:rsidP="00340209">
      <w:pPr>
        <w:spacing w:before="240" w:after="0"/>
        <w:ind w:left="567" w:hanging="567"/>
        <w:jc w:val="both"/>
        <w:rPr>
          <w:rFonts w:ascii="Palatino Linotype" w:hAnsi="Palatino Linotype"/>
        </w:rPr>
      </w:pPr>
      <w:r w:rsidRPr="00C4643C">
        <w:rPr>
          <w:rFonts w:ascii="Palatino Linotype" w:hAnsi="Palatino Linotype"/>
          <w:b/>
        </w:rPr>
        <w:t>Que,</w:t>
      </w:r>
      <w:r w:rsidRPr="00C4643C">
        <w:rPr>
          <w:rFonts w:ascii="Palatino Linotype" w:hAnsi="Palatino Linotype"/>
        </w:rPr>
        <w:tab/>
        <w:t xml:space="preserve"> de conformidad con lo dispuesto por el inciso tercero del artículo 178 de la Constitución, el Consejo de la Judicatura es el órgano de gobierno, administración, vigilancia y disciplina de la Función Judicial;</w:t>
      </w:r>
    </w:p>
    <w:p w:rsidR="00340209" w:rsidRPr="00C4643C" w:rsidRDefault="00340209" w:rsidP="00340209">
      <w:pPr>
        <w:spacing w:before="240" w:after="0"/>
        <w:ind w:left="567" w:hanging="567"/>
        <w:jc w:val="both"/>
        <w:rPr>
          <w:rFonts w:ascii="Palatino Linotype" w:hAnsi="Palatino Linotype"/>
        </w:rPr>
      </w:pPr>
      <w:r w:rsidRPr="00C4643C">
        <w:rPr>
          <w:rFonts w:ascii="Palatino Linotype" w:hAnsi="Palatino Linotype"/>
          <w:b/>
        </w:rPr>
        <w:t>Que,</w:t>
      </w:r>
      <w:r w:rsidRPr="00C4643C">
        <w:rPr>
          <w:rFonts w:ascii="Palatino Linotype" w:hAnsi="Palatino Linotype"/>
        </w:rPr>
        <w:t xml:space="preserve"> </w:t>
      </w:r>
      <w:r w:rsidRPr="00C4643C">
        <w:rPr>
          <w:rFonts w:ascii="Palatino Linotype" w:hAnsi="Palatino Linotype"/>
        </w:rPr>
        <w:tab/>
        <w:t xml:space="preserve">el inciso primero del artículo 254 del Código Orgánico de la Función Judicial determina </w:t>
      </w:r>
      <w:r>
        <w:rPr>
          <w:rFonts w:ascii="Palatino Linotype" w:hAnsi="Palatino Linotype"/>
        </w:rPr>
        <w:t>que e</w:t>
      </w:r>
      <w:r w:rsidRPr="00C4643C">
        <w:rPr>
          <w:rFonts w:ascii="Palatino Linotype" w:hAnsi="Palatino Linotype"/>
        </w:rPr>
        <w:t xml:space="preserve">l Consejo de la Judicatura </w:t>
      </w:r>
      <w:r>
        <w:rPr>
          <w:rFonts w:ascii="Palatino Linotype" w:hAnsi="Palatino Linotype"/>
        </w:rPr>
        <w:t xml:space="preserve">es </w:t>
      </w:r>
      <w:r w:rsidRPr="00C4643C">
        <w:rPr>
          <w:rFonts w:ascii="Palatino Linotype" w:hAnsi="Palatino Linotype"/>
        </w:rPr>
        <w:t>el único órgano de gobierno, administración, vigilancia y disciplina de la Función Judicial, que comprende: órganos jurisdiccionales, órganos administrativos, órganos auxiliares y órganos autónomos;</w:t>
      </w:r>
    </w:p>
    <w:p w:rsidR="00340209" w:rsidRPr="00C4643C" w:rsidRDefault="00340209" w:rsidP="00340209">
      <w:pPr>
        <w:spacing w:before="240" w:after="0"/>
        <w:ind w:left="567" w:hanging="567"/>
        <w:jc w:val="both"/>
        <w:rPr>
          <w:rFonts w:ascii="Palatino Linotype" w:hAnsi="Palatino Linotype"/>
        </w:rPr>
      </w:pPr>
      <w:r w:rsidRPr="00C4643C">
        <w:rPr>
          <w:rFonts w:ascii="Palatino Linotype" w:hAnsi="Palatino Linotype"/>
          <w:b/>
        </w:rPr>
        <w:t>Que,</w:t>
      </w:r>
      <w:r w:rsidRPr="00C4643C">
        <w:rPr>
          <w:rFonts w:ascii="Palatino Linotype" w:hAnsi="Palatino Linotype"/>
        </w:rPr>
        <w:t xml:space="preserve"> </w:t>
      </w:r>
      <w:r w:rsidRPr="00C4643C">
        <w:rPr>
          <w:rFonts w:ascii="Palatino Linotype" w:hAnsi="Palatino Linotype"/>
        </w:rPr>
        <w:tab/>
        <w:t xml:space="preserve">el numeral 2 del artículo 280 del Código Orgánico de la Función Judicial, faculta a la Directora General del Consejo de la Judicatura, </w:t>
      </w:r>
      <w:r>
        <w:rPr>
          <w:rFonts w:ascii="Palatino Linotype" w:hAnsi="Palatino Linotype"/>
        </w:rPr>
        <w:t xml:space="preserve">a </w:t>
      </w:r>
      <w:r w:rsidRPr="00C4643C">
        <w:rPr>
          <w:rFonts w:ascii="Palatino Linotype" w:hAnsi="Palatino Linotype"/>
        </w:rPr>
        <w:t>ejercer la representación legal, judicial y extrajudicial de la Función Judicial;</w:t>
      </w:r>
    </w:p>
    <w:p w:rsidR="00340209" w:rsidRPr="00C4643C" w:rsidRDefault="00340209" w:rsidP="00340209">
      <w:pPr>
        <w:spacing w:before="240" w:after="0"/>
        <w:ind w:left="567" w:hanging="567"/>
        <w:jc w:val="both"/>
        <w:rPr>
          <w:rFonts w:ascii="Palatino Linotype" w:hAnsi="Palatino Linotype"/>
        </w:rPr>
      </w:pPr>
      <w:r w:rsidRPr="00C4643C">
        <w:rPr>
          <w:rFonts w:ascii="Palatino Linotype" w:hAnsi="Palatino Linotype"/>
          <w:b/>
        </w:rPr>
        <w:t>Que,</w:t>
      </w:r>
      <w:r w:rsidRPr="00C4643C">
        <w:rPr>
          <w:rFonts w:ascii="Palatino Linotype" w:hAnsi="Palatino Linotype"/>
        </w:rPr>
        <w:tab/>
        <w:t xml:space="preserve">el artículo 3 del Código Orgánico de la Función Judicial dispone que: </w:t>
      </w:r>
      <w:r w:rsidRPr="00C4643C">
        <w:rPr>
          <w:rFonts w:ascii="Palatino Linotype" w:hAnsi="Palatino Linotype"/>
          <w:i/>
        </w:rPr>
        <w:t xml:space="preserve">“ Con el fin de garantizar el acceso a la justicia, el debido proceso, la independencia  judicial y los demás principios establecidos en la Constitución y este Código, dentro de los grandes lineamientos del Plan Nacional de Desarrollo, los órganos de la Función Judicial, en el ámbito de sus competencias, deberán formular políticas administrativas que transformen la Función Judicial para brindar un servicio de calidad de acuerdo a las necesidades de las usuarias y usuarios; políticas económicas que permitan la gestión del presupuesto con el fin de optimizar los recursos de que se dispone y la planificación y programación oportuna de las inversiones en infraestructura física y operacional; políticas de recursos humanos que consoliden la </w:t>
      </w:r>
      <w:r w:rsidRPr="00C4643C">
        <w:rPr>
          <w:rFonts w:ascii="Palatino Linotype" w:hAnsi="Palatino Linotype"/>
          <w:i/>
        </w:rPr>
        <w:lastRenderedPageBreak/>
        <w:t>carrera judicial, fiscal y de defensoría pública, fortalezcan la Escuela de la Función Judicial, y erradiquen la corrupción</w:t>
      </w:r>
      <w:r w:rsidRPr="00C4643C">
        <w:rPr>
          <w:rFonts w:ascii="Palatino Linotype" w:hAnsi="Palatino Linotype"/>
        </w:rPr>
        <w:t>.”</w:t>
      </w:r>
    </w:p>
    <w:p w:rsidR="00340209" w:rsidRPr="00C4643C" w:rsidRDefault="00340209" w:rsidP="00340209">
      <w:pPr>
        <w:spacing w:before="240" w:after="0"/>
        <w:ind w:left="567" w:hanging="567"/>
        <w:jc w:val="both"/>
        <w:rPr>
          <w:rFonts w:ascii="Palatino Linotype" w:hAnsi="Palatino Linotype"/>
        </w:rPr>
      </w:pPr>
      <w:r w:rsidRPr="00C4643C">
        <w:rPr>
          <w:rFonts w:ascii="Palatino Linotype" w:hAnsi="Palatino Linotype"/>
          <w:b/>
        </w:rPr>
        <w:t>Que,</w:t>
      </w:r>
      <w:r w:rsidRPr="00C4643C">
        <w:rPr>
          <w:rFonts w:ascii="Palatino Linotype" w:hAnsi="Palatino Linotype"/>
        </w:rPr>
        <w:t xml:space="preserve"> </w:t>
      </w:r>
      <w:r w:rsidRPr="00C4643C">
        <w:rPr>
          <w:rFonts w:ascii="Palatino Linotype" w:hAnsi="Palatino Linotype"/>
        </w:rPr>
        <w:tab/>
        <w:t>el artículo 14 del Código Orgánico de la Función Judicial consagra los principios de autonomía económica, financiera y administrativa de los que goza el mencionado poder del Estado, para lo cual el Estado tendrá la obligación de entregar los recursos suficientes para satisfacer las necesidades del servicio judicial que garantice la seguridad jurídica;</w:t>
      </w:r>
    </w:p>
    <w:p w:rsidR="00340209" w:rsidRPr="00C4643C" w:rsidRDefault="00340209" w:rsidP="00340209">
      <w:pPr>
        <w:spacing w:before="240" w:after="0"/>
        <w:ind w:left="567" w:hanging="567"/>
        <w:jc w:val="both"/>
        <w:rPr>
          <w:rFonts w:ascii="Palatino Linotype" w:hAnsi="Palatino Linotype"/>
          <w:i/>
          <w:lang w:val="es-ES_tradnl"/>
        </w:rPr>
      </w:pPr>
      <w:r w:rsidRPr="00C4643C">
        <w:rPr>
          <w:rFonts w:ascii="Palatino Linotype" w:hAnsi="Palatino Linotype"/>
          <w:b/>
        </w:rPr>
        <w:t>Que,</w:t>
      </w:r>
      <w:r w:rsidRPr="00C4643C">
        <w:rPr>
          <w:rFonts w:ascii="Palatino Linotype" w:hAnsi="Palatino Linotype"/>
        </w:rPr>
        <w:tab/>
        <w:t xml:space="preserve">la letra f) del artículo 54 del </w:t>
      </w:r>
      <w:r w:rsidRPr="00C4643C">
        <w:rPr>
          <w:rFonts w:ascii="Palatino Linotype" w:hAnsi="Palatino Linotype"/>
          <w:lang w:val="es-ES_tradnl"/>
        </w:rPr>
        <w:t>Código Orgánico de Organización Territorial, Autonomía y Descentralización</w:t>
      </w:r>
      <w:r>
        <w:rPr>
          <w:rFonts w:ascii="Palatino Linotype" w:hAnsi="Palatino Linotype"/>
          <w:lang w:val="es-ES_tradnl"/>
        </w:rPr>
        <w:t xml:space="preserve"> (en adelante “COOTAD”)</w:t>
      </w:r>
      <w:r w:rsidRPr="00C4643C">
        <w:rPr>
          <w:rFonts w:ascii="Palatino Linotype" w:hAnsi="Palatino Linotype"/>
          <w:lang w:val="es-ES_tradnl"/>
        </w:rPr>
        <w:t>, establece que son funciones del gobierno autónomo descentralizado municipal</w:t>
      </w:r>
      <w:r>
        <w:rPr>
          <w:rFonts w:ascii="Palatino Linotype" w:hAnsi="Palatino Linotype"/>
          <w:lang w:val="es-ES_tradnl"/>
        </w:rPr>
        <w:t>,</w:t>
      </w:r>
      <w:r w:rsidRPr="00C4643C">
        <w:rPr>
          <w:rFonts w:ascii="Palatino Linotype" w:hAnsi="Palatino Linotype"/>
          <w:lang w:val="es-ES_tradnl"/>
        </w:rPr>
        <w:t xml:space="preserve"> entre otras</w:t>
      </w:r>
      <w:r>
        <w:rPr>
          <w:rFonts w:ascii="Palatino Linotype" w:hAnsi="Palatino Linotype"/>
          <w:lang w:val="es-ES_tradnl"/>
        </w:rPr>
        <w:t>, la siguiente</w:t>
      </w:r>
      <w:r w:rsidRPr="00C4643C">
        <w:rPr>
          <w:rFonts w:ascii="Palatino Linotype" w:hAnsi="Palatino Linotype"/>
          <w:lang w:val="es-ES_tradnl"/>
        </w:rPr>
        <w:t>: “</w:t>
      </w:r>
      <w:r>
        <w:rPr>
          <w:rFonts w:ascii="Palatino Linotype" w:hAnsi="Palatino Linotype"/>
          <w:i/>
          <w:lang w:val="es-ES_tradnl"/>
        </w:rPr>
        <w:t xml:space="preserve">(…) </w:t>
      </w:r>
      <w:r w:rsidRPr="00C4643C">
        <w:rPr>
          <w:rFonts w:ascii="Palatino Linotype" w:hAnsi="Palatino Linotype"/>
          <w:i/>
          <w:lang w:val="es-ES_tradnl"/>
        </w:rPr>
        <w:t>la de ejecutar las competencias exclusivas y concurrentes reconocidas por la Constitución y la ley y en dicho marco, prestar los servicios y construir la obra pública cantonal correspondiente, con criterios de calidad, eficacia y eficiencia, observando los principios de universalidad, accesibilidad, regularidad, continuidad, solidaridad, interculturalidad, subsidiaridad, participación y equidad</w:t>
      </w:r>
      <w:r>
        <w:rPr>
          <w:rFonts w:ascii="Palatino Linotype" w:hAnsi="Palatino Linotype"/>
          <w:i/>
          <w:lang w:val="es-ES_tradnl"/>
        </w:rPr>
        <w:t xml:space="preserve"> (…)</w:t>
      </w:r>
      <w:r w:rsidRPr="00C4643C">
        <w:rPr>
          <w:rFonts w:ascii="Palatino Linotype" w:hAnsi="Palatino Linotype"/>
          <w:i/>
          <w:lang w:val="es-ES_tradnl"/>
        </w:rPr>
        <w:t>”;</w:t>
      </w:r>
    </w:p>
    <w:p w:rsidR="00340209" w:rsidRPr="00C4643C" w:rsidRDefault="00340209" w:rsidP="00340209">
      <w:pPr>
        <w:spacing w:before="240" w:after="0"/>
        <w:ind w:left="567" w:hanging="567"/>
        <w:jc w:val="both"/>
        <w:rPr>
          <w:rFonts w:ascii="Palatino Linotype" w:hAnsi="Palatino Linotype"/>
          <w:i/>
          <w:lang w:val="es-ES_tradnl"/>
        </w:rPr>
      </w:pPr>
      <w:r w:rsidRPr="00C4643C">
        <w:rPr>
          <w:rFonts w:ascii="Palatino Linotype" w:hAnsi="Palatino Linotype"/>
          <w:b/>
          <w:lang w:val="es-ES_tradnl"/>
        </w:rPr>
        <w:t>Que,</w:t>
      </w:r>
      <w:r w:rsidRPr="00C4643C">
        <w:rPr>
          <w:rFonts w:ascii="Palatino Linotype" w:hAnsi="Palatino Linotype"/>
          <w:lang w:val="es-ES_tradnl"/>
        </w:rPr>
        <w:tab/>
        <w:t xml:space="preserve">las letras  a) y v) del artículo 87 del Código Orgánico de Organización Territorial, Autonomía y Descentralización  </w:t>
      </w:r>
      <w:r>
        <w:rPr>
          <w:rFonts w:ascii="Palatino Linotype" w:hAnsi="Palatino Linotype"/>
          <w:lang w:val="es-ES_tradnl"/>
        </w:rPr>
        <w:t xml:space="preserve">establecen </w:t>
      </w:r>
      <w:r w:rsidRPr="00C4643C">
        <w:rPr>
          <w:rFonts w:ascii="Palatino Linotype" w:hAnsi="Palatino Linotype"/>
          <w:lang w:val="es-ES_tradnl"/>
        </w:rPr>
        <w:t>que son competencias del Concejo Metropolitano</w:t>
      </w:r>
      <w:r>
        <w:rPr>
          <w:rFonts w:ascii="Palatino Linotype" w:hAnsi="Palatino Linotype"/>
          <w:lang w:val="es-ES_tradnl"/>
        </w:rPr>
        <w:t>,</w:t>
      </w:r>
      <w:r w:rsidRPr="00C4643C">
        <w:rPr>
          <w:rFonts w:ascii="Palatino Linotype" w:hAnsi="Palatino Linotype"/>
          <w:lang w:val="es-ES_tradnl"/>
        </w:rPr>
        <w:t xml:space="preserve"> entre otras</w:t>
      </w:r>
      <w:r>
        <w:rPr>
          <w:rFonts w:ascii="Palatino Linotype" w:hAnsi="Palatino Linotype"/>
          <w:lang w:val="es-ES_tradnl"/>
        </w:rPr>
        <w:t>, las siguientes</w:t>
      </w:r>
      <w:r w:rsidRPr="00C4643C">
        <w:rPr>
          <w:rFonts w:ascii="Palatino Linotype" w:hAnsi="Palatino Linotype"/>
          <w:lang w:val="es-ES_tradnl"/>
        </w:rPr>
        <w:t xml:space="preserve">: </w:t>
      </w:r>
      <w:r w:rsidRPr="00C4643C">
        <w:rPr>
          <w:rFonts w:ascii="Palatino Linotype" w:hAnsi="Palatino Linotype"/>
          <w:i/>
          <w:lang w:val="es-ES_tradnl"/>
        </w:rPr>
        <w:t>“</w:t>
      </w:r>
      <w:r>
        <w:rPr>
          <w:rFonts w:ascii="Palatino Linotype" w:hAnsi="Palatino Linotype"/>
          <w:i/>
          <w:lang w:val="es-ES_tradnl"/>
        </w:rPr>
        <w:t xml:space="preserve">(…) </w:t>
      </w:r>
      <w:r w:rsidRPr="00C4643C">
        <w:rPr>
          <w:rFonts w:ascii="Palatino Linotype" w:hAnsi="Palatino Linotype"/>
          <w:i/>
          <w:lang w:val="es-ES_tradnl"/>
        </w:rPr>
        <w:t>a) ejercer la facultad normativa en las materias de competencia del gobierno autónomo descentralizado metropolitano, mediante la expedición de ordenanzas metropolitanas, acuerdos y resoluciones; (…); v) regular y controlar el uso del suelo en el territorio del distrito metropolitano de conformidad con las leyes sobre la materia, y establecer el régimen urbanístico de la tierra</w:t>
      </w:r>
      <w:r>
        <w:rPr>
          <w:rFonts w:ascii="Palatino Linotype" w:hAnsi="Palatino Linotype"/>
          <w:i/>
          <w:lang w:val="es-ES_tradnl"/>
        </w:rPr>
        <w:t>. (…)</w:t>
      </w:r>
      <w:r w:rsidRPr="00C4643C">
        <w:rPr>
          <w:rFonts w:ascii="Palatino Linotype" w:hAnsi="Palatino Linotype"/>
          <w:i/>
          <w:lang w:val="es-ES_tradnl"/>
        </w:rPr>
        <w:t xml:space="preserve">”; </w:t>
      </w:r>
    </w:p>
    <w:p w:rsidR="00340209" w:rsidRPr="00C4643C" w:rsidRDefault="00340209" w:rsidP="00340209">
      <w:pPr>
        <w:spacing w:before="240" w:after="0"/>
        <w:ind w:left="567" w:hanging="567"/>
        <w:jc w:val="both"/>
        <w:rPr>
          <w:rFonts w:ascii="Palatino Linotype" w:hAnsi="Palatino Linotype"/>
          <w:i/>
          <w:lang w:val="es-ES_tradnl"/>
        </w:rPr>
      </w:pPr>
      <w:r w:rsidRPr="00C4643C">
        <w:rPr>
          <w:rFonts w:ascii="Palatino Linotype" w:hAnsi="Palatino Linotype"/>
          <w:b/>
          <w:lang w:val="es-ES_tradnl"/>
        </w:rPr>
        <w:t>Que,</w:t>
      </w:r>
      <w:r w:rsidRPr="00C4643C">
        <w:rPr>
          <w:rFonts w:ascii="Palatino Linotype" w:hAnsi="Palatino Linotype"/>
          <w:lang w:val="es-ES_tradnl"/>
        </w:rPr>
        <w:tab/>
        <w:t xml:space="preserve">el artículo 2 de la Ley Orgánica de Régimen para el Distrito Metropolitano de Quito establece que el Municipio del Distrito Metropolitano de Quito cumplirá, entre otras, </w:t>
      </w:r>
      <w:r>
        <w:rPr>
          <w:rFonts w:ascii="Palatino Linotype" w:hAnsi="Palatino Linotype"/>
          <w:lang w:val="es-ES_tradnl"/>
        </w:rPr>
        <w:t xml:space="preserve">las siguientes </w:t>
      </w:r>
      <w:r w:rsidRPr="00C4643C">
        <w:rPr>
          <w:rFonts w:ascii="Palatino Linotype" w:hAnsi="Palatino Linotype"/>
          <w:lang w:val="es-ES_tradnl"/>
        </w:rPr>
        <w:t>finalidades</w:t>
      </w:r>
      <w:r>
        <w:rPr>
          <w:rFonts w:ascii="Palatino Linotype" w:hAnsi="Palatino Linotype"/>
          <w:lang w:val="es-ES_tradnl"/>
        </w:rPr>
        <w:t>:</w:t>
      </w:r>
      <w:r w:rsidRPr="00C4643C">
        <w:rPr>
          <w:rFonts w:ascii="Palatino Linotype" w:hAnsi="Palatino Linotype"/>
          <w:lang w:val="es-ES_tradnl"/>
        </w:rPr>
        <w:t xml:space="preserve"> “</w:t>
      </w:r>
      <w:r>
        <w:rPr>
          <w:rFonts w:ascii="Palatino Linotype" w:hAnsi="Palatino Linotype"/>
          <w:i/>
          <w:lang w:val="es-ES_tradnl"/>
        </w:rPr>
        <w:t xml:space="preserve">(…) </w:t>
      </w:r>
      <w:r w:rsidRPr="00C4643C">
        <w:rPr>
          <w:rFonts w:ascii="Palatino Linotype" w:hAnsi="Palatino Linotype"/>
          <w:i/>
          <w:lang w:val="es-ES_tradnl"/>
        </w:rPr>
        <w:t>regular el uso y la adecuada ocupación del suelo</w:t>
      </w:r>
      <w:r>
        <w:rPr>
          <w:rFonts w:ascii="Palatino Linotype" w:hAnsi="Palatino Linotype"/>
          <w:i/>
          <w:lang w:val="es-ES_tradnl"/>
        </w:rPr>
        <w:t xml:space="preserve"> (…)</w:t>
      </w:r>
      <w:r w:rsidRPr="00C4643C">
        <w:rPr>
          <w:rFonts w:ascii="Palatino Linotype" w:hAnsi="Palatino Linotype"/>
          <w:i/>
          <w:lang w:val="es-ES_tradnl"/>
        </w:rPr>
        <w:t>”;</w:t>
      </w:r>
    </w:p>
    <w:p w:rsidR="00340209" w:rsidRPr="00965BC6" w:rsidRDefault="00340209" w:rsidP="00340209">
      <w:pPr>
        <w:spacing w:before="240" w:after="0"/>
        <w:ind w:left="567" w:hanging="567"/>
        <w:jc w:val="both"/>
        <w:rPr>
          <w:rFonts w:ascii="Palatino Linotype" w:hAnsi="Palatino Linotype"/>
        </w:rPr>
      </w:pPr>
      <w:r w:rsidRPr="00C4643C">
        <w:rPr>
          <w:rFonts w:ascii="Palatino Linotype" w:hAnsi="Palatino Linotype"/>
          <w:b/>
        </w:rPr>
        <w:t>Que,</w:t>
      </w:r>
      <w:r w:rsidRPr="00C4643C">
        <w:rPr>
          <w:rFonts w:ascii="Palatino Linotype" w:hAnsi="Palatino Linotype"/>
        </w:rPr>
        <w:t xml:space="preserve"> </w:t>
      </w:r>
      <w:r w:rsidRPr="00C4643C">
        <w:rPr>
          <w:rFonts w:ascii="Palatino Linotype" w:hAnsi="Palatino Linotype"/>
        </w:rPr>
        <w:tab/>
        <w:t xml:space="preserve">el artículo </w:t>
      </w:r>
      <w:r>
        <w:rPr>
          <w:rFonts w:ascii="Palatino Linotype" w:hAnsi="Palatino Linotype"/>
        </w:rPr>
        <w:t xml:space="preserve">innumerado </w:t>
      </w:r>
      <w:r w:rsidRPr="00C4643C">
        <w:rPr>
          <w:rFonts w:ascii="Palatino Linotype" w:hAnsi="Palatino Linotype"/>
        </w:rPr>
        <w:t xml:space="preserve">26 de la Ordenanza Metropolitana No.172 que establece el Régimen de Suelo para el </w:t>
      </w:r>
      <w:r>
        <w:rPr>
          <w:rFonts w:ascii="Palatino Linotype" w:hAnsi="Palatino Linotype"/>
        </w:rPr>
        <w:t>Distrito Metropolitano de Quito, respecto de los proyectos urban</w:t>
      </w:r>
      <w:r w:rsidR="004765C0">
        <w:rPr>
          <w:rFonts w:ascii="Palatino Linotype" w:hAnsi="Palatino Linotype"/>
        </w:rPr>
        <w:t>ístico</w:t>
      </w:r>
      <w:r>
        <w:rPr>
          <w:rFonts w:ascii="Palatino Linotype" w:hAnsi="Palatino Linotype"/>
        </w:rPr>
        <w:t xml:space="preserve"> arquitectónicos especiales, señala: </w:t>
      </w:r>
      <w:r w:rsidRPr="00C4643C">
        <w:rPr>
          <w:rFonts w:ascii="Palatino Linotype" w:hAnsi="Palatino Linotype"/>
        </w:rPr>
        <w:t>“</w:t>
      </w:r>
      <w:r>
        <w:rPr>
          <w:rFonts w:ascii="Palatino Linotype" w:hAnsi="Palatino Linotype"/>
          <w:i/>
        </w:rPr>
        <w:t xml:space="preserve">(…) </w:t>
      </w:r>
      <w:r w:rsidRPr="00C4643C">
        <w:rPr>
          <w:rFonts w:ascii="Palatino Linotype" w:hAnsi="Palatino Linotype"/>
          <w:i/>
        </w:rPr>
        <w:t>1. Son instrumentos de planificación urbanística arquitectónica de iniciativa pública o privada, susceptibles de implementarse en predios que reúnan las siguientes características:</w:t>
      </w:r>
      <w:r>
        <w:rPr>
          <w:rFonts w:ascii="Palatino Linotype" w:hAnsi="Palatino Linotype"/>
          <w:i/>
        </w:rPr>
        <w:t xml:space="preserve"> (…) </w:t>
      </w:r>
      <w:r w:rsidRPr="000E723C">
        <w:rPr>
          <w:rFonts w:ascii="Palatino Linotype" w:eastAsia="Palatino Linotype" w:hAnsi="Palatino Linotype" w:cs="Palatino Linotype"/>
          <w:i/>
        </w:rPr>
        <w:t>a) Superficie mayor a 10.000 m</w:t>
      </w:r>
      <w:r w:rsidRPr="000E723C">
        <w:rPr>
          <w:rFonts w:ascii="Palatino Linotype" w:eastAsia="Palatino Linotype" w:hAnsi="Palatino Linotype" w:cs="Palatino Linotype"/>
          <w:i/>
          <w:vertAlign w:val="superscript"/>
        </w:rPr>
        <w:t>2</w:t>
      </w:r>
      <w:r w:rsidRPr="000E723C">
        <w:rPr>
          <w:rFonts w:ascii="Palatino Linotype" w:hAnsi="Palatino Linotype"/>
          <w:i/>
        </w:rPr>
        <w:t xml:space="preserve"> en el Distrito Metropolitano de Quito o en predios ubicados en áreas de centralidades según el PMOT, con extensiones mayores a 4.000 m</w:t>
      </w:r>
      <w:r w:rsidRPr="000E723C">
        <w:rPr>
          <w:rFonts w:ascii="Palatino Linotype" w:hAnsi="Palatino Linotype"/>
          <w:i/>
          <w:vertAlign w:val="superscript"/>
        </w:rPr>
        <w:t>2</w:t>
      </w:r>
      <w:r w:rsidRPr="000E723C">
        <w:rPr>
          <w:rFonts w:ascii="Palatino Linotype" w:hAnsi="Palatino Linotype"/>
          <w:i/>
        </w:rPr>
        <w:t>.</w:t>
      </w:r>
      <w:r>
        <w:rPr>
          <w:rFonts w:ascii="Palatino Linotype" w:hAnsi="Palatino Linotype"/>
          <w:i/>
        </w:rPr>
        <w:t xml:space="preserve"> (…) </w:t>
      </w:r>
      <w:r w:rsidRPr="00C4643C">
        <w:rPr>
          <w:rFonts w:ascii="Palatino Linotype" w:hAnsi="Palatino Linotype"/>
          <w:i/>
        </w:rPr>
        <w:t xml:space="preserve">b) Encontrarse ubicados en suelo urbano y en sectores en los que el uso del suelo propuesto por el proyecto sea permitido, o cuente con asignación de zonificación especial, o sea susceptible de modificación en virtud del interés público – </w:t>
      </w:r>
      <w:r w:rsidRPr="00965BC6">
        <w:rPr>
          <w:rFonts w:ascii="Palatino Linotype" w:hAnsi="Palatino Linotype"/>
          <w:i/>
        </w:rPr>
        <w:t>privado concertado. (…)</w:t>
      </w:r>
      <w:r w:rsidRPr="00965BC6">
        <w:rPr>
          <w:rFonts w:ascii="Palatino Linotype" w:hAnsi="Palatino Linotype"/>
        </w:rPr>
        <w:t>”;</w:t>
      </w:r>
    </w:p>
    <w:p w:rsidR="00C4643C" w:rsidRPr="00C4643C" w:rsidRDefault="00C4643C" w:rsidP="00C4643C">
      <w:pPr>
        <w:spacing w:before="240" w:after="0"/>
        <w:ind w:left="567" w:hanging="567"/>
        <w:jc w:val="both"/>
        <w:rPr>
          <w:rFonts w:ascii="Palatino Linotype" w:hAnsi="Palatino Linotype"/>
        </w:rPr>
      </w:pPr>
      <w:r w:rsidRPr="00C4643C">
        <w:rPr>
          <w:rFonts w:ascii="Palatino Linotype" w:hAnsi="Palatino Linotype"/>
          <w:b/>
        </w:rPr>
        <w:t>Que,</w:t>
      </w:r>
      <w:r w:rsidRPr="00C4643C">
        <w:rPr>
          <w:rFonts w:ascii="Palatino Linotype" w:hAnsi="Palatino Linotype"/>
        </w:rPr>
        <w:t xml:space="preserve"> </w:t>
      </w:r>
      <w:r w:rsidRPr="00C4643C">
        <w:rPr>
          <w:rFonts w:ascii="Palatino Linotype" w:hAnsi="Palatino Linotype"/>
        </w:rPr>
        <w:tab/>
        <w:t xml:space="preserve">el proyecto Complejo Judicial Quito Norte cumple con todas las condiciones y requisitos establecidos en el artículo </w:t>
      </w:r>
      <w:r w:rsidR="00340209">
        <w:rPr>
          <w:rFonts w:ascii="Palatino Linotype" w:hAnsi="Palatino Linotype"/>
        </w:rPr>
        <w:t xml:space="preserve">innumerado </w:t>
      </w:r>
      <w:r w:rsidRPr="00C4643C">
        <w:rPr>
          <w:rFonts w:ascii="Palatino Linotype" w:hAnsi="Palatino Linotype"/>
        </w:rPr>
        <w:t xml:space="preserve">26 de la Ordenanza Metropolitana No. 0172 que </w:t>
      </w:r>
      <w:r w:rsidRPr="00C4643C">
        <w:rPr>
          <w:rFonts w:ascii="Palatino Linotype" w:hAnsi="Palatino Linotype"/>
        </w:rPr>
        <w:lastRenderedPageBreak/>
        <w:t>establece el Régimen Administrativo del Suelo en el Distrito Metropolitano de Quito y en las Resoluciones de la Secretaria de Territorio, Hábitat y Vivienda Nos. 008</w:t>
      </w:r>
      <w:r w:rsidR="00340209">
        <w:rPr>
          <w:rFonts w:ascii="Palatino Linotype" w:hAnsi="Palatino Linotype"/>
        </w:rPr>
        <w:t>,</w:t>
      </w:r>
      <w:r w:rsidRPr="00C4643C">
        <w:rPr>
          <w:rFonts w:ascii="Palatino Linotype" w:hAnsi="Palatino Linotype"/>
        </w:rPr>
        <w:t xml:space="preserve"> de 27 de diciembre de 2013</w:t>
      </w:r>
      <w:r w:rsidR="00340209">
        <w:rPr>
          <w:rFonts w:ascii="Palatino Linotype" w:hAnsi="Palatino Linotype"/>
        </w:rPr>
        <w:t>;</w:t>
      </w:r>
      <w:r w:rsidRPr="00C4643C">
        <w:rPr>
          <w:rFonts w:ascii="Palatino Linotype" w:hAnsi="Palatino Linotype"/>
        </w:rPr>
        <w:t xml:space="preserve"> y</w:t>
      </w:r>
      <w:r w:rsidR="00340209">
        <w:rPr>
          <w:rFonts w:ascii="Palatino Linotype" w:hAnsi="Palatino Linotype"/>
        </w:rPr>
        <w:t>,</w:t>
      </w:r>
      <w:r w:rsidRPr="00C4643C">
        <w:rPr>
          <w:rFonts w:ascii="Palatino Linotype" w:hAnsi="Palatino Linotype"/>
        </w:rPr>
        <w:t xml:space="preserve"> 011</w:t>
      </w:r>
      <w:r w:rsidR="00340209">
        <w:rPr>
          <w:rFonts w:ascii="Palatino Linotype" w:hAnsi="Palatino Linotype"/>
        </w:rPr>
        <w:t>,</w:t>
      </w:r>
      <w:r w:rsidRPr="00C4643C">
        <w:rPr>
          <w:rFonts w:ascii="Palatino Linotype" w:hAnsi="Palatino Linotype"/>
        </w:rPr>
        <w:t xml:space="preserve"> de 11 de julio de 2014; </w:t>
      </w:r>
    </w:p>
    <w:p w:rsidR="00340209" w:rsidRPr="00C4643C" w:rsidRDefault="00340209" w:rsidP="00340209">
      <w:pPr>
        <w:spacing w:before="240" w:after="0"/>
        <w:ind w:left="567" w:hanging="567"/>
        <w:jc w:val="both"/>
        <w:rPr>
          <w:rFonts w:ascii="Palatino Linotype" w:hAnsi="Palatino Linotype"/>
          <w:i/>
        </w:rPr>
      </w:pPr>
      <w:r w:rsidRPr="00C4643C">
        <w:rPr>
          <w:rFonts w:ascii="Palatino Linotype" w:hAnsi="Palatino Linotype"/>
          <w:b/>
        </w:rPr>
        <w:t xml:space="preserve">Que, </w:t>
      </w:r>
      <w:r w:rsidRPr="00C4643C">
        <w:rPr>
          <w:rFonts w:ascii="Palatino Linotype" w:hAnsi="Palatino Linotype"/>
        </w:rPr>
        <w:tab/>
        <w:t xml:space="preserve">el número 2 del artículo </w:t>
      </w:r>
      <w:r>
        <w:rPr>
          <w:rFonts w:ascii="Palatino Linotype" w:hAnsi="Palatino Linotype"/>
        </w:rPr>
        <w:t xml:space="preserve">innumerado </w:t>
      </w:r>
      <w:r w:rsidRPr="00C4643C">
        <w:rPr>
          <w:rFonts w:ascii="Palatino Linotype" w:hAnsi="Palatino Linotype"/>
        </w:rPr>
        <w:t xml:space="preserve">26 de la Ordenanza  Metropolitana No. 172  </w:t>
      </w:r>
      <w:r>
        <w:rPr>
          <w:rFonts w:ascii="Palatino Linotype" w:hAnsi="Palatino Linotype"/>
        </w:rPr>
        <w:t xml:space="preserve">establece </w:t>
      </w:r>
      <w:r w:rsidRPr="00C4643C">
        <w:rPr>
          <w:rFonts w:ascii="Palatino Linotype" w:hAnsi="Palatino Linotype"/>
        </w:rPr>
        <w:t>que los proyectos urbanísticos arquitectónicos especiales “</w:t>
      </w:r>
      <w:r w:rsidRPr="00C4643C">
        <w:rPr>
          <w:rFonts w:ascii="Palatino Linotype" w:hAnsi="Palatino Linotype"/>
          <w:i/>
        </w:rPr>
        <w:t>podrán contar con determinaciones de ocupación y edificabilidad diferentes a las establecidas en el PUOS, siempre que constituyan aportes urbanísticos, que mejoren las contribuciones de áreas verdes y espacios públicos, la imagen urbana y el paisaje, y contribuyan al mantenimiento de las áreas naturales”.</w:t>
      </w:r>
    </w:p>
    <w:p w:rsidR="00340209" w:rsidRPr="00C4643C" w:rsidRDefault="00340209" w:rsidP="00340209">
      <w:pPr>
        <w:spacing w:before="240" w:after="0"/>
        <w:ind w:left="567" w:hanging="567"/>
        <w:jc w:val="both"/>
        <w:rPr>
          <w:rFonts w:ascii="Palatino Linotype" w:hAnsi="Palatino Linotype"/>
        </w:rPr>
      </w:pPr>
      <w:r w:rsidRPr="00C4643C">
        <w:rPr>
          <w:rFonts w:ascii="Palatino Linotype" w:hAnsi="Palatino Linotype"/>
          <w:b/>
        </w:rPr>
        <w:t>Que,</w:t>
      </w:r>
      <w:r w:rsidRPr="00C4643C">
        <w:rPr>
          <w:rFonts w:ascii="Palatino Linotype" w:hAnsi="Palatino Linotype"/>
        </w:rPr>
        <w:t xml:space="preserve"> </w:t>
      </w:r>
      <w:r w:rsidRPr="00C4643C">
        <w:rPr>
          <w:rFonts w:ascii="Palatino Linotype" w:hAnsi="Palatino Linotype"/>
        </w:rPr>
        <w:tab/>
        <w:t>el Consejo de la Judicatura debe cumplir con el proceso de reestructuración y modernización de la administración de justicia privilegiando la designación de jueces, la formación y capacitación del personal, la reestructura y redimensionamiento institucional, la provisión de tecnología de última generación, digitalización de archivos, adquisición, remodelación y construcción de infraestructura física acorde a los servicios que presta; entre otros bienes y servicios;</w:t>
      </w:r>
    </w:p>
    <w:p w:rsidR="00340209" w:rsidRPr="00C4643C" w:rsidRDefault="00340209" w:rsidP="00340209">
      <w:pPr>
        <w:spacing w:before="240" w:after="0"/>
        <w:ind w:left="567" w:hanging="567"/>
        <w:jc w:val="both"/>
        <w:rPr>
          <w:rFonts w:ascii="Palatino Linotype" w:hAnsi="Palatino Linotype"/>
        </w:rPr>
      </w:pPr>
      <w:r w:rsidRPr="00C4643C">
        <w:rPr>
          <w:rFonts w:ascii="Palatino Linotype" w:hAnsi="Palatino Linotype"/>
          <w:b/>
        </w:rPr>
        <w:t>Que,</w:t>
      </w:r>
      <w:r w:rsidRPr="00C4643C">
        <w:rPr>
          <w:rFonts w:ascii="Palatino Linotype" w:hAnsi="Palatino Linotype"/>
        </w:rPr>
        <w:t xml:space="preserve"> </w:t>
      </w:r>
      <w:r w:rsidRPr="00C4643C">
        <w:rPr>
          <w:rFonts w:ascii="Palatino Linotype" w:hAnsi="Palatino Linotype"/>
        </w:rPr>
        <w:tab/>
        <w:t>los organismos de la Función Judicial, en especial los organismos jurisdiccionales, administrativos y auxiliares</w:t>
      </w:r>
      <w:r>
        <w:rPr>
          <w:rFonts w:ascii="Palatino Linotype" w:hAnsi="Palatino Linotype"/>
        </w:rPr>
        <w:t>,</w:t>
      </w:r>
      <w:r w:rsidRPr="00C4643C">
        <w:rPr>
          <w:rFonts w:ascii="Palatino Linotype" w:hAnsi="Palatino Linotype"/>
        </w:rPr>
        <w:t xml:space="preserve"> deben garantizar el derecho al acceso a la justicia, a la tutela efectiva, imparcial y expedita de los derechos de todas las personas;</w:t>
      </w:r>
    </w:p>
    <w:p w:rsidR="00340209" w:rsidRPr="00C4643C" w:rsidRDefault="00340209" w:rsidP="00340209">
      <w:pPr>
        <w:spacing w:before="240" w:after="0"/>
        <w:ind w:left="567" w:hanging="567"/>
        <w:jc w:val="both"/>
        <w:rPr>
          <w:rFonts w:ascii="Palatino Linotype" w:hAnsi="Palatino Linotype"/>
        </w:rPr>
      </w:pPr>
      <w:r w:rsidRPr="00C4643C">
        <w:rPr>
          <w:rFonts w:ascii="Palatino Linotype" w:hAnsi="Palatino Linotype"/>
          <w:b/>
        </w:rPr>
        <w:t>Que,</w:t>
      </w:r>
      <w:r w:rsidRPr="00C4643C">
        <w:rPr>
          <w:rFonts w:ascii="Palatino Linotype" w:hAnsi="Palatino Linotype"/>
        </w:rPr>
        <w:t xml:space="preserve"> </w:t>
      </w:r>
      <w:r w:rsidRPr="00C4643C">
        <w:rPr>
          <w:rFonts w:ascii="Palatino Linotype" w:hAnsi="Palatino Linotype"/>
        </w:rPr>
        <w:tab/>
        <w:t xml:space="preserve">mediante Resolución de Emergencia No. 01-CJT-DG-2011 de 22 de septiembre de 2011 el Director General del Consejo de la Judicatura resolvió en su </w:t>
      </w:r>
      <w:r>
        <w:rPr>
          <w:rFonts w:ascii="Palatino Linotype" w:hAnsi="Palatino Linotype"/>
        </w:rPr>
        <w:t>a</w:t>
      </w:r>
      <w:r w:rsidRPr="00C4643C">
        <w:rPr>
          <w:rFonts w:ascii="Palatino Linotype" w:hAnsi="Palatino Linotype"/>
        </w:rPr>
        <w:t>rt</w:t>
      </w:r>
      <w:r>
        <w:rPr>
          <w:rFonts w:ascii="Palatino Linotype" w:hAnsi="Palatino Linotype"/>
        </w:rPr>
        <w:t>ículo</w:t>
      </w:r>
      <w:r w:rsidRPr="00C4643C">
        <w:rPr>
          <w:rFonts w:ascii="Palatino Linotype" w:hAnsi="Palatino Linotype"/>
        </w:rPr>
        <w:t xml:space="preserve"> 1</w:t>
      </w:r>
      <w:r>
        <w:rPr>
          <w:rFonts w:ascii="Palatino Linotype" w:hAnsi="Palatino Linotype"/>
        </w:rPr>
        <w:t>:</w:t>
      </w:r>
      <w:r w:rsidRPr="00C4643C">
        <w:rPr>
          <w:rFonts w:ascii="Palatino Linotype" w:hAnsi="Palatino Linotype"/>
        </w:rPr>
        <w:t xml:space="preserve"> “</w:t>
      </w:r>
      <w:r w:rsidRPr="00965BC6">
        <w:rPr>
          <w:rFonts w:ascii="Palatino Linotype" w:hAnsi="Palatino Linotype"/>
          <w:i/>
        </w:rPr>
        <w:t>Declarar la emergencia en la Función Judicial, a fin de resolver la situación crítica por la que atraviesa y garantizar en debida forma el derecho al acceso a la justicia y a la tutela judicial efectiva y atender la inminente conmoción interna que se ha producido por este hecho</w:t>
      </w:r>
      <w:r w:rsidRPr="00C4643C">
        <w:rPr>
          <w:rFonts w:ascii="Palatino Linotype" w:hAnsi="Palatino Linotype"/>
        </w:rPr>
        <w:t>”;</w:t>
      </w:r>
    </w:p>
    <w:p w:rsidR="00340209" w:rsidRPr="00C4643C" w:rsidRDefault="00340209" w:rsidP="00340209">
      <w:pPr>
        <w:spacing w:before="240" w:after="0"/>
        <w:ind w:left="567" w:hanging="567"/>
        <w:jc w:val="both"/>
        <w:rPr>
          <w:rFonts w:ascii="Palatino Linotype" w:hAnsi="Palatino Linotype"/>
        </w:rPr>
      </w:pPr>
      <w:r w:rsidRPr="00C4643C">
        <w:rPr>
          <w:rFonts w:ascii="Palatino Linotype" w:hAnsi="Palatino Linotype"/>
          <w:b/>
        </w:rPr>
        <w:t>Que,</w:t>
      </w:r>
      <w:r w:rsidRPr="00C4643C">
        <w:rPr>
          <w:rFonts w:ascii="Palatino Linotype" w:hAnsi="Palatino Linotype"/>
        </w:rPr>
        <w:t xml:space="preserve"> </w:t>
      </w:r>
      <w:r w:rsidRPr="00C4643C">
        <w:rPr>
          <w:rFonts w:ascii="Palatino Linotype" w:hAnsi="Palatino Linotype"/>
        </w:rPr>
        <w:tab/>
        <w:t>en el artículo 2 de la Resolución No. 01-CJT-DG-2011 de 22 de septiembre de 2011 declara como acción prioritaria la ejecución de los proyectos de transformación de la justicia en el Ecuador, contenidos en el Programa de Reestructuración de la Función Judicial;</w:t>
      </w:r>
    </w:p>
    <w:p w:rsidR="00340209" w:rsidRPr="00C4643C" w:rsidRDefault="00340209" w:rsidP="00340209">
      <w:pPr>
        <w:spacing w:before="240" w:after="0"/>
        <w:ind w:left="567" w:hanging="567"/>
        <w:jc w:val="both"/>
        <w:rPr>
          <w:rFonts w:ascii="Palatino Linotype" w:hAnsi="Palatino Linotype"/>
        </w:rPr>
      </w:pPr>
      <w:r w:rsidRPr="00C4643C">
        <w:rPr>
          <w:rFonts w:ascii="Palatino Linotype" w:hAnsi="Palatino Linotype"/>
          <w:b/>
        </w:rPr>
        <w:t>Que,</w:t>
      </w:r>
      <w:r w:rsidRPr="00C4643C">
        <w:rPr>
          <w:rFonts w:ascii="Palatino Linotype" w:hAnsi="Palatino Linotype"/>
        </w:rPr>
        <w:t xml:space="preserve"> </w:t>
      </w:r>
      <w:r w:rsidRPr="00C4643C">
        <w:rPr>
          <w:rFonts w:ascii="Palatino Linotype" w:hAnsi="Palatino Linotype"/>
        </w:rPr>
        <w:tab/>
        <w:t>el Pleno del Consejo de la Judicatura</w:t>
      </w:r>
      <w:r>
        <w:rPr>
          <w:rFonts w:ascii="Palatino Linotype" w:hAnsi="Palatino Linotype"/>
        </w:rPr>
        <w:t>,</w:t>
      </w:r>
      <w:r w:rsidRPr="00C4643C">
        <w:rPr>
          <w:rFonts w:ascii="Palatino Linotype" w:hAnsi="Palatino Linotype"/>
        </w:rPr>
        <w:t xml:space="preserve"> en sesión ordinaria de 6 de marzo de 2014, resolvió por unanimidad nombrar a la Econ. Andrea Bravo Mogro como Directora General del Consejo de la Judicatura;</w:t>
      </w:r>
    </w:p>
    <w:p w:rsidR="00340209" w:rsidRPr="00C4643C" w:rsidRDefault="00340209" w:rsidP="00340209">
      <w:pPr>
        <w:spacing w:before="240" w:after="0"/>
        <w:ind w:left="567" w:hanging="567"/>
        <w:jc w:val="both"/>
        <w:rPr>
          <w:rFonts w:ascii="Palatino Linotype" w:hAnsi="Palatino Linotype"/>
        </w:rPr>
      </w:pPr>
      <w:r w:rsidRPr="00C4643C">
        <w:rPr>
          <w:rFonts w:ascii="Palatino Linotype" w:hAnsi="Palatino Linotype"/>
          <w:b/>
        </w:rPr>
        <w:t>Que,</w:t>
      </w:r>
      <w:r w:rsidRPr="00C4643C">
        <w:rPr>
          <w:rFonts w:ascii="Palatino Linotype" w:hAnsi="Palatino Linotype"/>
        </w:rPr>
        <w:t xml:space="preserve"> </w:t>
      </w:r>
      <w:r w:rsidRPr="00C4643C">
        <w:rPr>
          <w:rFonts w:ascii="Palatino Linotype" w:hAnsi="Palatino Linotype"/>
        </w:rPr>
        <w:tab/>
        <w:t>en el artículo 1 de la Resolución No. 52-CJ-DG-2014 de 24 de Julio de 2014 se resuelve declarar de interés nacional la ejecución de los “</w:t>
      </w:r>
      <w:r w:rsidRPr="00965BC6">
        <w:rPr>
          <w:rFonts w:ascii="Palatino Linotype" w:hAnsi="Palatino Linotype"/>
          <w:i/>
        </w:rPr>
        <w:t>Proyectos Urbano Arquitectónicos Especiales Complejo Judicial Sur y Complejo Judicial Nort</w:t>
      </w:r>
      <w:r w:rsidRPr="00C4643C">
        <w:rPr>
          <w:rFonts w:ascii="Palatino Linotype" w:hAnsi="Palatino Linotype"/>
        </w:rPr>
        <w:t>e”</w:t>
      </w:r>
      <w:r>
        <w:rPr>
          <w:rFonts w:ascii="Palatino Linotype" w:hAnsi="Palatino Linotype"/>
        </w:rPr>
        <w:t>,</w:t>
      </w:r>
      <w:r w:rsidRPr="00C4643C">
        <w:rPr>
          <w:rFonts w:ascii="Palatino Linotype" w:hAnsi="Palatino Linotype"/>
        </w:rPr>
        <w:t xml:space="preserve"> que serán puestos en marcha en </w:t>
      </w:r>
      <w:r>
        <w:rPr>
          <w:rFonts w:ascii="Palatino Linotype" w:hAnsi="Palatino Linotype"/>
        </w:rPr>
        <w:t>e</w:t>
      </w:r>
      <w:r w:rsidRPr="00C4643C">
        <w:rPr>
          <w:rFonts w:ascii="Palatino Linotype" w:hAnsi="Palatino Linotype"/>
        </w:rPr>
        <w:t xml:space="preserve">l predio No. 3586203 clave catastral </w:t>
      </w:r>
      <w:r>
        <w:rPr>
          <w:rFonts w:ascii="Palatino Linotype" w:hAnsi="Palatino Linotype"/>
        </w:rPr>
        <w:t xml:space="preserve">No. </w:t>
      </w:r>
      <w:r w:rsidRPr="00C4643C">
        <w:rPr>
          <w:rFonts w:ascii="Palatino Linotype" w:hAnsi="Palatino Linotype"/>
        </w:rPr>
        <w:t>31708-01-003</w:t>
      </w:r>
      <w:r>
        <w:rPr>
          <w:rFonts w:ascii="Palatino Linotype" w:hAnsi="Palatino Linotype"/>
        </w:rPr>
        <w:t>;</w:t>
      </w:r>
      <w:r w:rsidRPr="00C4643C">
        <w:rPr>
          <w:rFonts w:ascii="Palatino Linotype" w:hAnsi="Palatino Linotype"/>
        </w:rPr>
        <w:t xml:space="preserve"> y</w:t>
      </w:r>
      <w:r>
        <w:rPr>
          <w:rFonts w:ascii="Palatino Linotype" w:hAnsi="Palatino Linotype"/>
        </w:rPr>
        <w:t>,</w:t>
      </w:r>
      <w:r w:rsidRPr="00C4643C">
        <w:rPr>
          <w:rFonts w:ascii="Palatino Linotype" w:hAnsi="Palatino Linotype"/>
        </w:rPr>
        <w:t xml:space="preserve"> predio No.131351</w:t>
      </w:r>
      <w:r>
        <w:rPr>
          <w:rFonts w:ascii="Palatino Linotype" w:hAnsi="Palatino Linotype"/>
        </w:rPr>
        <w:t>,</w:t>
      </w:r>
      <w:r w:rsidRPr="00C4643C">
        <w:rPr>
          <w:rFonts w:ascii="Palatino Linotype" w:hAnsi="Palatino Linotype"/>
        </w:rPr>
        <w:t xml:space="preserve"> cl</w:t>
      </w:r>
      <w:r>
        <w:rPr>
          <w:rFonts w:ascii="Palatino Linotype" w:hAnsi="Palatino Linotype"/>
        </w:rPr>
        <w:t>a</w:t>
      </w:r>
      <w:r w:rsidRPr="00C4643C">
        <w:rPr>
          <w:rFonts w:ascii="Palatino Linotype" w:hAnsi="Palatino Linotype"/>
        </w:rPr>
        <w:t xml:space="preserve">ve catastral </w:t>
      </w:r>
      <w:r>
        <w:rPr>
          <w:rFonts w:ascii="Palatino Linotype" w:hAnsi="Palatino Linotype"/>
        </w:rPr>
        <w:t xml:space="preserve">No. </w:t>
      </w:r>
      <w:r w:rsidRPr="00C4643C">
        <w:rPr>
          <w:rFonts w:ascii="Palatino Linotype" w:hAnsi="Palatino Linotype"/>
        </w:rPr>
        <w:t>11305-16-01 del Distrito Metropolitano de Quito.</w:t>
      </w:r>
    </w:p>
    <w:p w:rsidR="00CA6E66" w:rsidRPr="00C4643C" w:rsidRDefault="00340209" w:rsidP="00CA6E66">
      <w:pPr>
        <w:spacing w:before="240" w:after="0"/>
        <w:ind w:left="567" w:hanging="567"/>
        <w:jc w:val="both"/>
        <w:rPr>
          <w:rFonts w:ascii="Palatino Linotype" w:hAnsi="Palatino Linotype"/>
        </w:rPr>
      </w:pPr>
      <w:r w:rsidRPr="00C4643C">
        <w:rPr>
          <w:rFonts w:ascii="Palatino Linotype" w:hAnsi="Palatino Linotype"/>
          <w:b/>
        </w:rPr>
        <w:lastRenderedPageBreak/>
        <w:t>Que,</w:t>
      </w:r>
      <w:r w:rsidRPr="00C4643C">
        <w:rPr>
          <w:rFonts w:ascii="Palatino Linotype" w:hAnsi="Palatino Linotype"/>
        </w:rPr>
        <w:t xml:space="preserve"> </w:t>
      </w:r>
      <w:r w:rsidRPr="00C4643C">
        <w:rPr>
          <w:rFonts w:ascii="Palatino Linotype" w:hAnsi="Palatino Linotype"/>
        </w:rPr>
        <w:tab/>
        <w:t>la Mesa Técnica conformada por la Secretar</w:t>
      </w:r>
      <w:r>
        <w:rPr>
          <w:rFonts w:ascii="Palatino Linotype" w:hAnsi="Palatino Linotype"/>
        </w:rPr>
        <w:t>í</w:t>
      </w:r>
      <w:r w:rsidRPr="00C4643C">
        <w:rPr>
          <w:rFonts w:ascii="Palatino Linotype" w:hAnsi="Palatino Linotype"/>
        </w:rPr>
        <w:t>a</w:t>
      </w:r>
      <w:r>
        <w:rPr>
          <w:rFonts w:ascii="Palatino Linotype" w:hAnsi="Palatino Linotype"/>
        </w:rPr>
        <w:t>s</w:t>
      </w:r>
      <w:r w:rsidRPr="00C4643C">
        <w:rPr>
          <w:rFonts w:ascii="Palatino Linotype" w:hAnsi="Palatino Linotype"/>
        </w:rPr>
        <w:t xml:space="preserve"> Generales de Planificación y Coordinación Territorial y Participación Ciudadana; Secretarias de Territorio, Hábitat y Vivienda, Ambiente, Desarrollo Productivo </w:t>
      </w:r>
      <w:r>
        <w:rPr>
          <w:rFonts w:ascii="Palatino Linotype" w:hAnsi="Palatino Linotype"/>
        </w:rPr>
        <w:t xml:space="preserve">y Competitividad, </w:t>
      </w:r>
      <w:r w:rsidRPr="00C4643C">
        <w:rPr>
          <w:rFonts w:ascii="Palatino Linotype" w:hAnsi="Palatino Linotype"/>
        </w:rPr>
        <w:t>y Movilidad</w:t>
      </w:r>
      <w:r>
        <w:rPr>
          <w:rFonts w:ascii="Palatino Linotype" w:hAnsi="Palatino Linotype"/>
        </w:rPr>
        <w:t>,</w:t>
      </w:r>
      <w:r w:rsidRPr="00C4643C">
        <w:rPr>
          <w:rFonts w:ascii="Palatino Linotype" w:hAnsi="Palatino Linotype"/>
        </w:rPr>
        <w:t xml:space="preserve"> en sesión del día miércoles 17 de septiembre de 2014</w:t>
      </w:r>
      <w:r>
        <w:rPr>
          <w:rFonts w:ascii="Palatino Linotype" w:hAnsi="Palatino Linotype"/>
        </w:rPr>
        <w:t>,</w:t>
      </w:r>
      <w:r w:rsidRPr="00C4643C">
        <w:rPr>
          <w:rFonts w:ascii="Palatino Linotype" w:hAnsi="Palatino Linotype"/>
        </w:rPr>
        <w:t xml:space="preserve"> resolvió determinar el Proyecto Urbanístico Arquitectónico Especial (PUAE) denominado Complejo Judicial Quito </w:t>
      </w:r>
      <w:r w:rsidR="00CA6E66" w:rsidRPr="00C4643C">
        <w:rPr>
          <w:rFonts w:ascii="Palatino Linotype" w:hAnsi="Palatino Linotype"/>
        </w:rPr>
        <w:t xml:space="preserve">Norte viable con observaciones; </w:t>
      </w:r>
    </w:p>
    <w:p w:rsidR="00C4643C" w:rsidRPr="00C4643C" w:rsidRDefault="00C4643C" w:rsidP="00C4643C">
      <w:pPr>
        <w:spacing w:before="240" w:after="0"/>
        <w:ind w:left="567" w:hanging="567"/>
        <w:jc w:val="both"/>
        <w:rPr>
          <w:rFonts w:ascii="Palatino Linotype" w:hAnsi="Palatino Linotype"/>
        </w:rPr>
      </w:pPr>
      <w:r w:rsidRPr="00C4643C">
        <w:rPr>
          <w:rFonts w:ascii="Palatino Linotype" w:hAnsi="Palatino Linotype"/>
          <w:b/>
        </w:rPr>
        <w:t>Que,</w:t>
      </w:r>
      <w:r w:rsidRPr="00C4643C">
        <w:rPr>
          <w:rFonts w:ascii="Palatino Linotype" w:hAnsi="Palatino Linotype"/>
        </w:rPr>
        <w:tab/>
        <w:t>el Consejo de la Judicatura incorporó las observaciones realizadas por la Mesa Técnica del Municipio del Distrito Metropolitano de Quito en el Proyecto Urbanístico Arquitectónico Especial (PUAE) denominado Complejo Judicial Quito Norte.</w:t>
      </w:r>
    </w:p>
    <w:p w:rsidR="00C4643C" w:rsidRPr="00C4643C" w:rsidRDefault="00C4643C" w:rsidP="00C4643C">
      <w:pPr>
        <w:spacing w:before="240" w:after="0"/>
        <w:jc w:val="both"/>
        <w:rPr>
          <w:rFonts w:ascii="Palatino Linotype" w:hAnsi="Palatino Linotype"/>
          <w:b/>
        </w:rPr>
      </w:pPr>
      <w:r w:rsidRPr="00C4643C">
        <w:rPr>
          <w:rFonts w:ascii="Palatino Linotype" w:hAnsi="Palatino Linotype"/>
          <w:b/>
        </w:rPr>
        <w:t>En ejercicio de sus atribuciones constantes en el numeral 1 de los artículos 240 y 264 de la Constitución de la República del Ecuador; 54 y 57 letras a) y x) del Código Orgánico de Organización Territorial, Autonomía y Descentralización; y, artículo</w:t>
      </w:r>
      <w:r>
        <w:rPr>
          <w:rFonts w:ascii="Palatino Linotype" w:hAnsi="Palatino Linotype"/>
          <w:b/>
        </w:rPr>
        <w:t xml:space="preserve"> innumerado</w:t>
      </w:r>
      <w:r w:rsidRPr="00C4643C">
        <w:rPr>
          <w:rFonts w:ascii="Palatino Linotype" w:hAnsi="Palatino Linotype"/>
          <w:b/>
        </w:rPr>
        <w:t xml:space="preserve"> 26 de la </w:t>
      </w:r>
      <w:r w:rsidR="00587B14">
        <w:rPr>
          <w:rFonts w:ascii="Palatino Linotype" w:hAnsi="Palatino Linotype"/>
          <w:b/>
        </w:rPr>
        <w:t>Ordenanza Metropolitana No. 172.</w:t>
      </w:r>
    </w:p>
    <w:p w:rsidR="00C4643C" w:rsidRPr="00C4643C" w:rsidRDefault="00C4643C" w:rsidP="00C4643C">
      <w:pPr>
        <w:spacing w:before="240" w:after="0"/>
        <w:jc w:val="center"/>
        <w:rPr>
          <w:rFonts w:ascii="Palatino Linotype" w:hAnsi="Palatino Linotype"/>
          <w:b/>
        </w:rPr>
      </w:pPr>
      <w:r w:rsidRPr="00C4643C">
        <w:rPr>
          <w:rFonts w:ascii="Palatino Linotype" w:hAnsi="Palatino Linotype"/>
          <w:b/>
        </w:rPr>
        <w:t>EXPIDE LA SIGUIENTE:</w:t>
      </w:r>
    </w:p>
    <w:p w:rsidR="00C4643C" w:rsidRPr="00C4643C" w:rsidRDefault="00C4643C" w:rsidP="00C4643C">
      <w:pPr>
        <w:pStyle w:val="Sinespaciado"/>
        <w:spacing w:before="240" w:line="276" w:lineRule="auto"/>
        <w:jc w:val="center"/>
        <w:rPr>
          <w:rFonts w:ascii="Palatino Linotype" w:hAnsi="Palatino Linotype"/>
          <w:b/>
        </w:rPr>
      </w:pPr>
      <w:r w:rsidRPr="00C4643C">
        <w:rPr>
          <w:rFonts w:ascii="Palatino Linotype" w:hAnsi="Palatino Linotype"/>
          <w:b/>
        </w:rPr>
        <w:t>ORDENANZA DEL PROYECTO URBANÍSTICO ARQUITECTÓNICO ESPECIAL</w:t>
      </w:r>
      <w:r>
        <w:rPr>
          <w:rFonts w:ascii="Palatino Linotype" w:hAnsi="Palatino Linotype"/>
          <w:b/>
        </w:rPr>
        <w:t xml:space="preserve"> </w:t>
      </w:r>
      <w:r w:rsidRPr="00C4643C">
        <w:rPr>
          <w:rFonts w:ascii="Palatino Linotype" w:hAnsi="Palatino Linotype"/>
          <w:b/>
        </w:rPr>
        <w:t>“COMPLEJO JUDICIAL QUITO NORTE”</w:t>
      </w:r>
    </w:p>
    <w:p w:rsidR="00C4643C" w:rsidRPr="00C4643C" w:rsidRDefault="00C4643C" w:rsidP="00C4643C">
      <w:pPr>
        <w:pStyle w:val="Sinespaciado"/>
        <w:spacing w:before="240" w:line="276" w:lineRule="auto"/>
        <w:jc w:val="center"/>
        <w:rPr>
          <w:rFonts w:ascii="Palatino Linotype" w:hAnsi="Palatino Linotype"/>
          <w:b/>
        </w:rPr>
      </w:pPr>
      <w:r w:rsidRPr="00C4643C">
        <w:rPr>
          <w:rFonts w:ascii="Palatino Linotype" w:hAnsi="Palatino Linotype"/>
          <w:b/>
        </w:rPr>
        <w:t xml:space="preserve">Capítulo </w:t>
      </w:r>
      <w:r>
        <w:rPr>
          <w:rFonts w:ascii="Palatino Linotype" w:hAnsi="Palatino Linotype"/>
          <w:b/>
        </w:rPr>
        <w:t>I</w:t>
      </w:r>
    </w:p>
    <w:p w:rsidR="00C4643C" w:rsidRPr="00C4643C" w:rsidRDefault="00C4643C" w:rsidP="00C4643C">
      <w:pPr>
        <w:pStyle w:val="Sinespaciado"/>
        <w:spacing w:before="240" w:line="276" w:lineRule="auto"/>
        <w:jc w:val="center"/>
        <w:rPr>
          <w:rFonts w:ascii="Palatino Linotype" w:hAnsi="Palatino Linotype"/>
          <w:b/>
        </w:rPr>
      </w:pPr>
      <w:r w:rsidRPr="00C4643C">
        <w:rPr>
          <w:rFonts w:ascii="Palatino Linotype" w:hAnsi="Palatino Linotype"/>
          <w:b/>
        </w:rPr>
        <w:t xml:space="preserve">Consideraciones Generales </w:t>
      </w:r>
    </w:p>
    <w:p w:rsidR="00C4643C" w:rsidRPr="00C4643C" w:rsidRDefault="00C4643C" w:rsidP="00C4643C">
      <w:pPr>
        <w:spacing w:before="240" w:after="0"/>
        <w:jc w:val="both"/>
        <w:rPr>
          <w:rFonts w:ascii="Palatino Linotype" w:hAnsi="Palatino Linotype"/>
        </w:rPr>
      </w:pPr>
      <w:r w:rsidRPr="00C4643C">
        <w:rPr>
          <w:rFonts w:ascii="Palatino Linotype" w:hAnsi="Palatino Linotype"/>
          <w:b/>
        </w:rPr>
        <w:t xml:space="preserve">Artículo 1.- Ubicación, áreas y estado de propiedad.- </w:t>
      </w:r>
      <w:r w:rsidRPr="00C4643C">
        <w:rPr>
          <w:rFonts w:ascii="Palatino Linotype" w:hAnsi="Palatino Linotype"/>
        </w:rPr>
        <w:t xml:space="preserve">El área de implantación del Proyecto Urbanístico Arquitectónico Especial (PUAE) denominado </w:t>
      </w:r>
      <w:r>
        <w:rPr>
          <w:rFonts w:ascii="Palatino Linotype" w:hAnsi="Palatino Linotype"/>
        </w:rPr>
        <w:t>“</w:t>
      </w:r>
      <w:r w:rsidRPr="00C4643C">
        <w:rPr>
          <w:rFonts w:ascii="Palatino Linotype" w:hAnsi="Palatino Linotype"/>
        </w:rPr>
        <w:t>Complejo Judicial Quito Norte</w:t>
      </w:r>
      <w:r>
        <w:rPr>
          <w:rFonts w:ascii="Palatino Linotype" w:hAnsi="Palatino Linotype"/>
        </w:rPr>
        <w:t>”</w:t>
      </w:r>
      <w:r w:rsidRPr="00C4643C">
        <w:rPr>
          <w:rFonts w:ascii="Palatino Linotype" w:hAnsi="Palatino Linotype"/>
        </w:rPr>
        <w:t xml:space="preserve"> comprende un lote de 8.</w:t>
      </w:r>
      <w:r w:rsidR="004662A6">
        <w:rPr>
          <w:rFonts w:ascii="Palatino Linotype" w:hAnsi="Palatino Linotype"/>
        </w:rPr>
        <w:t>814,60</w:t>
      </w:r>
      <w:r w:rsidRPr="00C4643C">
        <w:rPr>
          <w:rFonts w:ascii="Palatino Linotype" w:hAnsi="Palatino Linotype"/>
        </w:rPr>
        <w:t xml:space="preserve"> m</w:t>
      </w:r>
      <w:r w:rsidRPr="00C4643C">
        <w:rPr>
          <w:rFonts w:ascii="Palatino Linotype" w:hAnsi="Palatino Linotype"/>
          <w:vertAlign w:val="superscript"/>
        </w:rPr>
        <w:t>2</w:t>
      </w:r>
      <w:r w:rsidRPr="00C4643C">
        <w:rPr>
          <w:rFonts w:ascii="Palatino Linotype" w:hAnsi="Palatino Linotype"/>
        </w:rPr>
        <w:t>,</w:t>
      </w:r>
      <w:r w:rsidR="006405B9">
        <w:rPr>
          <w:rFonts w:ascii="Palatino Linotype" w:hAnsi="Palatino Linotype"/>
        </w:rPr>
        <w:t xml:space="preserve"> conforme el levantamiento topográfico presentado por el promotor</w:t>
      </w:r>
      <w:r w:rsidRPr="00C4643C">
        <w:rPr>
          <w:rFonts w:ascii="Palatino Linotype" w:hAnsi="Palatino Linotype"/>
        </w:rPr>
        <w:t xml:space="preserve"> </w:t>
      </w:r>
      <w:r w:rsidR="00587B14" w:rsidRPr="00C4643C">
        <w:rPr>
          <w:rFonts w:ascii="Palatino Linotype" w:hAnsi="Palatino Linotype" w:cstheme="minorHAnsi"/>
        </w:rPr>
        <w:t xml:space="preserve">predio </w:t>
      </w:r>
      <w:r w:rsidR="00587B14">
        <w:rPr>
          <w:rFonts w:ascii="Palatino Linotype" w:hAnsi="Palatino Linotype" w:cstheme="minorHAnsi"/>
        </w:rPr>
        <w:t>No.</w:t>
      </w:r>
      <w:r w:rsidR="00587B14" w:rsidRPr="00C4643C">
        <w:rPr>
          <w:rFonts w:ascii="Palatino Linotype" w:hAnsi="Palatino Linotype" w:cstheme="minorHAnsi"/>
        </w:rPr>
        <w:t xml:space="preserve"> 131351</w:t>
      </w:r>
      <w:r w:rsidR="00587B14">
        <w:rPr>
          <w:rFonts w:ascii="Palatino Linotype" w:hAnsi="Palatino Linotype" w:cstheme="minorHAnsi"/>
        </w:rPr>
        <w:t xml:space="preserve">, </w:t>
      </w:r>
      <w:r w:rsidRPr="00C4643C">
        <w:rPr>
          <w:rFonts w:ascii="Palatino Linotype" w:hAnsi="Palatino Linotype"/>
        </w:rPr>
        <w:t>de propiedad de Consejo de la Judicatura, ubicado entre la Avenida Río Amazonas, al este; la calle Jorge Drom, al oeste; la calle Juan José de Villalengua, al sur; y, la calle Alfonso Pereira al norte, sector Iñaquito, parroquia Iñaquito del Distrito Metropolitano de Quito.</w:t>
      </w:r>
    </w:p>
    <w:p w:rsidR="00C4643C" w:rsidRPr="00C4643C" w:rsidRDefault="00C4643C" w:rsidP="00C4643C">
      <w:pPr>
        <w:spacing w:before="240" w:after="0"/>
        <w:jc w:val="both"/>
        <w:rPr>
          <w:rFonts w:ascii="Palatino Linotype" w:hAnsi="Palatino Linotype"/>
          <w:b/>
        </w:rPr>
      </w:pPr>
      <w:r w:rsidRPr="00C4643C">
        <w:rPr>
          <w:rFonts w:ascii="Palatino Linotype" w:hAnsi="Palatino Linotype"/>
          <w:b/>
        </w:rPr>
        <w:t xml:space="preserve">Artículo 2.- Condiciones </w:t>
      </w:r>
      <w:r w:rsidR="00640061">
        <w:rPr>
          <w:rFonts w:ascii="Palatino Linotype" w:hAnsi="Palatino Linotype"/>
          <w:b/>
        </w:rPr>
        <w:t>u</w:t>
      </w:r>
      <w:r w:rsidRPr="00C4643C">
        <w:rPr>
          <w:rFonts w:ascii="Palatino Linotype" w:hAnsi="Palatino Linotype"/>
          <w:b/>
        </w:rPr>
        <w:t xml:space="preserve">rbanísticas </w:t>
      </w:r>
      <w:r w:rsidR="00640061">
        <w:rPr>
          <w:rFonts w:ascii="Palatino Linotype" w:hAnsi="Palatino Linotype"/>
          <w:b/>
        </w:rPr>
        <w:t>g</w:t>
      </w:r>
      <w:r w:rsidRPr="00C4643C">
        <w:rPr>
          <w:rFonts w:ascii="Palatino Linotype" w:hAnsi="Palatino Linotype"/>
          <w:b/>
        </w:rPr>
        <w:t xml:space="preserve">enerales.- </w:t>
      </w:r>
      <w:r>
        <w:rPr>
          <w:rFonts w:ascii="Palatino Linotype" w:hAnsi="Palatino Linotype"/>
        </w:rPr>
        <w:t>El p</w:t>
      </w:r>
      <w:r w:rsidRPr="00C4643C">
        <w:rPr>
          <w:rFonts w:ascii="Palatino Linotype" w:hAnsi="Palatino Linotype"/>
        </w:rPr>
        <w:t>royecto consolidará el sistema de centralidades del D</w:t>
      </w:r>
      <w:r>
        <w:rPr>
          <w:rFonts w:ascii="Palatino Linotype" w:hAnsi="Palatino Linotype"/>
        </w:rPr>
        <w:t xml:space="preserve">istrito </w:t>
      </w:r>
      <w:r w:rsidRPr="00C4643C">
        <w:rPr>
          <w:rFonts w:ascii="Palatino Linotype" w:hAnsi="Palatino Linotype"/>
        </w:rPr>
        <w:t>M</w:t>
      </w:r>
      <w:r>
        <w:rPr>
          <w:rFonts w:ascii="Palatino Linotype" w:hAnsi="Palatino Linotype"/>
        </w:rPr>
        <w:t xml:space="preserve">etropolitano de </w:t>
      </w:r>
      <w:r w:rsidRPr="00C4643C">
        <w:rPr>
          <w:rFonts w:ascii="Palatino Linotype" w:hAnsi="Palatino Linotype"/>
        </w:rPr>
        <w:t>Q</w:t>
      </w:r>
      <w:r>
        <w:rPr>
          <w:rFonts w:ascii="Palatino Linotype" w:hAnsi="Palatino Linotype"/>
        </w:rPr>
        <w:t>uito</w:t>
      </w:r>
      <w:r w:rsidRPr="00C4643C">
        <w:rPr>
          <w:rFonts w:ascii="Palatino Linotype" w:hAnsi="Palatino Linotype"/>
        </w:rPr>
        <w:t xml:space="preserve"> y particularmente de la centralidad Iñaquito, de acuerdo a lo establecido en el Plan Metropolitano de Ordenamiento Territorial, incorporando áreas destinadas a equipamientos públicos; desarrollando las potencialidades urbanísticas del sector mediante la generación de espacio público y áreas verdes, integrados a la ciudad a través de las aceras, retiros y red vial; y un tratamiento arquitectónico urbanístico que permita consolidar dicha centralidad de carácter zonal.</w:t>
      </w:r>
    </w:p>
    <w:p w:rsidR="00C4643C" w:rsidRPr="00C4643C" w:rsidRDefault="00C4643C" w:rsidP="00C4643C">
      <w:pPr>
        <w:spacing w:before="240" w:after="0"/>
        <w:jc w:val="both"/>
        <w:rPr>
          <w:rFonts w:ascii="Palatino Linotype" w:hAnsi="Palatino Linotype"/>
        </w:rPr>
      </w:pPr>
      <w:r w:rsidRPr="00C4643C">
        <w:rPr>
          <w:rFonts w:ascii="Palatino Linotype" w:hAnsi="Palatino Linotype"/>
          <w:b/>
        </w:rPr>
        <w:lastRenderedPageBreak/>
        <w:t>Artículo 3.- Objeto.-</w:t>
      </w:r>
      <w:r w:rsidRPr="00C4643C">
        <w:rPr>
          <w:rFonts w:ascii="Palatino Linotype" w:hAnsi="Palatino Linotype"/>
        </w:rPr>
        <w:t xml:space="preserve"> Establecer las regulaciones aplicables para la edificación del Complejo Judicial Quito Norte, que busca concentrar servicios integrales de justicia para el sector norte del Distrito Metropolitano de Quito y que en la actualidad se encuentran dispersos en la ciudad. En esta edificación se concretan de manera físico-espacial los modelos de gestión estandarizados para los servicios de justicia, concebidos sobre la base de las atribuciones, competencias y productos establecidos en la normativa judicial existente. </w:t>
      </w:r>
    </w:p>
    <w:p w:rsidR="00C4643C" w:rsidRPr="00C4643C" w:rsidRDefault="00C4643C" w:rsidP="00C4643C">
      <w:pPr>
        <w:spacing w:before="240" w:after="0"/>
        <w:jc w:val="both"/>
        <w:rPr>
          <w:rFonts w:ascii="Palatino Linotype" w:hAnsi="Palatino Linotype"/>
        </w:rPr>
      </w:pPr>
      <w:r w:rsidRPr="00C4643C">
        <w:rPr>
          <w:rFonts w:ascii="Palatino Linotype" w:hAnsi="Palatino Linotype"/>
          <w:b/>
        </w:rPr>
        <w:t xml:space="preserve">Artículo 4.- Objetivos específicos.- </w:t>
      </w:r>
      <w:r w:rsidRPr="00C4643C">
        <w:rPr>
          <w:rFonts w:ascii="Palatino Linotype" w:hAnsi="Palatino Linotype"/>
        </w:rPr>
        <w:t>El Complejo Judicial Quito Norte se desarrollará en un edificio cuyos objetivos específicos son:</w:t>
      </w:r>
    </w:p>
    <w:p w:rsidR="00C4643C" w:rsidRPr="00C4643C" w:rsidRDefault="00C4643C" w:rsidP="00C4643C">
      <w:pPr>
        <w:pStyle w:val="Prrafodelista"/>
        <w:numPr>
          <w:ilvl w:val="0"/>
          <w:numId w:val="25"/>
        </w:numPr>
        <w:spacing w:before="240" w:after="0"/>
        <w:jc w:val="both"/>
        <w:rPr>
          <w:rFonts w:ascii="Palatino Linotype" w:hAnsi="Palatino Linotype"/>
        </w:rPr>
      </w:pPr>
      <w:r w:rsidRPr="00C4643C">
        <w:rPr>
          <w:rFonts w:ascii="Palatino Linotype" w:hAnsi="Palatino Linotype"/>
        </w:rPr>
        <w:t xml:space="preserve">Brindar servicios de justicia con calidad y procesos estandarizados de acuerdo a las normas jurídicas, competencias, roles, actividades, </w:t>
      </w:r>
      <w:r w:rsidR="00587B14">
        <w:rPr>
          <w:rFonts w:ascii="Palatino Linotype" w:hAnsi="Palatino Linotype"/>
        </w:rPr>
        <w:t>productos y servicios definidos;</w:t>
      </w:r>
    </w:p>
    <w:p w:rsidR="00C4643C" w:rsidRPr="00C4643C" w:rsidRDefault="00C4643C" w:rsidP="00C4643C">
      <w:pPr>
        <w:pStyle w:val="Prrafodelista"/>
        <w:numPr>
          <w:ilvl w:val="0"/>
          <w:numId w:val="25"/>
        </w:numPr>
        <w:spacing w:before="240" w:after="0"/>
        <w:jc w:val="both"/>
        <w:rPr>
          <w:rFonts w:ascii="Palatino Linotype" w:hAnsi="Palatino Linotype"/>
        </w:rPr>
      </w:pPr>
      <w:r w:rsidRPr="00C4643C">
        <w:rPr>
          <w:rFonts w:ascii="Palatino Linotype" w:hAnsi="Palatino Linotype"/>
        </w:rPr>
        <w:t>Concentrar los servicios de justicia en una edificación que acoja los lineamientos y orientaciones técnicas del Consejo de la Judicatura</w:t>
      </w:r>
      <w:r w:rsidR="00587B14">
        <w:rPr>
          <w:rFonts w:ascii="Palatino Linotype" w:hAnsi="Palatino Linotype"/>
        </w:rPr>
        <w:t>; y,</w:t>
      </w:r>
    </w:p>
    <w:p w:rsidR="00C4643C" w:rsidRPr="00C4643C" w:rsidRDefault="00C4643C" w:rsidP="00C4643C">
      <w:pPr>
        <w:pStyle w:val="Prrafodelista"/>
        <w:numPr>
          <w:ilvl w:val="0"/>
          <w:numId w:val="25"/>
        </w:numPr>
        <w:spacing w:before="240" w:after="0"/>
        <w:jc w:val="both"/>
        <w:rPr>
          <w:rFonts w:ascii="Palatino Linotype" w:hAnsi="Palatino Linotype"/>
        </w:rPr>
      </w:pPr>
      <w:r w:rsidRPr="00C4643C">
        <w:rPr>
          <w:rFonts w:ascii="Palatino Linotype" w:hAnsi="Palatino Linotype"/>
        </w:rPr>
        <w:t>Generar una óptima organización de espacios consignados a la actividad púbica y judicial en servicios de la comunidad, siempre en un marco de seguridad y respeto.</w:t>
      </w:r>
    </w:p>
    <w:p w:rsidR="00C4643C" w:rsidRPr="00C4643C" w:rsidRDefault="00C4643C" w:rsidP="00C4643C">
      <w:pPr>
        <w:spacing w:before="240" w:after="0"/>
        <w:jc w:val="both"/>
        <w:rPr>
          <w:rFonts w:ascii="Palatino Linotype" w:hAnsi="Palatino Linotype"/>
        </w:rPr>
      </w:pPr>
      <w:r w:rsidRPr="00C4643C">
        <w:rPr>
          <w:rFonts w:ascii="Palatino Linotype" w:hAnsi="Palatino Linotype"/>
          <w:b/>
        </w:rPr>
        <w:t xml:space="preserve">Artículo 5.- Condiciones urbanísticas </w:t>
      </w:r>
      <w:r w:rsidR="00A47C5F">
        <w:rPr>
          <w:rFonts w:ascii="Palatino Linotype" w:hAnsi="Palatino Linotype"/>
          <w:b/>
        </w:rPr>
        <w:t>específicas.-</w:t>
      </w:r>
      <w:r w:rsidRPr="00C4643C">
        <w:rPr>
          <w:rFonts w:ascii="Palatino Linotype" w:hAnsi="Palatino Linotype"/>
          <w:b/>
        </w:rPr>
        <w:t xml:space="preserve"> </w:t>
      </w:r>
      <w:r w:rsidRPr="00C4643C">
        <w:rPr>
          <w:rFonts w:ascii="Palatino Linotype" w:hAnsi="Palatino Linotype"/>
        </w:rPr>
        <w:t xml:space="preserve">El proyecto contemplará las siguientes condiciones específicas: </w:t>
      </w:r>
    </w:p>
    <w:p w:rsidR="00C4643C" w:rsidRPr="00C4643C" w:rsidRDefault="00C4643C" w:rsidP="00C4643C">
      <w:pPr>
        <w:pStyle w:val="Prrafodelista"/>
        <w:numPr>
          <w:ilvl w:val="0"/>
          <w:numId w:val="19"/>
        </w:numPr>
        <w:spacing w:before="240" w:after="0"/>
        <w:jc w:val="both"/>
        <w:rPr>
          <w:rFonts w:ascii="Palatino Linotype" w:hAnsi="Palatino Linotype"/>
        </w:rPr>
      </w:pPr>
      <w:r w:rsidRPr="00C4643C">
        <w:rPr>
          <w:rFonts w:ascii="Palatino Linotype" w:hAnsi="Palatino Linotype"/>
          <w:b/>
          <w:i/>
        </w:rPr>
        <w:t>Usos:</w:t>
      </w:r>
      <w:r w:rsidRPr="00C4643C">
        <w:rPr>
          <w:rFonts w:ascii="Palatino Linotype" w:hAnsi="Palatino Linotype"/>
        </w:rPr>
        <w:t xml:space="preserve"> equipamiento.</w:t>
      </w:r>
    </w:p>
    <w:p w:rsidR="00C4643C" w:rsidRPr="00C4643C" w:rsidRDefault="00C4643C" w:rsidP="00C4643C">
      <w:pPr>
        <w:pStyle w:val="Prrafodelista"/>
        <w:numPr>
          <w:ilvl w:val="0"/>
          <w:numId w:val="19"/>
        </w:numPr>
        <w:spacing w:before="240" w:after="0"/>
        <w:jc w:val="both"/>
        <w:rPr>
          <w:rFonts w:ascii="Palatino Linotype" w:hAnsi="Palatino Linotype"/>
        </w:rPr>
      </w:pPr>
      <w:r w:rsidRPr="00C4643C">
        <w:rPr>
          <w:rFonts w:ascii="Palatino Linotype" w:hAnsi="Palatino Linotype"/>
          <w:b/>
          <w:i/>
        </w:rPr>
        <w:t>Entorno:</w:t>
      </w:r>
      <w:r w:rsidRPr="00C4643C">
        <w:rPr>
          <w:rFonts w:ascii="Palatino Linotype" w:hAnsi="Palatino Linotype"/>
        </w:rPr>
        <w:t xml:space="preserve"> la generación de espacio público y áreas verdes que se concretarán en:</w:t>
      </w:r>
    </w:p>
    <w:p w:rsidR="00C4643C" w:rsidRPr="00C4643C" w:rsidRDefault="00C4643C" w:rsidP="00C4643C">
      <w:pPr>
        <w:pStyle w:val="Prrafodelista"/>
        <w:numPr>
          <w:ilvl w:val="1"/>
          <w:numId w:val="19"/>
        </w:numPr>
        <w:spacing w:before="240" w:after="0"/>
        <w:ind w:left="993" w:hanging="284"/>
        <w:jc w:val="both"/>
        <w:rPr>
          <w:rFonts w:ascii="Palatino Linotype" w:hAnsi="Palatino Linotype"/>
        </w:rPr>
      </w:pPr>
      <w:r w:rsidRPr="00C4643C">
        <w:rPr>
          <w:rFonts w:ascii="Palatino Linotype" w:hAnsi="Palatino Linotype"/>
        </w:rPr>
        <w:t>La vinculación del edificio con sus espacios públicos circundantes, en particular con el Instituto de Altos Estudios Nacionales (IAEN); la Plataforma Gubernamental Financiera; la sede de la Administración Zonal Eugenio Espejo; el Edificio Diners</w:t>
      </w:r>
      <w:r w:rsidR="00A47C5F">
        <w:rPr>
          <w:rFonts w:ascii="Palatino Linotype" w:hAnsi="Palatino Linotype"/>
        </w:rPr>
        <w:t>;</w:t>
      </w:r>
      <w:r w:rsidRPr="00C4643C">
        <w:rPr>
          <w:rFonts w:ascii="Palatino Linotype" w:hAnsi="Palatino Linotype"/>
        </w:rPr>
        <w:t xml:space="preserve"> y</w:t>
      </w:r>
      <w:r w:rsidR="00A47C5F">
        <w:rPr>
          <w:rFonts w:ascii="Palatino Linotype" w:hAnsi="Palatino Linotype"/>
        </w:rPr>
        <w:t>,</w:t>
      </w:r>
      <w:r w:rsidRPr="00C4643C">
        <w:rPr>
          <w:rFonts w:ascii="Palatino Linotype" w:hAnsi="Palatino Linotype"/>
        </w:rPr>
        <w:t xml:space="preserve"> el Mercado Municipal Iñaquito;</w:t>
      </w:r>
    </w:p>
    <w:p w:rsidR="00C4643C" w:rsidRPr="00C4643C" w:rsidRDefault="00C4643C" w:rsidP="00C4643C">
      <w:pPr>
        <w:pStyle w:val="Prrafodelista"/>
        <w:numPr>
          <w:ilvl w:val="1"/>
          <w:numId w:val="19"/>
        </w:numPr>
        <w:spacing w:before="240" w:after="0"/>
        <w:ind w:left="993" w:hanging="284"/>
        <w:jc w:val="both"/>
        <w:rPr>
          <w:rFonts w:ascii="Palatino Linotype" w:hAnsi="Palatino Linotype"/>
        </w:rPr>
      </w:pPr>
      <w:r w:rsidRPr="00C4643C">
        <w:rPr>
          <w:rFonts w:ascii="Palatino Linotype" w:hAnsi="Palatino Linotype"/>
        </w:rPr>
        <w:t>Áreas comerciales vinculadas al espacio público, situadas en la planta baja del edificio y accesibles desde la plaza ubicada en el costado sur del proyecto;</w:t>
      </w:r>
    </w:p>
    <w:p w:rsidR="00C4643C" w:rsidRPr="00C4643C" w:rsidRDefault="00C4643C" w:rsidP="00C4643C">
      <w:pPr>
        <w:pStyle w:val="Prrafodelista"/>
        <w:numPr>
          <w:ilvl w:val="1"/>
          <w:numId w:val="19"/>
        </w:numPr>
        <w:spacing w:before="240" w:after="0"/>
        <w:ind w:left="993" w:hanging="284"/>
        <w:jc w:val="both"/>
        <w:rPr>
          <w:rFonts w:ascii="Palatino Linotype" w:hAnsi="Palatino Linotype"/>
        </w:rPr>
      </w:pPr>
      <w:r w:rsidRPr="00C4643C">
        <w:rPr>
          <w:rFonts w:ascii="Palatino Linotype" w:hAnsi="Palatino Linotype"/>
        </w:rPr>
        <w:t>La generación de una plaza arborizada y equipada ubicada en la esquina sur-este del predio;</w:t>
      </w:r>
    </w:p>
    <w:p w:rsidR="00C4643C" w:rsidRPr="00C4643C" w:rsidRDefault="00C4643C" w:rsidP="00C4643C">
      <w:pPr>
        <w:pStyle w:val="Prrafodelista"/>
        <w:numPr>
          <w:ilvl w:val="1"/>
          <w:numId w:val="19"/>
        </w:numPr>
        <w:spacing w:before="240" w:after="0"/>
        <w:ind w:left="993" w:hanging="284"/>
        <w:jc w:val="both"/>
        <w:rPr>
          <w:rFonts w:ascii="Palatino Linotype" w:hAnsi="Palatino Linotype"/>
        </w:rPr>
      </w:pPr>
      <w:r w:rsidRPr="00C4643C">
        <w:rPr>
          <w:rFonts w:ascii="Palatino Linotype" w:hAnsi="Palatino Linotype"/>
        </w:rPr>
        <w:t>El tratamiento del espacio público a través de bulevares urbanos hacia la Av. Amazonas y calle Jorge Drom;</w:t>
      </w:r>
    </w:p>
    <w:p w:rsidR="00C4643C" w:rsidRPr="00C4643C" w:rsidRDefault="00C4643C" w:rsidP="00C4643C">
      <w:pPr>
        <w:pStyle w:val="Prrafodelista"/>
        <w:numPr>
          <w:ilvl w:val="1"/>
          <w:numId w:val="19"/>
        </w:numPr>
        <w:spacing w:before="240" w:after="0"/>
        <w:ind w:left="993" w:hanging="284"/>
        <w:jc w:val="both"/>
        <w:rPr>
          <w:rFonts w:ascii="Palatino Linotype" w:hAnsi="Palatino Linotype"/>
        </w:rPr>
      </w:pPr>
      <w:r w:rsidRPr="00C4643C">
        <w:rPr>
          <w:rFonts w:ascii="Palatino Linotype" w:hAnsi="Palatino Linotype"/>
        </w:rPr>
        <w:t>Intervención e integración del espacio público con calzadas elevadas en las intersecciones de la Av. Amazonas con la calle Pereira y con la calle Villalengua;</w:t>
      </w:r>
    </w:p>
    <w:p w:rsidR="00C4643C" w:rsidRPr="00C4643C" w:rsidRDefault="00C4643C" w:rsidP="00C4643C">
      <w:pPr>
        <w:pStyle w:val="Prrafodelista"/>
        <w:numPr>
          <w:ilvl w:val="1"/>
          <w:numId w:val="19"/>
        </w:numPr>
        <w:spacing w:before="240" w:after="0"/>
        <w:ind w:left="993" w:hanging="284"/>
        <w:jc w:val="both"/>
        <w:rPr>
          <w:rFonts w:ascii="Palatino Linotype" w:hAnsi="Palatino Linotype"/>
        </w:rPr>
      </w:pPr>
      <w:r w:rsidRPr="00C4643C">
        <w:rPr>
          <w:rFonts w:ascii="Palatino Linotype" w:hAnsi="Palatino Linotype"/>
        </w:rPr>
        <w:t>Carriles de desaceleración y desembarque en las 4 vías circundantes, y;</w:t>
      </w:r>
    </w:p>
    <w:p w:rsidR="00C4643C" w:rsidRPr="00C4643C" w:rsidRDefault="00C4643C" w:rsidP="00C4643C">
      <w:pPr>
        <w:pStyle w:val="Prrafodelista"/>
        <w:numPr>
          <w:ilvl w:val="1"/>
          <w:numId w:val="19"/>
        </w:numPr>
        <w:spacing w:before="240" w:after="0"/>
        <w:ind w:left="993" w:hanging="284"/>
        <w:jc w:val="both"/>
        <w:rPr>
          <w:rFonts w:ascii="Palatino Linotype" w:hAnsi="Palatino Linotype"/>
        </w:rPr>
      </w:pPr>
      <w:r w:rsidRPr="00C4643C">
        <w:rPr>
          <w:rFonts w:ascii="Palatino Linotype" w:hAnsi="Palatino Linotype"/>
        </w:rPr>
        <w:t xml:space="preserve">Estacionamiento de uso público en subsuelo. </w:t>
      </w:r>
    </w:p>
    <w:p w:rsidR="00C4643C" w:rsidRPr="00C4643C" w:rsidRDefault="00C4643C" w:rsidP="00C4643C">
      <w:pPr>
        <w:pStyle w:val="Prrafodelista"/>
        <w:numPr>
          <w:ilvl w:val="0"/>
          <w:numId w:val="19"/>
        </w:numPr>
        <w:autoSpaceDE w:val="0"/>
        <w:spacing w:before="240" w:after="0"/>
        <w:jc w:val="both"/>
        <w:rPr>
          <w:rFonts w:ascii="Palatino Linotype" w:hAnsi="Palatino Linotype"/>
        </w:rPr>
      </w:pPr>
      <w:r w:rsidRPr="00C4643C">
        <w:rPr>
          <w:rFonts w:ascii="Palatino Linotype" w:hAnsi="Palatino Linotype"/>
          <w:b/>
          <w:i/>
        </w:rPr>
        <w:lastRenderedPageBreak/>
        <w:t>Edificabilidad:</w:t>
      </w:r>
      <w:r w:rsidRPr="00C4643C">
        <w:rPr>
          <w:rFonts w:ascii="Palatino Linotype" w:hAnsi="Palatino Linotype"/>
        </w:rPr>
        <w:t xml:space="preserve"> se construirá el Complejo Judicial Quito Norte, con un coeficiente de ocupación planta baja del </w:t>
      </w:r>
      <w:r w:rsidR="008C158C">
        <w:rPr>
          <w:rFonts w:ascii="Palatino Linotype" w:hAnsi="Palatino Linotype"/>
        </w:rPr>
        <w:t>50</w:t>
      </w:r>
      <w:r w:rsidRPr="00C4643C">
        <w:rPr>
          <w:rFonts w:ascii="Palatino Linotype" w:hAnsi="Palatino Linotype"/>
        </w:rPr>
        <w:t xml:space="preserve">% y un COS total de </w:t>
      </w:r>
      <w:r w:rsidR="008C158C">
        <w:rPr>
          <w:rFonts w:ascii="Palatino Linotype" w:hAnsi="Palatino Linotype"/>
        </w:rPr>
        <w:t>600</w:t>
      </w:r>
      <w:r w:rsidRPr="00C4643C">
        <w:rPr>
          <w:rFonts w:ascii="Palatino Linotype" w:hAnsi="Palatino Linotype"/>
        </w:rPr>
        <w:t>%, según el cuadro No. 1 del artículo 10 de la presente ordenanza.</w:t>
      </w:r>
    </w:p>
    <w:p w:rsidR="00C4643C" w:rsidRPr="00C4643C" w:rsidRDefault="00C4643C" w:rsidP="00C4643C">
      <w:pPr>
        <w:spacing w:before="240" w:after="0"/>
        <w:jc w:val="both"/>
        <w:rPr>
          <w:rFonts w:ascii="Palatino Linotype" w:hAnsi="Palatino Linotype"/>
          <w:b/>
        </w:rPr>
      </w:pPr>
      <w:r w:rsidRPr="00C4643C">
        <w:rPr>
          <w:rFonts w:ascii="Palatino Linotype" w:hAnsi="Palatino Linotype"/>
          <w:b/>
        </w:rPr>
        <w:t xml:space="preserve">Artículo 6.- Condiciones urbanísticas </w:t>
      </w:r>
      <w:r w:rsidR="00A47C5F">
        <w:rPr>
          <w:rFonts w:ascii="Palatino Linotype" w:hAnsi="Palatino Linotype"/>
          <w:b/>
        </w:rPr>
        <w:t xml:space="preserve">complementarias.- </w:t>
      </w:r>
      <w:r w:rsidR="00FB1265">
        <w:rPr>
          <w:rFonts w:ascii="Palatino Linotype" w:hAnsi="Palatino Linotype"/>
        </w:rPr>
        <w:t>E</w:t>
      </w:r>
      <w:r w:rsidR="00A47C5F" w:rsidRPr="00A47C5F">
        <w:rPr>
          <w:rFonts w:ascii="Palatino Linotype" w:hAnsi="Palatino Linotype"/>
        </w:rPr>
        <w:t>l proyecto contemplará</w:t>
      </w:r>
      <w:r w:rsidR="00587B14">
        <w:rPr>
          <w:rFonts w:ascii="Palatino Linotype" w:hAnsi="Palatino Linotype"/>
        </w:rPr>
        <w:t>, adicionalmen</w:t>
      </w:r>
      <w:r w:rsidR="00FB1265">
        <w:rPr>
          <w:rFonts w:ascii="Palatino Linotype" w:hAnsi="Palatino Linotype"/>
        </w:rPr>
        <w:t>te,</w:t>
      </w:r>
      <w:r w:rsidR="00A47C5F" w:rsidRPr="00A47C5F">
        <w:rPr>
          <w:rFonts w:ascii="Palatino Linotype" w:hAnsi="Palatino Linotype"/>
        </w:rPr>
        <w:t xml:space="preserve"> las siguientes condiciones urbanísticas:</w:t>
      </w:r>
    </w:p>
    <w:p w:rsidR="00C4643C" w:rsidRPr="00C4643C" w:rsidRDefault="00C4643C" w:rsidP="00C4643C">
      <w:pPr>
        <w:pStyle w:val="Prrafodelista"/>
        <w:numPr>
          <w:ilvl w:val="0"/>
          <w:numId w:val="20"/>
        </w:numPr>
        <w:autoSpaceDE w:val="0"/>
        <w:spacing w:before="240" w:after="0"/>
        <w:jc w:val="both"/>
        <w:rPr>
          <w:rFonts w:ascii="Palatino Linotype" w:hAnsi="Palatino Linotype"/>
        </w:rPr>
      </w:pPr>
      <w:r w:rsidRPr="00C4643C">
        <w:rPr>
          <w:rFonts w:ascii="Palatino Linotype" w:hAnsi="Palatino Linotype"/>
        </w:rPr>
        <w:t>El proyecto deberá contemplar su integración urbanística con el contexto y entorno urbano así como las soluciones de integración a la red vial u otras requeridas para asegurar su adecuada conexión con el sistema urbano circund</w:t>
      </w:r>
      <w:r w:rsidR="00587B14">
        <w:rPr>
          <w:rFonts w:ascii="Palatino Linotype" w:hAnsi="Palatino Linotype"/>
        </w:rPr>
        <w:t>ante;</w:t>
      </w:r>
    </w:p>
    <w:p w:rsidR="00C4643C" w:rsidRPr="00C4643C" w:rsidRDefault="00C4643C" w:rsidP="00C4643C">
      <w:pPr>
        <w:pStyle w:val="Prrafodelista"/>
        <w:numPr>
          <w:ilvl w:val="0"/>
          <w:numId w:val="20"/>
        </w:numPr>
        <w:autoSpaceDE w:val="0"/>
        <w:spacing w:before="240" w:after="0"/>
        <w:jc w:val="both"/>
        <w:rPr>
          <w:rFonts w:ascii="Palatino Linotype" w:hAnsi="Palatino Linotype"/>
        </w:rPr>
      </w:pPr>
      <w:r w:rsidRPr="00C4643C">
        <w:rPr>
          <w:rFonts w:ascii="Palatino Linotype" w:hAnsi="Palatino Linotype"/>
        </w:rPr>
        <w:t xml:space="preserve">Los espacios públicos y áreas verdes deberán permitir su accesibilidad y uso sin restricciones ni cerramientos que impidan su continuidad, garantizando el acceso universal. Se complementarán con usos de comercios y servicios en las plantas bajas, que permitan su </w:t>
      </w:r>
      <w:r w:rsidR="00587B14">
        <w:rPr>
          <w:rFonts w:ascii="Palatino Linotype" w:hAnsi="Palatino Linotype"/>
        </w:rPr>
        <w:t>utilización en horario ampliado;</w:t>
      </w:r>
    </w:p>
    <w:p w:rsidR="00C4643C" w:rsidRPr="00C4643C" w:rsidRDefault="00C4643C" w:rsidP="00C4643C">
      <w:pPr>
        <w:pStyle w:val="Prrafodelista"/>
        <w:numPr>
          <w:ilvl w:val="0"/>
          <w:numId w:val="20"/>
        </w:numPr>
        <w:autoSpaceDE w:val="0"/>
        <w:spacing w:before="240" w:after="0"/>
        <w:jc w:val="both"/>
        <w:rPr>
          <w:rFonts w:ascii="Palatino Linotype" w:hAnsi="Palatino Linotype"/>
        </w:rPr>
      </w:pPr>
      <w:r w:rsidRPr="00C4643C">
        <w:rPr>
          <w:rFonts w:ascii="Palatino Linotype" w:hAnsi="Palatino Linotype"/>
        </w:rPr>
        <w:t>El ingreso vehicular de las Personas Privadas de Libertad (PPL) ubicado sobre la calle Jorge Drom requerirá un adecuado tratamiento con las medidas de segurid</w:t>
      </w:r>
      <w:r w:rsidR="00587B14">
        <w:rPr>
          <w:rFonts w:ascii="Palatino Linotype" w:hAnsi="Palatino Linotype"/>
        </w:rPr>
        <w:t>ad establecidas para tal efecto; y,</w:t>
      </w:r>
    </w:p>
    <w:p w:rsidR="00C4643C" w:rsidRPr="00C4643C" w:rsidRDefault="00C4643C" w:rsidP="00C4643C">
      <w:pPr>
        <w:pStyle w:val="Prrafodelista"/>
        <w:numPr>
          <w:ilvl w:val="0"/>
          <w:numId w:val="20"/>
        </w:numPr>
        <w:spacing w:before="240" w:after="0"/>
        <w:jc w:val="both"/>
        <w:rPr>
          <w:rFonts w:ascii="Palatino Linotype" w:hAnsi="Palatino Linotype"/>
        </w:rPr>
      </w:pPr>
      <w:r w:rsidRPr="00C4643C">
        <w:rPr>
          <w:rFonts w:ascii="Palatino Linotype" w:hAnsi="Palatino Linotype"/>
        </w:rPr>
        <w:t xml:space="preserve">El proyecto proporcionará facilidades para el ingreso y salida de vehículos privados, públicos, servicio de transporte institucional y vehículos de emergencias, así como para trasporte no motorizado. </w:t>
      </w:r>
    </w:p>
    <w:p w:rsidR="00C4643C" w:rsidRPr="00C4643C" w:rsidRDefault="00640061" w:rsidP="00C4643C">
      <w:pPr>
        <w:autoSpaceDE w:val="0"/>
        <w:spacing w:before="240" w:after="0"/>
        <w:jc w:val="both"/>
        <w:rPr>
          <w:rFonts w:ascii="Palatino Linotype" w:hAnsi="Palatino Linotype"/>
        </w:rPr>
      </w:pPr>
      <w:r>
        <w:rPr>
          <w:rFonts w:ascii="Palatino Linotype" w:hAnsi="Palatino Linotype"/>
          <w:b/>
        </w:rPr>
        <w:t>Artículo 7.- Usos del s</w:t>
      </w:r>
      <w:r w:rsidR="00C4643C" w:rsidRPr="00C4643C">
        <w:rPr>
          <w:rFonts w:ascii="Palatino Linotype" w:hAnsi="Palatino Linotype"/>
          <w:b/>
        </w:rPr>
        <w:t>uelo.-</w:t>
      </w:r>
      <w:r w:rsidR="00C4643C" w:rsidRPr="00C4643C">
        <w:rPr>
          <w:rFonts w:ascii="Palatino Linotype" w:hAnsi="Palatino Linotype"/>
        </w:rPr>
        <w:t xml:space="preserve"> El uso principal de suelo para el predio No. 131351 es Equipamiento de Servicio Público (Administración Pública</w:t>
      </w:r>
      <w:r w:rsidR="00C4643C" w:rsidRPr="00C4643C">
        <w:rPr>
          <w:rFonts w:ascii="Palatino Linotype" w:hAnsi="Palatino Linotype"/>
          <w:i/>
        </w:rPr>
        <w:t xml:space="preserve">) </w:t>
      </w:r>
      <w:r w:rsidR="00C4643C" w:rsidRPr="00C4643C">
        <w:rPr>
          <w:rFonts w:ascii="Palatino Linotype" w:hAnsi="Palatino Linotype"/>
        </w:rPr>
        <w:t>y usos afines complementarios de acuerdo a la normativa.</w:t>
      </w:r>
    </w:p>
    <w:p w:rsidR="00C4643C" w:rsidRPr="00C4643C" w:rsidRDefault="00640061" w:rsidP="00C4643C">
      <w:pPr>
        <w:spacing w:before="240" w:after="0"/>
        <w:jc w:val="both"/>
        <w:rPr>
          <w:rFonts w:ascii="Palatino Linotype" w:hAnsi="Palatino Linotype"/>
        </w:rPr>
      </w:pPr>
      <w:r>
        <w:rPr>
          <w:rFonts w:ascii="Palatino Linotype" w:hAnsi="Palatino Linotype"/>
          <w:b/>
        </w:rPr>
        <w:t>Artículo 8.- Forma de o</w:t>
      </w:r>
      <w:r w:rsidR="00C4643C" w:rsidRPr="00C4643C">
        <w:rPr>
          <w:rFonts w:ascii="Palatino Linotype" w:hAnsi="Palatino Linotype"/>
          <w:b/>
        </w:rPr>
        <w:t xml:space="preserve">cupación del </w:t>
      </w:r>
      <w:r>
        <w:rPr>
          <w:rFonts w:ascii="Palatino Linotype" w:hAnsi="Palatino Linotype"/>
          <w:b/>
        </w:rPr>
        <w:t>s</w:t>
      </w:r>
      <w:r w:rsidR="00C4643C" w:rsidRPr="00C4643C">
        <w:rPr>
          <w:rFonts w:ascii="Palatino Linotype" w:hAnsi="Palatino Linotype"/>
          <w:b/>
        </w:rPr>
        <w:t>uelo.-</w:t>
      </w:r>
      <w:r w:rsidR="00C4643C" w:rsidRPr="00C4643C">
        <w:rPr>
          <w:rFonts w:ascii="Palatino Linotype" w:hAnsi="Palatino Linotype"/>
        </w:rPr>
        <w:t xml:space="preserve"> El proyecto Complejo Judicial Quito Norte contará con una edificación implantada de forma aislada, según anexo No. 1, que contiene el diagrama referencial de implantación y se sujetará a las siguientes características de edificabilidad: </w:t>
      </w:r>
    </w:p>
    <w:p w:rsidR="00C4643C" w:rsidRPr="00C4643C" w:rsidRDefault="00C4643C" w:rsidP="00C4643C">
      <w:pPr>
        <w:pStyle w:val="Prrafodelista"/>
        <w:numPr>
          <w:ilvl w:val="0"/>
          <w:numId w:val="26"/>
        </w:numPr>
        <w:shd w:val="clear" w:color="auto" w:fill="FFFFFF" w:themeFill="background1"/>
        <w:spacing w:before="240" w:after="0"/>
        <w:jc w:val="both"/>
        <w:rPr>
          <w:rFonts w:ascii="Palatino Linotype" w:hAnsi="Palatino Linotype"/>
        </w:rPr>
      </w:pPr>
      <w:r w:rsidRPr="00C4643C">
        <w:rPr>
          <w:rFonts w:ascii="Palatino Linotype" w:hAnsi="Palatino Linotype"/>
        </w:rPr>
        <w:t>Zonificación: aislada.</w:t>
      </w:r>
    </w:p>
    <w:p w:rsidR="00C4643C" w:rsidRPr="00C4643C" w:rsidRDefault="00C4643C" w:rsidP="00C4643C">
      <w:pPr>
        <w:pStyle w:val="Prrafodelista"/>
        <w:numPr>
          <w:ilvl w:val="0"/>
          <w:numId w:val="26"/>
        </w:numPr>
        <w:spacing w:before="240" w:after="0"/>
        <w:jc w:val="both"/>
        <w:rPr>
          <w:rFonts w:ascii="Palatino Linotype" w:hAnsi="Palatino Linotype"/>
        </w:rPr>
      </w:pPr>
      <w:r w:rsidRPr="00C4643C">
        <w:rPr>
          <w:rFonts w:ascii="Palatino Linotype" w:hAnsi="Palatino Linotype"/>
        </w:rPr>
        <w:t>Retiros: variables</w:t>
      </w:r>
    </w:p>
    <w:p w:rsidR="00C4643C" w:rsidRPr="00C4643C" w:rsidRDefault="00C4643C" w:rsidP="00C4643C">
      <w:pPr>
        <w:pStyle w:val="Prrafodelista"/>
        <w:numPr>
          <w:ilvl w:val="0"/>
          <w:numId w:val="26"/>
        </w:numPr>
        <w:spacing w:before="240" w:after="0"/>
        <w:jc w:val="both"/>
        <w:rPr>
          <w:rFonts w:ascii="Palatino Linotype" w:hAnsi="Palatino Linotype"/>
        </w:rPr>
      </w:pPr>
      <w:r w:rsidRPr="00C4643C">
        <w:rPr>
          <w:rFonts w:ascii="Palatino Linotype" w:hAnsi="Palatino Linotype"/>
        </w:rPr>
        <w:t>Altura de edificación: 12 pisos de 4,2 metros de piso a piso.</w:t>
      </w:r>
    </w:p>
    <w:p w:rsidR="00C4643C" w:rsidRPr="00C4643C" w:rsidRDefault="00C4643C" w:rsidP="00C4643C">
      <w:pPr>
        <w:pStyle w:val="Prrafodelista"/>
        <w:numPr>
          <w:ilvl w:val="0"/>
          <w:numId w:val="26"/>
        </w:numPr>
        <w:spacing w:before="240" w:after="0"/>
        <w:jc w:val="both"/>
        <w:rPr>
          <w:rFonts w:ascii="Palatino Linotype" w:hAnsi="Palatino Linotype"/>
        </w:rPr>
      </w:pPr>
      <w:r w:rsidRPr="00C4643C">
        <w:rPr>
          <w:rFonts w:ascii="Palatino Linotype" w:hAnsi="Palatino Linotype"/>
        </w:rPr>
        <w:t xml:space="preserve">COS PB: </w:t>
      </w:r>
      <w:r w:rsidR="007B517A">
        <w:rPr>
          <w:rFonts w:ascii="Palatino Linotype" w:hAnsi="Palatino Linotype"/>
        </w:rPr>
        <w:t>50</w:t>
      </w:r>
      <w:r w:rsidRPr="00C4643C">
        <w:rPr>
          <w:rFonts w:ascii="Palatino Linotype" w:hAnsi="Palatino Linotype"/>
        </w:rPr>
        <w:t>%</w:t>
      </w:r>
    </w:p>
    <w:p w:rsidR="00C4643C" w:rsidRPr="00C4643C" w:rsidRDefault="00C4643C" w:rsidP="00C4643C">
      <w:pPr>
        <w:pStyle w:val="Prrafodelista"/>
        <w:numPr>
          <w:ilvl w:val="0"/>
          <w:numId w:val="26"/>
        </w:numPr>
        <w:spacing w:before="240" w:after="0"/>
        <w:jc w:val="both"/>
        <w:rPr>
          <w:rFonts w:ascii="Palatino Linotype" w:hAnsi="Palatino Linotype"/>
        </w:rPr>
      </w:pPr>
      <w:r w:rsidRPr="00C4643C">
        <w:rPr>
          <w:rFonts w:ascii="Palatino Linotype" w:hAnsi="Palatino Linotype"/>
        </w:rPr>
        <w:t xml:space="preserve">COS TOTAL: </w:t>
      </w:r>
      <w:r w:rsidR="007B517A">
        <w:rPr>
          <w:rFonts w:ascii="Palatino Linotype" w:hAnsi="Palatino Linotype"/>
        </w:rPr>
        <w:t>600</w:t>
      </w:r>
      <w:r w:rsidRPr="00C4643C">
        <w:rPr>
          <w:rFonts w:ascii="Palatino Linotype" w:hAnsi="Palatino Linotype"/>
        </w:rPr>
        <w:t>%</w:t>
      </w:r>
    </w:p>
    <w:p w:rsidR="00C4643C" w:rsidRPr="00C4643C" w:rsidRDefault="00C4643C" w:rsidP="00C4643C">
      <w:pPr>
        <w:autoSpaceDE w:val="0"/>
        <w:spacing w:before="240" w:after="0"/>
        <w:jc w:val="both"/>
        <w:rPr>
          <w:rFonts w:ascii="Palatino Linotype" w:hAnsi="Palatino Linotype"/>
        </w:rPr>
      </w:pPr>
      <w:r w:rsidRPr="00C4643C">
        <w:rPr>
          <w:rFonts w:ascii="Palatino Linotype" w:hAnsi="Palatino Linotype"/>
          <w:b/>
        </w:rPr>
        <w:t>Art. 9.- Compatibilidad de usos de suelo.-</w:t>
      </w:r>
      <w:r w:rsidRPr="00C4643C">
        <w:rPr>
          <w:rFonts w:ascii="Palatino Linotype" w:hAnsi="Palatino Linotype"/>
        </w:rPr>
        <w:t xml:space="preserve"> De acuerdo con lo establecido en el Plan de Uso y Ocupación del Suelo</w:t>
      </w:r>
      <w:r w:rsidR="00A47C5F">
        <w:rPr>
          <w:rFonts w:ascii="Palatino Linotype" w:hAnsi="Palatino Linotype"/>
        </w:rPr>
        <w:t xml:space="preserve"> -</w:t>
      </w:r>
      <w:r w:rsidRPr="00C4643C">
        <w:rPr>
          <w:rFonts w:ascii="Palatino Linotype" w:hAnsi="Palatino Linotype"/>
        </w:rPr>
        <w:t xml:space="preserve"> PUOS, Anexo 11 de la Ordenanza </w:t>
      </w:r>
      <w:r w:rsidR="00A47C5F">
        <w:rPr>
          <w:rFonts w:ascii="Palatino Linotype" w:hAnsi="Palatino Linotype"/>
        </w:rPr>
        <w:t xml:space="preserve">Metropolitana </w:t>
      </w:r>
      <w:r w:rsidRPr="00C4643C">
        <w:rPr>
          <w:rFonts w:ascii="Palatino Linotype" w:hAnsi="Palatino Linotype"/>
        </w:rPr>
        <w:t>No. 171</w:t>
      </w:r>
      <w:r w:rsidR="00A47C5F">
        <w:rPr>
          <w:rFonts w:ascii="Palatino Linotype" w:hAnsi="Palatino Linotype"/>
        </w:rPr>
        <w:t>,</w:t>
      </w:r>
      <w:r w:rsidRPr="00C4643C">
        <w:rPr>
          <w:rFonts w:ascii="Palatino Linotype" w:hAnsi="Palatino Linotype"/>
        </w:rPr>
        <w:t xml:space="preserve"> </w:t>
      </w:r>
      <w:r w:rsidR="006405B9">
        <w:rPr>
          <w:rFonts w:ascii="Palatino Linotype" w:hAnsi="Palatino Linotype"/>
        </w:rPr>
        <w:t>reformado mediante Ordenanza Metropolitana No. 0447, sancionada el 21 de octubre de 2013,</w:t>
      </w:r>
      <w:r w:rsidR="006405B9" w:rsidRPr="00965BC6">
        <w:rPr>
          <w:rFonts w:ascii="Palatino Linotype" w:hAnsi="Palatino Linotype"/>
        </w:rPr>
        <w:t xml:space="preserve"> </w:t>
      </w:r>
      <w:r w:rsidRPr="00C4643C">
        <w:rPr>
          <w:rFonts w:ascii="Palatino Linotype" w:hAnsi="Palatino Linotype"/>
        </w:rPr>
        <w:t xml:space="preserve">en el artículo denominado </w:t>
      </w:r>
      <w:r w:rsidR="00A47C5F">
        <w:rPr>
          <w:rFonts w:ascii="Palatino Linotype" w:hAnsi="Palatino Linotype"/>
        </w:rPr>
        <w:t>“</w:t>
      </w:r>
      <w:r w:rsidRPr="00C4643C">
        <w:rPr>
          <w:rFonts w:ascii="Palatino Linotype" w:hAnsi="Palatino Linotype"/>
          <w:i/>
        </w:rPr>
        <w:t>Compatibilidad para el uso Equipamiento</w:t>
      </w:r>
      <w:r w:rsidR="00A47C5F">
        <w:rPr>
          <w:rFonts w:ascii="Palatino Linotype" w:hAnsi="Palatino Linotype"/>
          <w:i/>
        </w:rPr>
        <w:t>”</w:t>
      </w:r>
      <w:r w:rsidRPr="00C4643C">
        <w:rPr>
          <w:rFonts w:ascii="Palatino Linotype" w:hAnsi="Palatino Linotype"/>
          <w:i/>
        </w:rPr>
        <w:t>,</w:t>
      </w:r>
      <w:r w:rsidRPr="00C4643C">
        <w:rPr>
          <w:rFonts w:ascii="Palatino Linotype" w:hAnsi="Palatino Linotype"/>
        </w:rPr>
        <w:t xml:space="preserve"> la implantación de actividades afines, complementarias o que no interfieran en el funcionamiento de los establecimientos con usos de equipamientos barriales, </w:t>
      </w:r>
      <w:r w:rsidRPr="00C4643C">
        <w:rPr>
          <w:rFonts w:ascii="Palatino Linotype" w:hAnsi="Palatino Linotype"/>
        </w:rPr>
        <w:lastRenderedPageBreak/>
        <w:t>sectoriales, zonales y de ciudad o metropolitanos que se ubiquen en el mismo predio, que estén integrados o no al equipamiento principal implantado, podrán ser permitidos previo el informe de la Administración Zonal correspondiente y de la Secretaría de Territorio, Hábitat y Vivienda según su competencia.</w:t>
      </w:r>
    </w:p>
    <w:p w:rsidR="00C4643C" w:rsidRPr="00C4643C" w:rsidRDefault="00C4643C" w:rsidP="00C4643C">
      <w:pPr>
        <w:spacing w:before="240" w:after="0"/>
        <w:jc w:val="both"/>
        <w:rPr>
          <w:rFonts w:ascii="Palatino Linotype" w:hAnsi="Palatino Linotype"/>
        </w:rPr>
      </w:pPr>
      <w:r w:rsidRPr="00C4643C">
        <w:rPr>
          <w:rFonts w:ascii="Palatino Linotype" w:hAnsi="Palatino Linotype"/>
          <w:b/>
        </w:rPr>
        <w:t>Artículo 10</w:t>
      </w:r>
      <w:r w:rsidR="00A47C5F">
        <w:rPr>
          <w:rFonts w:ascii="Palatino Linotype" w:hAnsi="Palatino Linotype"/>
          <w:b/>
        </w:rPr>
        <w:t>.- Edificabilidad.-</w:t>
      </w:r>
      <w:r w:rsidRPr="00C4643C">
        <w:rPr>
          <w:rFonts w:ascii="Palatino Linotype" w:hAnsi="Palatino Linotype"/>
          <w:b/>
        </w:rPr>
        <w:t xml:space="preserve"> </w:t>
      </w:r>
      <w:r w:rsidRPr="00C4643C">
        <w:rPr>
          <w:rFonts w:ascii="Palatino Linotype" w:hAnsi="Palatino Linotype"/>
        </w:rPr>
        <w:t xml:space="preserve">La edificabilidad del proyecto Complejo Judicial Quito Norte se regirá a los datos constantes en el cuadro No. 1, en el que se indican los coeficientes de ocupación y superficies construibles de planta baja y total. </w:t>
      </w:r>
    </w:p>
    <w:p w:rsidR="00C4643C" w:rsidRPr="00C4643C" w:rsidRDefault="00C4643C" w:rsidP="00A47C5F">
      <w:pPr>
        <w:spacing w:before="240" w:after="0"/>
        <w:jc w:val="center"/>
        <w:rPr>
          <w:rFonts w:ascii="Palatino Linotype" w:hAnsi="Palatino Linotype"/>
          <w:b/>
        </w:rPr>
      </w:pPr>
      <w:r w:rsidRPr="00C4643C">
        <w:rPr>
          <w:rFonts w:ascii="Palatino Linotype" w:hAnsi="Palatino Linotype"/>
          <w:b/>
        </w:rPr>
        <w:t>Cuadro No. 1</w:t>
      </w:r>
    </w:p>
    <w:tbl>
      <w:tblPr>
        <w:tblStyle w:val="Tablaconcuadrcula"/>
        <w:tblW w:w="10586" w:type="dxa"/>
        <w:jc w:val="center"/>
        <w:tblInd w:w="-64" w:type="dxa"/>
        <w:tblLayout w:type="fixed"/>
        <w:tblLook w:val="04A0"/>
      </w:tblPr>
      <w:tblGrid>
        <w:gridCol w:w="1560"/>
        <w:gridCol w:w="1512"/>
        <w:gridCol w:w="991"/>
        <w:gridCol w:w="1340"/>
        <w:gridCol w:w="993"/>
        <w:gridCol w:w="1559"/>
        <w:gridCol w:w="992"/>
        <w:gridCol w:w="1639"/>
      </w:tblGrid>
      <w:tr w:rsidR="00A47C5F" w:rsidRPr="00A47C5F" w:rsidTr="00680035">
        <w:trPr>
          <w:trHeight w:val="323"/>
          <w:jc w:val="center"/>
        </w:trPr>
        <w:tc>
          <w:tcPr>
            <w:tcW w:w="10586" w:type="dxa"/>
            <w:gridSpan w:val="8"/>
            <w:shd w:val="clear" w:color="auto" w:fill="000000" w:themeFill="text1"/>
          </w:tcPr>
          <w:p w:rsidR="00A47C5F" w:rsidRPr="00A47C5F" w:rsidRDefault="00A47C5F" w:rsidP="00C4643C">
            <w:pPr>
              <w:spacing w:before="240" w:line="276" w:lineRule="auto"/>
              <w:jc w:val="center"/>
              <w:rPr>
                <w:rFonts w:ascii="Palatino Linotype" w:hAnsi="Palatino Linotype"/>
                <w:b/>
                <w:bCs/>
                <w:sz w:val="20"/>
                <w:szCs w:val="20"/>
              </w:rPr>
            </w:pPr>
            <w:bookmarkStart w:id="0" w:name="OLE_LINK2"/>
            <w:bookmarkStart w:id="1" w:name="OLE_LINK3"/>
            <w:r w:rsidRPr="00A47C5F">
              <w:rPr>
                <w:rFonts w:ascii="Palatino Linotype" w:hAnsi="Palatino Linotype"/>
                <w:b/>
                <w:bCs/>
                <w:sz w:val="20"/>
                <w:szCs w:val="20"/>
              </w:rPr>
              <w:t>EDIFICABILIDAD</w:t>
            </w:r>
          </w:p>
        </w:tc>
      </w:tr>
      <w:tr w:rsidR="00C4643C" w:rsidRPr="00A47C5F" w:rsidTr="00680035">
        <w:trPr>
          <w:trHeight w:val="135"/>
          <w:jc w:val="center"/>
        </w:trPr>
        <w:tc>
          <w:tcPr>
            <w:tcW w:w="1560" w:type="dxa"/>
            <w:shd w:val="clear" w:color="auto" w:fill="A6A6A6" w:themeFill="background1" w:themeFillShade="A6"/>
            <w:vAlign w:val="center"/>
          </w:tcPr>
          <w:p w:rsidR="00C4643C" w:rsidRPr="00A47C5F" w:rsidRDefault="00A47C5F" w:rsidP="00C4643C">
            <w:pPr>
              <w:spacing w:before="240" w:line="276" w:lineRule="auto"/>
              <w:jc w:val="center"/>
              <w:rPr>
                <w:rFonts w:ascii="Palatino Linotype" w:hAnsi="Palatino Linotype"/>
                <w:b/>
                <w:bCs/>
                <w:sz w:val="20"/>
                <w:szCs w:val="20"/>
              </w:rPr>
            </w:pPr>
            <w:bookmarkStart w:id="2" w:name="OLE_LINK1"/>
            <w:r w:rsidRPr="00A47C5F">
              <w:rPr>
                <w:rFonts w:ascii="Palatino Linotype" w:hAnsi="Palatino Linotype"/>
                <w:b/>
                <w:bCs/>
                <w:sz w:val="20"/>
                <w:szCs w:val="20"/>
              </w:rPr>
              <w:t xml:space="preserve">Descripción </w:t>
            </w:r>
          </w:p>
        </w:tc>
        <w:tc>
          <w:tcPr>
            <w:tcW w:w="1512" w:type="dxa"/>
            <w:shd w:val="clear" w:color="auto" w:fill="A6A6A6" w:themeFill="background1" w:themeFillShade="A6"/>
            <w:vAlign w:val="center"/>
          </w:tcPr>
          <w:p w:rsidR="00C4643C" w:rsidRPr="00A47C5F" w:rsidRDefault="00A47C5F" w:rsidP="00C4643C">
            <w:pPr>
              <w:spacing w:before="240" w:line="276" w:lineRule="auto"/>
              <w:jc w:val="center"/>
              <w:rPr>
                <w:rFonts w:ascii="Palatino Linotype" w:hAnsi="Palatino Linotype"/>
                <w:b/>
                <w:bCs/>
                <w:sz w:val="20"/>
                <w:szCs w:val="20"/>
              </w:rPr>
            </w:pPr>
            <w:r w:rsidRPr="00A47C5F">
              <w:rPr>
                <w:rFonts w:ascii="Palatino Linotype" w:hAnsi="Palatino Linotype"/>
                <w:b/>
                <w:bCs/>
                <w:sz w:val="20"/>
                <w:szCs w:val="20"/>
              </w:rPr>
              <w:t>Usos</w:t>
            </w:r>
          </w:p>
        </w:tc>
        <w:tc>
          <w:tcPr>
            <w:tcW w:w="991" w:type="dxa"/>
            <w:shd w:val="clear" w:color="auto" w:fill="A6A6A6" w:themeFill="background1" w:themeFillShade="A6"/>
            <w:vAlign w:val="center"/>
          </w:tcPr>
          <w:p w:rsidR="00C4643C" w:rsidRPr="00A47C5F" w:rsidRDefault="00A47C5F" w:rsidP="00C4643C">
            <w:pPr>
              <w:spacing w:before="240" w:line="276" w:lineRule="auto"/>
              <w:jc w:val="center"/>
              <w:rPr>
                <w:rFonts w:ascii="Palatino Linotype" w:hAnsi="Palatino Linotype"/>
                <w:b/>
                <w:bCs/>
                <w:sz w:val="20"/>
                <w:szCs w:val="20"/>
              </w:rPr>
            </w:pPr>
            <w:r w:rsidRPr="00A47C5F">
              <w:rPr>
                <w:rFonts w:ascii="Palatino Linotype" w:hAnsi="Palatino Linotype"/>
                <w:b/>
                <w:bCs/>
                <w:sz w:val="20"/>
                <w:szCs w:val="20"/>
              </w:rPr>
              <w:t>Pisos</w:t>
            </w:r>
          </w:p>
        </w:tc>
        <w:tc>
          <w:tcPr>
            <w:tcW w:w="1340" w:type="dxa"/>
            <w:shd w:val="clear" w:color="auto" w:fill="A6A6A6" w:themeFill="background1" w:themeFillShade="A6"/>
            <w:vAlign w:val="center"/>
          </w:tcPr>
          <w:p w:rsidR="00C4643C" w:rsidRPr="00A47C5F" w:rsidRDefault="00A47C5F" w:rsidP="00C4643C">
            <w:pPr>
              <w:spacing w:before="240" w:line="276" w:lineRule="auto"/>
              <w:jc w:val="center"/>
              <w:rPr>
                <w:rFonts w:ascii="Palatino Linotype" w:hAnsi="Palatino Linotype"/>
                <w:b/>
                <w:bCs/>
                <w:sz w:val="20"/>
                <w:szCs w:val="20"/>
              </w:rPr>
            </w:pPr>
            <w:r w:rsidRPr="00A47C5F">
              <w:rPr>
                <w:rFonts w:ascii="Palatino Linotype" w:hAnsi="Palatino Linotype"/>
                <w:b/>
                <w:bCs/>
                <w:sz w:val="20"/>
                <w:szCs w:val="20"/>
              </w:rPr>
              <w:t>Área de suelo m</w:t>
            </w:r>
            <w:r w:rsidRPr="00A47C5F">
              <w:rPr>
                <w:rFonts w:ascii="Palatino Linotype" w:hAnsi="Palatino Linotype"/>
                <w:b/>
                <w:bCs/>
                <w:sz w:val="20"/>
                <w:szCs w:val="20"/>
                <w:vertAlign w:val="superscript"/>
              </w:rPr>
              <w:t>2</w:t>
            </w:r>
          </w:p>
        </w:tc>
        <w:tc>
          <w:tcPr>
            <w:tcW w:w="993" w:type="dxa"/>
            <w:shd w:val="clear" w:color="auto" w:fill="A6A6A6" w:themeFill="background1" w:themeFillShade="A6"/>
            <w:vAlign w:val="center"/>
          </w:tcPr>
          <w:p w:rsidR="00C4643C" w:rsidRPr="00A47C5F" w:rsidRDefault="00A47C5F" w:rsidP="00C4643C">
            <w:pPr>
              <w:spacing w:before="240" w:line="276" w:lineRule="auto"/>
              <w:jc w:val="center"/>
              <w:rPr>
                <w:rFonts w:ascii="Palatino Linotype" w:hAnsi="Palatino Linotype"/>
                <w:b/>
                <w:bCs/>
                <w:sz w:val="20"/>
                <w:szCs w:val="20"/>
              </w:rPr>
            </w:pPr>
            <w:r w:rsidRPr="00A47C5F">
              <w:rPr>
                <w:rFonts w:ascii="Palatino Linotype" w:hAnsi="Palatino Linotype"/>
                <w:b/>
                <w:bCs/>
                <w:sz w:val="20"/>
                <w:szCs w:val="20"/>
              </w:rPr>
              <w:t>Cos Pb %</w:t>
            </w:r>
          </w:p>
        </w:tc>
        <w:tc>
          <w:tcPr>
            <w:tcW w:w="1559" w:type="dxa"/>
            <w:shd w:val="clear" w:color="auto" w:fill="A6A6A6" w:themeFill="background1" w:themeFillShade="A6"/>
            <w:vAlign w:val="center"/>
          </w:tcPr>
          <w:p w:rsidR="00C4643C" w:rsidRPr="00A47C5F" w:rsidRDefault="00A47C5F" w:rsidP="00A47C5F">
            <w:pPr>
              <w:spacing w:before="240" w:line="276" w:lineRule="auto"/>
              <w:jc w:val="center"/>
              <w:rPr>
                <w:rFonts w:ascii="Palatino Linotype" w:hAnsi="Palatino Linotype"/>
                <w:b/>
                <w:bCs/>
                <w:sz w:val="20"/>
                <w:szCs w:val="20"/>
              </w:rPr>
            </w:pPr>
            <w:r w:rsidRPr="00A47C5F">
              <w:rPr>
                <w:rFonts w:ascii="Palatino Linotype" w:hAnsi="Palatino Linotype"/>
                <w:b/>
                <w:bCs/>
                <w:sz w:val="20"/>
                <w:szCs w:val="20"/>
              </w:rPr>
              <w:t>Área de construcción Pb m</w:t>
            </w:r>
            <w:r w:rsidRPr="00A47C5F">
              <w:rPr>
                <w:rFonts w:ascii="Palatino Linotype" w:hAnsi="Palatino Linotype"/>
                <w:b/>
                <w:bCs/>
                <w:sz w:val="20"/>
                <w:szCs w:val="20"/>
                <w:vertAlign w:val="superscript"/>
              </w:rPr>
              <w:t>2</w:t>
            </w:r>
          </w:p>
        </w:tc>
        <w:tc>
          <w:tcPr>
            <w:tcW w:w="992" w:type="dxa"/>
            <w:shd w:val="clear" w:color="auto" w:fill="A6A6A6" w:themeFill="background1" w:themeFillShade="A6"/>
            <w:vAlign w:val="center"/>
          </w:tcPr>
          <w:p w:rsidR="00C4643C" w:rsidRPr="00A47C5F" w:rsidRDefault="00A47C5F" w:rsidP="00A47C5F">
            <w:pPr>
              <w:spacing w:before="240" w:line="276" w:lineRule="auto"/>
              <w:jc w:val="center"/>
              <w:rPr>
                <w:rFonts w:ascii="Palatino Linotype" w:hAnsi="Palatino Linotype"/>
                <w:b/>
                <w:bCs/>
                <w:sz w:val="20"/>
                <w:szCs w:val="20"/>
              </w:rPr>
            </w:pPr>
            <w:r w:rsidRPr="00A47C5F">
              <w:rPr>
                <w:rFonts w:ascii="Palatino Linotype" w:hAnsi="Palatino Linotype"/>
                <w:b/>
                <w:bCs/>
                <w:sz w:val="20"/>
                <w:szCs w:val="20"/>
              </w:rPr>
              <w:t>Cos total %</w:t>
            </w:r>
          </w:p>
        </w:tc>
        <w:tc>
          <w:tcPr>
            <w:tcW w:w="1639" w:type="dxa"/>
            <w:shd w:val="clear" w:color="auto" w:fill="A6A6A6" w:themeFill="background1" w:themeFillShade="A6"/>
            <w:vAlign w:val="center"/>
          </w:tcPr>
          <w:p w:rsidR="00C4643C" w:rsidRPr="00A47C5F" w:rsidRDefault="00A47C5F" w:rsidP="00C4643C">
            <w:pPr>
              <w:spacing w:before="240" w:line="276" w:lineRule="auto"/>
              <w:jc w:val="center"/>
              <w:rPr>
                <w:rFonts w:ascii="Palatino Linotype" w:hAnsi="Palatino Linotype"/>
                <w:b/>
                <w:bCs/>
                <w:sz w:val="20"/>
                <w:szCs w:val="20"/>
              </w:rPr>
            </w:pPr>
            <w:r w:rsidRPr="00A47C5F">
              <w:rPr>
                <w:rFonts w:ascii="Palatino Linotype" w:hAnsi="Palatino Linotype"/>
                <w:b/>
                <w:bCs/>
                <w:sz w:val="20"/>
                <w:szCs w:val="20"/>
              </w:rPr>
              <w:t>Área de Construcción Total m</w:t>
            </w:r>
            <w:r w:rsidRPr="00A47C5F">
              <w:rPr>
                <w:rFonts w:ascii="Palatino Linotype" w:hAnsi="Palatino Linotype"/>
                <w:b/>
                <w:bCs/>
                <w:sz w:val="20"/>
                <w:szCs w:val="20"/>
                <w:vertAlign w:val="superscript"/>
              </w:rPr>
              <w:t>2</w:t>
            </w:r>
          </w:p>
        </w:tc>
      </w:tr>
      <w:tr w:rsidR="00C4643C" w:rsidRPr="00A47C5F" w:rsidTr="00680035">
        <w:trPr>
          <w:trHeight w:val="1036"/>
          <w:jc w:val="center"/>
        </w:trPr>
        <w:tc>
          <w:tcPr>
            <w:tcW w:w="1560" w:type="dxa"/>
            <w:vAlign w:val="center"/>
          </w:tcPr>
          <w:p w:rsidR="00C4643C" w:rsidRPr="00A47C5F" w:rsidRDefault="00C4643C" w:rsidP="00C4643C">
            <w:pPr>
              <w:spacing w:before="240" w:line="276" w:lineRule="auto"/>
              <w:rPr>
                <w:rFonts w:ascii="Palatino Linotype" w:hAnsi="Palatino Linotype"/>
                <w:b/>
                <w:bCs/>
                <w:sz w:val="20"/>
                <w:szCs w:val="20"/>
              </w:rPr>
            </w:pPr>
            <w:r w:rsidRPr="00A47C5F">
              <w:rPr>
                <w:rFonts w:ascii="Palatino Linotype" w:hAnsi="Palatino Linotype"/>
                <w:b/>
                <w:bCs/>
                <w:sz w:val="20"/>
                <w:szCs w:val="20"/>
              </w:rPr>
              <w:t>Edificio destinado a servicios públicos</w:t>
            </w:r>
          </w:p>
        </w:tc>
        <w:tc>
          <w:tcPr>
            <w:tcW w:w="1512" w:type="dxa"/>
            <w:vAlign w:val="center"/>
          </w:tcPr>
          <w:p w:rsidR="00C4643C" w:rsidRPr="00A47C5F" w:rsidRDefault="00C4643C" w:rsidP="00C4643C">
            <w:pPr>
              <w:spacing w:before="240" w:line="276" w:lineRule="auto"/>
              <w:rPr>
                <w:rFonts w:ascii="Palatino Linotype" w:hAnsi="Palatino Linotype"/>
                <w:bCs/>
                <w:sz w:val="20"/>
                <w:szCs w:val="20"/>
                <w:lang w:val="es-MX"/>
              </w:rPr>
            </w:pPr>
            <w:r w:rsidRPr="00A47C5F">
              <w:rPr>
                <w:rFonts w:ascii="Palatino Linotype" w:hAnsi="Palatino Linotype"/>
                <w:bCs/>
                <w:sz w:val="20"/>
                <w:szCs w:val="20"/>
              </w:rPr>
              <w:t xml:space="preserve">Equipamiento </w:t>
            </w:r>
          </w:p>
        </w:tc>
        <w:tc>
          <w:tcPr>
            <w:tcW w:w="991" w:type="dxa"/>
            <w:vAlign w:val="center"/>
          </w:tcPr>
          <w:p w:rsidR="00C4643C" w:rsidRPr="00A47C5F" w:rsidRDefault="00C4643C" w:rsidP="00C4643C">
            <w:pPr>
              <w:spacing w:before="240" w:line="276" w:lineRule="auto"/>
              <w:jc w:val="center"/>
              <w:rPr>
                <w:rFonts w:ascii="Palatino Linotype" w:hAnsi="Palatino Linotype"/>
                <w:bCs/>
                <w:sz w:val="20"/>
                <w:szCs w:val="20"/>
              </w:rPr>
            </w:pPr>
            <w:r w:rsidRPr="00A47C5F">
              <w:rPr>
                <w:rFonts w:ascii="Palatino Linotype" w:hAnsi="Palatino Linotype"/>
                <w:bCs/>
                <w:sz w:val="20"/>
                <w:szCs w:val="20"/>
              </w:rPr>
              <w:t xml:space="preserve">12 pisos* </w:t>
            </w:r>
          </w:p>
        </w:tc>
        <w:tc>
          <w:tcPr>
            <w:tcW w:w="1340" w:type="dxa"/>
            <w:vAlign w:val="center"/>
          </w:tcPr>
          <w:p w:rsidR="00C4643C" w:rsidRPr="00A47C5F" w:rsidRDefault="00C4643C" w:rsidP="004662A6">
            <w:pPr>
              <w:spacing w:before="240" w:line="276" w:lineRule="auto"/>
              <w:jc w:val="center"/>
              <w:rPr>
                <w:rFonts w:ascii="Palatino Linotype" w:hAnsi="Palatino Linotype"/>
                <w:bCs/>
                <w:sz w:val="20"/>
                <w:szCs w:val="20"/>
              </w:rPr>
            </w:pPr>
            <w:r w:rsidRPr="00A47C5F">
              <w:rPr>
                <w:rFonts w:ascii="Palatino Linotype" w:hAnsi="Palatino Linotype"/>
                <w:sz w:val="20"/>
                <w:szCs w:val="20"/>
              </w:rPr>
              <w:t>8.</w:t>
            </w:r>
            <w:r w:rsidR="004662A6">
              <w:rPr>
                <w:rFonts w:ascii="Palatino Linotype" w:hAnsi="Palatino Linotype"/>
                <w:sz w:val="20"/>
                <w:szCs w:val="20"/>
              </w:rPr>
              <w:t>814,60</w:t>
            </w:r>
            <w:r w:rsidR="00152933">
              <w:rPr>
                <w:rFonts w:ascii="Palatino Linotype" w:hAnsi="Palatino Linotype"/>
                <w:sz w:val="20"/>
                <w:szCs w:val="20"/>
              </w:rPr>
              <w:t>****</w:t>
            </w:r>
          </w:p>
        </w:tc>
        <w:tc>
          <w:tcPr>
            <w:tcW w:w="993" w:type="dxa"/>
            <w:vAlign w:val="center"/>
          </w:tcPr>
          <w:p w:rsidR="00C4643C" w:rsidRPr="00A47C5F" w:rsidRDefault="00C4643C" w:rsidP="00C4643C">
            <w:pPr>
              <w:spacing w:before="240" w:line="276" w:lineRule="auto"/>
              <w:jc w:val="center"/>
              <w:rPr>
                <w:rFonts w:ascii="Palatino Linotype" w:hAnsi="Palatino Linotype"/>
                <w:bCs/>
                <w:sz w:val="20"/>
                <w:szCs w:val="20"/>
              </w:rPr>
            </w:pPr>
            <w:r w:rsidRPr="00A47C5F">
              <w:rPr>
                <w:rFonts w:ascii="Palatino Linotype" w:hAnsi="Palatino Linotype"/>
                <w:bCs/>
                <w:sz w:val="20"/>
                <w:szCs w:val="20"/>
              </w:rPr>
              <w:t>5</w:t>
            </w:r>
            <w:r w:rsidR="001F1681">
              <w:rPr>
                <w:rFonts w:ascii="Palatino Linotype" w:hAnsi="Palatino Linotype"/>
                <w:bCs/>
                <w:sz w:val="20"/>
                <w:szCs w:val="20"/>
              </w:rPr>
              <w:t>0</w:t>
            </w:r>
            <w:r w:rsidR="00A91B3C">
              <w:rPr>
                <w:rFonts w:ascii="Palatino Linotype" w:hAnsi="Palatino Linotype"/>
                <w:bCs/>
                <w:sz w:val="20"/>
                <w:szCs w:val="20"/>
              </w:rPr>
              <w:t>**</w:t>
            </w:r>
          </w:p>
        </w:tc>
        <w:tc>
          <w:tcPr>
            <w:tcW w:w="1559" w:type="dxa"/>
            <w:vAlign w:val="center"/>
          </w:tcPr>
          <w:p w:rsidR="00C4643C" w:rsidRPr="00A47C5F" w:rsidRDefault="00C4643C" w:rsidP="00C4643C">
            <w:pPr>
              <w:spacing w:before="240" w:line="276" w:lineRule="auto"/>
              <w:jc w:val="center"/>
              <w:rPr>
                <w:rFonts w:ascii="Palatino Linotype" w:hAnsi="Palatino Linotype"/>
                <w:bCs/>
                <w:sz w:val="20"/>
                <w:szCs w:val="20"/>
              </w:rPr>
            </w:pPr>
            <w:r w:rsidRPr="00A47C5F">
              <w:rPr>
                <w:rFonts w:ascii="Palatino Linotype" w:hAnsi="Palatino Linotype"/>
                <w:bCs/>
                <w:sz w:val="20"/>
                <w:szCs w:val="20"/>
              </w:rPr>
              <w:t>3.775,50</w:t>
            </w:r>
          </w:p>
        </w:tc>
        <w:tc>
          <w:tcPr>
            <w:tcW w:w="992" w:type="dxa"/>
            <w:vAlign w:val="center"/>
          </w:tcPr>
          <w:p w:rsidR="00C4643C" w:rsidRPr="00A47C5F" w:rsidRDefault="001F1681" w:rsidP="00C4643C">
            <w:pPr>
              <w:spacing w:before="240" w:line="276" w:lineRule="auto"/>
              <w:jc w:val="center"/>
              <w:rPr>
                <w:rFonts w:ascii="Palatino Linotype" w:hAnsi="Palatino Linotype"/>
                <w:bCs/>
                <w:sz w:val="20"/>
                <w:szCs w:val="20"/>
              </w:rPr>
            </w:pPr>
            <w:r>
              <w:rPr>
                <w:rFonts w:ascii="Palatino Linotype" w:hAnsi="Palatino Linotype"/>
                <w:bCs/>
                <w:sz w:val="20"/>
                <w:szCs w:val="20"/>
              </w:rPr>
              <w:t>600</w:t>
            </w:r>
            <w:r w:rsidR="00A91B3C">
              <w:rPr>
                <w:rFonts w:ascii="Palatino Linotype" w:hAnsi="Palatino Linotype"/>
                <w:bCs/>
                <w:sz w:val="20"/>
                <w:szCs w:val="20"/>
              </w:rPr>
              <w:t>**</w:t>
            </w:r>
          </w:p>
        </w:tc>
        <w:tc>
          <w:tcPr>
            <w:tcW w:w="1639" w:type="dxa"/>
            <w:vAlign w:val="center"/>
          </w:tcPr>
          <w:p w:rsidR="00C4643C" w:rsidRPr="00A47C5F" w:rsidRDefault="001F1681" w:rsidP="005935D7">
            <w:pPr>
              <w:spacing w:before="240" w:line="276" w:lineRule="auto"/>
              <w:jc w:val="center"/>
              <w:rPr>
                <w:rFonts w:ascii="Palatino Linotype" w:hAnsi="Palatino Linotype"/>
                <w:bCs/>
                <w:sz w:val="20"/>
                <w:szCs w:val="20"/>
              </w:rPr>
            </w:pPr>
            <w:r>
              <w:rPr>
                <w:rFonts w:ascii="Palatino Linotype" w:hAnsi="Palatino Linotype"/>
                <w:bCs/>
                <w:sz w:val="20"/>
                <w:szCs w:val="20"/>
              </w:rPr>
              <w:t>4</w:t>
            </w:r>
            <w:r w:rsidR="005935D7">
              <w:rPr>
                <w:rFonts w:ascii="Palatino Linotype" w:hAnsi="Palatino Linotype"/>
                <w:bCs/>
                <w:sz w:val="20"/>
                <w:szCs w:val="20"/>
              </w:rPr>
              <w:t>9</w:t>
            </w:r>
            <w:r w:rsidR="00C4643C" w:rsidRPr="00A47C5F">
              <w:rPr>
                <w:rFonts w:ascii="Palatino Linotype" w:hAnsi="Palatino Linotype"/>
                <w:bCs/>
                <w:sz w:val="20"/>
                <w:szCs w:val="20"/>
              </w:rPr>
              <w:t>.</w:t>
            </w:r>
            <w:r w:rsidR="005935D7">
              <w:rPr>
                <w:rFonts w:ascii="Palatino Linotype" w:hAnsi="Palatino Linotype"/>
                <w:bCs/>
                <w:sz w:val="20"/>
                <w:szCs w:val="20"/>
              </w:rPr>
              <w:t>603</w:t>
            </w:r>
            <w:r w:rsidR="00C4643C" w:rsidRPr="00A47C5F">
              <w:rPr>
                <w:rFonts w:ascii="Palatino Linotype" w:hAnsi="Palatino Linotype"/>
                <w:bCs/>
                <w:sz w:val="20"/>
                <w:szCs w:val="20"/>
              </w:rPr>
              <w:t>,</w:t>
            </w:r>
            <w:r w:rsidR="002C2F01">
              <w:rPr>
                <w:rFonts w:ascii="Palatino Linotype" w:hAnsi="Palatino Linotype"/>
                <w:bCs/>
                <w:sz w:val="20"/>
                <w:szCs w:val="20"/>
              </w:rPr>
              <w:t>42</w:t>
            </w:r>
            <w:r>
              <w:rPr>
                <w:rFonts w:ascii="Palatino Linotype" w:hAnsi="Palatino Linotype"/>
                <w:bCs/>
                <w:sz w:val="20"/>
                <w:szCs w:val="20"/>
              </w:rPr>
              <w:t>***</w:t>
            </w:r>
          </w:p>
        </w:tc>
      </w:tr>
      <w:tr w:rsidR="001F1681" w:rsidRPr="00A47C5F" w:rsidTr="00680035">
        <w:trPr>
          <w:trHeight w:val="225"/>
          <w:jc w:val="center"/>
        </w:trPr>
        <w:tc>
          <w:tcPr>
            <w:tcW w:w="4063" w:type="dxa"/>
            <w:gridSpan w:val="3"/>
          </w:tcPr>
          <w:p w:rsidR="001F1681" w:rsidRPr="00A47C5F" w:rsidRDefault="001F1681" w:rsidP="00C4643C">
            <w:pPr>
              <w:spacing w:before="240" w:line="276" w:lineRule="auto"/>
              <w:jc w:val="center"/>
              <w:rPr>
                <w:rFonts w:ascii="Palatino Linotype" w:hAnsi="Palatino Linotype"/>
                <w:bCs/>
                <w:sz w:val="20"/>
                <w:szCs w:val="20"/>
              </w:rPr>
            </w:pPr>
            <w:r w:rsidRPr="00A47C5F">
              <w:rPr>
                <w:rFonts w:ascii="Palatino Linotype" w:hAnsi="Palatino Linotype"/>
                <w:b/>
                <w:bCs/>
                <w:sz w:val="20"/>
                <w:szCs w:val="20"/>
              </w:rPr>
              <w:t>Total</w:t>
            </w:r>
          </w:p>
        </w:tc>
        <w:tc>
          <w:tcPr>
            <w:tcW w:w="1340" w:type="dxa"/>
            <w:vAlign w:val="center"/>
          </w:tcPr>
          <w:p w:rsidR="001F1681" w:rsidRPr="00A47C5F" w:rsidRDefault="004662A6" w:rsidP="00C4643C">
            <w:pPr>
              <w:spacing w:before="240" w:line="276" w:lineRule="auto"/>
              <w:jc w:val="center"/>
              <w:rPr>
                <w:rFonts w:ascii="Palatino Linotype" w:hAnsi="Palatino Linotype"/>
                <w:bCs/>
                <w:sz w:val="20"/>
                <w:szCs w:val="20"/>
              </w:rPr>
            </w:pPr>
            <w:r w:rsidRPr="00A47C5F">
              <w:rPr>
                <w:rFonts w:ascii="Palatino Linotype" w:hAnsi="Palatino Linotype"/>
                <w:sz w:val="20"/>
                <w:szCs w:val="20"/>
              </w:rPr>
              <w:t>8.</w:t>
            </w:r>
            <w:r>
              <w:rPr>
                <w:rFonts w:ascii="Palatino Linotype" w:hAnsi="Palatino Linotype"/>
                <w:sz w:val="20"/>
                <w:szCs w:val="20"/>
              </w:rPr>
              <w:t>814,60</w:t>
            </w:r>
            <w:r w:rsidR="00152933">
              <w:rPr>
                <w:rFonts w:ascii="Palatino Linotype" w:hAnsi="Palatino Linotype"/>
                <w:sz w:val="20"/>
                <w:szCs w:val="20"/>
              </w:rPr>
              <w:t>****</w:t>
            </w:r>
          </w:p>
        </w:tc>
        <w:tc>
          <w:tcPr>
            <w:tcW w:w="993" w:type="dxa"/>
            <w:vAlign w:val="center"/>
          </w:tcPr>
          <w:p w:rsidR="001F1681" w:rsidRPr="00A47C5F" w:rsidRDefault="001F1681" w:rsidP="00C4643C">
            <w:pPr>
              <w:spacing w:before="240" w:line="276" w:lineRule="auto"/>
              <w:jc w:val="center"/>
              <w:rPr>
                <w:rFonts w:ascii="Palatino Linotype" w:hAnsi="Palatino Linotype"/>
                <w:bCs/>
                <w:sz w:val="20"/>
                <w:szCs w:val="20"/>
              </w:rPr>
            </w:pPr>
            <w:r>
              <w:rPr>
                <w:rFonts w:ascii="Palatino Linotype" w:hAnsi="Palatino Linotype"/>
                <w:bCs/>
                <w:sz w:val="20"/>
                <w:szCs w:val="20"/>
              </w:rPr>
              <w:t>50</w:t>
            </w:r>
            <w:r w:rsidR="002B2E98">
              <w:rPr>
                <w:rFonts w:ascii="Palatino Linotype" w:hAnsi="Palatino Linotype"/>
                <w:bCs/>
                <w:sz w:val="20"/>
                <w:szCs w:val="20"/>
              </w:rPr>
              <w:t>**</w:t>
            </w:r>
          </w:p>
        </w:tc>
        <w:tc>
          <w:tcPr>
            <w:tcW w:w="1559" w:type="dxa"/>
            <w:vAlign w:val="center"/>
          </w:tcPr>
          <w:p w:rsidR="001F1681" w:rsidRPr="00A47C5F" w:rsidRDefault="001F1681" w:rsidP="00C4643C">
            <w:pPr>
              <w:spacing w:before="240" w:line="276" w:lineRule="auto"/>
              <w:jc w:val="center"/>
              <w:rPr>
                <w:rFonts w:ascii="Palatino Linotype" w:hAnsi="Palatino Linotype"/>
                <w:bCs/>
                <w:sz w:val="20"/>
                <w:szCs w:val="20"/>
              </w:rPr>
            </w:pPr>
            <w:r w:rsidRPr="00A47C5F">
              <w:rPr>
                <w:rFonts w:ascii="Palatino Linotype" w:hAnsi="Palatino Linotype"/>
                <w:bCs/>
                <w:sz w:val="20"/>
                <w:szCs w:val="20"/>
              </w:rPr>
              <w:t>3.775,50</w:t>
            </w:r>
          </w:p>
        </w:tc>
        <w:tc>
          <w:tcPr>
            <w:tcW w:w="992" w:type="dxa"/>
            <w:vAlign w:val="center"/>
          </w:tcPr>
          <w:p w:rsidR="001F1681" w:rsidRPr="00A47C5F" w:rsidRDefault="001F1681" w:rsidP="00C4643C">
            <w:pPr>
              <w:spacing w:before="240" w:line="276" w:lineRule="auto"/>
              <w:jc w:val="center"/>
              <w:rPr>
                <w:rFonts w:ascii="Palatino Linotype" w:hAnsi="Palatino Linotype"/>
                <w:bCs/>
                <w:sz w:val="20"/>
                <w:szCs w:val="20"/>
              </w:rPr>
            </w:pPr>
            <w:r>
              <w:rPr>
                <w:rFonts w:ascii="Palatino Linotype" w:hAnsi="Palatino Linotype"/>
                <w:bCs/>
                <w:sz w:val="20"/>
                <w:szCs w:val="20"/>
              </w:rPr>
              <w:t>600</w:t>
            </w:r>
            <w:r w:rsidR="002B2E98">
              <w:rPr>
                <w:rFonts w:ascii="Palatino Linotype" w:hAnsi="Palatino Linotype"/>
                <w:bCs/>
                <w:sz w:val="20"/>
                <w:szCs w:val="20"/>
              </w:rPr>
              <w:t>**</w:t>
            </w:r>
          </w:p>
        </w:tc>
        <w:tc>
          <w:tcPr>
            <w:tcW w:w="1639" w:type="dxa"/>
            <w:vAlign w:val="center"/>
          </w:tcPr>
          <w:p w:rsidR="001F1681" w:rsidRPr="00A47C5F" w:rsidRDefault="005935D7" w:rsidP="00C4643C">
            <w:pPr>
              <w:spacing w:before="240" w:line="276" w:lineRule="auto"/>
              <w:jc w:val="center"/>
              <w:rPr>
                <w:rFonts w:ascii="Palatino Linotype" w:hAnsi="Palatino Linotype"/>
                <w:bCs/>
                <w:sz w:val="20"/>
                <w:szCs w:val="20"/>
              </w:rPr>
            </w:pPr>
            <w:r>
              <w:rPr>
                <w:rFonts w:ascii="Palatino Linotype" w:hAnsi="Palatino Linotype"/>
                <w:bCs/>
                <w:sz w:val="20"/>
                <w:szCs w:val="20"/>
              </w:rPr>
              <w:t>49</w:t>
            </w:r>
            <w:r w:rsidRPr="00A47C5F">
              <w:rPr>
                <w:rFonts w:ascii="Palatino Linotype" w:hAnsi="Palatino Linotype"/>
                <w:bCs/>
                <w:sz w:val="20"/>
                <w:szCs w:val="20"/>
              </w:rPr>
              <w:t>.</w:t>
            </w:r>
            <w:r>
              <w:rPr>
                <w:rFonts w:ascii="Palatino Linotype" w:hAnsi="Palatino Linotype"/>
                <w:bCs/>
                <w:sz w:val="20"/>
                <w:szCs w:val="20"/>
              </w:rPr>
              <w:t>603</w:t>
            </w:r>
            <w:r w:rsidRPr="00A47C5F">
              <w:rPr>
                <w:rFonts w:ascii="Palatino Linotype" w:hAnsi="Palatino Linotype"/>
                <w:bCs/>
                <w:sz w:val="20"/>
                <w:szCs w:val="20"/>
              </w:rPr>
              <w:t>,</w:t>
            </w:r>
            <w:r>
              <w:rPr>
                <w:rFonts w:ascii="Palatino Linotype" w:hAnsi="Palatino Linotype"/>
                <w:bCs/>
                <w:sz w:val="20"/>
                <w:szCs w:val="20"/>
              </w:rPr>
              <w:t>42</w:t>
            </w:r>
            <w:r w:rsidR="002B2E98">
              <w:rPr>
                <w:rFonts w:ascii="Palatino Linotype" w:hAnsi="Palatino Linotype"/>
                <w:bCs/>
                <w:sz w:val="20"/>
                <w:szCs w:val="20"/>
              </w:rPr>
              <w:t>***</w:t>
            </w:r>
          </w:p>
        </w:tc>
      </w:tr>
    </w:tbl>
    <w:bookmarkEnd w:id="0"/>
    <w:bookmarkEnd w:id="1"/>
    <w:bookmarkEnd w:id="2"/>
    <w:p w:rsidR="00C4643C" w:rsidRDefault="00C4643C" w:rsidP="00C4643C">
      <w:pPr>
        <w:tabs>
          <w:tab w:val="left" w:pos="993"/>
        </w:tabs>
        <w:spacing w:before="240" w:after="0"/>
        <w:ind w:right="-1"/>
        <w:jc w:val="both"/>
        <w:rPr>
          <w:rFonts w:ascii="Palatino Linotype" w:hAnsi="Palatino Linotype"/>
          <w:bCs/>
          <w:sz w:val="20"/>
          <w:szCs w:val="20"/>
        </w:rPr>
      </w:pPr>
      <w:r w:rsidRPr="00A47C5F">
        <w:rPr>
          <w:rFonts w:ascii="Palatino Linotype" w:hAnsi="Palatino Linotype"/>
          <w:b/>
          <w:sz w:val="20"/>
          <w:szCs w:val="20"/>
        </w:rPr>
        <w:t xml:space="preserve">* </w:t>
      </w:r>
      <w:r w:rsidRPr="00A47C5F">
        <w:rPr>
          <w:rFonts w:ascii="Palatino Linotype" w:hAnsi="Palatino Linotype"/>
          <w:sz w:val="20"/>
          <w:szCs w:val="20"/>
        </w:rPr>
        <w:t xml:space="preserve">Altura </w:t>
      </w:r>
      <w:r w:rsidRPr="00A47C5F">
        <w:rPr>
          <w:rFonts w:ascii="Palatino Linotype" w:hAnsi="Palatino Linotype"/>
          <w:bCs/>
          <w:sz w:val="20"/>
          <w:szCs w:val="20"/>
        </w:rPr>
        <w:t>de 4,20 metros de piso a piso. La altura total del edificio no incluye volúmenes correspondientes a cuartos de máquinas de ascensores.</w:t>
      </w:r>
    </w:p>
    <w:p w:rsidR="00A91B3C" w:rsidRDefault="00A91B3C" w:rsidP="00A91B3C">
      <w:pPr>
        <w:tabs>
          <w:tab w:val="left" w:pos="993"/>
        </w:tabs>
        <w:spacing w:before="240" w:after="0"/>
        <w:ind w:right="-1"/>
        <w:jc w:val="both"/>
        <w:rPr>
          <w:rFonts w:ascii="Palatino Linotype" w:hAnsi="Palatino Linotype"/>
          <w:bCs/>
          <w:sz w:val="20"/>
          <w:szCs w:val="20"/>
        </w:rPr>
      </w:pPr>
      <w:r>
        <w:rPr>
          <w:rFonts w:ascii="Palatino Linotype" w:hAnsi="Palatino Linotype"/>
          <w:bCs/>
          <w:sz w:val="20"/>
          <w:szCs w:val="20"/>
        </w:rPr>
        <w:t>** Para efectos de cálculo del COS Pb y COS Total se ha considerado el área bruta del edificio, pudiendo efectuarse los ajustes correspondientes a modificaciones derivadas del diseño definitivo del proyecto arquitectónico.</w:t>
      </w:r>
    </w:p>
    <w:p w:rsidR="00A91B3C" w:rsidRDefault="00A91B3C" w:rsidP="00A91B3C">
      <w:pPr>
        <w:tabs>
          <w:tab w:val="left" w:pos="993"/>
        </w:tabs>
        <w:spacing w:before="240" w:after="0"/>
        <w:ind w:right="-1"/>
        <w:jc w:val="both"/>
        <w:rPr>
          <w:rFonts w:ascii="Palatino Linotype" w:hAnsi="Palatino Linotype"/>
          <w:bCs/>
          <w:sz w:val="20"/>
          <w:szCs w:val="20"/>
        </w:rPr>
      </w:pPr>
      <w:r>
        <w:rPr>
          <w:rFonts w:ascii="Palatino Linotype" w:hAnsi="Palatino Linotype"/>
          <w:bCs/>
          <w:sz w:val="20"/>
          <w:szCs w:val="20"/>
        </w:rPr>
        <w:t>*** Área bruta total según proyecto arquitectónico.</w:t>
      </w:r>
    </w:p>
    <w:p w:rsidR="00152933" w:rsidRPr="00E46905" w:rsidRDefault="00152933" w:rsidP="00A91B3C">
      <w:pPr>
        <w:tabs>
          <w:tab w:val="left" w:pos="993"/>
        </w:tabs>
        <w:spacing w:before="240" w:after="0"/>
        <w:ind w:right="-1"/>
        <w:jc w:val="both"/>
        <w:rPr>
          <w:rFonts w:ascii="Palatino Linotype" w:hAnsi="Palatino Linotype"/>
          <w:sz w:val="20"/>
          <w:szCs w:val="20"/>
        </w:rPr>
      </w:pPr>
      <w:r>
        <w:rPr>
          <w:rFonts w:ascii="Palatino Linotype" w:hAnsi="Palatino Linotype"/>
          <w:bCs/>
          <w:sz w:val="20"/>
          <w:szCs w:val="20"/>
        </w:rPr>
        <w:t>****</w:t>
      </w:r>
      <w:r w:rsidRPr="00152933">
        <w:rPr>
          <w:rFonts w:ascii="Palatino Linotype" w:hAnsi="Palatino Linotype"/>
        </w:rPr>
        <w:t xml:space="preserve"> </w:t>
      </w:r>
      <w:r w:rsidRPr="00152933">
        <w:rPr>
          <w:rFonts w:ascii="Palatino Linotype" w:hAnsi="Palatino Linotype"/>
          <w:sz w:val="20"/>
          <w:szCs w:val="20"/>
        </w:rPr>
        <w:t>En caso de existir diferencia de área entre la escritura pública y el levantamiento topográfico georeferenciado del predio donde se implantará el proyecto, el Consejo de la Judicatura se obliga a realizar el trámite correspondiente de conformidad a lo previsto en la Ordenanza Metropolitana No. 269.</w:t>
      </w:r>
    </w:p>
    <w:p w:rsidR="00C4643C" w:rsidRPr="00C4643C" w:rsidRDefault="00C4643C" w:rsidP="00C4643C">
      <w:pPr>
        <w:tabs>
          <w:tab w:val="left" w:pos="993"/>
        </w:tabs>
        <w:spacing w:before="240" w:after="0"/>
        <w:ind w:right="-1"/>
        <w:jc w:val="both"/>
        <w:rPr>
          <w:rFonts w:ascii="Palatino Linotype" w:hAnsi="Palatino Linotype"/>
        </w:rPr>
      </w:pPr>
      <w:r w:rsidRPr="00C4643C">
        <w:rPr>
          <w:rFonts w:ascii="Palatino Linotype" w:hAnsi="Palatino Linotype"/>
          <w:b/>
        </w:rPr>
        <w:t xml:space="preserve">Artículo 11.- </w:t>
      </w:r>
      <w:r w:rsidRPr="00C4643C">
        <w:rPr>
          <w:rFonts w:ascii="Palatino Linotype" w:hAnsi="Palatino Linotype"/>
          <w:b/>
          <w:bCs/>
        </w:rPr>
        <w:t xml:space="preserve">Normativa constructiva de las edificaciones: </w:t>
      </w:r>
      <w:r w:rsidRPr="00C4643C">
        <w:rPr>
          <w:rFonts w:ascii="Palatino Linotype" w:hAnsi="Palatino Linotype"/>
        </w:rPr>
        <w:t>El Consejo de la Judicatura diseñará y construirá las edificaciones conforme a las normas y recomendaciones del Código Ecuatoriano de la Construcción y demás normas nacionales y metropolitanas vigentes.</w:t>
      </w:r>
    </w:p>
    <w:p w:rsidR="00152933" w:rsidRDefault="00152933" w:rsidP="00C4643C">
      <w:pPr>
        <w:spacing w:before="240" w:after="0"/>
        <w:ind w:left="703" w:hanging="703"/>
        <w:jc w:val="center"/>
        <w:rPr>
          <w:rFonts w:ascii="Palatino Linotype" w:hAnsi="Palatino Linotype"/>
          <w:b/>
          <w:bCs/>
        </w:rPr>
      </w:pPr>
    </w:p>
    <w:p w:rsidR="00C4643C" w:rsidRPr="00C4643C" w:rsidRDefault="00C4643C" w:rsidP="00C4643C">
      <w:pPr>
        <w:spacing w:before="240" w:after="0"/>
        <w:ind w:left="703" w:hanging="703"/>
        <w:jc w:val="center"/>
        <w:rPr>
          <w:rFonts w:ascii="Palatino Linotype" w:hAnsi="Palatino Linotype"/>
          <w:b/>
          <w:bCs/>
        </w:rPr>
      </w:pPr>
      <w:r w:rsidRPr="00C4643C">
        <w:rPr>
          <w:rFonts w:ascii="Palatino Linotype" w:hAnsi="Palatino Linotype"/>
          <w:b/>
          <w:bCs/>
        </w:rPr>
        <w:lastRenderedPageBreak/>
        <w:t>Capítulo II</w:t>
      </w:r>
    </w:p>
    <w:p w:rsidR="00C4643C" w:rsidRPr="00C4643C" w:rsidRDefault="00C4643C" w:rsidP="00C4643C">
      <w:pPr>
        <w:spacing w:before="240" w:after="0"/>
        <w:ind w:left="703" w:hanging="703"/>
        <w:jc w:val="center"/>
        <w:rPr>
          <w:rFonts w:ascii="Palatino Linotype" w:hAnsi="Palatino Linotype"/>
          <w:b/>
          <w:bCs/>
        </w:rPr>
      </w:pPr>
      <w:r w:rsidRPr="00C4643C">
        <w:rPr>
          <w:rFonts w:ascii="Palatino Linotype" w:hAnsi="Palatino Linotype"/>
          <w:b/>
          <w:bCs/>
        </w:rPr>
        <w:t>De la infraestructura básica</w:t>
      </w:r>
    </w:p>
    <w:p w:rsidR="00C4643C" w:rsidRPr="00C4643C" w:rsidRDefault="00C4643C" w:rsidP="00C4643C">
      <w:pPr>
        <w:tabs>
          <w:tab w:val="left" w:pos="993"/>
        </w:tabs>
        <w:spacing w:before="240" w:after="0"/>
        <w:ind w:right="-1"/>
        <w:rPr>
          <w:rFonts w:ascii="Palatino Linotype" w:hAnsi="Palatino Linotype"/>
        </w:rPr>
      </w:pPr>
      <w:r w:rsidRPr="00C4643C">
        <w:rPr>
          <w:rFonts w:ascii="Palatino Linotype" w:hAnsi="Palatino Linotype"/>
          <w:b/>
        </w:rPr>
        <w:t xml:space="preserve">Artículo 12.- </w:t>
      </w:r>
      <w:r w:rsidRPr="00C4643C">
        <w:rPr>
          <w:rFonts w:ascii="Palatino Linotype" w:hAnsi="Palatino Linotype"/>
          <w:b/>
          <w:bCs/>
        </w:rPr>
        <w:t xml:space="preserve">De los </w:t>
      </w:r>
      <w:r w:rsidR="00640061">
        <w:rPr>
          <w:rFonts w:ascii="Palatino Linotype" w:hAnsi="Palatino Linotype"/>
          <w:b/>
          <w:bCs/>
        </w:rPr>
        <w:t>s</w:t>
      </w:r>
      <w:r w:rsidRPr="00C4643C">
        <w:rPr>
          <w:rFonts w:ascii="Palatino Linotype" w:hAnsi="Palatino Linotype"/>
          <w:b/>
          <w:bCs/>
        </w:rPr>
        <w:t xml:space="preserve">ervicios </w:t>
      </w:r>
      <w:r w:rsidR="00640061">
        <w:rPr>
          <w:rFonts w:ascii="Palatino Linotype" w:hAnsi="Palatino Linotype"/>
          <w:b/>
          <w:bCs/>
        </w:rPr>
        <w:t>p</w:t>
      </w:r>
      <w:r w:rsidRPr="00C4643C">
        <w:rPr>
          <w:rFonts w:ascii="Palatino Linotype" w:hAnsi="Palatino Linotype"/>
          <w:b/>
          <w:bCs/>
        </w:rPr>
        <w:t xml:space="preserve">úblicos.- </w:t>
      </w:r>
      <w:r w:rsidRPr="00C4643C">
        <w:rPr>
          <w:rFonts w:ascii="Palatino Linotype" w:hAnsi="Palatino Linotype"/>
        </w:rPr>
        <w:t xml:space="preserve">Los servicios públicos se habilitarán y construirán por parte del promotor a su costo según las regulaciones y especificaciones técnicas de la municipalidad y/o Empresas de servicios, con las siguientes particularidades: </w:t>
      </w:r>
    </w:p>
    <w:p w:rsidR="00C4643C" w:rsidRPr="00C4643C" w:rsidRDefault="00C4643C" w:rsidP="00C4643C">
      <w:pPr>
        <w:pStyle w:val="Prrafodelista"/>
        <w:numPr>
          <w:ilvl w:val="0"/>
          <w:numId w:val="21"/>
        </w:numPr>
        <w:spacing w:before="240" w:after="0"/>
        <w:contextualSpacing w:val="0"/>
        <w:jc w:val="both"/>
        <w:rPr>
          <w:rFonts w:ascii="Palatino Linotype" w:hAnsi="Palatino Linotype"/>
        </w:rPr>
      </w:pPr>
      <w:r w:rsidRPr="00C4643C">
        <w:rPr>
          <w:rFonts w:ascii="Palatino Linotype" w:hAnsi="Palatino Linotype"/>
        </w:rPr>
        <w:t>Las redes de iluminación del espacio del público, áreas verdes y de telecomunicaciones se realizarán con el soterramiento de todos los cables de conformidad a la normativa vigente. La iluminación de los espacios públicos y áreas verdes garantizará una adecuada visibilidad bajo criterios de seguridad y</w:t>
      </w:r>
      <w:r w:rsidR="00587B14">
        <w:rPr>
          <w:rFonts w:ascii="Palatino Linotype" w:hAnsi="Palatino Linotype"/>
        </w:rPr>
        <w:t xml:space="preserve"> disfrute en horarios nocturnos;</w:t>
      </w:r>
    </w:p>
    <w:p w:rsidR="00C4643C" w:rsidRPr="00C4643C" w:rsidRDefault="00C4643C" w:rsidP="00C4643C">
      <w:pPr>
        <w:pStyle w:val="Prrafodelista"/>
        <w:numPr>
          <w:ilvl w:val="0"/>
          <w:numId w:val="21"/>
        </w:numPr>
        <w:spacing w:before="240" w:after="0"/>
        <w:contextualSpacing w:val="0"/>
        <w:jc w:val="both"/>
        <w:rPr>
          <w:rFonts w:ascii="Palatino Linotype" w:hAnsi="Palatino Linotype"/>
        </w:rPr>
      </w:pPr>
      <w:r w:rsidRPr="00C4643C">
        <w:rPr>
          <w:rFonts w:ascii="Palatino Linotype" w:hAnsi="Palatino Linotype"/>
        </w:rPr>
        <w:t xml:space="preserve">El proyecto implementará un sistema especial de clasificación y recolección de basura de fácil acceso para los usuarios y carros recolectores. Para la implementación de este sistema se deberá coordinar con </w:t>
      </w:r>
      <w:r w:rsidR="00587B14">
        <w:rPr>
          <w:rFonts w:ascii="Palatino Linotype" w:hAnsi="Palatino Linotype"/>
        </w:rPr>
        <w:t>la entidad municipal competente; y,</w:t>
      </w:r>
    </w:p>
    <w:p w:rsidR="00C4643C" w:rsidRPr="00C4643C" w:rsidRDefault="00C4643C" w:rsidP="00C4643C">
      <w:pPr>
        <w:pStyle w:val="Prrafodelista"/>
        <w:numPr>
          <w:ilvl w:val="0"/>
          <w:numId w:val="21"/>
        </w:numPr>
        <w:spacing w:before="240" w:after="0"/>
        <w:contextualSpacing w:val="0"/>
        <w:jc w:val="both"/>
        <w:rPr>
          <w:rFonts w:ascii="Palatino Linotype" w:hAnsi="Palatino Linotype"/>
        </w:rPr>
      </w:pPr>
      <w:r w:rsidRPr="00C4643C">
        <w:rPr>
          <w:rFonts w:ascii="Palatino Linotype" w:hAnsi="Palatino Linotype"/>
        </w:rPr>
        <w:t>El proyecto incorporará otras soluciones y tratamientos eco-ambientales para el ahorro de energía, sistemas de ventilación natural, aislamiento término en muros, fachadas y techos, tratamiento de desechos, instalación de griferías y artefactos sanitarios ahorradores de agua, terrazas verdes, entre otros componentes de eficiencia y calidad ambiental.</w:t>
      </w:r>
    </w:p>
    <w:p w:rsidR="00C4643C" w:rsidRPr="00C4643C" w:rsidRDefault="00C4643C" w:rsidP="00C4643C">
      <w:pPr>
        <w:spacing w:before="240" w:after="0"/>
        <w:ind w:left="703" w:hanging="703"/>
        <w:jc w:val="center"/>
        <w:rPr>
          <w:rFonts w:ascii="Palatino Linotype" w:hAnsi="Palatino Linotype"/>
          <w:b/>
          <w:bCs/>
        </w:rPr>
      </w:pPr>
      <w:r w:rsidRPr="00C4643C">
        <w:rPr>
          <w:rFonts w:ascii="Palatino Linotype" w:hAnsi="Palatino Linotype"/>
          <w:b/>
          <w:bCs/>
        </w:rPr>
        <w:t>Capítulo III</w:t>
      </w:r>
    </w:p>
    <w:p w:rsidR="00C4643C" w:rsidRPr="00C4643C" w:rsidRDefault="00C4643C" w:rsidP="00C4643C">
      <w:pPr>
        <w:spacing w:before="240" w:after="0"/>
        <w:ind w:right="-1"/>
        <w:jc w:val="center"/>
        <w:rPr>
          <w:rFonts w:ascii="Palatino Linotype" w:hAnsi="Palatino Linotype"/>
          <w:b/>
          <w:bCs/>
        </w:rPr>
      </w:pPr>
      <w:r w:rsidRPr="00C4643C">
        <w:rPr>
          <w:rFonts w:ascii="Palatino Linotype" w:hAnsi="Palatino Linotype"/>
          <w:b/>
          <w:bCs/>
        </w:rPr>
        <w:t>Del espacio público y el mobiliario urbano</w:t>
      </w:r>
    </w:p>
    <w:p w:rsidR="00C4643C" w:rsidRPr="00C4643C" w:rsidRDefault="00C4643C" w:rsidP="00A47C5F">
      <w:pPr>
        <w:tabs>
          <w:tab w:val="left" w:pos="993"/>
        </w:tabs>
        <w:spacing w:before="240" w:after="0"/>
        <w:ind w:right="-1"/>
        <w:jc w:val="both"/>
        <w:rPr>
          <w:rFonts w:ascii="Palatino Linotype" w:hAnsi="Palatino Linotype"/>
        </w:rPr>
      </w:pPr>
      <w:r w:rsidRPr="00C4643C">
        <w:rPr>
          <w:rFonts w:ascii="Palatino Linotype" w:hAnsi="Palatino Linotype"/>
          <w:b/>
        </w:rPr>
        <w:t xml:space="preserve">Artículo 13.- </w:t>
      </w:r>
      <w:r w:rsidRPr="00C4643C">
        <w:rPr>
          <w:rFonts w:ascii="Palatino Linotype" w:hAnsi="Palatino Linotype"/>
          <w:b/>
          <w:bCs/>
        </w:rPr>
        <w:t xml:space="preserve">Espacio público y áreas verdes.- </w:t>
      </w:r>
      <w:r w:rsidRPr="00C4643C">
        <w:rPr>
          <w:rFonts w:ascii="Palatino Linotype" w:hAnsi="Palatino Linotype"/>
        </w:rPr>
        <w:t>El proyecto</w:t>
      </w:r>
      <w:r w:rsidRPr="00C4643C">
        <w:rPr>
          <w:rFonts w:ascii="Palatino Linotype" w:hAnsi="Palatino Linotype"/>
          <w:b/>
          <w:bCs/>
        </w:rPr>
        <w:t xml:space="preserve"> </w:t>
      </w:r>
      <w:r w:rsidRPr="00C4643C">
        <w:rPr>
          <w:rFonts w:ascii="Palatino Linotype" w:hAnsi="Palatino Linotype"/>
        </w:rPr>
        <w:t>generará espacios públicos, plaza, bulevares y áreas verdes que se incorporarán adecuadamente al espacio público de la ciudad. Estos espacios pasarán a constituir bienes de dominio y uso público, de conformidad con lo dispuesto en el</w:t>
      </w:r>
      <w:r w:rsidR="00A47C5F">
        <w:rPr>
          <w:rFonts w:ascii="Palatino Linotype" w:hAnsi="Palatino Linotype"/>
        </w:rPr>
        <w:t xml:space="preserve"> artículo</w:t>
      </w:r>
      <w:r w:rsidRPr="00C4643C">
        <w:rPr>
          <w:rFonts w:ascii="Palatino Linotype" w:hAnsi="Palatino Linotype"/>
        </w:rPr>
        <w:t xml:space="preserve"> 424 del </w:t>
      </w:r>
      <w:r w:rsidR="00A47C5F">
        <w:rPr>
          <w:rFonts w:ascii="Palatino Linotype" w:hAnsi="Palatino Linotype"/>
        </w:rPr>
        <w:t>Código Orgánico de Organización Territorial, Autonomía y Descentralización</w:t>
      </w:r>
      <w:r w:rsidRPr="00C4643C">
        <w:rPr>
          <w:rFonts w:ascii="Palatino Linotype" w:hAnsi="Palatino Linotype"/>
        </w:rPr>
        <w:t>. Estas áreas se mantendrán siempre como tales, prohibiéndose su cambio de uso y ocupación del suelo.</w:t>
      </w:r>
    </w:p>
    <w:p w:rsidR="00C4643C" w:rsidRPr="00C4643C" w:rsidRDefault="00C4643C" w:rsidP="00A47C5F">
      <w:pPr>
        <w:tabs>
          <w:tab w:val="left" w:pos="993"/>
        </w:tabs>
        <w:spacing w:before="240" w:after="0"/>
        <w:ind w:right="-1"/>
        <w:jc w:val="both"/>
        <w:rPr>
          <w:rFonts w:ascii="Palatino Linotype" w:hAnsi="Palatino Linotype"/>
        </w:rPr>
      </w:pPr>
      <w:r w:rsidRPr="00C4643C">
        <w:rPr>
          <w:rFonts w:ascii="Palatino Linotype" w:hAnsi="Palatino Linotype"/>
        </w:rPr>
        <w:t>Todos los espacios públicos generados por el proyecto deberán permitir su accesibilidad y uso sin restricciones ni cerramientos que impidan su continuidad y serán mantenidos por los propietarios de las edificaciones.</w:t>
      </w:r>
    </w:p>
    <w:p w:rsidR="00C4643C" w:rsidRPr="00C4643C" w:rsidRDefault="00C4643C" w:rsidP="00A47C5F">
      <w:pPr>
        <w:spacing w:before="240" w:after="0"/>
        <w:jc w:val="both"/>
        <w:rPr>
          <w:rFonts w:ascii="Palatino Linotype" w:hAnsi="Palatino Linotype"/>
        </w:rPr>
      </w:pPr>
      <w:r w:rsidRPr="00C4643C">
        <w:rPr>
          <w:rFonts w:ascii="Palatino Linotype" w:hAnsi="Palatino Linotype"/>
          <w:b/>
        </w:rPr>
        <w:t xml:space="preserve">Artículo 14.- </w:t>
      </w:r>
      <w:r w:rsidRPr="00C4643C">
        <w:rPr>
          <w:rFonts w:ascii="Palatino Linotype" w:hAnsi="Palatino Linotype"/>
          <w:b/>
          <w:bCs/>
        </w:rPr>
        <w:t xml:space="preserve">Aceras.- </w:t>
      </w:r>
      <w:r w:rsidRPr="00C4643C">
        <w:rPr>
          <w:rFonts w:ascii="Palatino Linotype" w:hAnsi="Palatino Linotype"/>
        </w:rPr>
        <w:t>Las aceras previstas en el desarrollo del proyecto deberán incluir tratamientos verdes, arborización, señalización, mobiliario urbano e iluminación.</w:t>
      </w:r>
    </w:p>
    <w:p w:rsidR="00C4643C" w:rsidRPr="00C4643C" w:rsidRDefault="00C4643C" w:rsidP="00A47C5F">
      <w:pPr>
        <w:spacing w:before="240" w:after="0"/>
        <w:ind w:right="-1"/>
        <w:jc w:val="both"/>
        <w:rPr>
          <w:rFonts w:ascii="Palatino Linotype" w:hAnsi="Palatino Linotype"/>
        </w:rPr>
      </w:pPr>
      <w:r w:rsidRPr="00C4643C">
        <w:rPr>
          <w:rFonts w:ascii="Palatino Linotype" w:hAnsi="Palatino Linotype"/>
        </w:rPr>
        <w:t>Para el diseño y construcción de las aceras se observarán las siguientes características:</w:t>
      </w:r>
    </w:p>
    <w:p w:rsidR="00C4643C" w:rsidRPr="00C4643C" w:rsidRDefault="00C4643C" w:rsidP="00A47C5F">
      <w:pPr>
        <w:pStyle w:val="Prrafodelista"/>
        <w:numPr>
          <w:ilvl w:val="0"/>
          <w:numId w:val="22"/>
        </w:numPr>
        <w:spacing w:before="240" w:after="0"/>
        <w:contextualSpacing w:val="0"/>
        <w:jc w:val="both"/>
        <w:rPr>
          <w:rFonts w:ascii="Palatino Linotype" w:hAnsi="Palatino Linotype"/>
        </w:rPr>
      </w:pPr>
      <w:r w:rsidRPr="00C4643C">
        <w:rPr>
          <w:rFonts w:ascii="Palatino Linotype" w:hAnsi="Palatino Linotype"/>
        </w:rPr>
        <w:lastRenderedPageBreak/>
        <w:t>Superficie continua, sin obstáculos a la circulación de personas y/o vehículos no motorizados</w:t>
      </w:r>
      <w:r w:rsidR="00587B14">
        <w:rPr>
          <w:rFonts w:ascii="Palatino Linotype" w:hAnsi="Palatino Linotype"/>
        </w:rPr>
        <w:t>;</w:t>
      </w:r>
    </w:p>
    <w:p w:rsidR="00C4643C" w:rsidRPr="00C4643C" w:rsidRDefault="00C4643C" w:rsidP="00A47C5F">
      <w:pPr>
        <w:pStyle w:val="Prrafodelista"/>
        <w:numPr>
          <w:ilvl w:val="0"/>
          <w:numId w:val="22"/>
        </w:numPr>
        <w:spacing w:before="240" w:after="0"/>
        <w:contextualSpacing w:val="0"/>
        <w:jc w:val="both"/>
        <w:rPr>
          <w:rFonts w:ascii="Palatino Linotype" w:hAnsi="Palatino Linotype"/>
        </w:rPr>
      </w:pPr>
      <w:r w:rsidRPr="00C4643C">
        <w:rPr>
          <w:rFonts w:ascii="Palatino Linotype" w:hAnsi="Palatino Linotype"/>
        </w:rPr>
        <w:t>Deberán arborizarse de preferencia con especies nativas y adecuadas a las condiciones medioambientales del sitio</w:t>
      </w:r>
      <w:r w:rsidR="00587B14">
        <w:rPr>
          <w:rFonts w:ascii="Palatino Linotype" w:hAnsi="Palatino Linotype"/>
        </w:rPr>
        <w:t>;</w:t>
      </w:r>
    </w:p>
    <w:p w:rsidR="00C4643C" w:rsidRPr="00C4643C" w:rsidRDefault="00C4643C" w:rsidP="00A47C5F">
      <w:pPr>
        <w:pStyle w:val="Prrafodelista"/>
        <w:numPr>
          <w:ilvl w:val="0"/>
          <w:numId w:val="22"/>
        </w:numPr>
        <w:spacing w:before="240" w:after="0"/>
        <w:contextualSpacing w:val="0"/>
        <w:jc w:val="both"/>
        <w:rPr>
          <w:rFonts w:ascii="Palatino Linotype" w:hAnsi="Palatino Linotype"/>
        </w:rPr>
      </w:pPr>
      <w:r w:rsidRPr="00C4643C">
        <w:rPr>
          <w:rFonts w:ascii="Palatino Linotype" w:hAnsi="Palatino Linotype"/>
        </w:rPr>
        <w:t xml:space="preserve">Las superficies deberán realizarse con materiales antideslizantes que eviten riesgo para los peatones bajo </w:t>
      </w:r>
      <w:r w:rsidR="00587B14">
        <w:rPr>
          <w:rFonts w:ascii="Palatino Linotype" w:hAnsi="Palatino Linotype"/>
        </w:rPr>
        <w:t>diversas condiciones climáticas; y,</w:t>
      </w:r>
    </w:p>
    <w:p w:rsidR="00C4643C" w:rsidRPr="00C4643C" w:rsidRDefault="00C4643C" w:rsidP="00A47C5F">
      <w:pPr>
        <w:pStyle w:val="Prrafodelista"/>
        <w:numPr>
          <w:ilvl w:val="0"/>
          <w:numId w:val="22"/>
        </w:numPr>
        <w:spacing w:before="240" w:after="0"/>
        <w:contextualSpacing w:val="0"/>
        <w:jc w:val="both"/>
        <w:rPr>
          <w:rFonts w:ascii="Palatino Linotype" w:hAnsi="Palatino Linotype"/>
        </w:rPr>
      </w:pPr>
      <w:r w:rsidRPr="00C4643C">
        <w:rPr>
          <w:rFonts w:ascii="Palatino Linotype" w:hAnsi="Palatino Linotype"/>
        </w:rPr>
        <w:t xml:space="preserve">Brindarán facilidades de accesibilidad para los peatones, primordialmente con discapacidades, coches de niños o sillas de ruedas, principalmente en las zonas de seguridad y/o cruces de calles. </w:t>
      </w:r>
    </w:p>
    <w:p w:rsidR="00C4643C" w:rsidRPr="00C4643C" w:rsidRDefault="00C4643C" w:rsidP="00A47C5F">
      <w:pPr>
        <w:tabs>
          <w:tab w:val="left" w:pos="993"/>
        </w:tabs>
        <w:spacing w:before="240" w:after="0"/>
        <w:ind w:right="-1"/>
        <w:jc w:val="both"/>
        <w:rPr>
          <w:rFonts w:ascii="Palatino Linotype" w:hAnsi="Palatino Linotype"/>
        </w:rPr>
      </w:pPr>
      <w:r w:rsidRPr="00C4643C">
        <w:rPr>
          <w:rFonts w:ascii="Palatino Linotype" w:hAnsi="Palatino Linotype"/>
          <w:b/>
        </w:rPr>
        <w:t xml:space="preserve">Artículo 15.- </w:t>
      </w:r>
      <w:r w:rsidR="00640061">
        <w:rPr>
          <w:rFonts w:ascii="Palatino Linotype" w:hAnsi="Palatino Linotype"/>
          <w:b/>
          <w:bCs/>
        </w:rPr>
        <w:t>Mobiliario u</w:t>
      </w:r>
      <w:r w:rsidRPr="00C4643C">
        <w:rPr>
          <w:rFonts w:ascii="Palatino Linotype" w:hAnsi="Palatino Linotype"/>
          <w:b/>
          <w:bCs/>
        </w:rPr>
        <w:t xml:space="preserve">rbano.- </w:t>
      </w:r>
      <w:r w:rsidRPr="00C4643C">
        <w:rPr>
          <w:rFonts w:ascii="Palatino Linotype" w:hAnsi="Palatino Linotype"/>
        </w:rPr>
        <w:t>La provisión y ubicación de mobiliario urbano cumplirá con lo establecido en las Normas de Arquitectura y Urbanismo del Municipio del Distrito Metropolitano de Quito y adicionalmente se deberá cumplir las siguientes características: diseños cómodos y eficientes, uso de materiales amigables con el medio ambiente y resistentes a usos intensos; colocación de receptores de papeles o de basura en la zona blanda de las aceras, con características especiales para clasificación de desechos con el propósito de ser reciclados. De requerirse, se preverá otro tipo de mobiliario urbano orientado a asegurar un adecuado uso, higiene, permanencia y disfrute del espacio público.</w:t>
      </w:r>
    </w:p>
    <w:p w:rsidR="00C4643C" w:rsidRPr="00C4643C" w:rsidRDefault="00640061" w:rsidP="00A47C5F">
      <w:pPr>
        <w:pStyle w:val="Textodebloque"/>
        <w:tabs>
          <w:tab w:val="left" w:pos="851"/>
        </w:tabs>
        <w:spacing w:before="240" w:line="276" w:lineRule="auto"/>
        <w:ind w:left="0" w:right="-1" w:firstLine="0"/>
        <w:rPr>
          <w:rFonts w:ascii="Palatino Linotype" w:eastAsiaTheme="minorHAnsi" w:hAnsi="Palatino Linotype"/>
          <w:lang w:val="es-MX" w:eastAsia="en-US"/>
        </w:rPr>
      </w:pPr>
      <w:r>
        <w:rPr>
          <w:rFonts w:ascii="Palatino Linotype" w:hAnsi="Palatino Linotype"/>
          <w:b/>
        </w:rPr>
        <w:t>Artículo 16.- Accesibilidad, m</w:t>
      </w:r>
      <w:r w:rsidR="00C4643C" w:rsidRPr="00C4643C">
        <w:rPr>
          <w:rFonts w:ascii="Palatino Linotype" w:hAnsi="Palatino Linotype"/>
          <w:b/>
        </w:rPr>
        <w:t xml:space="preserve">ovilidad y </w:t>
      </w:r>
      <w:r>
        <w:rPr>
          <w:rFonts w:ascii="Palatino Linotype" w:eastAsiaTheme="minorHAnsi" w:hAnsi="Palatino Linotype"/>
          <w:b/>
          <w:lang w:val="es-MX" w:eastAsia="en-US"/>
        </w:rPr>
        <w:t>e</w:t>
      </w:r>
      <w:r w:rsidR="00C4643C" w:rsidRPr="00C4643C">
        <w:rPr>
          <w:rFonts w:ascii="Palatino Linotype" w:eastAsiaTheme="minorHAnsi" w:hAnsi="Palatino Linotype"/>
          <w:b/>
          <w:lang w:val="es-MX" w:eastAsia="en-US"/>
        </w:rPr>
        <w:t>stacionamientos</w:t>
      </w:r>
      <w:r w:rsidR="00C4643C" w:rsidRPr="00C4643C">
        <w:rPr>
          <w:rFonts w:ascii="Palatino Linotype" w:eastAsiaTheme="minorHAnsi" w:hAnsi="Palatino Linotype"/>
          <w:lang w:val="es-MX" w:eastAsia="en-US"/>
        </w:rPr>
        <w:t>.- El proyecto será accesible mediante cuatro modalidades:</w:t>
      </w:r>
    </w:p>
    <w:p w:rsidR="00C4643C" w:rsidRPr="00C4643C" w:rsidRDefault="00C4643C" w:rsidP="00A47C5F">
      <w:pPr>
        <w:pStyle w:val="Textodebloque"/>
        <w:numPr>
          <w:ilvl w:val="0"/>
          <w:numId w:val="24"/>
        </w:numPr>
        <w:tabs>
          <w:tab w:val="left" w:pos="851"/>
        </w:tabs>
        <w:spacing w:before="240" w:line="276" w:lineRule="auto"/>
        <w:ind w:right="-1"/>
        <w:rPr>
          <w:rFonts w:ascii="Palatino Linotype" w:eastAsiaTheme="minorHAnsi" w:hAnsi="Palatino Linotype"/>
          <w:lang w:val="es-MX" w:eastAsia="en-US"/>
        </w:rPr>
      </w:pPr>
      <w:r w:rsidRPr="00C4643C">
        <w:rPr>
          <w:rFonts w:ascii="Palatino Linotype" w:eastAsiaTheme="minorHAnsi" w:hAnsi="Palatino Linotype"/>
          <w:lang w:val="es-MX" w:eastAsia="en-US"/>
        </w:rPr>
        <w:t>Transporte público: asegurando un cómodo y seguro embarque y desembarque de personas mediante los carriles de desaceleración y desembarque previstos sobre la avenida Amazonas y calle Jorge Drom;</w:t>
      </w:r>
    </w:p>
    <w:p w:rsidR="00C4643C" w:rsidRPr="00C4643C" w:rsidRDefault="00C4643C" w:rsidP="00A47C5F">
      <w:pPr>
        <w:pStyle w:val="Textodebloque"/>
        <w:numPr>
          <w:ilvl w:val="0"/>
          <w:numId w:val="24"/>
        </w:numPr>
        <w:tabs>
          <w:tab w:val="left" w:pos="851"/>
        </w:tabs>
        <w:spacing w:before="240" w:line="276" w:lineRule="auto"/>
        <w:ind w:right="-1"/>
        <w:rPr>
          <w:rFonts w:ascii="Palatino Linotype" w:eastAsiaTheme="minorHAnsi" w:hAnsi="Palatino Linotype"/>
          <w:lang w:val="es-MX" w:eastAsia="en-US"/>
        </w:rPr>
      </w:pPr>
      <w:r w:rsidRPr="00C4643C">
        <w:rPr>
          <w:rFonts w:ascii="Palatino Linotype" w:eastAsiaTheme="minorHAnsi" w:hAnsi="Palatino Linotype"/>
          <w:lang w:val="es-MX" w:eastAsia="en-US"/>
        </w:rPr>
        <w:t>Transporte institucional: asegurando un cómodo y seguro embarque y desembarque de personas mediante el carril de desaceleración y desembarque previsto sobre la calle Villalengua;</w:t>
      </w:r>
    </w:p>
    <w:p w:rsidR="00C4643C" w:rsidRPr="00C4643C" w:rsidRDefault="00C4643C" w:rsidP="00A47C5F">
      <w:pPr>
        <w:pStyle w:val="Textodebloque"/>
        <w:numPr>
          <w:ilvl w:val="0"/>
          <w:numId w:val="24"/>
        </w:numPr>
        <w:tabs>
          <w:tab w:val="left" w:pos="851"/>
        </w:tabs>
        <w:spacing w:before="240" w:line="276" w:lineRule="auto"/>
        <w:ind w:right="-1"/>
        <w:rPr>
          <w:rFonts w:ascii="Palatino Linotype" w:eastAsiaTheme="minorHAnsi" w:hAnsi="Palatino Linotype"/>
          <w:lang w:val="es-MX" w:eastAsia="en-US"/>
        </w:rPr>
      </w:pPr>
      <w:r w:rsidRPr="00C4643C">
        <w:rPr>
          <w:rFonts w:ascii="Palatino Linotype" w:eastAsiaTheme="minorHAnsi" w:hAnsi="Palatino Linotype"/>
          <w:lang w:val="es-MX" w:eastAsia="en-US"/>
        </w:rPr>
        <w:t>Transporte privado: mediante un carril de desaceleración previsto sobre la calle Pereira que permitirá un adecuado ingreso vehicular a los estacionamientos;</w:t>
      </w:r>
      <w:r w:rsidR="00587B14">
        <w:rPr>
          <w:rFonts w:ascii="Palatino Linotype" w:eastAsiaTheme="minorHAnsi" w:hAnsi="Palatino Linotype"/>
          <w:lang w:val="es-MX" w:eastAsia="en-US"/>
        </w:rPr>
        <w:t xml:space="preserve"> y,</w:t>
      </w:r>
    </w:p>
    <w:p w:rsidR="00C4643C" w:rsidRPr="00C4643C" w:rsidRDefault="00C4643C" w:rsidP="00A47C5F">
      <w:pPr>
        <w:pStyle w:val="Textodebloque"/>
        <w:numPr>
          <w:ilvl w:val="0"/>
          <w:numId w:val="24"/>
        </w:numPr>
        <w:tabs>
          <w:tab w:val="left" w:pos="851"/>
        </w:tabs>
        <w:spacing w:before="240" w:line="276" w:lineRule="auto"/>
        <w:ind w:right="-1"/>
        <w:rPr>
          <w:rFonts w:ascii="Palatino Linotype" w:eastAsiaTheme="minorHAnsi" w:hAnsi="Palatino Linotype"/>
          <w:lang w:val="es-MX" w:eastAsia="en-US"/>
        </w:rPr>
      </w:pPr>
      <w:r w:rsidRPr="00C4643C">
        <w:rPr>
          <w:rFonts w:ascii="Palatino Linotype" w:eastAsiaTheme="minorHAnsi" w:hAnsi="Palatino Linotype"/>
          <w:lang w:val="es-MX" w:eastAsia="en-US"/>
        </w:rPr>
        <w:t>Acceso peatonal a través de la red vial.</w:t>
      </w:r>
    </w:p>
    <w:p w:rsidR="00C4643C" w:rsidRPr="00C4643C" w:rsidRDefault="00C4643C" w:rsidP="00A47C5F">
      <w:pPr>
        <w:pStyle w:val="Textodebloque"/>
        <w:tabs>
          <w:tab w:val="left" w:pos="851"/>
        </w:tabs>
        <w:spacing w:before="240" w:line="276" w:lineRule="auto"/>
        <w:ind w:left="0" w:right="-1" w:firstLine="0"/>
        <w:rPr>
          <w:rFonts w:ascii="Palatino Linotype" w:eastAsiaTheme="minorHAnsi" w:hAnsi="Palatino Linotype"/>
          <w:lang w:val="es-MX" w:eastAsia="en-US"/>
        </w:rPr>
      </w:pPr>
      <w:r w:rsidRPr="00C4643C">
        <w:rPr>
          <w:rFonts w:ascii="Palatino Linotype" w:eastAsiaTheme="minorHAnsi" w:hAnsi="Palatino Linotype"/>
          <w:lang w:val="es-MX" w:eastAsia="en-US"/>
        </w:rPr>
        <w:t>El sistema de estacionamientos vehicular se compondrá de 253 estacionamientos para funcionarios (ubicados en subsuelo 2) y 194 estacionamientos públicos (en el subsuelo 1). Adicionalmente</w:t>
      </w:r>
      <w:r w:rsidR="00A47C5F">
        <w:rPr>
          <w:rFonts w:ascii="Palatino Linotype" w:eastAsiaTheme="minorHAnsi" w:hAnsi="Palatino Linotype"/>
          <w:lang w:val="es-MX" w:eastAsia="en-US"/>
        </w:rPr>
        <w:t>,</w:t>
      </w:r>
      <w:r w:rsidRPr="00C4643C">
        <w:rPr>
          <w:rFonts w:ascii="Palatino Linotype" w:eastAsiaTheme="minorHAnsi" w:hAnsi="Palatino Linotype"/>
          <w:lang w:val="es-MX" w:eastAsia="en-US"/>
        </w:rPr>
        <w:t xml:space="preserve"> se han </w:t>
      </w:r>
      <w:r w:rsidRPr="00C4643C">
        <w:rPr>
          <w:rFonts w:ascii="Palatino Linotype" w:eastAsiaTheme="minorHAnsi" w:hAnsi="Palatino Linotype"/>
          <w:lang w:val="es-MX" w:eastAsia="en-US"/>
        </w:rPr>
        <w:lastRenderedPageBreak/>
        <w:t>previsto 36 estacionamientos para motocicletas. Los estacionamientos para bicicletas se ubicarán en superficie como parte del equipamiento urbano.</w:t>
      </w:r>
    </w:p>
    <w:p w:rsidR="00C4643C" w:rsidRPr="00C4643C" w:rsidRDefault="00C4643C" w:rsidP="00A47C5F">
      <w:pPr>
        <w:pStyle w:val="Textodebloque"/>
        <w:tabs>
          <w:tab w:val="left" w:pos="851"/>
        </w:tabs>
        <w:spacing w:before="240" w:line="276" w:lineRule="auto"/>
        <w:ind w:left="0" w:right="-1" w:firstLine="0"/>
        <w:rPr>
          <w:rFonts w:ascii="Palatino Linotype" w:eastAsiaTheme="minorHAnsi" w:hAnsi="Palatino Linotype"/>
          <w:lang w:val="es-MX" w:eastAsia="en-US"/>
        </w:rPr>
      </w:pPr>
      <w:r w:rsidRPr="00C4643C">
        <w:rPr>
          <w:rFonts w:ascii="Palatino Linotype" w:eastAsiaTheme="minorHAnsi" w:hAnsi="Palatino Linotype"/>
          <w:lang w:val="es-MX" w:eastAsia="en-US"/>
        </w:rPr>
        <w:t>Del total de estacionamientos, se contemplará al menos 1 por cada 25 estacionamientos para personas con discapacidad</w:t>
      </w:r>
      <w:r w:rsidR="0075366B">
        <w:rPr>
          <w:rFonts w:ascii="Palatino Linotype" w:eastAsiaTheme="minorHAnsi" w:hAnsi="Palatino Linotype"/>
          <w:lang w:val="es-MX" w:eastAsia="en-US"/>
        </w:rPr>
        <w:t>.</w:t>
      </w:r>
      <w:r w:rsidRPr="00C4643C">
        <w:rPr>
          <w:rFonts w:ascii="Palatino Linotype" w:eastAsiaTheme="minorHAnsi" w:hAnsi="Palatino Linotype"/>
          <w:lang w:val="es-MX" w:eastAsia="en-US"/>
        </w:rPr>
        <w:t xml:space="preserve"> </w:t>
      </w:r>
    </w:p>
    <w:p w:rsidR="00C4643C" w:rsidRPr="00C4643C" w:rsidRDefault="00C4643C" w:rsidP="00A47C5F">
      <w:pPr>
        <w:pStyle w:val="Textodebloque"/>
        <w:tabs>
          <w:tab w:val="left" w:pos="851"/>
        </w:tabs>
        <w:spacing w:before="240" w:line="276" w:lineRule="auto"/>
        <w:ind w:left="0" w:right="-1" w:firstLine="0"/>
        <w:rPr>
          <w:rFonts w:ascii="Palatino Linotype" w:hAnsi="Palatino Linotype"/>
        </w:rPr>
      </w:pPr>
      <w:r w:rsidRPr="00C4643C">
        <w:rPr>
          <w:rFonts w:ascii="Palatino Linotype" w:eastAsiaTheme="minorHAnsi" w:hAnsi="Palatino Linotype"/>
          <w:lang w:val="es-MX" w:eastAsia="en-US"/>
        </w:rPr>
        <w:t>En todo caso, para la determinación de las plazas de estacionamiento requeridas para visitantes, el proyecto deberá justificar la determinación de la demanda considerando el tiempo de permanencia y la tasa de rotación de cada plaza.</w:t>
      </w:r>
    </w:p>
    <w:p w:rsidR="00C4643C" w:rsidRPr="00C4643C" w:rsidRDefault="00C4643C" w:rsidP="00A47C5F">
      <w:pPr>
        <w:pStyle w:val="Textodebloque"/>
        <w:tabs>
          <w:tab w:val="left" w:pos="851"/>
        </w:tabs>
        <w:spacing w:before="240" w:line="276" w:lineRule="auto"/>
        <w:ind w:left="0" w:right="-1" w:firstLine="0"/>
        <w:rPr>
          <w:rFonts w:ascii="Palatino Linotype" w:hAnsi="Palatino Linotype"/>
        </w:rPr>
      </w:pPr>
      <w:r w:rsidRPr="00C4643C">
        <w:rPr>
          <w:rFonts w:ascii="Palatino Linotype" w:eastAsiaTheme="minorHAnsi" w:hAnsi="Palatino Linotype"/>
          <w:lang w:val="es-MX" w:eastAsia="en-US"/>
        </w:rPr>
        <w:t>El proyecto contemplará el desarrollo de carriles de espera en los ingresos y salidas de los estacionamientos.</w:t>
      </w:r>
    </w:p>
    <w:p w:rsidR="00C4643C" w:rsidRPr="00C4643C" w:rsidRDefault="00C4643C" w:rsidP="00A47C5F">
      <w:pPr>
        <w:pStyle w:val="Textodebloque"/>
        <w:tabs>
          <w:tab w:val="left" w:pos="851"/>
        </w:tabs>
        <w:spacing w:before="240" w:line="276" w:lineRule="auto"/>
        <w:ind w:left="0" w:right="-1" w:firstLine="0"/>
        <w:rPr>
          <w:rFonts w:ascii="Palatino Linotype" w:hAnsi="Palatino Linotype"/>
        </w:rPr>
      </w:pPr>
      <w:r w:rsidRPr="00C4643C">
        <w:rPr>
          <w:rFonts w:ascii="Palatino Linotype" w:eastAsiaTheme="minorHAnsi" w:hAnsi="Palatino Linotype"/>
          <w:lang w:val="es-MX" w:eastAsia="en-US"/>
        </w:rPr>
        <w:t>El ingreso y salida peatonales a los estacionamientos se realizará mediante escaleras y ascensores ubicados en el exterior de la edificación, adicionalmente se localizarán salidas peatonales de emergencia de acuerdo a la normativa metropolitana vigente.</w:t>
      </w:r>
    </w:p>
    <w:p w:rsidR="00C4643C" w:rsidRPr="00C4643C" w:rsidRDefault="00C4643C" w:rsidP="00C4643C">
      <w:pPr>
        <w:pStyle w:val="Prrafodelista"/>
        <w:tabs>
          <w:tab w:val="left" w:pos="851"/>
        </w:tabs>
        <w:spacing w:before="240" w:after="0"/>
        <w:ind w:left="0"/>
        <w:jc w:val="center"/>
        <w:rPr>
          <w:rFonts w:ascii="Palatino Linotype" w:hAnsi="Palatino Linotype"/>
          <w:b/>
        </w:rPr>
      </w:pPr>
      <w:r w:rsidRPr="00C4643C">
        <w:rPr>
          <w:rFonts w:ascii="Palatino Linotype" w:hAnsi="Palatino Linotype"/>
          <w:b/>
        </w:rPr>
        <w:t>Capítulo IV</w:t>
      </w:r>
    </w:p>
    <w:p w:rsidR="00C4643C" w:rsidRPr="00C4643C" w:rsidRDefault="00C4643C" w:rsidP="00C4643C">
      <w:pPr>
        <w:pStyle w:val="Prrafodelista"/>
        <w:tabs>
          <w:tab w:val="left" w:pos="851"/>
        </w:tabs>
        <w:spacing w:before="240" w:after="0"/>
        <w:ind w:left="0"/>
        <w:jc w:val="center"/>
        <w:rPr>
          <w:rFonts w:ascii="Palatino Linotype" w:hAnsi="Palatino Linotype"/>
          <w:b/>
        </w:rPr>
      </w:pPr>
      <w:r w:rsidRPr="00C4643C">
        <w:rPr>
          <w:rFonts w:ascii="Palatino Linotype" w:hAnsi="Palatino Linotype"/>
          <w:b/>
        </w:rPr>
        <w:t>Compromisos de los promotores</w:t>
      </w:r>
    </w:p>
    <w:p w:rsidR="00C4643C" w:rsidRPr="00C4643C" w:rsidRDefault="00C4643C" w:rsidP="00C4643C">
      <w:pPr>
        <w:pStyle w:val="Textodebloque"/>
        <w:tabs>
          <w:tab w:val="left" w:pos="851"/>
        </w:tabs>
        <w:spacing w:before="240" w:line="276" w:lineRule="auto"/>
        <w:ind w:left="0" w:right="-1" w:firstLine="0"/>
        <w:rPr>
          <w:rFonts w:ascii="Palatino Linotype" w:hAnsi="Palatino Linotype"/>
        </w:rPr>
      </w:pPr>
      <w:r w:rsidRPr="00C4643C">
        <w:rPr>
          <w:rFonts w:ascii="Palatino Linotype" w:hAnsi="Palatino Linotype"/>
          <w:b/>
        </w:rPr>
        <w:t>Artículo 17.-</w:t>
      </w:r>
      <w:r w:rsidRPr="00C4643C">
        <w:rPr>
          <w:rFonts w:ascii="Palatino Linotype" w:hAnsi="Palatino Linotype"/>
        </w:rPr>
        <w:t xml:space="preserve"> </w:t>
      </w:r>
      <w:r w:rsidR="00F27E0C" w:rsidRPr="00965BC6">
        <w:rPr>
          <w:rFonts w:ascii="Palatino Linotype" w:hAnsi="Palatino Linotype"/>
        </w:rPr>
        <w:t xml:space="preserve">El Consejo de la Judicatura, sin perjuicio de lo estipulado en la normativa vigente, </w:t>
      </w:r>
      <w:r w:rsidR="00F27E0C">
        <w:rPr>
          <w:rFonts w:ascii="Palatino Linotype" w:hAnsi="Palatino Linotype"/>
        </w:rPr>
        <w:t>deberá</w:t>
      </w:r>
      <w:r w:rsidR="00F27E0C" w:rsidRPr="00965BC6">
        <w:rPr>
          <w:rFonts w:ascii="Palatino Linotype" w:hAnsi="Palatino Linotype"/>
        </w:rPr>
        <w:t>:</w:t>
      </w:r>
    </w:p>
    <w:p w:rsidR="00F27E0C" w:rsidRPr="00965BC6" w:rsidRDefault="00F27E0C" w:rsidP="00F27E0C">
      <w:pPr>
        <w:pStyle w:val="Prrafodelista"/>
        <w:numPr>
          <w:ilvl w:val="0"/>
          <w:numId w:val="23"/>
        </w:numPr>
        <w:spacing w:before="240" w:after="0"/>
        <w:jc w:val="both"/>
        <w:rPr>
          <w:rFonts w:ascii="Palatino Linotype" w:hAnsi="Palatino Linotype"/>
        </w:rPr>
      </w:pPr>
      <w:r w:rsidRPr="00965BC6">
        <w:rPr>
          <w:rFonts w:ascii="Palatino Linotype" w:hAnsi="Palatino Linotype"/>
        </w:rPr>
        <w:t>Garantizar el adecuado uso</w:t>
      </w:r>
      <w:r>
        <w:rPr>
          <w:rFonts w:ascii="Palatino Linotype" w:hAnsi="Palatino Linotype"/>
        </w:rPr>
        <w:t>, mantenimiento</w:t>
      </w:r>
      <w:r w:rsidRPr="00965BC6">
        <w:rPr>
          <w:rFonts w:ascii="Palatino Linotype" w:hAnsi="Palatino Linotype"/>
        </w:rPr>
        <w:t xml:space="preserve"> y conservación de los espacios púb</w:t>
      </w:r>
      <w:r w:rsidR="00587B14">
        <w:rPr>
          <w:rFonts w:ascii="Palatino Linotype" w:hAnsi="Palatino Linotype"/>
        </w:rPr>
        <w:t>licos generados por el proyecto;</w:t>
      </w:r>
    </w:p>
    <w:p w:rsidR="00F27E0C" w:rsidRDefault="00F27E0C" w:rsidP="00F27E0C">
      <w:pPr>
        <w:pStyle w:val="Prrafodelista"/>
        <w:numPr>
          <w:ilvl w:val="0"/>
          <w:numId w:val="23"/>
        </w:numPr>
        <w:spacing w:before="240" w:after="0"/>
        <w:jc w:val="both"/>
        <w:rPr>
          <w:rFonts w:ascii="Palatino Linotype" w:hAnsi="Palatino Linotype"/>
        </w:rPr>
      </w:pPr>
      <w:r>
        <w:rPr>
          <w:rFonts w:ascii="Palatino Linotype" w:hAnsi="Palatino Linotype"/>
        </w:rPr>
        <w:t>Realizar, a su costo y bajo su responsabilidad técnica, las obras de integración de espacios pú</w:t>
      </w:r>
      <w:r w:rsidR="00587B14">
        <w:rPr>
          <w:rFonts w:ascii="Palatino Linotype" w:hAnsi="Palatino Linotype"/>
        </w:rPr>
        <w:t>blicos previstas en el proyecto;</w:t>
      </w:r>
    </w:p>
    <w:p w:rsidR="00C4643C" w:rsidRPr="00C4643C" w:rsidRDefault="00C4643C" w:rsidP="00C4643C">
      <w:pPr>
        <w:pStyle w:val="Prrafodelista"/>
        <w:numPr>
          <w:ilvl w:val="0"/>
          <w:numId w:val="23"/>
        </w:numPr>
        <w:spacing w:before="240" w:after="0"/>
        <w:jc w:val="both"/>
        <w:rPr>
          <w:rFonts w:ascii="Palatino Linotype" w:hAnsi="Palatino Linotype"/>
        </w:rPr>
      </w:pPr>
      <w:r w:rsidRPr="00C4643C">
        <w:rPr>
          <w:rFonts w:ascii="Palatino Linotype" w:hAnsi="Palatino Linotype"/>
        </w:rPr>
        <w:t xml:space="preserve">Realizar convenios con </w:t>
      </w:r>
      <w:r w:rsidR="00A47C5F">
        <w:rPr>
          <w:rFonts w:ascii="Palatino Linotype" w:hAnsi="Palatino Linotype"/>
        </w:rPr>
        <w:t>e</w:t>
      </w:r>
      <w:r w:rsidRPr="00C4643C">
        <w:rPr>
          <w:rFonts w:ascii="Palatino Linotype" w:hAnsi="Palatino Linotype"/>
        </w:rPr>
        <w:t xml:space="preserve">mpresas </w:t>
      </w:r>
      <w:r w:rsidR="00A47C5F">
        <w:rPr>
          <w:rFonts w:ascii="Palatino Linotype" w:hAnsi="Palatino Linotype"/>
        </w:rPr>
        <w:t>p</w:t>
      </w:r>
      <w:r w:rsidRPr="00C4643C">
        <w:rPr>
          <w:rFonts w:ascii="Palatino Linotype" w:hAnsi="Palatino Linotype"/>
        </w:rPr>
        <w:t xml:space="preserve">úblicas o </w:t>
      </w:r>
      <w:r w:rsidR="00A47C5F">
        <w:rPr>
          <w:rFonts w:ascii="Palatino Linotype" w:hAnsi="Palatino Linotype"/>
        </w:rPr>
        <w:t>p</w:t>
      </w:r>
      <w:r w:rsidRPr="00C4643C">
        <w:rPr>
          <w:rFonts w:ascii="Palatino Linotype" w:hAnsi="Palatino Linotype"/>
        </w:rPr>
        <w:t>rivadas interesadas en participar en el funcionamiento y administración de locales comerciales, los mismos que deberán ser de actividades compatibles con las funciones que se desarrollan en el edificio y que brinden también servicios al público, fuera de horario de oficina, para que la actividad en el espacio público y la plaza se mantenga</w:t>
      </w:r>
      <w:r w:rsidR="00587B14">
        <w:rPr>
          <w:rFonts w:ascii="Palatino Linotype" w:hAnsi="Palatino Linotype"/>
        </w:rPr>
        <w:t>;</w:t>
      </w:r>
    </w:p>
    <w:p w:rsidR="00C4643C" w:rsidRPr="00C4643C" w:rsidRDefault="00C4643C" w:rsidP="00C4643C">
      <w:pPr>
        <w:pStyle w:val="Prrafodelista"/>
        <w:numPr>
          <w:ilvl w:val="0"/>
          <w:numId w:val="23"/>
        </w:numPr>
        <w:spacing w:before="240" w:after="0"/>
        <w:jc w:val="both"/>
        <w:rPr>
          <w:rFonts w:ascii="Palatino Linotype" w:hAnsi="Palatino Linotype"/>
        </w:rPr>
      </w:pPr>
      <w:r w:rsidRPr="00C4643C">
        <w:rPr>
          <w:rFonts w:ascii="Palatino Linotype" w:hAnsi="Palatino Linotype"/>
        </w:rPr>
        <w:t>Buscar comodatarios públicos o privados para la administración de los</w:t>
      </w:r>
      <w:r w:rsidR="00587B14">
        <w:rPr>
          <w:rFonts w:ascii="Palatino Linotype" w:hAnsi="Palatino Linotype"/>
        </w:rPr>
        <w:t xml:space="preserve"> estacionamientos de visitantes;</w:t>
      </w:r>
    </w:p>
    <w:p w:rsidR="00C4643C" w:rsidRPr="00C4643C" w:rsidRDefault="004765C0" w:rsidP="00C4643C">
      <w:pPr>
        <w:pStyle w:val="Prrafodelista"/>
        <w:numPr>
          <w:ilvl w:val="0"/>
          <w:numId w:val="23"/>
        </w:numPr>
        <w:spacing w:before="240" w:after="0"/>
        <w:jc w:val="both"/>
        <w:rPr>
          <w:rFonts w:ascii="Palatino Linotype" w:hAnsi="Palatino Linotype"/>
        </w:rPr>
      </w:pPr>
      <w:r>
        <w:rPr>
          <w:rFonts w:ascii="Palatino Linotype" w:hAnsi="Palatino Linotype"/>
        </w:rPr>
        <w:t xml:space="preserve">Desarrollará el proyecto urbanístico </w:t>
      </w:r>
      <w:r w:rsidR="00C4643C" w:rsidRPr="00C4643C">
        <w:rPr>
          <w:rFonts w:ascii="Palatino Linotype" w:hAnsi="Palatino Linotype"/>
        </w:rPr>
        <w:t>arquitectónico y de ingenierías integral de la Calle Jorge Drom (entre las calles Juan José de Villalengua y Alfonso Pereira) para la recuperación del espacio público urbano que garantice condiciones de seguridad (iluminación) y movilidad peatonal y su integración con el Merc</w:t>
      </w:r>
      <w:r w:rsidR="00587B14">
        <w:rPr>
          <w:rFonts w:ascii="Palatino Linotype" w:hAnsi="Palatino Linotype"/>
        </w:rPr>
        <w:t>ado Iñaquito; y,</w:t>
      </w:r>
    </w:p>
    <w:p w:rsidR="00C4643C" w:rsidRPr="00C4643C" w:rsidRDefault="00C4643C" w:rsidP="00C4643C">
      <w:pPr>
        <w:pStyle w:val="Prrafodelista"/>
        <w:numPr>
          <w:ilvl w:val="0"/>
          <w:numId w:val="23"/>
        </w:numPr>
        <w:spacing w:before="240" w:after="0"/>
        <w:jc w:val="both"/>
        <w:rPr>
          <w:rFonts w:ascii="Palatino Linotype" w:hAnsi="Palatino Linotype"/>
        </w:rPr>
      </w:pPr>
      <w:r w:rsidRPr="00C4643C">
        <w:rPr>
          <w:rFonts w:ascii="Palatino Linotype" w:hAnsi="Palatino Linotype"/>
        </w:rPr>
        <w:lastRenderedPageBreak/>
        <w:t xml:space="preserve">Entregar un inventario de los edificios ocupados por la Función Judicial, dentro del Distrito Metropolitano de Quito, y la propuesta de uso al que van a ser destinadas las edificaciones de propiedad del Consejo de la Judicatura, posterior a la construcción de los Complejos Judiciales Norte y Sur. </w:t>
      </w:r>
    </w:p>
    <w:p w:rsidR="00D73E53" w:rsidRPr="000530CF" w:rsidRDefault="00D73E53" w:rsidP="00D73E53">
      <w:pPr>
        <w:spacing w:before="240" w:after="0"/>
        <w:jc w:val="both"/>
        <w:rPr>
          <w:rFonts w:ascii="Palatino Linotype" w:hAnsi="Palatino Linotype"/>
        </w:rPr>
      </w:pPr>
      <w:r>
        <w:rPr>
          <w:rFonts w:ascii="Palatino Linotype" w:hAnsi="Palatino Linotype"/>
          <w:b/>
        </w:rPr>
        <w:t>Disposición Transitoria Única</w:t>
      </w:r>
      <w:r w:rsidRPr="000530CF">
        <w:rPr>
          <w:rFonts w:ascii="Palatino Linotype" w:hAnsi="Palatino Linotype"/>
          <w:b/>
        </w:rPr>
        <w:t>.-</w:t>
      </w:r>
      <w:r w:rsidRPr="000530CF">
        <w:rPr>
          <w:rFonts w:ascii="Palatino Linotype" w:hAnsi="Palatino Linotype"/>
        </w:rPr>
        <w:t xml:space="preserve"> </w:t>
      </w:r>
      <w:r>
        <w:rPr>
          <w:rFonts w:ascii="Palatino Linotype" w:hAnsi="Palatino Linotype"/>
        </w:rPr>
        <w:t>E</w:t>
      </w:r>
      <w:r w:rsidRPr="000530CF">
        <w:rPr>
          <w:rFonts w:ascii="Palatino Linotype" w:hAnsi="Palatino Linotype"/>
        </w:rPr>
        <w:t xml:space="preserve">n caso de existir diferencia de área entre la escritura pública y el levantamiento topográfico georeferenciado del predio donde se implantará el proyecto, el </w:t>
      </w:r>
      <w:r>
        <w:rPr>
          <w:rFonts w:ascii="Palatino Linotype" w:hAnsi="Palatino Linotype"/>
        </w:rPr>
        <w:t>C</w:t>
      </w:r>
      <w:r w:rsidRPr="000530CF">
        <w:rPr>
          <w:rFonts w:ascii="Palatino Linotype" w:hAnsi="Palatino Linotype"/>
        </w:rPr>
        <w:t xml:space="preserve">onsejo de la </w:t>
      </w:r>
      <w:r>
        <w:rPr>
          <w:rFonts w:ascii="Palatino Linotype" w:hAnsi="Palatino Linotype"/>
        </w:rPr>
        <w:t>J</w:t>
      </w:r>
      <w:r w:rsidRPr="000530CF">
        <w:rPr>
          <w:rFonts w:ascii="Palatino Linotype" w:hAnsi="Palatino Linotype"/>
        </w:rPr>
        <w:t xml:space="preserve">udicatura se obliga a realizar el trámite </w:t>
      </w:r>
      <w:r>
        <w:rPr>
          <w:rFonts w:ascii="Palatino Linotype" w:hAnsi="Palatino Linotype"/>
        </w:rPr>
        <w:t>correspondiente de conformidad a lo previsto en la Ordenanza Metropolitana No. 269</w:t>
      </w:r>
      <w:r w:rsidRPr="000530CF">
        <w:rPr>
          <w:rFonts w:ascii="Palatino Linotype" w:hAnsi="Palatino Linotype"/>
        </w:rPr>
        <w:t xml:space="preserve">. </w:t>
      </w:r>
    </w:p>
    <w:p w:rsidR="00C4643C" w:rsidRPr="00C4643C" w:rsidRDefault="00C4643C" w:rsidP="00C4643C">
      <w:pPr>
        <w:spacing w:before="240" w:after="0"/>
        <w:rPr>
          <w:rFonts w:ascii="Palatino Linotype" w:hAnsi="Palatino Linotype"/>
        </w:rPr>
      </w:pPr>
      <w:r w:rsidRPr="00C4643C">
        <w:rPr>
          <w:rFonts w:ascii="Palatino Linotype" w:hAnsi="Palatino Linotype"/>
          <w:b/>
        </w:rPr>
        <w:t xml:space="preserve">Disposiciones Generales.- </w:t>
      </w:r>
    </w:p>
    <w:p w:rsidR="00C4643C" w:rsidRPr="00C4643C" w:rsidRDefault="00C4643C" w:rsidP="00A47C5F">
      <w:pPr>
        <w:tabs>
          <w:tab w:val="left" w:pos="6034"/>
        </w:tabs>
        <w:spacing w:before="240" w:after="0"/>
        <w:jc w:val="both"/>
        <w:rPr>
          <w:rFonts w:ascii="Palatino Linotype" w:hAnsi="Palatino Linotype"/>
        </w:rPr>
      </w:pPr>
      <w:r w:rsidRPr="00C4643C">
        <w:rPr>
          <w:rFonts w:ascii="Palatino Linotype" w:hAnsi="Palatino Linotype"/>
          <w:b/>
        </w:rPr>
        <w:t>Primera.-</w:t>
      </w:r>
      <w:r w:rsidRPr="00C4643C">
        <w:rPr>
          <w:rFonts w:ascii="Palatino Linotype" w:hAnsi="Palatino Linotype"/>
        </w:rPr>
        <w:t xml:space="preserve"> </w:t>
      </w:r>
      <w:r w:rsidR="00640061">
        <w:rPr>
          <w:rFonts w:ascii="Palatino Linotype" w:hAnsi="Palatino Linotype"/>
          <w:b/>
        </w:rPr>
        <w:t>Registro de p</w:t>
      </w:r>
      <w:r w:rsidR="00A47C5F">
        <w:rPr>
          <w:rFonts w:ascii="Palatino Linotype" w:hAnsi="Palatino Linotype"/>
          <w:b/>
        </w:rPr>
        <w:t>royectos.-</w:t>
      </w:r>
      <w:r w:rsidRPr="00C4643C">
        <w:rPr>
          <w:rFonts w:ascii="Palatino Linotype" w:hAnsi="Palatino Linotype"/>
          <w:b/>
        </w:rPr>
        <w:t xml:space="preserve"> </w:t>
      </w:r>
      <w:r w:rsidRPr="00C4643C">
        <w:rPr>
          <w:rFonts w:ascii="Palatino Linotype" w:hAnsi="Palatino Linotype"/>
        </w:rPr>
        <w:t>Para la presentación de los proyectos arquitectónicos, registro y emisión de licencias, el promotor deberá adjuntar los estudios de movilidad que contemplen y justifiquen las medidas de mitigación al impacto a la movilidad incluidas en el proyecto, aprobado por la instancia competente del Municipio del Distrito Metropolitano de Quito</w:t>
      </w:r>
      <w:r w:rsidR="00A47C5F">
        <w:rPr>
          <w:rFonts w:ascii="Palatino Linotype" w:hAnsi="Palatino Linotype"/>
        </w:rPr>
        <w:t>;</w:t>
      </w:r>
      <w:r w:rsidRPr="00C4643C">
        <w:rPr>
          <w:rFonts w:ascii="Palatino Linotype" w:hAnsi="Palatino Linotype"/>
        </w:rPr>
        <w:t xml:space="preserve"> y</w:t>
      </w:r>
      <w:r w:rsidR="00A47C5F">
        <w:rPr>
          <w:rFonts w:ascii="Palatino Linotype" w:hAnsi="Palatino Linotype"/>
        </w:rPr>
        <w:t>, se</w:t>
      </w:r>
      <w:r w:rsidRPr="00C4643C">
        <w:rPr>
          <w:rFonts w:ascii="Palatino Linotype" w:hAnsi="Palatino Linotype"/>
        </w:rPr>
        <w:t xml:space="preserve"> deberá cumplir con lo establecido en la normativa vigente.</w:t>
      </w:r>
    </w:p>
    <w:p w:rsidR="00C4643C" w:rsidRPr="00C4643C" w:rsidRDefault="00C4643C" w:rsidP="00A47C5F">
      <w:pPr>
        <w:tabs>
          <w:tab w:val="left" w:pos="6034"/>
        </w:tabs>
        <w:spacing w:before="240" w:after="0"/>
        <w:jc w:val="both"/>
        <w:rPr>
          <w:rFonts w:ascii="Palatino Linotype" w:hAnsi="Palatino Linotype"/>
        </w:rPr>
      </w:pPr>
      <w:r w:rsidRPr="00C4643C">
        <w:rPr>
          <w:rFonts w:ascii="Palatino Linotype" w:hAnsi="Palatino Linotype"/>
        </w:rPr>
        <w:t xml:space="preserve">Por tratarse de un proyecto público de relevancia nacional, deberá cumplir lo establecido en los artículos 82 y 83 de la Ordenanza </w:t>
      </w:r>
      <w:r w:rsidR="00A47C5F">
        <w:rPr>
          <w:rFonts w:ascii="Palatino Linotype" w:hAnsi="Palatino Linotype"/>
        </w:rPr>
        <w:t xml:space="preserve">Metropolitana No. </w:t>
      </w:r>
      <w:r w:rsidRPr="00C4643C">
        <w:rPr>
          <w:rFonts w:ascii="Palatino Linotype" w:hAnsi="Palatino Linotype"/>
        </w:rPr>
        <w:t>156</w:t>
      </w:r>
      <w:r w:rsidR="00A47C5F">
        <w:rPr>
          <w:rFonts w:ascii="Palatino Linotype" w:hAnsi="Palatino Linotype"/>
        </w:rPr>
        <w:t>,</w:t>
      </w:r>
      <w:r w:rsidRPr="00C4643C">
        <w:rPr>
          <w:rFonts w:ascii="Palatino Linotype" w:hAnsi="Palatino Linotype"/>
        </w:rPr>
        <w:t xml:space="preserve"> que establece el Régimen Administrativo del Suelo en el Di</w:t>
      </w:r>
      <w:r w:rsidR="00A47C5F">
        <w:rPr>
          <w:rFonts w:ascii="Palatino Linotype" w:hAnsi="Palatino Linotype"/>
        </w:rPr>
        <w:t>strito Metropolitano de Quito: d</w:t>
      </w:r>
      <w:r w:rsidRPr="00C4643C">
        <w:rPr>
          <w:rFonts w:ascii="Palatino Linotype" w:hAnsi="Palatino Linotype"/>
        </w:rPr>
        <w:t>e las Licencias Metropolitanas Urbanísticas, reformados</w:t>
      </w:r>
      <w:r w:rsidR="00A47C5F">
        <w:rPr>
          <w:rFonts w:ascii="Palatino Linotype" w:hAnsi="Palatino Linotype"/>
        </w:rPr>
        <w:t xml:space="preserve"> </w:t>
      </w:r>
      <w:r w:rsidRPr="00C4643C">
        <w:rPr>
          <w:rFonts w:ascii="Palatino Linotype" w:hAnsi="Palatino Linotype"/>
        </w:rPr>
        <w:t>por los artículos reenumerados 77 y 78, Parágrafo Cuarto “Del Control a las Intervenciones Constructivas Mayores”</w:t>
      </w:r>
      <w:r w:rsidR="00A47C5F">
        <w:rPr>
          <w:rFonts w:ascii="Palatino Linotype" w:hAnsi="Palatino Linotype"/>
        </w:rPr>
        <w:t>,</w:t>
      </w:r>
      <w:r w:rsidRPr="00C4643C">
        <w:rPr>
          <w:rFonts w:ascii="Palatino Linotype" w:hAnsi="Palatino Linotype"/>
        </w:rPr>
        <w:t xml:space="preserve"> de la Ordenanza </w:t>
      </w:r>
      <w:r w:rsidR="00A47C5F">
        <w:rPr>
          <w:rFonts w:ascii="Palatino Linotype" w:hAnsi="Palatino Linotype"/>
        </w:rPr>
        <w:t xml:space="preserve">Metropolitana </w:t>
      </w:r>
      <w:r w:rsidRPr="00C4643C">
        <w:rPr>
          <w:rFonts w:ascii="Palatino Linotype" w:hAnsi="Palatino Linotype"/>
        </w:rPr>
        <w:t>No. 433.</w:t>
      </w:r>
    </w:p>
    <w:p w:rsidR="00D73E53" w:rsidRDefault="00D73E53" w:rsidP="00D73E53">
      <w:pPr>
        <w:tabs>
          <w:tab w:val="left" w:pos="6034"/>
        </w:tabs>
        <w:spacing w:before="240" w:after="0"/>
        <w:jc w:val="both"/>
        <w:rPr>
          <w:rFonts w:ascii="Palatino Linotype" w:hAnsi="Palatino Linotype"/>
        </w:rPr>
      </w:pPr>
      <w:r w:rsidRPr="00965BC6">
        <w:rPr>
          <w:rFonts w:ascii="Palatino Linotype" w:hAnsi="Palatino Linotype"/>
          <w:b/>
        </w:rPr>
        <w:t>Segunda.-</w:t>
      </w:r>
      <w:r w:rsidRPr="00965BC6">
        <w:rPr>
          <w:rFonts w:ascii="Palatino Linotype" w:hAnsi="Palatino Linotype"/>
        </w:rPr>
        <w:t xml:space="preserve"> Los aspectos técnicos no previstos en la presente Ordenanza serán resueltos por la Secretaría responsable del territorio, hábitat y vivienda del Municipio del Distrito Metropolitano de Quito, de conformidad a la normativa vigente.</w:t>
      </w:r>
    </w:p>
    <w:p w:rsidR="00D73E53" w:rsidRDefault="00D73E53" w:rsidP="00D73E53">
      <w:pPr>
        <w:tabs>
          <w:tab w:val="left" w:pos="6034"/>
        </w:tabs>
        <w:spacing w:before="240" w:after="0"/>
        <w:jc w:val="both"/>
        <w:rPr>
          <w:rFonts w:ascii="Palatino Linotype" w:hAnsi="Palatino Linotype"/>
          <w:b/>
        </w:rPr>
      </w:pPr>
      <w:r>
        <w:rPr>
          <w:rFonts w:ascii="Palatino Linotype" w:hAnsi="Palatino Linotype"/>
          <w:b/>
        </w:rPr>
        <w:t xml:space="preserve">Tercera.- </w:t>
      </w:r>
      <w:r>
        <w:rPr>
          <w:rFonts w:ascii="Palatino Linotype" w:hAnsi="Palatino Linotype"/>
        </w:rPr>
        <w:t>Con</w:t>
      </w:r>
      <w:r w:rsidR="004765C0">
        <w:rPr>
          <w:rFonts w:ascii="Palatino Linotype" w:hAnsi="Palatino Linotype"/>
        </w:rPr>
        <w:t>siderando que el proyecto urbanístico</w:t>
      </w:r>
      <w:r>
        <w:rPr>
          <w:rFonts w:ascii="Palatino Linotype" w:hAnsi="Palatino Linotype"/>
        </w:rPr>
        <w:t xml:space="preserve"> arquitectónico especial que se aprueba por medio de la presente Ordenanza se implementará sobre importantes arterias de circulación para la ciudad, el Consejo de la Judicatura se obliga, de manera incondicional y bajo su costo, a la realización y construcción de toda obra de mitigación del impacto vehicular, presente y futuro, que le precisare el Municipio del Distrito Metropolitano de Quito. </w:t>
      </w:r>
      <w:r w:rsidRPr="00965BC6">
        <w:rPr>
          <w:rFonts w:ascii="Palatino Linotype" w:hAnsi="Palatino Linotype"/>
        </w:rPr>
        <w:t xml:space="preserve">Para la ejecución de las obras de mitigación de impactos a la movilidad </w:t>
      </w:r>
      <w:r>
        <w:rPr>
          <w:rFonts w:ascii="Palatino Linotype" w:hAnsi="Palatino Linotype"/>
        </w:rPr>
        <w:t xml:space="preserve">coordinarán las acciones que correspondan entre el Consejo de la Judicatura y </w:t>
      </w:r>
      <w:r w:rsidRPr="00965BC6">
        <w:rPr>
          <w:rFonts w:ascii="Palatino Linotype" w:hAnsi="Palatino Linotype"/>
        </w:rPr>
        <w:t>el Municipio del Distrito Metropolitano de Quito.</w:t>
      </w:r>
    </w:p>
    <w:p w:rsidR="00D73E53" w:rsidRDefault="00D73E53" w:rsidP="00D73E53">
      <w:pPr>
        <w:tabs>
          <w:tab w:val="left" w:pos="6034"/>
        </w:tabs>
        <w:spacing w:before="240" w:after="0"/>
        <w:jc w:val="both"/>
        <w:rPr>
          <w:rFonts w:ascii="Palatino Linotype" w:hAnsi="Palatino Linotype"/>
        </w:rPr>
      </w:pPr>
      <w:r>
        <w:rPr>
          <w:rFonts w:ascii="Palatino Linotype" w:hAnsi="Palatino Linotype"/>
          <w:b/>
        </w:rPr>
        <w:t xml:space="preserve">Cuarta.- </w:t>
      </w:r>
      <w:r>
        <w:rPr>
          <w:rFonts w:ascii="Palatino Linotype" w:hAnsi="Palatino Linotype"/>
        </w:rPr>
        <w:t xml:space="preserve">Por medio de la presente Ordenanza, y en atención a lo previsto en los artículos 416 y 417 del Código Orgánico de Organización Territorial, Autonomía y Descentralización, se deja expresa constancia que todos los espacios abiertos destinados para uso público pasan a pertenecer e integrarse </w:t>
      </w:r>
      <w:r>
        <w:rPr>
          <w:rFonts w:ascii="Palatino Linotype" w:hAnsi="Palatino Linotype"/>
        </w:rPr>
        <w:lastRenderedPageBreak/>
        <w:t xml:space="preserve">a los bienes municipales del Distrito Metropolitano de Quito, de manera particular, las bahías de carga y descarga y sus elementos constitutivos. </w:t>
      </w:r>
      <w:r w:rsidRPr="00965BC6">
        <w:rPr>
          <w:rFonts w:ascii="Palatino Linotype" w:hAnsi="Palatino Linotype"/>
        </w:rPr>
        <w:t xml:space="preserve">Para </w:t>
      </w:r>
      <w:r>
        <w:rPr>
          <w:rFonts w:ascii="Palatino Linotype" w:hAnsi="Palatino Linotype"/>
        </w:rPr>
        <w:t xml:space="preserve">el efecto, coordinarán las acciones que correspondan entre el Consejo de la Judicatura y </w:t>
      </w:r>
      <w:r w:rsidRPr="00965BC6">
        <w:rPr>
          <w:rFonts w:ascii="Palatino Linotype" w:hAnsi="Palatino Linotype"/>
        </w:rPr>
        <w:t>el Municipio del Distrito Metropolitano de Quito.</w:t>
      </w:r>
    </w:p>
    <w:p w:rsidR="00D73E53" w:rsidRPr="00D41EDF" w:rsidRDefault="00D73E53" w:rsidP="00D73E53">
      <w:pPr>
        <w:tabs>
          <w:tab w:val="left" w:pos="6034"/>
        </w:tabs>
        <w:spacing w:before="240" w:after="0"/>
        <w:jc w:val="both"/>
        <w:rPr>
          <w:rFonts w:ascii="Palatino Linotype" w:hAnsi="Palatino Linotype"/>
        </w:rPr>
      </w:pPr>
      <w:r w:rsidRPr="00D41EDF">
        <w:rPr>
          <w:rFonts w:ascii="Palatino Linotype" w:hAnsi="Palatino Linotype"/>
          <w:b/>
        </w:rPr>
        <w:t>Quinta.-</w:t>
      </w:r>
      <w:r>
        <w:rPr>
          <w:rFonts w:ascii="Palatino Linotype" w:hAnsi="Palatino Linotype"/>
          <w:b/>
        </w:rPr>
        <w:t xml:space="preserve"> </w:t>
      </w:r>
      <w:r w:rsidRPr="00D41EDF">
        <w:rPr>
          <w:rFonts w:ascii="Palatino Linotype" w:hAnsi="Palatino Linotype"/>
        </w:rPr>
        <w:t xml:space="preserve">El proyecto del </w:t>
      </w:r>
      <w:r>
        <w:rPr>
          <w:rFonts w:ascii="Palatino Linotype" w:hAnsi="Palatino Linotype"/>
        </w:rPr>
        <w:t>C</w:t>
      </w:r>
      <w:r w:rsidRPr="00D41EDF">
        <w:rPr>
          <w:rFonts w:ascii="Palatino Linotype" w:hAnsi="Palatino Linotype"/>
        </w:rPr>
        <w:t xml:space="preserve">omplejo </w:t>
      </w:r>
      <w:r>
        <w:rPr>
          <w:rFonts w:ascii="Palatino Linotype" w:hAnsi="Palatino Linotype"/>
        </w:rPr>
        <w:t>J</w:t>
      </w:r>
      <w:r w:rsidRPr="00D41EDF">
        <w:rPr>
          <w:rFonts w:ascii="Palatino Linotype" w:hAnsi="Palatino Linotype"/>
        </w:rPr>
        <w:t xml:space="preserve">udicial </w:t>
      </w:r>
      <w:r>
        <w:rPr>
          <w:rFonts w:ascii="Palatino Linotype" w:hAnsi="Palatino Linotype"/>
        </w:rPr>
        <w:t>Q</w:t>
      </w:r>
      <w:r w:rsidRPr="00D41EDF">
        <w:rPr>
          <w:rFonts w:ascii="Palatino Linotype" w:hAnsi="Palatino Linotype"/>
        </w:rPr>
        <w:t xml:space="preserve">uito </w:t>
      </w:r>
      <w:r>
        <w:rPr>
          <w:rFonts w:ascii="Palatino Linotype" w:hAnsi="Palatino Linotype"/>
        </w:rPr>
        <w:t xml:space="preserve">Norte </w:t>
      </w:r>
      <w:r w:rsidRPr="00D41EDF">
        <w:rPr>
          <w:rFonts w:ascii="Palatino Linotype" w:hAnsi="Palatino Linotype"/>
        </w:rPr>
        <w:t>deberá sujetarse a lo previsto en la normativa metropolitana, cumpliendo de manera especial las observaciones constantes en los informes técnicos de movilidad y ambiente.</w:t>
      </w:r>
    </w:p>
    <w:p w:rsidR="00FC60C9" w:rsidRPr="00E46905" w:rsidRDefault="00FC60C9" w:rsidP="00FC60C9">
      <w:pPr>
        <w:tabs>
          <w:tab w:val="left" w:pos="6034"/>
        </w:tabs>
        <w:spacing w:before="240" w:after="0"/>
        <w:jc w:val="both"/>
        <w:rPr>
          <w:rFonts w:ascii="Palatino Linotype" w:hAnsi="Palatino Linotype"/>
        </w:rPr>
      </w:pPr>
      <w:r>
        <w:rPr>
          <w:rFonts w:ascii="Palatino Linotype" w:hAnsi="Palatino Linotype"/>
          <w:b/>
        </w:rPr>
        <w:t>Sexta</w:t>
      </w:r>
      <w:r w:rsidRPr="00E46905">
        <w:rPr>
          <w:rFonts w:ascii="Palatino Linotype" w:hAnsi="Palatino Linotype"/>
          <w:b/>
        </w:rPr>
        <w:t xml:space="preserve">.- </w:t>
      </w:r>
      <w:r w:rsidRPr="00E46905">
        <w:rPr>
          <w:rFonts w:ascii="Palatino Linotype" w:hAnsi="Palatino Linotype"/>
        </w:rPr>
        <w:t>Se anexan a la presente Ordenanza, como parte integrante de la misma, los siguientes anexos:</w:t>
      </w:r>
    </w:p>
    <w:p w:rsidR="00A47C5F" w:rsidRPr="00A47C5F" w:rsidRDefault="00A47C5F" w:rsidP="00A47C5F">
      <w:pPr>
        <w:pStyle w:val="Prrafodelista"/>
        <w:numPr>
          <w:ilvl w:val="0"/>
          <w:numId w:val="27"/>
        </w:numPr>
        <w:spacing w:before="240" w:after="0"/>
        <w:ind w:left="714" w:hanging="357"/>
        <w:jc w:val="both"/>
        <w:rPr>
          <w:rFonts w:ascii="Palatino Linotype" w:hAnsi="Palatino Linotype"/>
        </w:rPr>
      </w:pPr>
      <w:r w:rsidRPr="00A47C5F">
        <w:rPr>
          <w:rFonts w:ascii="Palatino Linotype" w:hAnsi="Palatino Linotype"/>
        </w:rPr>
        <w:t>Diagr</w:t>
      </w:r>
      <w:r>
        <w:rPr>
          <w:rFonts w:ascii="Palatino Linotype" w:hAnsi="Palatino Linotype"/>
        </w:rPr>
        <w:t>ama referencial de implantación; y,</w:t>
      </w:r>
    </w:p>
    <w:p w:rsidR="00A47C5F" w:rsidRPr="00A47C5F" w:rsidRDefault="00A47C5F" w:rsidP="00A47C5F">
      <w:pPr>
        <w:pStyle w:val="Prrafodelista"/>
        <w:numPr>
          <w:ilvl w:val="0"/>
          <w:numId w:val="27"/>
        </w:numPr>
        <w:spacing w:before="240" w:after="0"/>
        <w:ind w:left="714" w:hanging="357"/>
        <w:jc w:val="both"/>
        <w:rPr>
          <w:rFonts w:ascii="Palatino Linotype" w:hAnsi="Palatino Linotype"/>
        </w:rPr>
      </w:pPr>
      <w:r w:rsidRPr="00A47C5F">
        <w:rPr>
          <w:rFonts w:ascii="Palatino Linotype" w:hAnsi="Palatino Linotype"/>
        </w:rPr>
        <w:t>Memoria técnica del proyecto con 211 hojas (documento 190 hojas y 21 de planos del proyecto).</w:t>
      </w:r>
    </w:p>
    <w:p w:rsidR="00C4643C" w:rsidRPr="00C4643C" w:rsidRDefault="00C4643C" w:rsidP="00A47C5F">
      <w:pPr>
        <w:spacing w:before="240" w:after="0"/>
        <w:jc w:val="both"/>
        <w:rPr>
          <w:rFonts w:ascii="Palatino Linotype" w:hAnsi="Palatino Linotype"/>
        </w:rPr>
      </w:pPr>
      <w:r w:rsidRPr="00C4643C">
        <w:rPr>
          <w:rFonts w:ascii="Palatino Linotype" w:hAnsi="Palatino Linotype"/>
          <w:b/>
        </w:rPr>
        <w:t>Disposición final.-</w:t>
      </w:r>
      <w:r w:rsidRPr="00C4643C">
        <w:rPr>
          <w:rFonts w:ascii="Palatino Linotype" w:hAnsi="Palatino Linotype"/>
        </w:rPr>
        <w:t xml:space="preserve">  Esta Ordenanza entrará en vigencia a partir de la fecha de su aprobación, sin perjuicio de su publicación en la Ga</w:t>
      </w:r>
      <w:bookmarkStart w:id="3" w:name="_GoBack"/>
      <w:bookmarkEnd w:id="3"/>
      <w:r w:rsidRPr="00C4643C">
        <w:rPr>
          <w:rFonts w:ascii="Palatino Linotype" w:hAnsi="Palatino Linotype"/>
        </w:rPr>
        <w:t xml:space="preserve">ceta Municipal y en el </w:t>
      </w:r>
      <w:r w:rsidR="00D400F6">
        <w:rPr>
          <w:rFonts w:ascii="Palatino Linotype" w:hAnsi="Palatino Linotype"/>
        </w:rPr>
        <w:t>dominio web institucional.</w:t>
      </w:r>
    </w:p>
    <w:p w:rsidR="00162999" w:rsidRPr="00C4643C" w:rsidRDefault="00162999" w:rsidP="00C4643C">
      <w:pPr>
        <w:spacing w:before="240" w:after="0"/>
        <w:jc w:val="both"/>
        <w:rPr>
          <w:rFonts w:ascii="Palatino Linotype" w:hAnsi="Palatino Linotype" w:cs="Arial"/>
        </w:rPr>
      </w:pPr>
      <w:r w:rsidRPr="00C4643C">
        <w:rPr>
          <w:rFonts w:ascii="Palatino Linotype" w:hAnsi="Palatino Linotype" w:cs="Arial"/>
        </w:rPr>
        <w:t xml:space="preserve">Dada, en la Sala de Sesiones del Concejo Metropolitano de Quito, el </w:t>
      </w:r>
      <w:r w:rsidR="001A0B19">
        <w:rPr>
          <w:rFonts w:ascii="Palatino Linotype" w:hAnsi="Palatino Linotype" w:cs="Arial"/>
        </w:rPr>
        <w:t>30</w:t>
      </w:r>
      <w:r w:rsidRPr="00C4643C">
        <w:rPr>
          <w:rFonts w:ascii="Palatino Linotype" w:hAnsi="Palatino Linotype" w:cs="Arial"/>
        </w:rPr>
        <w:t xml:space="preserve"> de </w:t>
      </w:r>
      <w:r w:rsidR="001A0B19">
        <w:rPr>
          <w:rFonts w:ascii="Palatino Linotype" w:hAnsi="Palatino Linotype" w:cs="Arial"/>
        </w:rPr>
        <w:t xml:space="preserve">octubre </w:t>
      </w:r>
      <w:r w:rsidRPr="00C4643C">
        <w:rPr>
          <w:rFonts w:ascii="Palatino Linotype" w:hAnsi="Palatino Linotype" w:cs="Arial"/>
        </w:rPr>
        <w:t>de 2014.</w:t>
      </w:r>
    </w:p>
    <w:p w:rsidR="00162999" w:rsidRPr="001A0B19" w:rsidRDefault="00162999" w:rsidP="00162999">
      <w:pPr>
        <w:pStyle w:val="Textopredeterminado"/>
        <w:shd w:val="clear" w:color="auto" w:fill="FFFFFF"/>
        <w:jc w:val="both"/>
        <w:rPr>
          <w:rFonts w:ascii="Palatino Linotype" w:hAnsi="Palatino Linotype" w:cs="Arial"/>
          <w:sz w:val="22"/>
          <w:szCs w:val="22"/>
          <w:lang w:val="es-EC"/>
        </w:rPr>
      </w:pPr>
    </w:p>
    <w:p w:rsidR="001A0B19" w:rsidRDefault="001A0B19" w:rsidP="00162999">
      <w:pPr>
        <w:pStyle w:val="Textopredeterminado"/>
        <w:shd w:val="clear" w:color="auto" w:fill="FFFFFF"/>
        <w:jc w:val="both"/>
        <w:rPr>
          <w:rFonts w:ascii="Palatino Linotype" w:hAnsi="Palatino Linotype" w:cs="Arial"/>
          <w:sz w:val="22"/>
          <w:szCs w:val="22"/>
          <w:lang w:val="es-ES"/>
        </w:rPr>
      </w:pPr>
    </w:p>
    <w:p w:rsidR="00587B14" w:rsidRDefault="00587B14" w:rsidP="00162999">
      <w:pPr>
        <w:pStyle w:val="Textopredeterminado"/>
        <w:shd w:val="clear" w:color="auto" w:fill="FFFFFF"/>
        <w:jc w:val="both"/>
        <w:rPr>
          <w:rFonts w:ascii="Palatino Linotype" w:hAnsi="Palatino Linotype" w:cs="Arial"/>
          <w:sz w:val="22"/>
          <w:szCs w:val="22"/>
          <w:lang w:val="es-ES"/>
        </w:rPr>
      </w:pPr>
    </w:p>
    <w:p w:rsidR="00680035" w:rsidRDefault="00680035" w:rsidP="00162999">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162999" w:rsidRPr="00680EAC" w:rsidTr="00000D92">
        <w:trPr>
          <w:jc w:val="center"/>
        </w:trPr>
        <w:tc>
          <w:tcPr>
            <w:tcW w:w="5575" w:type="dxa"/>
            <w:hideMark/>
          </w:tcPr>
          <w:p w:rsidR="00162999" w:rsidRPr="00680EAC" w:rsidRDefault="00162999" w:rsidP="00000D92">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162999" w:rsidRPr="00680EAC" w:rsidRDefault="00162999" w:rsidP="00000D92">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162999" w:rsidRPr="00680EAC" w:rsidRDefault="00162999" w:rsidP="00000D92">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162999" w:rsidRDefault="00162999" w:rsidP="00000D92">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162999" w:rsidRPr="00680EAC" w:rsidRDefault="00162999" w:rsidP="00000D92">
            <w:pPr>
              <w:pStyle w:val="Textopredeterminado"/>
              <w:jc w:val="center"/>
              <w:rPr>
                <w:rFonts w:ascii="Palatino Linotype" w:hAnsi="Palatino Linotype" w:cs="Arial"/>
                <w:b/>
                <w:sz w:val="19"/>
                <w:szCs w:val="19"/>
              </w:rPr>
            </w:pPr>
          </w:p>
        </w:tc>
      </w:tr>
    </w:tbl>
    <w:p w:rsidR="00162999" w:rsidRPr="003843CA" w:rsidRDefault="00162999" w:rsidP="00162999">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162999" w:rsidRPr="003843CA" w:rsidRDefault="00162999" w:rsidP="00162999">
      <w:pPr>
        <w:pStyle w:val="Textosinformato"/>
        <w:jc w:val="both"/>
        <w:rPr>
          <w:rFonts w:ascii="Palatino Linotype" w:eastAsia="MS Mincho" w:hAnsi="Palatino Linotype" w:cs="Arial"/>
          <w:sz w:val="22"/>
          <w:szCs w:val="22"/>
        </w:rPr>
      </w:pPr>
    </w:p>
    <w:p w:rsidR="00162999" w:rsidRPr="003843CA" w:rsidRDefault="00162999" w:rsidP="00162999">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1A0B19">
        <w:rPr>
          <w:rFonts w:ascii="Palatino Linotype" w:eastAsia="MS Mincho" w:hAnsi="Palatino Linotype" w:cs="Arial"/>
          <w:sz w:val="22"/>
          <w:szCs w:val="22"/>
        </w:rPr>
        <w:t>22</w:t>
      </w:r>
      <w:r>
        <w:rPr>
          <w:rFonts w:ascii="Palatino Linotype" w:eastAsia="MS Mincho" w:hAnsi="Palatino Linotype" w:cs="Arial"/>
          <w:sz w:val="22"/>
          <w:szCs w:val="22"/>
        </w:rPr>
        <w:t xml:space="preserve"> y </w:t>
      </w:r>
      <w:r w:rsidR="001A0B19">
        <w:rPr>
          <w:rFonts w:ascii="Palatino Linotype" w:eastAsia="MS Mincho" w:hAnsi="Palatino Linotype" w:cs="Arial"/>
          <w:sz w:val="22"/>
          <w:szCs w:val="22"/>
        </w:rPr>
        <w:t>30</w:t>
      </w:r>
      <w:r w:rsidRPr="003843CA">
        <w:rPr>
          <w:rFonts w:ascii="Palatino Linotype" w:eastAsia="MS Mincho" w:hAnsi="Palatino Linotype" w:cs="Arial"/>
          <w:sz w:val="22"/>
          <w:szCs w:val="22"/>
        </w:rPr>
        <w:t xml:space="preserve"> de </w:t>
      </w:r>
      <w:r w:rsidR="001A0B19">
        <w:rPr>
          <w:rFonts w:ascii="Palatino Linotype" w:eastAsia="MS Mincho" w:hAnsi="Palatino Linotype" w:cs="Arial"/>
          <w:sz w:val="22"/>
          <w:szCs w:val="22"/>
        </w:rPr>
        <w:t xml:space="preserve">octubre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4</w:t>
      </w:r>
      <w:r w:rsidRPr="003843CA">
        <w:rPr>
          <w:rFonts w:ascii="Palatino Linotype" w:eastAsia="MS Mincho" w:hAnsi="Palatino Linotype" w:cs="Arial"/>
          <w:sz w:val="22"/>
          <w:szCs w:val="22"/>
        </w:rPr>
        <w:t>.- Quito,</w:t>
      </w:r>
    </w:p>
    <w:p w:rsidR="00162999" w:rsidRDefault="00162999" w:rsidP="00162999">
      <w:pPr>
        <w:pStyle w:val="Textosinformato"/>
        <w:jc w:val="both"/>
        <w:rPr>
          <w:rFonts w:ascii="Palatino Linotype" w:eastAsia="MS Mincho" w:hAnsi="Palatino Linotype" w:cs="Arial"/>
          <w:sz w:val="22"/>
          <w:szCs w:val="22"/>
        </w:rPr>
      </w:pPr>
    </w:p>
    <w:p w:rsidR="00D400F6" w:rsidRDefault="00D400F6" w:rsidP="00162999">
      <w:pPr>
        <w:pStyle w:val="Textosinformato"/>
        <w:jc w:val="both"/>
        <w:rPr>
          <w:rFonts w:ascii="Palatino Linotype" w:eastAsia="MS Mincho" w:hAnsi="Palatino Linotype" w:cs="Arial"/>
          <w:sz w:val="22"/>
          <w:szCs w:val="22"/>
        </w:rPr>
      </w:pPr>
    </w:p>
    <w:p w:rsidR="00A47C5F" w:rsidRDefault="00A47C5F" w:rsidP="00162999">
      <w:pPr>
        <w:pStyle w:val="Textosinformato"/>
        <w:jc w:val="both"/>
        <w:rPr>
          <w:rFonts w:ascii="Palatino Linotype" w:eastAsia="MS Mincho" w:hAnsi="Palatino Linotype" w:cs="Arial"/>
          <w:sz w:val="22"/>
          <w:szCs w:val="22"/>
        </w:rPr>
      </w:pPr>
    </w:p>
    <w:p w:rsidR="001A0B19" w:rsidRDefault="001A0B19" w:rsidP="00162999">
      <w:pPr>
        <w:pStyle w:val="Textosinformato"/>
        <w:jc w:val="both"/>
        <w:rPr>
          <w:rFonts w:ascii="Palatino Linotype" w:eastAsia="MS Mincho" w:hAnsi="Palatino Linotype" w:cs="Arial"/>
          <w:sz w:val="22"/>
          <w:szCs w:val="22"/>
        </w:rPr>
      </w:pPr>
    </w:p>
    <w:p w:rsidR="00680035" w:rsidRDefault="00680035" w:rsidP="00162999">
      <w:pPr>
        <w:pStyle w:val="Textosinformato"/>
        <w:jc w:val="both"/>
        <w:rPr>
          <w:rFonts w:ascii="Palatino Linotype" w:eastAsia="MS Mincho" w:hAnsi="Palatino Linotype" w:cs="Arial"/>
          <w:sz w:val="22"/>
          <w:szCs w:val="22"/>
        </w:rPr>
      </w:pPr>
    </w:p>
    <w:p w:rsidR="00162999" w:rsidRPr="003843CA" w:rsidRDefault="00162999" w:rsidP="00162999">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162999" w:rsidRDefault="00162999" w:rsidP="00162999">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162999" w:rsidRDefault="00162999" w:rsidP="00162999">
      <w:pPr>
        <w:pStyle w:val="Textosinformato"/>
        <w:jc w:val="center"/>
        <w:rPr>
          <w:rFonts w:ascii="Palatino Linotype" w:eastAsia="MS Mincho" w:hAnsi="Palatino Linotype" w:cs="Arial"/>
          <w:sz w:val="22"/>
          <w:szCs w:val="22"/>
        </w:rPr>
      </w:pPr>
    </w:p>
    <w:p w:rsidR="00680035" w:rsidRDefault="00680035" w:rsidP="00162999">
      <w:pPr>
        <w:pStyle w:val="Textosinformato"/>
        <w:jc w:val="center"/>
        <w:rPr>
          <w:rFonts w:ascii="Palatino Linotype" w:eastAsia="MS Mincho" w:hAnsi="Palatino Linotype" w:cs="Arial"/>
          <w:sz w:val="22"/>
          <w:szCs w:val="22"/>
        </w:rPr>
      </w:pPr>
    </w:p>
    <w:p w:rsidR="00680035" w:rsidRDefault="00680035" w:rsidP="00162999">
      <w:pPr>
        <w:pStyle w:val="Textosinformato"/>
        <w:jc w:val="center"/>
        <w:rPr>
          <w:rFonts w:ascii="Palatino Linotype" w:eastAsia="MS Mincho" w:hAnsi="Palatino Linotype" w:cs="Arial"/>
          <w:sz w:val="22"/>
          <w:szCs w:val="22"/>
        </w:rPr>
      </w:pPr>
    </w:p>
    <w:p w:rsidR="00680035" w:rsidRDefault="00680035" w:rsidP="00162999">
      <w:pPr>
        <w:pStyle w:val="Textosinformato"/>
        <w:jc w:val="center"/>
        <w:rPr>
          <w:rFonts w:ascii="Palatino Linotype" w:eastAsia="MS Mincho" w:hAnsi="Palatino Linotype" w:cs="Arial"/>
          <w:sz w:val="22"/>
          <w:szCs w:val="22"/>
        </w:rPr>
      </w:pPr>
    </w:p>
    <w:p w:rsidR="00680035" w:rsidRDefault="00680035" w:rsidP="00162999">
      <w:pPr>
        <w:pStyle w:val="Textosinformato"/>
        <w:jc w:val="center"/>
        <w:rPr>
          <w:rFonts w:ascii="Palatino Linotype" w:eastAsia="MS Mincho" w:hAnsi="Palatino Linotype" w:cs="Arial"/>
          <w:sz w:val="22"/>
          <w:szCs w:val="22"/>
        </w:rPr>
      </w:pPr>
    </w:p>
    <w:p w:rsidR="00680035" w:rsidRPr="003843CA" w:rsidRDefault="00680035" w:rsidP="00162999">
      <w:pPr>
        <w:pStyle w:val="Textosinformato"/>
        <w:jc w:val="center"/>
        <w:rPr>
          <w:rFonts w:ascii="Palatino Linotype" w:eastAsia="MS Mincho" w:hAnsi="Palatino Linotype" w:cs="Arial"/>
          <w:sz w:val="22"/>
          <w:szCs w:val="22"/>
        </w:rPr>
      </w:pPr>
    </w:p>
    <w:p w:rsidR="00162999" w:rsidRPr="003843CA" w:rsidRDefault="00162999" w:rsidP="00162999">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162999" w:rsidRDefault="00162999" w:rsidP="00162999">
      <w:pPr>
        <w:pStyle w:val="Textosinformato"/>
        <w:jc w:val="center"/>
        <w:rPr>
          <w:rFonts w:ascii="Palatino Linotype" w:eastAsia="MS Mincho" w:hAnsi="Palatino Linotype" w:cs="Arial"/>
          <w:b/>
          <w:sz w:val="22"/>
          <w:szCs w:val="22"/>
        </w:rPr>
      </w:pPr>
    </w:p>
    <w:p w:rsidR="00162999" w:rsidRPr="003843CA" w:rsidRDefault="00162999" w:rsidP="00162999">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162999" w:rsidRPr="003843CA" w:rsidRDefault="00162999" w:rsidP="00162999">
      <w:pPr>
        <w:pStyle w:val="Textosinformato"/>
        <w:jc w:val="center"/>
        <w:rPr>
          <w:rFonts w:ascii="Palatino Linotype" w:eastAsia="MS Mincho" w:hAnsi="Palatino Linotype" w:cs="Arial"/>
          <w:sz w:val="22"/>
          <w:szCs w:val="22"/>
        </w:rPr>
      </w:pPr>
    </w:p>
    <w:p w:rsidR="00162999" w:rsidRDefault="00162999" w:rsidP="00162999">
      <w:pPr>
        <w:pStyle w:val="Textosinformato"/>
        <w:jc w:val="center"/>
        <w:rPr>
          <w:rFonts w:ascii="Palatino Linotype" w:eastAsia="MS Mincho" w:hAnsi="Palatino Linotype" w:cs="Arial"/>
          <w:sz w:val="22"/>
          <w:szCs w:val="22"/>
        </w:rPr>
      </w:pPr>
    </w:p>
    <w:p w:rsidR="007038F9" w:rsidRDefault="007038F9" w:rsidP="00162999">
      <w:pPr>
        <w:pStyle w:val="Textosinformato"/>
        <w:jc w:val="center"/>
        <w:rPr>
          <w:rFonts w:ascii="Palatino Linotype" w:eastAsia="MS Mincho" w:hAnsi="Palatino Linotype" w:cs="Arial"/>
          <w:sz w:val="22"/>
          <w:szCs w:val="22"/>
        </w:rPr>
      </w:pPr>
    </w:p>
    <w:p w:rsidR="001A0B19" w:rsidRDefault="001A0B19" w:rsidP="00162999">
      <w:pPr>
        <w:pStyle w:val="Textosinformato"/>
        <w:jc w:val="center"/>
        <w:rPr>
          <w:rFonts w:ascii="Palatino Linotype" w:eastAsia="MS Mincho" w:hAnsi="Palatino Linotype" w:cs="Arial"/>
          <w:sz w:val="22"/>
          <w:szCs w:val="22"/>
        </w:rPr>
      </w:pPr>
    </w:p>
    <w:p w:rsidR="00162999" w:rsidRPr="003843CA" w:rsidRDefault="00162999" w:rsidP="00162999">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162999" w:rsidRPr="003843CA" w:rsidRDefault="00162999" w:rsidP="00162999">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162999" w:rsidRPr="003843CA" w:rsidRDefault="00162999" w:rsidP="00162999">
      <w:pPr>
        <w:pStyle w:val="Textosinformato"/>
        <w:jc w:val="center"/>
        <w:rPr>
          <w:rFonts w:ascii="Palatino Linotype" w:eastAsia="MS Mincho" w:hAnsi="Palatino Linotype" w:cs="Arial"/>
          <w:sz w:val="22"/>
          <w:szCs w:val="22"/>
        </w:rPr>
      </w:pPr>
    </w:p>
    <w:p w:rsidR="00162999" w:rsidRDefault="00162999" w:rsidP="00162999">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162999" w:rsidRPr="003843CA" w:rsidRDefault="00162999" w:rsidP="00162999">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162999" w:rsidRPr="003843CA" w:rsidRDefault="00162999" w:rsidP="00162999">
      <w:pPr>
        <w:pStyle w:val="Textosinformato"/>
        <w:jc w:val="center"/>
        <w:rPr>
          <w:rFonts w:ascii="Palatino Linotype" w:eastAsia="MS Mincho" w:hAnsi="Palatino Linotype" w:cs="Arial"/>
          <w:sz w:val="22"/>
          <w:szCs w:val="22"/>
        </w:rPr>
      </w:pPr>
    </w:p>
    <w:p w:rsidR="00162999" w:rsidRDefault="00162999" w:rsidP="00162999">
      <w:pPr>
        <w:pStyle w:val="Textosinformato"/>
        <w:jc w:val="center"/>
        <w:rPr>
          <w:rFonts w:ascii="Palatino Linotype" w:eastAsia="MS Mincho" w:hAnsi="Palatino Linotype" w:cs="Arial"/>
          <w:sz w:val="22"/>
          <w:szCs w:val="22"/>
        </w:rPr>
      </w:pPr>
    </w:p>
    <w:p w:rsidR="00162999" w:rsidRDefault="00162999" w:rsidP="00162999">
      <w:pPr>
        <w:pStyle w:val="Textosinformato"/>
        <w:jc w:val="center"/>
        <w:rPr>
          <w:rFonts w:ascii="Palatino Linotype" w:eastAsia="MS Mincho" w:hAnsi="Palatino Linotype" w:cs="Arial"/>
          <w:sz w:val="22"/>
          <w:szCs w:val="22"/>
        </w:rPr>
      </w:pPr>
    </w:p>
    <w:p w:rsidR="00587B14" w:rsidRDefault="00587B14" w:rsidP="00162999">
      <w:pPr>
        <w:pStyle w:val="Textosinformato"/>
        <w:jc w:val="center"/>
        <w:rPr>
          <w:rFonts w:ascii="Palatino Linotype" w:eastAsia="MS Mincho" w:hAnsi="Palatino Linotype" w:cs="Arial"/>
          <w:sz w:val="22"/>
          <w:szCs w:val="22"/>
        </w:rPr>
      </w:pPr>
    </w:p>
    <w:p w:rsidR="001A0B19" w:rsidRPr="003843CA" w:rsidRDefault="001A0B19" w:rsidP="00162999">
      <w:pPr>
        <w:pStyle w:val="Textosinformato"/>
        <w:jc w:val="center"/>
        <w:rPr>
          <w:rFonts w:ascii="Palatino Linotype" w:eastAsia="MS Mincho" w:hAnsi="Palatino Linotype" w:cs="Arial"/>
          <w:sz w:val="22"/>
          <w:szCs w:val="22"/>
        </w:rPr>
      </w:pPr>
    </w:p>
    <w:p w:rsidR="00162999" w:rsidRPr="003843CA" w:rsidRDefault="00162999" w:rsidP="00162999">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EC12CF" w:rsidRDefault="00162999" w:rsidP="00562C04">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B02450" w:rsidRPr="001A0B19" w:rsidRDefault="001A0B19" w:rsidP="001A0B19">
      <w:pPr>
        <w:pStyle w:val="Textosinformato"/>
        <w:rPr>
          <w:rFonts w:ascii="Palatino Linotype" w:eastAsia="MS Mincho" w:hAnsi="Palatino Linotype" w:cs="Arial"/>
          <w:b/>
          <w:bCs/>
          <w:sz w:val="14"/>
          <w:szCs w:val="14"/>
        </w:rPr>
      </w:pPr>
      <w:r>
        <w:rPr>
          <w:rFonts w:ascii="Palatino Linotype" w:eastAsia="MS Mincho" w:hAnsi="Palatino Linotype" w:cs="Arial"/>
          <w:b/>
          <w:bCs/>
          <w:sz w:val="14"/>
          <w:szCs w:val="14"/>
        </w:rPr>
        <w:t>DSCS</w:t>
      </w:r>
    </w:p>
    <w:p w:rsidR="00B02450" w:rsidRDefault="00B02450" w:rsidP="00562C04">
      <w:pPr>
        <w:pStyle w:val="Textosinformato"/>
        <w:jc w:val="center"/>
        <w:rPr>
          <w:rFonts w:ascii="Palatino Linotype" w:eastAsia="MS Mincho" w:hAnsi="Palatino Linotype" w:cs="Arial"/>
          <w:b/>
          <w:bCs/>
          <w:sz w:val="22"/>
          <w:szCs w:val="22"/>
        </w:rPr>
      </w:pPr>
    </w:p>
    <w:p w:rsidR="00587B14" w:rsidRDefault="00587B14" w:rsidP="00562C04">
      <w:pPr>
        <w:pStyle w:val="Textosinformato"/>
        <w:jc w:val="center"/>
        <w:rPr>
          <w:rFonts w:ascii="Palatino Linotype" w:eastAsia="MS Mincho" w:hAnsi="Palatino Linotype" w:cs="Arial"/>
          <w:b/>
          <w:bCs/>
          <w:sz w:val="22"/>
          <w:szCs w:val="22"/>
        </w:rPr>
      </w:pPr>
    </w:p>
    <w:p w:rsidR="00587B14" w:rsidRDefault="00587B14" w:rsidP="00562C04">
      <w:pPr>
        <w:pStyle w:val="Textosinformato"/>
        <w:jc w:val="center"/>
        <w:rPr>
          <w:rFonts w:ascii="Palatino Linotype" w:eastAsia="MS Mincho" w:hAnsi="Palatino Linotype" w:cs="Arial"/>
          <w:b/>
          <w:bCs/>
          <w:sz w:val="22"/>
          <w:szCs w:val="22"/>
        </w:rPr>
      </w:pPr>
    </w:p>
    <w:p w:rsidR="00587B14" w:rsidRDefault="00587B14" w:rsidP="00562C04">
      <w:pPr>
        <w:pStyle w:val="Textosinformato"/>
        <w:jc w:val="center"/>
        <w:rPr>
          <w:rFonts w:ascii="Palatino Linotype" w:eastAsia="MS Mincho" w:hAnsi="Palatino Linotype" w:cs="Arial"/>
          <w:b/>
          <w:bCs/>
          <w:sz w:val="22"/>
          <w:szCs w:val="22"/>
        </w:rPr>
      </w:pPr>
    </w:p>
    <w:p w:rsidR="00587B14" w:rsidRDefault="00587B14" w:rsidP="00562C04">
      <w:pPr>
        <w:pStyle w:val="Textosinformato"/>
        <w:jc w:val="center"/>
        <w:rPr>
          <w:rFonts w:ascii="Palatino Linotype" w:eastAsia="MS Mincho" w:hAnsi="Palatino Linotype" w:cs="Arial"/>
          <w:b/>
          <w:bCs/>
          <w:sz w:val="22"/>
          <w:szCs w:val="22"/>
        </w:rPr>
      </w:pPr>
    </w:p>
    <w:p w:rsidR="00587B14" w:rsidRDefault="00587B14" w:rsidP="00562C04">
      <w:pPr>
        <w:pStyle w:val="Textosinformato"/>
        <w:jc w:val="center"/>
        <w:rPr>
          <w:rFonts w:ascii="Palatino Linotype" w:eastAsia="MS Mincho" w:hAnsi="Palatino Linotype" w:cs="Arial"/>
          <w:b/>
          <w:bCs/>
          <w:sz w:val="22"/>
          <w:szCs w:val="22"/>
        </w:rPr>
      </w:pPr>
    </w:p>
    <w:p w:rsidR="00587B14" w:rsidRDefault="00587B14" w:rsidP="00562C04">
      <w:pPr>
        <w:pStyle w:val="Textosinformato"/>
        <w:jc w:val="center"/>
        <w:rPr>
          <w:rFonts w:ascii="Palatino Linotype" w:eastAsia="MS Mincho" w:hAnsi="Palatino Linotype" w:cs="Arial"/>
          <w:b/>
          <w:bCs/>
          <w:sz w:val="22"/>
          <w:szCs w:val="22"/>
        </w:rPr>
      </w:pPr>
    </w:p>
    <w:p w:rsidR="00587B14" w:rsidRDefault="00587B14" w:rsidP="00562C04">
      <w:pPr>
        <w:pStyle w:val="Textosinformato"/>
        <w:jc w:val="center"/>
        <w:rPr>
          <w:rFonts w:ascii="Palatino Linotype" w:eastAsia="MS Mincho" w:hAnsi="Palatino Linotype" w:cs="Arial"/>
          <w:b/>
          <w:bCs/>
          <w:sz w:val="22"/>
          <w:szCs w:val="22"/>
        </w:rPr>
      </w:pPr>
    </w:p>
    <w:p w:rsidR="00587B14" w:rsidRDefault="00587B14" w:rsidP="00562C04">
      <w:pPr>
        <w:pStyle w:val="Textosinformato"/>
        <w:jc w:val="center"/>
        <w:rPr>
          <w:rFonts w:ascii="Palatino Linotype" w:eastAsia="MS Mincho" w:hAnsi="Palatino Linotype" w:cs="Arial"/>
          <w:b/>
          <w:bCs/>
          <w:sz w:val="22"/>
          <w:szCs w:val="22"/>
        </w:rPr>
      </w:pPr>
    </w:p>
    <w:p w:rsidR="00587B14" w:rsidRDefault="00587B14" w:rsidP="00562C04">
      <w:pPr>
        <w:pStyle w:val="Textosinformato"/>
        <w:jc w:val="center"/>
        <w:rPr>
          <w:rFonts w:ascii="Palatino Linotype" w:eastAsia="MS Mincho" w:hAnsi="Palatino Linotype" w:cs="Arial"/>
          <w:b/>
          <w:bCs/>
          <w:sz w:val="22"/>
          <w:szCs w:val="22"/>
        </w:rPr>
      </w:pPr>
    </w:p>
    <w:p w:rsidR="00587B14" w:rsidRDefault="00587B14" w:rsidP="00562C04">
      <w:pPr>
        <w:pStyle w:val="Textosinformato"/>
        <w:jc w:val="center"/>
        <w:rPr>
          <w:rFonts w:ascii="Palatino Linotype" w:eastAsia="MS Mincho" w:hAnsi="Palatino Linotype" w:cs="Arial"/>
          <w:b/>
          <w:bCs/>
          <w:sz w:val="22"/>
          <w:szCs w:val="22"/>
        </w:rPr>
      </w:pPr>
    </w:p>
    <w:p w:rsidR="00587B14" w:rsidRDefault="00587B14" w:rsidP="00562C04">
      <w:pPr>
        <w:pStyle w:val="Textosinformato"/>
        <w:jc w:val="center"/>
        <w:rPr>
          <w:rFonts w:ascii="Palatino Linotype" w:eastAsia="MS Mincho" w:hAnsi="Palatino Linotype" w:cs="Arial"/>
          <w:b/>
          <w:bCs/>
          <w:sz w:val="22"/>
          <w:szCs w:val="22"/>
        </w:rPr>
      </w:pPr>
    </w:p>
    <w:p w:rsidR="00587B14" w:rsidRDefault="00587B14" w:rsidP="00562C04">
      <w:pPr>
        <w:pStyle w:val="Textosinformato"/>
        <w:jc w:val="center"/>
        <w:rPr>
          <w:rFonts w:ascii="Palatino Linotype" w:eastAsia="MS Mincho" w:hAnsi="Palatino Linotype" w:cs="Arial"/>
          <w:b/>
          <w:bCs/>
          <w:sz w:val="22"/>
          <w:szCs w:val="22"/>
        </w:rPr>
      </w:pPr>
    </w:p>
    <w:p w:rsidR="00587B14" w:rsidRDefault="00587B14" w:rsidP="00562C04">
      <w:pPr>
        <w:pStyle w:val="Textosinformato"/>
        <w:jc w:val="center"/>
        <w:rPr>
          <w:rFonts w:ascii="Palatino Linotype" w:eastAsia="MS Mincho" w:hAnsi="Palatino Linotype" w:cs="Arial"/>
          <w:b/>
          <w:bCs/>
          <w:sz w:val="22"/>
          <w:szCs w:val="22"/>
        </w:rPr>
      </w:pPr>
    </w:p>
    <w:p w:rsidR="00587B14" w:rsidRDefault="00587B14" w:rsidP="00562C04">
      <w:pPr>
        <w:pStyle w:val="Textosinformato"/>
        <w:jc w:val="center"/>
        <w:rPr>
          <w:rFonts w:ascii="Palatino Linotype" w:eastAsia="MS Mincho" w:hAnsi="Palatino Linotype" w:cs="Arial"/>
          <w:b/>
          <w:bCs/>
          <w:sz w:val="22"/>
          <w:szCs w:val="22"/>
        </w:rPr>
      </w:pPr>
    </w:p>
    <w:p w:rsidR="00587B14" w:rsidRDefault="00587B14" w:rsidP="00562C04">
      <w:pPr>
        <w:pStyle w:val="Textosinformato"/>
        <w:jc w:val="center"/>
        <w:rPr>
          <w:rFonts w:ascii="Palatino Linotype" w:eastAsia="MS Mincho" w:hAnsi="Palatino Linotype" w:cs="Arial"/>
          <w:b/>
          <w:bCs/>
          <w:sz w:val="22"/>
          <w:szCs w:val="22"/>
        </w:rPr>
      </w:pPr>
    </w:p>
    <w:p w:rsidR="00587B14" w:rsidRDefault="00587B14" w:rsidP="00562C04">
      <w:pPr>
        <w:pStyle w:val="Textosinformato"/>
        <w:jc w:val="center"/>
        <w:rPr>
          <w:rFonts w:ascii="Palatino Linotype" w:eastAsia="MS Mincho" w:hAnsi="Palatino Linotype" w:cs="Arial"/>
          <w:b/>
          <w:bCs/>
          <w:sz w:val="22"/>
          <w:szCs w:val="22"/>
        </w:rPr>
      </w:pPr>
    </w:p>
    <w:p w:rsidR="00587B14" w:rsidRDefault="00587B14" w:rsidP="00562C04">
      <w:pPr>
        <w:pStyle w:val="Textosinformato"/>
        <w:jc w:val="center"/>
        <w:rPr>
          <w:rFonts w:ascii="Palatino Linotype" w:eastAsia="MS Mincho" w:hAnsi="Palatino Linotype" w:cs="Arial"/>
          <w:b/>
          <w:bCs/>
          <w:sz w:val="22"/>
          <w:szCs w:val="22"/>
        </w:rPr>
      </w:pPr>
    </w:p>
    <w:p w:rsidR="00587B14" w:rsidRDefault="00587B14" w:rsidP="00562C04">
      <w:pPr>
        <w:pStyle w:val="Textosinformato"/>
        <w:jc w:val="center"/>
        <w:rPr>
          <w:rFonts w:ascii="Palatino Linotype" w:eastAsia="MS Mincho" w:hAnsi="Palatino Linotype" w:cs="Arial"/>
          <w:b/>
          <w:bCs/>
          <w:sz w:val="22"/>
          <w:szCs w:val="22"/>
        </w:rPr>
      </w:pPr>
    </w:p>
    <w:p w:rsidR="00587B14" w:rsidRDefault="00587B14" w:rsidP="00562C04">
      <w:pPr>
        <w:pStyle w:val="Textosinformato"/>
        <w:jc w:val="center"/>
        <w:rPr>
          <w:rFonts w:ascii="Palatino Linotype" w:eastAsia="MS Mincho" w:hAnsi="Palatino Linotype" w:cs="Arial"/>
          <w:b/>
          <w:bCs/>
          <w:sz w:val="22"/>
          <w:szCs w:val="22"/>
        </w:rPr>
      </w:pPr>
    </w:p>
    <w:p w:rsidR="00587B14" w:rsidRDefault="00587B14" w:rsidP="00562C04">
      <w:pPr>
        <w:pStyle w:val="Textosinformato"/>
        <w:jc w:val="center"/>
        <w:rPr>
          <w:rFonts w:ascii="Palatino Linotype" w:eastAsia="MS Mincho" w:hAnsi="Palatino Linotype" w:cs="Arial"/>
          <w:b/>
          <w:bCs/>
          <w:sz w:val="22"/>
          <w:szCs w:val="22"/>
        </w:rPr>
        <w:sectPr w:rsidR="00587B14" w:rsidSect="00587B14">
          <w:headerReference w:type="default" r:id="rId10"/>
          <w:footerReference w:type="default" r:id="rId11"/>
          <w:pgSz w:w="12240" w:h="15840"/>
          <w:pgMar w:top="1417" w:right="1041" w:bottom="709" w:left="1276" w:header="708" w:footer="119" w:gutter="0"/>
          <w:pgNumType w:start="1"/>
          <w:cols w:space="708"/>
          <w:docGrid w:linePitch="360"/>
        </w:sectPr>
      </w:pPr>
    </w:p>
    <w:p w:rsidR="00587B14" w:rsidRDefault="00587B14" w:rsidP="00587B14">
      <w:pPr>
        <w:pStyle w:val="Textosinformato"/>
        <w:tabs>
          <w:tab w:val="left" w:pos="8975"/>
        </w:tabs>
        <w:rPr>
          <w:rFonts w:ascii="Palatino Linotype" w:eastAsia="MS Mincho" w:hAnsi="Palatino Linotype" w:cs="Arial"/>
          <w:b/>
          <w:bCs/>
          <w:sz w:val="22"/>
          <w:szCs w:val="22"/>
        </w:rPr>
      </w:pPr>
    </w:p>
    <w:p w:rsidR="00B02450" w:rsidRPr="00B02450" w:rsidRDefault="00B02450" w:rsidP="00587B14">
      <w:pPr>
        <w:pStyle w:val="Textosinformato"/>
        <w:tabs>
          <w:tab w:val="left" w:pos="8975"/>
        </w:tabs>
        <w:jc w:val="center"/>
        <w:rPr>
          <w:rFonts w:ascii="Palatino Linotype" w:hAnsi="Palatino Linotype"/>
          <w:b/>
        </w:rPr>
      </w:pPr>
      <w:r w:rsidRPr="00B02450">
        <w:rPr>
          <w:rFonts w:ascii="Palatino Linotype" w:hAnsi="Palatino Linotype"/>
          <w:b/>
        </w:rPr>
        <w:t>ANEXO 1</w:t>
      </w:r>
    </w:p>
    <w:p w:rsidR="00B02450" w:rsidRPr="001608C3" w:rsidRDefault="00640061" w:rsidP="00B02450">
      <w:pPr>
        <w:tabs>
          <w:tab w:val="left" w:pos="426"/>
        </w:tabs>
        <w:spacing w:after="0" w:line="240" w:lineRule="auto"/>
        <w:jc w:val="center"/>
        <w:rPr>
          <w:rFonts w:ascii="Times New Roman" w:hAnsi="Times New Roman"/>
        </w:rPr>
      </w:pPr>
      <w:r>
        <w:rPr>
          <w:rFonts w:ascii="Palatino Linotype" w:hAnsi="Palatino Linotype"/>
          <w:b/>
          <w:noProof/>
          <w:lang w:eastAsia="es-EC"/>
        </w:rPr>
        <w:drawing>
          <wp:anchor distT="0" distB="0" distL="114300" distR="114300" simplePos="0" relativeHeight="251659264" behindDoc="1" locked="0" layoutInCell="1" allowOverlap="1">
            <wp:simplePos x="0" y="0"/>
            <wp:positionH relativeFrom="margin">
              <wp:posOffset>-26035</wp:posOffset>
            </wp:positionH>
            <wp:positionV relativeFrom="paragraph">
              <wp:posOffset>1269365</wp:posOffset>
            </wp:positionV>
            <wp:extent cx="6599555" cy="4589780"/>
            <wp:effectExtent l="0" t="1009650" r="0" b="9918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6200000">
                      <a:off x="0" y="0"/>
                      <a:ext cx="6599555" cy="4589780"/>
                    </a:xfrm>
                    <a:prstGeom prst="rect">
                      <a:avLst/>
                    </a:prstGeom>
                  </pic:spPr>
                </pic:pic>
              </a:graphicData>
            </a:graphic>
          </wp:anchor>
        </w:drawing>
      </w:r>
      <w:r w:rsidR="00B02450" w:rsidRPr="00B02450">
        <w:rPr>
          <w:rFonts w:ascii="Palatino Linotype" w:hAnsi="Palatino Linotype"/>
          <w:b/>
        </w:rPr>
        <w:t>I</w:t>
      </w:r>
      <w:r w:rsidR="004765C0">
        <w:rPr>
          <w:rFonts w:ascii="Palatino Linotype" w:hAnsi="Palatino Linotype"/>
          <w:b/>
        </w:rPr>
        <w:t xml:space="preserve">mplantación del Proyecto Urbanístico </w:t>
      </w:r>
      <w:r w:rsidR="00B02450" w:rsidRPr="00B02450">
        <w:rPr>
          <w:rFonts w:ascii="Palatino Linotype" w:hAnsi="Palatino Linotype"/>
          <w:b/>
        </w:rPr>
        <w:t>Arquitectónico Complejo Judicial Quito Norte</w:t>
      </w:r>
    </w:p>
    <w:p w:rsidR="00B02450" w:rsidRPr="00B02450" w:rsidRDefault="00B02450" w:rsidP="00562C04">
      <w:pPr>
        <w:pStyle w:val="Textosinformato"/>
        <w:jc w:val="center"/>
        <w:rPr>
          <w:rFonts w:ascii="Palatino Linotype" w:eastAsia="MS Mincho" w:hAnsi="Palatino Linotype" w:cstheme="minorHAnsi"/>
          <w:bCs/>
          <w:lang w:val="es-EC"/>
        </w:rPr>
      </w:pPr>
    </w:p>
    <w:sectPr w:rsidR="00B02450" w:rsidRPr="00B02450" w:rsidSect="00380076">
      <w:headerReference w:type="default" r:id="rId13"/>
      <w:footerReference w:type="default" r:id="rId14"/>
      <w:pgSz w:w="12240" w:h="15840"/>
      <w:pgMar w:top="1417" w:right="1041" w:bottom="709" w:left="1276" w:header="708"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234" w:rsidRDefault="00B34234" w:rsidP="004249FD">
      <w:pPr>
        <w:spacing w:after="0" w:line="240" w:lineRule="auto"/>
      </w:pPr>
      <w:r>
        <w:separator/>
      </w:r>
    </w:p>
  </w:endnote>
  <w:endnote w:type="continuationSeparator" w:id="1">
    <w:p w:rsidR="00B34234" w:rsidRDefault="00B34234" w:rsidP="00424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B8" w:rsidRDefault="004A3CB8">
    <w:pPr>
      <w:pStyle w:val="Piedepgina"/>
      <w:jc w:val="right"/>
    </w:pPr>
  </w:p>
  <w:p w:rsidR="004A3CB8" w:rsidRDefault="004A3CB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8443"/>
      <w:docPartObj>
        <w:docPartGallery w:val="Page Numbers (Bottom of Page)"/>
        <w:docPartUnique/>
      </w:docPartObj>
    </w:sdtPr>
    <w:sdtContent>
      <w:sdt>
        <w:sdtPr>
          <w:id w:val="216747587"/>
          <w:docPartObj>
            <w:docPartGallery w:val="Page Numbers (Top of Page)"/>
            <w:docPartUnique/>
          </w:docPartObj>
        </w:sdtPr>
        <w:sdtContent>
          <w:p w:rsidR="00587B14" w:rsidRDefault="00587B14">
            <w:pPr>
              <w:pStyle w:val="Piedepgina"/>
              <w:jc w:val="right"/>
            </w:pPr>
            <w:r w:rsidRPr="00587B14">
              <w:rPr>
                <w:rFonts w:ascii="Palatino Linotype" w:hAnsi="Palatino Linotype"/>
                <w:sz w:val="22"/>
                <w:szCs w:val="22"/>
              </w:rPr>
              <w:t xml:space="preserve">Página </w:t>
            </w:r>
            <w:r w:rsidR="00E761A9" w:rsidRPr="00587B14">
              <w:rPr>
                <w:rFonts w:ascii="Palatino Linotype" w:hAnsi="Palatino Linotype"/>
                <w:b/>
                <w:sz w:val="22"/>
                <w:szCs w:val="22"/>
              </w:rPr>
              <w:fldChar w:fldCharType="begin"/>
            </w:r>
            <w:r w:rsidRPr="00587B14">
              <w:rPr>
                <w:rFonts w:ascii="Palatino Linotype" w:hAnsi="Palatino Linotype"/>
                <w:b/>
                <w:sz w:val="22"/>
                <w:szCs w:val="22"/>
              </w:rPr>
              <w:instrText>PAGE</w:instrText>
            </w:r>
            <w:r w:rsidR="00E761A9" w:rsidRPr="00587B14">
              <w:rPr>
                <w:rFonts w:ascii="Palatino Linotype" w:hAnsi="Palatino Linotype"/>
                <w:b/>
                <w:sz w:val="22"/>
                <w:szCs w:val="22"/>
              </w:rPr>
              <w:fldChar w:fldCharType="separate"/>
            </w:r>
            <w:r w:rsidR="00680035">
              <w:rPr>
                <w:rFonts w:ascii="Palatino Linotype" w:hAnsi="Palatino Linotype"/>
                <w:b/>
                <w:noProof/>
                <w:sz w:val="22"/>
                <w:szCs w:val="22"/>
              </w:rPr>
              <w:t>12</w:t>
            </w:r>
            <w:r w:rsidR="00E761A9" w:rsidRPr="00587B14">
              <w:rPr>
                <w:rFonts w:ascii="Palatino Linotype" w:hAnsi="Palatino Linotype"/>
                <w:b/>
                <w:sz w:val="22"/>
                <w:szCs w:val="22"/>
              </w:rPr>
              <w:fldChar w:fldCharType="end"/>
            </w:r>
            <w:r w:rsidRPr="00587B14">
              <w:rPr>
                <w:rFonts w:ascii="Palatino Linotype" w:hAnsi="Palatino Linotype"/>
                <w:sz w:val="22"/>
                <w:szCs w:val="22"/>
              </w:rPr>
              <w:t xml:space="preserve"> de </w:t>
            </w:r>
            <w:r>
              <w:rPr>
                <w:rFonts w:ascii="Palatino Linotype" w:hAnsi="Palatino Linotype"/>
                <w:b/>
                <w:sz w:val="22"/>
                <w:szCs w:val="22"/>
              </w:rPr>
              <w:t>13</w:t>
            </w:r>
          </w:p>
        </w:sdtContent>
      </w:sdt>
    </w:sdtContent>
  </w:sdt>
  <w:p w:rsidR="00587B14" w:rsidRDefault="00587B1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14" w:rsidRDefault="00587B14">
    <w:pPr>
      <w:pStyle w:val="Piedepgina"/>
      <w:jc w:val="right"/>
    </w:pPr>
  </w:p>
  <w:p w:rsidR="00587B14" w:rsidRDefault="00587B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234" w:rsidRDefault="00B34234" w:rsidP="004249FD">
      <w:pPr>
        <w:spacing w:after="0" w:line="240" w:lineRule="auto"/>
      </w:pPr>
      <w:r>
        <w:separator/>
      </w:r>
    </w:p>
  </w:footnote>
  <w:footnote w:type="continuationSeparator" w:id="1">
    <w:p w:rsidR="00B34234" w:rsidRDefault="00B34234" w:rsidP="004249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B8" w:rsidRDefault="004A3CB8">
    <w:pPr>
      <w:pStyle w:val="Encabezado"/>
    </w:pPr>
  </w:p>
  <w:p w:rsidR="004A3CB8" w:rsidRDefault="004A3CB8">
    <w:pPr>
      <w:pStyle w:val="Encabezado"/>
    </w:pPr>
  </w:p>
  <w:p w:rsidR="004A3CB8" w:rsidRDefault="004A3CB8">
    <w:pPr>
      <w:pStyle w:val="Encabezado"/>
    </w:pPr>
  </w:p>
  <w:p w:rsidR="004A3CB8" w:rsidRDefault="004A3CB8">
    <w:pPr>
      <w:pStyle w:val="Encabezado"/>
    </w:pPr>
  </w:p>
  <w:p w:rsidR="004A3CB8" w:rsidRDefault="004A3CB8" w:rsidP="001E572E">
    <w:pPr>
      <w:spacing w:before="240" w:after="0"/>
      <w:jc w:val="center"/>
    </w:pPr>
    <w:r>
      <w:rPr>
        <w:rFonts w:ascii="Palatino Linotype" w:hAnsi="Palatino Linotype" w:cstheme="minorHAnsi"/>
        <w:b/>
        <w:bCs/>
      </w:rPr>
      <w:t>ORDENANZA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14" w:rsidRDefault="00587B14">
    <w:pPr>
      <w:pStyle w:val="Encabezado"/>
    </w:pPr>
  </w:p>
  <w:p w:rsidR="00587B14" w:rsidRDefault="00587B14">
    <w:pPr>
      <w:pStyle w:val="Encabezado"/>
    </w:pPr>
  </w:p>
  <w:p w:rsidR="00587B14" w:rsidRDefault="00587B14">
    <w:pPr>
      <w:pStyle w:val="Encabezado"/>
    </w:pPr>
  </w:p>
  <w:p w:rsidR="00587B14" w:rsidRDefault="00587B14">
    <w:pPr>
      <w:pStyle w:val="Encabezado"/>
    </w:pPr>
  </w:p>
  <w:p w:rsidR="00587B14" w:rsidRDefault="00587B14" w:rsidP="001E572E">
    <w:pPr>
      <w:spacing w:before="240" w:after="0"/>
      <w:jc w:val="center"/>
    </w:pPr>
    <w:r>
      <w:rPr>
        <w:rFonts w:ascii="Palatino Linotype" w:hAnsi="Palatino Linotype" w:cstheme="minorHAnsi"/>
        <w:b/>
        <w:bCs/>
      </w:rPr>
      <w:t>ORDENANZA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14" w:rsidRDefault="00587B14">
    <w:pPr>
      <w:pStyle w:val="Encabezado"/>
    </w:pPr>
  </w:p>
  <w:p w:rsidR="00587B14" w:rsidRDefault="00587B14">
    <w:pPr>
      <w:pStyle w:val="Encabezado"/>
    </w:pPr>
  </w:p>
  <w:p w:rsidR="00587B14" w:rsidRDefault="00587B14">
    <w:pPr>
      <w:pStyle w:val="Encabezado"/>
    </w:pPr>
  </w:p>
  <w:p w:rsidR="00587B14" w:rsidRDefault="00587B14">
    <w:pPr>
      <w:pStyle w:val="Encabezado"/>
    </w:pPr>
  </w:p>
  <w:p w:rsidR="00587B14" w:rsidRDefault="00587B14" w:rsidP="001E572E">
    <w:pPr>
      <w:spacing w:before="240" w:after="0"/>
      <w:jc w:val="center"/>
    </w:pPr>
    <w:r>
      <w:rPr>
        <w:rFonts w:ascii="Palatino Linotype" w:hAnsi="Palatino Linotype" w:cstheme="minorHAnsi"/>
        <w:b/>
        <w:bCs/>
      </w:rPr>
      <w:t>ORDENANZA 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42574"/>
    <w:multiLevelType w:val="hybridMultilevel"/>
    <w:tmpl w:val="82DEE8C2"/>
    <w:lvl w:ilvl="0" w:tplc="66FC3FD0">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DD14BCA"/>
    <w:multiLevelType w:val="hybridMultilevel"/>
    <w:tmpl w:val="7E4E1040"/>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
    <w:nsid w:val="0F9912DE"/>
    <w:multiLevelType w:val="hybridMultilevel"/>
    <w:tmpl w:val="20DE3970"/>
    <w:lvl w:ilvl="0" w:tplc="CCF2D63E">
      <w:start w:val="1"/>
      <w:numFmt w:val="bullet"/>
      <w:lvlText w:val="•"/>
      <w:lvlJc w:val="left"/>
      <w:pPr>
        <w:tabs>
          <w:tab w:val="num" w:pos="720"/>
        </w:tabs>
        <w:ind w:left="720" w:hanging="360"/>
      </w:pPr>
      <w:rPr>
        <w:rFonts w:ascii="Arial" w:hAnsi="Arial" w:hint="default"/>
      </w:rPr>
    </w:lvl>
    <w:lvl w:ilvl="1" w:tplc="B872A712" w:tentative="1">
      <w:start w:val="1"/>
      <w:numFmt w:val="bullet"/>
      <w:lvlText w:val="•"/>
      <w:lvlJc w:val="left"/>
      <w:pPr>
        <w:tabs>
          <w:tab w:val="num" w:pos="1440"/>
        </w:tabs>
        <w:ind w:left="1440" w:hanging="360"/>
      </w:pPr>
      <w:rPr>
        <w:rFonts w:ascii="Arial" w:hAnsi="Arial" w:hint="default"/>
      </w:rPr>
    </w:lvl>
    <w:lvl w:ilvl="2" w:tplc="E6C00CE4" w:tentative="1">
      <w:start w:val="1"/>
      <w:numFmt w:val="bullet"/>
      <w:lvlText w:val="•"/>
      <w:lvlJc w:val="left"/>
      <w:pPr>
        <w:tabs>
          <w:tab w:val="num" w:pos="2160"/>
        </w:tabs>
        <w:ind w:left="2160" w:hanging="360"/>
      </w:pPr>
      <w:rPr>
        <w:rFonts w:ascii="Arial" w:hAnsi="Arial" w:hint="default"/>
      </w:rPr>
    </w:lvl>
    <w:lvl w:ilvl="3" w:tplc="C894572C" w:tentative="1">
      <w:start w:val="1"/>
      <w:numFmt w:val="bullet"/>
      <w:lvlText w:val="•"/>
      <w:lvlJc w:val="left"/>
      <w:pPr>
        <w:tabs>
          <w:tab w:val="num" w:pos="2880"/>
        </w:tabs>
        <w:ind w:left="2880" w:hanging="360"/>
      </w:pPr>
      <w:rPr>
        <w:rFonts w:ascii="Arial" w:hAnsi="Arial" w:hint="default"/>
      </w:rPr>
    </w:lvl>
    <w:lvl w:ilvl="4" w:tplc="9F88C574" w:tentative="1">
      <w:start w:val="1"/>
      <w:numFmt w:val="bullet"/>
      <w:lvlText w:val="•"/>
      <w:lvlJc w:val="left"/>
      <w:pPr>
        <w:tabs>
          <w:tab w:val="num" w:pos="3600"/>
        </w:tabs>
        <w:ind w:left="3600" w:hanging="360"/>
      </w:pPr>
      <w:rPr>
        <w:rFonts w:ascii="Arial" w:hAnsi="Arial" w:hint="default"/>
      </w:rPr>
    </w:lvl>
    <w:lvl w:ilvl="5" w:tplc="AF281A24" w:tentative="1">
      <w:start w:val="1"/>
      <w:numFmt w:val="bullet"/>
      <w:lvlText w:val="•"/>
      <w:lvlJc w:val="left"/>
      <w:pPr>
        <w:tabs>
          <w:tab w:val="num" w:pos="4320"/>
        </w:tabs>
        <w:ind w:left="4320" w:hanging="360"/>
      </w:pPr>
      <w:rPr>
        <w:rFonts w:ascii="Arial" w:hAnsi="Arial" w:hint="default"/>
      </w:rPr>
    </w:lvl>
    <w:lvl w:ilvl="6" w:tplc="1E249D8A" w:tentative="1">
      <w:start w:val="1"/>
      <w:numFmt w:val="bullet"/>
      <w:lvlText w:val="•"/>
      <w:lvlJc w:val="left"/>
      <w:pPr>
        <w:tabs>
          <w:tab w:val="num" w:pos="5040"/>
        </w:tabs>
        <w:ind w:left="5040" w:hanging="360"/>
      </w:pPr>
      <w:rPr>
        <w:rFonts w:ascii="Arial" w:hAnsi="Arial" w:hint="default"/>
      </w:rPr>
    </w:lvl>
    <w:lvl w:ilvl="7" w:tplc="53F43F60" w:tentative="1">
      <w:start w:val="1"/>
      <w:numFmt w:val="bullet"/>
      <w:lvlText w:val="•"/>
      <w:lvlJc w:val="left"/>
      <w:pPr>
        <w:tabs>
          <w:tab w:val="num" w:pos="5760"/>
        </w:tabs>
        <w:ind w:left="5760" w:hanging="360"/>
      </w:pPr>
      <w:rPr>
        <w:rFonts w:ascii="Arial" w:hAnsi="Arial" w:hint="default"/>
      </w:rPr>
    </w:lvl>
    <w:lvl w:ilvl="8" w:tplc="AD123184" w:tentative="1">
      <w:start w:val="1"/>
      <w:numFmt w:val="bullet"/>
      <w:lvlText w:val="•"/>
      <w:lvlJc w:val="left"/>
      <w:pPr>
        <w:tabs>
          <w:tab w:val="num" w:pos="6480"/>
        </w:tabs>
        <w:ind w:left="6480" w:hanging="360"/>
      </w:pPr>
      <w:rPr>
        <w:rFonts w:ascii="Arial" w:hAnsi="Arial" w:hint="default"/>
      </w:rPr>
    </w:lvl>
  </w:abstractNum>
  <w:abstractNum w:abstractNumId="3">
    <w:nsid w:val="102D35D4"/>
    <w:multiLevelType w:val="hybridMultilevel"/>
    <w:tmpl w:val="35C651D6"/>
    <w:lvl w:ilvl="0" w:tplc="F132B97E">
      <w:start w:val="1"/>
      <w:numFmt w:val="lowerLetter"/>
      <w:lvlText w:val="%1)"/>
      <w:lvlJc w:val="left"/>
      <w:pPr>
        <w:ind w:left="720" w:hanging="360"/>
      </w:pPr>
      <w:rPr>
        <w:rFonts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1356134"/>
    <w:multiLevelType w:val="hybridMultilevel"/>
    <w:tmpl w:val="A1CEF9CA"/>
    <w:lvl w:ilvl="0" w:tplc="60ECD7C4">
      <w:start w:val="1"/>
      <w:numFmt w:val="bullet"/>
      <w:lvlText w:val="•"/>
      <w:lvlJc w:val="left"/>
      <w:pPr>
        <w:tabs>
          <w:tab w:val="num" w:pos="360"/>
        </w:tabs>
        <w:ind w:left="360" w:hanging="360"/>
      </w:pPr>
      <w:rPr>
        <w:rFonts w:ascii="Arial" w:hAnsi="Arial" w:hint="default"/>
      </w:rPr>
    </w:lvl>
    <w:lvl w:ilvl="1" w:tplc="3D80C5A2" w:tentative="1">
      <w:start w:val="1"/>
      <w:numFmt w:val="bullet"/>
      <w:lvlText w:val="•"/>
      <w:lvlJc w:val="left"/>
      <w:pPr>
        <w:tabs>
          <w:tab w:val="num" w:pos="1080"/>
        </w:tabs>
        <w:ind w:left="1080" w:hanging="360"/>
      </w:pPr>
      <w:rPr>
        <w:rFonts w:ascii="Arial" w:hAnsi="Arial" w:hint="default"/>
      </w:rPr>
    </w:lvl>
    <w:lvl w:ilvl="2" w:tplc="85FA5058" w:tentative="1">
      <w:start w:val="1"/>
      <w:numFmt w:val="bullet"/>
      <w:lvlText w:val="•"/>
      <w:lvlJc w:val="left"/>
      <w:pPr>
        <w:tabs>
          <w:tab w:val="num" w:pos="1800"/>
        </w:tabs>
        <w:ind w:left="1800" w:hanging="360"/>
      </w:pPr>
      <w:rPr>
        <w:rFonts w:ascii="Arial" w:hAnsi="Arial" w:hint="default"/>
      </w:rPr>
    </w:lvl>
    <w:lvl w:ilvl="3" w:tplc="BC76A63E" w:tentative="1">
      <w:start w:val="1"/>
      <w:numFmt w:val="bullet"/>
      <w:lvlText w:val="•"/>
      <w:lvlJc w:val="left"/>
      <w:pPr>
        <w:tabs>
          <w:tab w:val="num" w:pos="2520"/>
        </w:tabs>
        <w:ind w:left="2520" w:hanging="360"/>
      </w:pPr>
      <w:rPr>
        <w:rFonts w:ascii="Arial" w:hAnsi="Arial" w:hint="default"/>
      </w:rPr>
    </w:lvl>
    <w:lvl w:ilvl="4" w:tplc="257668AA" w:tentative="1">
      <w:start w:val="1"/>
      <w:numFmt w:val="bullet"/>
      <w:lvlText w:val="•"/>
      <w:lvlJc w:val="left"/>
      <w:pPr>
        <w:tabs>
          <w:tab w:val="num" w:pos="3240"/>
        </w:tabs>
        <w:ind w:left="3240" w:hanging="360"/>
      </w:pPr>
      <w:rPr>
        <w:rFonts w:ascii="Arial" w:hAnsi="Arial" w:hint="default"/>
      </w:rPr>
    </w:lvl>
    <w:lvl w:ilvl="5" w:tplc="BB5071D8" w:tentative="1">
      <w:start w:val="1"/>
      <w:numFmt w:val="bullet"/>
      <w:lvlText w:val="•"/>
      <w:lvlJc w:val="left"/>
      <w:pPr>
        <w:tabs>
          <w:tab w:val="num" w:pos="3960"/>
        </w:tabs>
        <w:ind w:left="3960" w:hanging="360"/>
      </w:pPr>
      <w:rPr>
        <w:rFonts w:ascii="Arial" w:hAnsi="Arial" w:hint="default"/>
      </w:rPr>
    </w:lvl>
    <w:lvl w:ilvl="6" w:tplc="C43A871A" w:tentative="1">
      <w:start w:val="1"/>
      <w:numFmt w:val="bullet"/>
      <w:lvlText w:val="•"/>
      <w:lvlJc w:val="left"/>
      <w:pPr>
        <w:tabs>
          <w:tab w:val="num" w:pos="4680"/>
        </w:tabs>
        <w:ind w:left="4680" w:hanging="360"/>
      </w:pPr>
      <w:rPr>
        <w:rFonts w:ascii="Arial" w:hAnsi="Arial" w:hint="default"/>
      </w:rPr>
    </w:lvl>
    <w:lvl w:ilvl="7" w:tplc="89DC665C" w:tentative="1">
      <w:start w:val="1"/>
      <w:numFmt w:val="bullet"/>
      <w:lvlText w:val="•"/>
      <w:lvlJc w:val="left"/>
      <w:pPr>
        <w:tabs>
          <w:tab w:val="num" w:pos="5400"/>
        </w:tabs>
        <w:ind w:left="5400" w:hanging="360"/>
      </w:pPr>
      <w:rPr>
        <w:rFonts w:ascii="Arial" w:hAnsi="Arial" w:hint="default"/>
      </w:rPr>
    </w:lvl>
    <w:lvl w:ilvl="8" w:tplc="3704E260" w:tentative="1">
      <w:start w:val="1"/>
      <w:numFmt w:val="bullet"/>
      <w:lvlText w:val="•"/>
      <w:lvlJc w:val="left"/>
      <w:pPr>
        <w:tabs>
          <w:tab w:val="num" w:pos="6120"/>
        </w:tabs>
        <w:ind w:left="6120" w:hanging="360"/>
      </w:pPr>
      <w:rPr>
        <w:rFonts w:ascii="Arial" w:hAnsi="Arial" w:hint="default"/>
      </w:rPr>
    </w:lvl>
  </w:abstractNum>
  <w:abstractNum w:abstractNumId="5">
    <w:nsid w:val="1FE84F26"/>
    <w:multiLevelType w:val="hybridMultilevel"/>
    <w:tmpl w:val="973EAFE0"/>
    <w:lvl w:ilvl="0" w:tplc="A4BEB11A">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216F4E13"/>
    <w:multiLevelType w:val="hybridMultilevel"/>
    <w:tmpl w:val="EDB4B3C4"/>
    <w:lvl w:ilvl="0" w:tplc="FB00DF2A">
      <w:start w:val="1"/>
      <w:numFmt w:val="bullet"/>
      <w:lvlText w:val="•"/>
      <w:lvlJc w:val="left"/>
      <w:pPr>
        <w:tabs>
          <w:tab w:val="num" w:pos="720"/>
        </w:tabs>
        <w:ind w:left="720" w:hanging="360"/>
      </w:pPr>
      <w:rPr>
        <w:rFonts w:ascii="Arial" w:hAnsi="Arial" w:hint="default"/>
      </w:rPr>
    </w:lvl>
    <w:lvl w:ilvl="1" w:tplc="EA36AF48" w:tentative="1">
      <w:start w:val="1"/>
      <w:numFmt w:val="bullet"/>
      <w:lvlText w:val="•"/>
      <w:lvlJc w:val="left"/>
      <w:pPr>
        <w:tabs>
          <w:tab w:val="num" w:pos="1440"/>
        </w:tabs>
        <w:ind w:left="1440" w:hanging="360"/>
      </w:pPr>
      <w:rPr>
        <w:rFonts w:ascii="Arial" w:hAnsi="Arial" w:hint="default"/>
      </w:rPr>
    </w:lvl>
    <w:lvl w:ilvl="2" w:tplc="12CA4830" w:tentative="1">
      <w:start w:val="1"/>
      <w:numFmt w:val="bullet"/>
      <w:lvlText w:val="•"/>
      <w:lvlJc w:val="left"/>
      <w:pPr>
        <w:tabs>
          <w:tab w:val="num" w:pos="2160"/>
        </w:tabs>
        <w:ind w:left="2160" w:hanging="360"/>
      </w:pPr>
      <w:rPr>
        <w:rFonts w:ascii="Arial" w:hAnsi="Arial" w:hint="default"/>
      </w:rPr>
    </w:lvl>
    <w:lvl w:ilvl="3" w:tplc="D98C5496" w:tentative="1">
      <w:start w:val="1"/>
      <w:numFmt w:val="bullet"/>
      <w:lvlText w:val="•"/>
      <w:lvlJc w:val="left"/>
      <w:pPr>
        <w:tabs>
          <w:tab w:val="num" w:pos="2880"/>
        </w:tabs>
        <w:ind w:left="2880" w:hanging="360"/>
      </w:pPr>
      <w:rPr>
        <w:rFonts w:ascii="Arial" w:hAnsi="Arial" w:hint="default"/>
      </w:rPr>
    </w:lvl>
    <w:lvl w:ilvl="4" w:tplc="93C0D094" w:tentative="1">
      <w:start w:val="1"/>
      <w:numFmt w:val="bullet"/>
      <w:lvlText w:val="•"/>
      <w:lvlJc w:val="left"/>
      <w:pPr>
        <w:tabs>
          <w:tab w:val="num" w:pos="3600"/>
        </w:tabs>
        <w:ind w:left="3600" w:hanging="360"/>
      </w:pPr>
      <w:rPr>
        <w:rFonts w:ascii="Arial" w:hAnsi="Arial" w:hint="default"/>
      </w:rPr>
    </w:lvl>
    <w:lvl w:ilvl="5" w:tplc="423C4A56" w:tentative="1">
      <w:start w:val="1"/>
      <w:numFmt w:val="bullet"/>
      <w:lvlText w:val="•"/>
      <w:lvlJc w:val="left"/>
      <w:pPr>
        <w:tabs>
          <w:tab w:val="num" w:pos="4320"/>
        </w:tabs>
        <w:ind w:left="4320" w:hanging="360"/>
      </w:pPr>
      <w:rPr>
        <w:rFonts w:ascii="Arial" w:hAnsi="Arial" w:hint="default"/>
      </w:rPr>
    </w:lvl>
    <w:lvl w:ilvl="6" w:tplc="35F67E60" w:tentative="1">
      <w:start w:val="1"/>
      <w:numFmt w:val="bullet"/>
      <w:lvlText w:val="•"/>
      <w:lvlJc w:val="left"/>
      <w:pPr>
        <w:tabs>
          <w:tab w:val="num" w:pos="5040"/>
        </w:tabs>
        <w:ind w:left="5040" w:hanging="360"/>
      </w:pPr>
      <w:rPr>
        <w:rFonts w:ascii="Arial" w:hAnsi="Arial" w:hint="default"/>
      </w:rPr>
    </w:lvl>
    <w:lvl w:ilvl="7" w:tplc="876CC3E2" w:tentative="1">
      <w:start w:val="1"/>
      <w:numFmt w:val="bullet"/>
      <w:lvlText w:val="•"/>
      <w:lvlJc w:val="left"/>
      <w:pPr>
        <w:tabs>
          <w:tab w:val="num" w:pos="5760"/>
        </w:tabs>
        <w:ind w:left="5760" w:hanging="360"/>
      </w:pPr>
      <w:rPr>
        <w:rFonts w:ascii="Arial" w:hAnsi="Arial" w:hint="default"/>
      </w:rPr>
    </w:lvl>
    <w:lvl w:ilvl="8" w:tplc="385A2DF6" w:tentative="1">
      <w:start w:val="1"/>
      <w:numFmt w:val="bullet"/>
      <w:lvlText w:val="•"/>
      <w:lvlJc w:val="left"/>
      <w:pPr>
        <w:tabs>
          <w:tab w:val="num" w:pos="6480"/>
        </w:tabs>
        <w:ind w:left="6480" w:hanging="360"/>
      </w:pPr>
      <w:rPr>
        <w:rFonts w:ascii="Arial" w:hAnsi="Arial" w:hint="default"/>
      </w:rPr>
    </w:lvl>
  </w:abstractNum>
  <w:abstractNum w:abstractNumId="7">
    <w:nsid w:val="23AB0477"/>
    <w:multiLevelType w:val="hybridMultilevel"/>
    <w:tmpl w:val="DF76658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6AC60DD"/>
    <w:multiLevelType w:val="hybridMultilevel"/>
    <w:tmpl w:val="3588FE34"/>
    <w:lvl w:ilvl="0" w:tplc="66FC3FD0">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C8D5F6B"/>
    <w:multiLevelType w:val="hybridMultilevel"/>
    <w:tmpl w:val="E18C5BA6"/>
    <w:lvl w:ilvl="0" w:tplc="4662A220">
      <w:start w:val="1"/>
      <w:numFmt w:val="lowerLetter"/>
      <w:lvlText w:val="%1)"/>
      <w:lvlJc w:val="left"/>
      <w:pPr>
        <w:ind w:left="786" w:hanging="360"/>
      </w:pPr>
      <w:rPr>
        <w:rFonts w:hint="default"/>
        <w:b/>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0">
    <w:nsid w:val="2EF36B92"/>
    <w:multiLevelType w:val="hybridMultilevel"/>
    <w:tmpl w:val="6B4CE33E"/>
    <w:lvl w:ilvl="0" w:tplc="5272340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30B5C97"/>
    <w:multiLevelType w:val="hybridMultilevel"/>
    <w:tmpl w:val="CBBC882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33AA3C64"/>
    <w:multiLevelType w:val="hybridMultilevel"/>
    <w:tmpl w:val="F21EF43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349B559A"/>
    <w:multiLevelType w:val="hybridMultilevel"/>
    <w:tmpl w:val="9C6C6460"/>
    <w:lvl w:ilvl="0" w:tplc="5272340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419004C7"/>
    <w:multiLevelType w:val="hybridMultilevel"/>
    <w:tmpl w:val="C7CC9248"/>
    <w:lvl w:ilvl="0" w:tplc="7AE6272C">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41A21946"/>
    <w:multiLevelType w:val="hybridMultilevel"/>
    <w:tmpl w:val="1FAA183A"/>
    <w:lvl w:ilvl="0" w:tplc="D7323BF6">
      <w:start w:val="1"/>
      <w:numFmt w:val="lowerLetter"/>
      <w:lvlText w:val="%1)"/>
      <w:lvlJc w:val="left"/>
      <w:pPr>
        <w:ind w:left="720" w:hanging="360"/>
      </w:pPr>
      <w:rPr>
        <w:rFonts w:hint="default"/>
        <w:b/>
        <w:lang w:val="es-EC"/>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F8310E9"/>
    <w:multiLevelType w:val="hybridMultilevel"/>
    <w:tmpl w:val="E266F1C8"/>
    <w:lvl w:ilvl="0" w:tplc="2D7C4010">
      <w:start w:val="1"/>
      <w:numFmt w:val="lowerLetter"/>
      <w:lvlText w:val="%1)"/>
      <w:lvlJc w:val="left"/>
      <w:pPr>
        <w:ind w:left="928" w:hanging="360"/>
      </w:pPr>
      <w:rPr>
        <w:rFonts w:hint="default"/>
        <w:b/>
      </w:rPr>
    </w:lvl>
    <w:lvl w:ilvl="1" w:tplc="300A0019">
      <w:start w:val="1"/>
      <w:numFmt w:val="lowerLetter"/>
      <w:lvlText w:val="%2."/>
      <w:lvlJc w:val="left"/>
      <w:pPr>
        <w:ind w:left="1648" w:hanging="360"/>
      </w:pPr>
    </w:lvl>
    <w:lvl w:ilvl="2" w:tplc="300A001B" w:tentative="1">
      <w:start w:val="1"/>
      <w:numFmt w:val="lowerRoman"/>
      <w:lvlText w:val="%3."/>
      <w:lvlJc w:val="right"/>
      <w:pPr>
        <w:ind w:left="2368" w:hanging="180"/>
      </w:pPr>
    </w:lvl>
    <w:lvl w:ilvl="3" w:tplc="300A000F" w:tentative="1">
      <w:start w:val="1"/>
      <w:numFmt w:val="decimal"/>
      <w:lvlText w:val="%4."/>
      <w:lvlJc w:val="left"/>
      <w:pPr>
        <w:ind w:left="3088" w:hanging="360"/>
      </w:pPr>
    </w:lvl>
    <w:lvl w:ilvl="4" w:tplc="300A0019" w:tentative="1">
      <w:start w:val="1"/>
      <w:numFmt w:val="lowerLetter"/>
      <w:lvlText w:val="%5."/>
      <w:lvlJc w:val="left"/>
      <w:pPr>
        <w:ind w:left="3808" w:hanging="360"/>
      </w:pPr>
    </w:lvl>
    <w:lvl w:ilvl="5" w:tplc="300A001B" w:tentative="1">
      <w:start w:val="1"/>
      <w:numFmt w:val="lowerRoman"/>
      <w:lvlText w:val="%6."/>
      <w:lvlJc w:val="right"/>
      <w:pPr>
        <w:ind w:left="4528" w:hanging="180"/>
      </w:pPr>
    </w:lvl>
    <w:lvl w:ilvl="6" w:tplc="300A000F" w:tentative="1">
      <w:start w:val="1"/>
      <w:numFmt w:val="decimal"/>
      <w:lvlText w:val="%7."/>
      <w:lvlJc w:val="left"/>
      <w:pPr>
        <w:ind w:left="5248" w:hanging="360"/>
      </w:pPr>
    </w:lvl>
    <w:lvl w:ilvl="7" w:tplc="300A0019" w:tentative="1">
      <w:start w:val="1"/>
      <w:numFmt w:val="lowerLetter"/>
      <w:lvlText w:val="%8."/>
      <w:lvlJc w:val="left"/>
      <w:pPr>
        <w:ind w:left="5968" w:hanging="360"/>
      </w:pPr>
    </w:lvl>
    <w:lvl w:ilvl="8" w:tplc="300A001B" w:tentative="1">
      <w:start w:val="1"/>
      <w:numFmt w:val="lowerRoman"/>
      <w:lvlText w:val="%9."/>
      <w:lvlJc w:val="right"/>
      <w:pPr>
        <w:ind w:left="6688" w:hanging="180"/>
      </w:pPr>
    </w:lvl>
  </w:abstractNum>
  <w:abstractNum w:abstractNumId="17">
    <w:nsid w:val="504D7239"/>
    <w:multiLevelType w:val="hybridMultilevel"/>
    <w:tmpl w:val="4CC0D2F4"/>
    <w:lvl w:ilvl="0" w:tplc="655ABE50">
      <w:start w:val="1"/>
      <w:numFmt w:val="lowerLetter"/>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535703B4"/>
    <w:multiLevelType w:val="hybridMultilevel"/>
    <w:tmpl w:val="37B81ECA"/>
    <w:lvl w:ilvl="0" w:tplc="3B9C25BE">
      <w:start w:val="1"/>
      <w:numFmt w:val="lowerLetter"/>
      <w:lvlText w:val="%1)"/>
      <w:lvlJc w:val="left"/>
      <w:pPr>
        <w:ind w:left="720" w:hanging="360"/>
      </w:pPr>
      <w:rPr>
        <w:rFonts w:hint="default"/>
        <w:b/>
      </w:rPr>
    </w:lvl>
    <w:lvl w:ilvl="1" w:tplc="B30ECB80">
      <w:start w:val="1"/>
      <w:numFmt w:val="lowerRoman"/>
      <w:lvlText w:val="%2."/>
      <w:lvlJc w:val="right"/>
      <w:pPr>
        <w:ind w:left="1440" w:hanging="360"/>
      </w:pPr>
      <w:rPr>
        <w:rFonts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84E6F09"/>
    <w:multiLevelType w:val="hybridMultilevel"/>
    <w:tmpl w:val="130E3ED0"/>
    <w:lvl w:ilvl="0" w:tplc="2CA4172E">
      <w:start w:val="1"/>
      <w:numFmt w:val="bullet"/>
      <w:lvlText w:val="•"/>
      <w:lvlJc w:val="left"/>
      <w:pPr>
        <w:tabs>
          <w:tab w:val="num" w:pos="720"/>
        </w:tabs>
        <w:ind w:left="720" w:hanging="360"/>
      </w:pPr>
      <w:rPr>
        <w:rFonts w:ascii="Arial" w:hAnsi="Arial" w:hint="default"/>
      </w:rPr>
    </w:lvl>
    <w:lvl w:ilvl="1" w:tplc="7CDA4352" w:tentative="1">
      <w:start w:val="1"/>
      <w:numFmt w:val="bullet"/>
      <w:lvlText w:val="•"/>
      <w:lvlJc w:val="left"/>
      <w:pPr>
        <w:tabs>
          <w:tab w:val="num" w:pos="1440"/>
        </w:tabs>
        <w:ind w:left="1440" w:hanging="360"/>
      </w:pPr>
      <w:rPr>
        <w:rFonts w:ascii="Arial" w:hAnsi="Arial" w:hint="default"/>
      </w:rPr>
    </w:lvl>
    <w:lvl w:ilvl="2" w:tplc="F7F07CBA" w:tentative="1">
      <w:start w:val="1"/>
      <w:numFmt w:val="bullet"/>
      <w:lvlText w:val="•"/>
      <w:lvlJc w:val="left"/>
      <w:pPr>
        <w:tabs>
          <w:tab w:val="num" w:pos="2160"/>
        </w:tabs>
        <w:ind w:left="2160" w:hanging="360"/>
      </w:pPr>
      <w:rPr>
        <w:rFonts w:ascii="Arial" w:hAnsi="Arial" w:hint="default"/>
      </w:rPr>
    </w:lvl>
    <w:lvl w:ilvl="3" w:tplc="69AA14BC" w:tentative="1">
      <w:start w:val="1"/>
      <w:numFmt w:val="bullet"/>
      <w:lvlText w:val="•"/>
      <w:lvlJc w:val="left"/>
      <w:pPr>
        <w:tabs>
          <w:tab w:val="num" w:pos="2880"/>
        </w:tabs>
        <w:ind w:left="2880" w:hanging="360"/>
      </w:pPr>
      <w:rPr>
        <w:rFonts w:ascii="Arial" w:hAnsi="Arial" w:hint="default"/>
      </w:rPr>
    </w:lvl>
    <w:lvl w:ilvl="4" w:tplc="C37AA97E" w:tentative="1">
      <w:start w:val="1"/>
      <w:numFmt w:val="bullet"/>
      <w:lvlText w:val="•"/>
      <w:lvlJc w:val="left"/>
      <w:pPr>
        <w:tabs>
          <w:tab w:val="num" w:pos="3600"/>
        </w:tabs>
        <w:ind w:left="3600" w:hanging="360"/>
      </w:pPr>
      <w:rPr>
        <w:rFonts w:ascii="Arial" w:hAnsi="Arial" w:hint="default"/>
      </w:rPr>
    </w:lvl>
    <w:lvl w:ilvl="5" w:tplc="F516D752" w:tentative="1">
      <w:start w:val="1"/>
      <w:numFmt w:val="bullet"/>
      <w:lvlText w:val="•"/>
      <w:lvlJc w:val="left"/>
      <w:pPr>
        <w:tabs>
          <w:tab w:val="num" w:pos="4320"/>
        </w:tabs>
        <w:ind w:left="4320" w:hanging="360"/>
      </w:pPr>
      <w:rPr>
        <w:rFonts w:ascii="Arial" w:hAnsi="Arial" w:hint="default"/>
      </w:rPr>
    </w:lvl>
    <w:lvl w:ilvl="6" w:tplc="13F61228" w:tentative="1">
      <w:start w:val="1"/>
      <w:numFmt w:val="bullet"/>
      <w:lvlText w:val="•"/>
      <w:lvlJc w:val="left"/>
      <w:pPr>
        <w:tabs>
          <w:tab w:val="num" w:pos="5040"/>
        </w:tabs>
        <w:ind w:left="5040" w:hanging="360"/>
      </w:pPr>
      <w:rPr>
        <w:rFonts w:ascii="Arial" w:hAnsi="Arial" w:hint="default"/>
      </w:rPr>
    </w:lvl>
    <w:lvl w:ilvl="7" w:tplc="FE5CDBFE" w:tentative="1">
      <w:start w:val="1"/>
      <w:numFmt w:val="bullet"/>
      <w:lvlText w:val="•"/>
      <w:lvlJc w:val="left"/>
      <w:pPr>
        <w:tabs>
          <w:tab w:val="num" w:pos="5760"/>
        </w:tabs>
        <w:ind w:left="5760" w:hanging="360"/>
      </w:pPr>
      <w:rPr>
        <w:rFonts w:ascii="Arial" w:hAnsi="Arial" w:hint="default"/>
      </w:rPr>
    </w:lvl>
    <w:lvl w:ilvl="8" w:tplc="1B20DA42" w:tentative="1">
      <w:start w:val="1"/>
      <w:numFmt w:val="bullet"/>
      <w:lvlText w:val="•"/>
      <w:lvlJc w:val="left"/>
      <w:pPr>
        <w:tabs>
          <w:tab w:val="num" w:pos="6480"/>
        </w:tabs>
        <w:ind w:left="6480" w:hanging="360"/>
      </w:pPr>
      <w:rPr>
        <w:rFonts w:ascii="Arial" w:hAnsi="Arial" w:hint="default"/>
      </w:rPr>
    </w:lvl>
  </w:abstractNum>
  <w:abstractNum w:abstractNumId="20">
    <w:nsid w:val="5CDF1C1A"/>
    <w:multiLevelType w:val="hybridMultilevel"/>
    <w:tmpl w:val="4E684DD8"/>
    <w:lvl w:ilvl="0" w:tplc="CB6684D4">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62E3729F"/>
    <w:multiLevelType w:val="hybridMultilevel"/>
    <w:tmpl w:val="336288F6"/>
    <w:lvl w:ilvl="0" w:tplc="A56482EA">
      <w:start w:val="1"/>
      <w:numFmt w:val="bullet"/>
      <w:lvlText w:val="•"/>
      <w:lvlJc w:val="left"/>
      <w:pPr>
        <w:tabs>
          <w:tab w:val="num" w:pos="720"/>
        </w:tabs>
        <w:ind w:left="720" w:hanging="360"/>
      </w:pPr>
      <w:rPr>
        <w:rFonts w:ascii="Arial" w:hAnsi="Arial" w:hint="default"/>
      </w:rPr>
    </w:lvl>
    <w:lvl w:ilvl="1" w:tplc="C6123272" w:tentative="1">
      <w:start w:val="1"/>
      <w:numFmt w:val="bullet"/>
      <w:lvlText w:val="•"/>
      <w:lvlJc w:val="left"/>
      <w:pPr>
        <w:tabs>
          <w:tab w:val="num" w:pos="1440"/>
        </w:tabs>
        <w:ind w:left="1440" w:hanging="360"/>
      </w:pPr>
      <w:rPr>
        <w:rFonts w:ascii="Arial" w:hAnsi="Arial" w:hint="default"/>
      </w:rPr>
    </w:lvl>
    <w:lvl w:ilvl="2" w:tplc="C6FA1662" w:tentative="1">
      <w:start w:val="1"/>
      <w:numFmt w:val="bullet"/>
      <w:lvlText w:val="•"/>
      <w:lvlJc w:val="left"/>
      <w:pPr>
        <w:tabs>
          <w:tab w:val="num" w:pos="2160"/>
        </w:tabs>
        <w:ind w:left="2160" w:hanging="360"/>
      </w:pPr>
      <w:rPr>
        <w:rFonts w:ascii="Arial" w:hAnsi="Arial" w:hint="default"/>
      </w:rPr>
    </w:lvl>
    <w:lvl w:ilvl="3" w:tplc="0AA0FEF8" w:tentative="1">
      <w:start w:val="1"/>
      <w:numFmt w:val="bullet"/>
      <w:lvlText w:val="•"/>
      <w:lvlJc w:val="left"/>
      <w:pPr>
        <w:tabs>
          <w:tab w:val="num" w:pos="2880"/>
        </w:tabs>
        <w:ind w:left="2880" w:hanging="360"/>
      </w:pPr>
      <w:rPr>
        <w:rFonts w:ascii="Arial" w:hAnsi="Arial" w:hint="default"/>
      </w:rPr>
    </w:lvl>
    <w:lvl w:ilvl="4" w:tplc="F87A0878" w:tentative="1">
      <w:start w:val="1"/>
      <w:numFmt w:val="bullet"/>
      <w:lvlText w:val="•"/>
      <w:lvlJc w:val="left"/>
      <w:pPr>
        <w:tabs>
          <w:tab w:val="num" w:pos="3600"/>
        </w:tabs>
        <w:ind w:left="3600" w:hanging="360"/>
      </w:pPr>
      <w:rPr>
        <w:rFonts w:ascii="Arial" w:hAnsi="Arial" w:hint="default"/>
      </w:rPr>
    </w:lvl>
    <w:lvl w:ilvl="5" w:tplc="65A85366" w:tentative="1">
      <w:start w:val="1"/>
      <w:numFmt w:val="bullet"/>
      <w:lvlText w:val="•"/>
      <w:lvlJc w:val="left"/>
      <w:pPr>
        <w:tabs>
          <w:tab w:val="num" w:pos="4320"/>
        </w:tabs>
        <w:ind w:left="4320" w:hanging="360"/>
      </w:pPr>
      <w:rPr>
        <w:rFonts w:ascii="Arial" w:hAnsi="Arial" w:hint="default"/>
      </w:rPr>
    </w:lvl>
    <w:lvl w:ilvl="6" w:tplc="E66081BC" w:tentative="1">
      <w:start w:val="1"/>
      <w:numFmt w:val="bullet"/>
      <w:lvlText w:val="•"/>
      <w:lvlJc w:val="left"/>
      <w:pPr>
        <w:tabs>
          <w:tab w:val="num" w:pos="5040"/>
        </w:tabs>
        <w:ind w:left="5040" w:hanging="360"/>
      </w:pPr>
      <w:rPr>
        <w:rFonts w:ascii="Arial" w:hAnsi="Arial" w:hint="default"/>
      </w:rPr>
    </w:lvl>
    <w:lvl w:ilvl="7" w:tplc="96D4A9B6" w:tentative="1">
      <w:start w:val="1"/>
      <w:numFmt w:val="bullet"/>
      <w:lvlText w:val="•"/>
      <w:lvlJc w:val="left"/>
      <w:pPr>
        <w:tabs>
          <w:tab w:val="num" w:pos="5760"/>
        </w:tabs>
        <w:ind w:left="5760" w:hanging="360"/>
      </w:pPr>
      <w:rPr>
        <w:rFonts w:ascii="Arial" w:hAnsi="Arial" w:hint="default"/>
      </w:rPr>
    </w:lvl>
    <w:lvl w:ilvl="8" w:tplc="26BA2F1C" w:tentative="1">
      <w:start w:val="1"/>
      <w:numFmt w:val="bullet"/>
      <w:lvlText w:val="•"/>
      <w:lvlJc w:val="left"/>
      <w:pPr>
        <w:tabs>
          <w:tab w:val="num" w:pos="6480"/>
        </w:tabs>
        <w:ind w:left="6480" w:hanging="360"/>
      </w:pPr>
      <w:rPr>
        <w:rFonts w:ascii="Arial" w:hAnsi="Arial" w:hint="default"/>
      </w:rPr>
    </w:lvl>
  </w:abstractNum>
  <w:abstractNum w:abstractNumId="22">
    <w:nsid w:val="68D75EC4"/>
    <w:multiLevelType w:val="hybridMultilevel"/>
    <w:tmpl w:val="9C841802"/>
    <w:lvl w:ilvl="0" w:tplc="A2D4133E">
      <w:numFmt w:val="bullet"/>
      <w:lvlText w:val="-"/>
      <w:lvlJc w:val="left"/>
      <w:pPr>
        <w:ind w:left="720" w:hanging="360"/>
      </w:pPr>
      <w:rPr>
        <w:rFonts w:ascii="Garamond" w:eastAsia="Times New Roman" w:hAnsi="Garamond"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ED4150E"/>
    <w:multiLevelType w:val="hybridMultilevel"/>
    <w:tmpl w:val="DAC08BA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78006976"/>
    <w:multiLevelType w:val="hybridMultilevel"/>
    <w:tmpl w:val="9FD68236"/>
    <w:lvl w:ilvl="0" w:tplc="F7762310">
      <w:start w:val="3"/>
      <w:numFmt w:val="upperLetter"/>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25">
    <w:nsid w:val="78AC2169"/>
    <w:multiLevelType w:val="hybridMultilevel"/>
    <w:tmpl w:val="D110CFAE"/>
    <w:lvl w:ilvl="0" w:tplc="D1785E9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7A753BD6"/>
    <w:multiLevelType w:val="hybridMultilevel"/>
    <w:tmpl w:val="1C4E654A"/>
    <w:lvl w:ilvl="0" w:tplc="59D84D40">
      <w:numFmt w:val="bullet"/>
      <w:lvlText w:val="-"/>
      <w:lvlJc w:val="left"/>
      <w:pPr>
        <w:ind w:left="720" w:hanging="360"/>
      </w:pPr>
      <w:rPr>
        <w:rFonts w:ascii="Garamond" w:eastAsia="Times New Roman" w:hAnsi="Garamond"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1"/>
  </w:num>
  <w:num w:numId="4">
    <w:abstractNumId w:val="25"/>
  </w:num>
  <w:num w:numId="5">
    <w:abstractNumId w:val="7"/>
  </w:num>
  <w:num w:numId="6">
    <w:abstractNumId w:val="22"/>
  </w:num>
  <w:num w:numId="7">
    <w:abstractNumId w:val="24"/>
  </w:num>
  <w:num w:numId="8">
    <w:abstractNumId w:val="0"/>
  </w:num>
  <w:num w:numId="9">
    <w:abstractNumId w:val="26"/>
  </w:num>
  <w:num w:numId="10">
    <w:abstractNumId w:val="4"/>
  </w:num>
  <w:num w:numId="11">
    <w:abstractNumId w:val="6"/>
  </w:num>
  <w:num w:numId="12">
    <w:abstractNumId w:val="2"/>
  </w:num>
  <w:num w:numId="13">
    <w:abstractNumId w:val="19"/>
  </w:num>
  <w:num w:numId="14">
    <w:abstractNumId w:val="21"/>
  </w:num>
  <w:num w:numId="15">
    <w:abstractNumId w:val="10"/>
  </w:num>
  <w:num w:numId="16">
    <w:abstractNumId w:val="1"/>
  </w:num>
  <w:num w:numId="17">
    <w:abstractNumId w:val="13"/>
  </w:num>
  <w:num w:numId="18">
    <w:abstractNumId w:val="12"/>
  </w:num>
  <w:num w:numId="19">
    <w:abstractNumId w:val="18"/>
  </w:num>
  <w:num w:numId="20">
    <w:abstractNumId w:val="15"/>
  </w:num>
  <w:num w:numId="21">
    <w:abstractNumId w:val="16"/>
  </w:num>
  <w:num w:numId="22">
    <w:abstractNumId w:val="3"/>
  </w:num>
  <w:num w:numId="23">
    <w:abstractNumId w:val="9"/>
  </w:num>
  <w:num w:numId="24">
    <w:abstractNumId w:val="5"/>
  </w:num>
  <w:num w:numId="25">
    <w:abstractNumId w:val="17"/>
  </w:num>
  <w:num w:numId="26">
    <w:abstractNumId w:val="14"/>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CD7DA2"/>
    <w:rsid w:val="00003250"/>
    <w:rsid w:val="00031436"/>
    <w:rsid w:val="00031748"/>
    <w:rsid w:val="000379ED"/>
    <w:rsid w:val="000379EF"/>
    <w:rsid w:val="00042407"/>
    <w:rsid w:val="00046F55"/>
    <w:rsid w:val="000508C5"/>
    <w:rsid w:val="00050C8B"/>
    <w:rsid w:val="00051152"/>
    <w:rsid w:val="00052ACB"/>
    <w:rsid w:val="00062001"/>
    <w:rsid w:val="00062563"/>
    <w:rsid w:val="00067B50"/>
    <w:rsid w:val="000746F3"/>
    <w:rsid w:val="0007599B"/>
    <w:rsid w:val="00076B76"/>
    <w:rsid w:val="0008174F"/>
    <w:rsid w:val="00092BB2"/>
    <w:rsid w:val="000961EA"/>
    <w:rsid w:val="00096E61"/>
    <w:rsid w:val="0009756B"/>
    <w:rsid w:val="000A2C8D"/>
    <w:rsid w:val="000A3398"/>
    <w:rsid w:val="000B0267"/>
    <w:rsid w:val="000B6FBF"/>
    <w:rsid w:val="000C3BB7"/>
    <w:rsid w:val="000C548D"/>
    <w:rsid w:val="000E079B"/>
    <w:rsid w:val="000E34D4"/>
    <w:rsid w:val="000E6390"/>
    <w:rsid w:val="000F409F"/>
    <w:rsid w:val="00100D57"/>
    <w:rsid w:val="00103FDD"/>
    <w:rsid w:val="0011056B"/>
    <w:rsid w:val="00116F45"/>
    <w:rsid w:val="00117F0D"/>
    <w:rsid w:val="00120A8B"/>
    <w:rsid w:val="00125770"/>
    <w:rsid w:val="00130E15"/>
    <w:rsid w:val="00141B0A"/>
    <w:rsid w:val="00143CD6"/>
    <w:rsid w:val="00144E0D"/>
    <w:rsid w:val="001464E7"/>
    <w:rsid w:val="00152933"/>
    <w:rsid w:val="00152D6A"/>
    <w:rsid w:val="0015442A"/>
    <w:rsid w:val="0015709C"/>
    <w:rsid w:val="00160BE7"/>
    <w:rsid w:val="00162999"/>
    <w:rsid w:val="001633B7"/>
    <w:rsid w:val="001656AD"/>
    <w:rsid w:val="00170997"/>
    <w:rsid w:val="0018363A"/>
    <w:rsid w:val="00191945"/>
    <w:rsid w:val="00194785"/>
    <w:rsid w:val="001A0B19"/>
    <w:rsid w:val="001A2277"/>
    <w:rsid w:val="001A2CD1"/>
    <w:rsid w:val="001B305D"/>
    <w:rsid w:val="001B50A7"/>
    <w:rsid w:val="001B5FE6"/>
    <w:rsid w:val="001B7354"/>
    <w:rsid w:val="001C0209"/>
    <w:rsid w:val="001D2138"/>
    <w:rsid w:val="001D6EA4"/>
    <w:rsid w:val="001D7F44"/>
    <w:rsid w:val="001E572E"/>
    <w:rsid w:val="001F0778"/>
    <w:rsid w:val="001F12AC"/>
    <w:rsid w:val="001F1681"/>
    <w:rsid w:val="001F2D64"/>
    <w:rsid w:val="00204965"/>
    <w:rsid w:val="00205185"/>
    <w:rsid w:val="002072FF"/>
    <w:rsid w:val="00210B19"/>
    <w:rsid w:val="00232B10"/>
    <w:rsid w:val="00233ECE"/>
    <w:rsid w:val="00235A5B"/>
    <w:rsid w:val="002362DF"/>
    <w:rsid w:val="00244AFB"/>
    <w:rsid w:val="00245EB1"/>
    <w:rsid w:val="00250E34"/>
    <w:rsid w:val="0025137A"/>
    <w:rsid w:val="00251717"/>
    <w:rsid w:val="00260EA0"/>
    <w:rsid w:val="00263BFC"/>
    <w:rsid w:val="002700DC"/>
    <w:rsid w:val="00272D20"/>
    <w:rsid w:val="00291826"/>
    <w:rsid w:val="00291B73"/>
    <w:rsid w:val="002972C7"/>
    <w:rsid w:val="002A1DAF"/>
    <w:rsid w:val="002A5CFC"/>
    <w:rsid w:val="002A6773"/>
    <w:rsid w:val="002B2E98"/>
    <w:rsid w:val="002B3598"/>
    <w:rsid w:val="002B53FC"/>
    <w:rsid w:val="002C2F01"/>
    <w:rsid w:val="002D003C"/>
    <w:rsid w:val="002D0225"/>
    <w:rsid w:val="002D26DA"/>
    <w:rsid w:val="002D3C55"/>
    <w:rsid w:val="002E645C"/>
    <w:rsid w:val="002F02F0"/>
    <w:rsid w:val="002F4D76"/>
    <w:rsid w:val="002F6C08"/>
    <w:rsid w:val="002F7A5B"/>
    <w:rsid w:val="00310D2C"/>
    <w:rsid w:val="00314061"/>
    <w:rsid w:val="00314B40"/>
    <w:rsid w:val="00314E2C"/>
    <w:rsid w:val="00320CE7"/>
    <w:rsid w:val="003245FB"/>
    <w:rsid w:val="00330F03"/>
    <w:rsid w:val="00334B4D"/>
    <w:rsid w:val="00340209"/>
    <w:rsid w:val="0034037E"/>
    <w:rsid w:val="0034370B"/>
    <w:rsid w:val="00346F39"/>
    <w:rsid w:val="0035197C"/>
    <w:rsid w:val="003641AA"/>
    <w:rsid w:val="00375BBA"/>
    <w:rsid w:val="00376F59"/>
    <w:rsid w:val="00380076"/>
    <w:rsid w:val="00383748"/>
    <w:rsid w:val="00384F0D"/>
    <w:rsid w:val="00390294"/>
    <w:rsid w:val="00397A64"/>
    <w:rsid w:val="003A7EDF"/>
    <w:rsid w:val="003C26CC"/>
    <w:rsid w:val="003C35F8"/>
    <w:rsid w:val="003C50C0"/>
    <w:rsid w:val="003D04F7"/>
    <w:rsid w:val="003D103D"/>
    <w:rsid w:val="003D1B72"/>
    <w:rsid w:val="003D2D6E"/>
    <w:rsid w:val="003D5E93"/>
    <w:rsid w:val="003E1041"/>
    <w:rsid w:val="003E49CE"/>
    <w:rsid w:val="003F71DA"/>
    <w:rsid w:val="00403F0E"/>
    <w:rsid w:val="0040504B"/>
    <w:rsid w:val="00405FA1"/>
    <w:rsid w:val="00406526"/>
    <w:rsid w:val="00406527"/>
    <w:rsid w:val="00411C78"/>
    <w:rsid w:val="00412341"/>
    <w:rsid w:val="0042110A"/>
    <w:rsid w:val="0042209F"/>
    <w:rsid w:val="00422898"/>
    <w:rsid w:val="00422AF7"/>
    <w:rsid w:val="0042362B"/>
    <w:rsid w:val="004249FD"/>
    <w:rsid w:val="00431AE8"/>
    <w:rsid w:val="00441484"/>
    <w:rsid w:val="004443F7"/>
    <w:rsid w:val="00444F21"/>
    <w:rsid w:val="0044595C"/>
    <w:rsid w:val="0044783C"/>
    <w:rsid w:val="00452273"/>
    <w:rsid w:val="00465F70"/>
    <w:rsid w:val="004662A6"/>
    <w:rsid w:val="00470469"/>
    <w:rsid w:val="00474449"/>
    <w:rsid w:val="00475E71"/>
    <w:rsid w:val="004765C0"/>
    <w:rsid w:val="0047677D"/>
    <w:rsid w:val="00476B25"/>
    <w:rsid w:val="004774D6"/>
    <w:rsid w:val="004775E6"/>
    <w:rsid w:val="00480D13"/>
    <w:rsid w:val="004924FD"/>
    <w:rsid w:val="00497521"/>
    <w:rsid w:val="004A3CB8"/>
    <w:rsid w:val="004B3F4D"/>
    <w:rsid w:val="004B56C6"/>
    <w:rsid w:val="004C0DF2"/>
    <w:rsid w:val="004C2882"/>
    <w:rsid w:val="004C52F0"/>
    <w:rsid w:val="004D1410"/>
    <w:rsid w:val="004D3242"/>
    <w:rsid w:val="004D5F5A"/>
    <w:rsid w:val="004D73D0"/>
    <w:rsid w:val="004F4316"/>
    <w:rsid w:val="00500478"/>
    <w:rsid w:val="00503475"/>
    <w:rsid w:val="00512A7D"/>
    <w:rsid w:val="00517547"/>
    <w:rsid w:val="00522275"/>
    <w:rsid w:val="0053089F"/>
    <w:rsid w:val="00532683"/>
    <w:rsid w:val="00534DA2"/>
    <w:rsid w:val="00536ADE"/>
    <w:rsid w:val="00541A6E"/>
    <w:rsid w:val="00544FA9"/>
    <w:rsid w:val="00556454"/>
    <w:rsid w:val="00556EBB"/>
    <w:rsid w:val="00562C04"/>
    <w:rsid w:val="00566631"/>
    <w:rsid w:val="00567ED6"/>
    <w:rsid w:val="00577716"/>
    <w:rsid w:val="00577BFD"/>
    <w:rsid w:val="005831E8"/>
    <w:rsid w:val="00584A53"/>
    <w:rsid w:val="00585922"/>
    <w:rsid w:val="00587B14"/>
    <w:rsid w:val="005935D7"/>
    <w:rsid w:val="005966E2"/>
    <w:rsid w:val="005A0F30"/>
    <w:rsid w:val="005A4B13"/>
    <w:rsid w:val="005A5F50"/>
    <w:rsid w:val="005A6E25"/>
    <w:rsid w:val="005C6C78"/>
    <w:rsid w:val="005D4853"/>
    <w:rsid w:val="005E553D"/>
    <w:rsid w:val="005E6158"/>
    <w:rsid w:val="005F0CBB"/>
    <w:rsid w:val="00601B0A"/>
    <w:rsid w:val="00607122"/>
    <w:rsid w:val="00610B79"/>
    <w:rsid w:val="0062025F"/>
    <w:rsid w:val="006222FD"/>
    <w:rsid w:val="0062325D"/>
    <w:rsid w:val="0062586E"/>
    <w:rsid w:val="00626234"/>
    <w:rsid w:val="0062642C"/>
    <w:rsid w:val="00630CC0"/>
    <w:rsid w:val="00630E62"/>
    <w:rsid w:val="00632E8E"/>
    <w:rsid w:val="006359B6"/>
    <w:rsid w:val="00640061"/>
    <w:rsid w:val="006405B9"/>
    <w:rsid w:val="00647210"/>
    <w:rsid w:val="0065184F"/>
    <w:rsid w:val="0065528B"/>
    <w:rsid w:val="00663C52"/>
    <w:rsid w:val="00680035"/>
    <w:rsid w:val="0068118E"/>
    <w:rsid w:val="006817FD"/>
    <w:rsid w:val="006859EA"/>
    <w:rsid w:val="00691A30"/>
    <w:rsid w:val="00696B10"/>
    <w:rsid w:val="006A36C6"/>
    <w:rsid w:val="006A3A86"/>
    <w:rsid w:val="006A68C9"/>
    <w:rsid w:val="006B5075"/>
    <w:rsid w:val="006B558C"/>
    <w:rsid w:val="006B6D94"/>
    <w:rsid w:val="006D1EE6"/>
    <w:rsid w:val="006D4594"/>
    <w:rsid w:val="006E046A"/>
    <w:rsid w:val="006E055F"/>
    <w:rsid w:val="006E317F"/>
    <w:rsid w:val="006E553C"/>
    <w:rsid w:val="006F0C47"/>
    <w:rsid w:val="006F0DA1"/>
    <w:rsid w:val="006F2491"/>
    <w:rsid w:val="006F6F51"/>
    <w:rsid w:val="007038F9"/>
    <w:rsid w:val="007063C0"/>
    <w:rsid w:val="00713BEC"/>
    <w:rsid w:val="0071442C"/>
    <w:rsid w:val="007172E7"/>
    <w:rsid w:val="00717C07"/>
    <w:rsid w:val="00721EF4"/>
    <w:rsid w:val="007226A4"/>
    <w:rsid w:val="00726EB0"/>
    <w:rsid w:val="007315ED"/>
    <w:rsid w:val="00735D1B"/>
    <w:rsid w:val="007371E6"/>
    <w:rsid w:val="00737A8B"/>
    <w:rsid w:val="00740D86"/>
    <w:rsid w:val="00745138"/>
    <w:rsid w:val="00745877"/>
    <w:rsid w:val="00752E90"/>
    <w:rsid w:val="0075366B"/>
    <w:rsid w:val="00753730"/>
    <w:rsid w:val="007555A5"/>
    <w:rsid w:val="00756C90"/>
    <w:rsid w:val="0076771E"/>
    <w:rsid w:val="0077064A"/>
    <w:rsid w:val="00771437"/>
    <w:rsid w:val="00772E32"/>
    <w:rsid w:val="007766B8"/>
    <w:rsid w:val="00785062"/>
    <w:rsid w:val="00786C02"/>
    <w:rsid w:val="007A1F5C"/>
    <w:rsid w:val="007A3071"/>
    <w:rsid w:val="007B079B"/>
    <w:rsid w:val="007B517A"/>
    <w:rsid w:val="007D1042"/>
    <w:rsid w:val="007D3FE8"/>
    <w:rsid w:val="007E27A7"/>
    <w:rsid w:val="007E58CC"/>
    <w:rsid w:val="007F1625"/>
    <w:rsid w:val="007F471C"/>
    <w:rsid w:val="00803B85"/>
    <w:rsid w:val="008046D2"/>
    <w:rsid w:val="00810E06"/>
    <w:rsid w:val="00812C12"/>
    <w:rsid w:val="00814AD0"/>
    <w:rsid w:val="008154A9"/>
    <w:rsid w:val="008215F8"/>
    <w:rsid w:val="0082271E"/>
    <w:rsid w:val="00826B0F"/>
    <w:rsid w:val="008365CC"/>
    <w:rsid w:val="00843AE4"/>
    <w:rsid w:val="008802CA"/>
    <w:rsid w:val="00885536"/>
    <w:rsid w:val="0089190D"/>
    <w:rsid w:val="0089214D"/>
    <w:rsid w:val="00894EE6"/>
    <w:rsid w:val="00896552"/>
    <w:rsid w:val="00896696"/>
    <w:rsid w:val="008A0588"/>
    <w:rsid w:val="008A0792"/>
    <w:rsid w:val="008A51C8"/>
    <w:rsid w:val="008B62AC"/>
    <w:rsid w:val="008C158C"/>
    <w:rsid w:val="008C3679"/>
    <w:rsid w:val="008C7845"/>
    <w:rsid w:val="008D61D3"/>
    <w:rsid w:val="008E1757"/>
    <w:rsid w:val="008F6F2B"/>
    <w:rsid w:val="008F7D75"/>
    <w:rsid w:val="00901CE7"/>
    <w:rsid w:val="009022EB"/>
    <w:rsid w:val="009115D2"/>
    <w:rsid w:val="00911CAF"/>
    <w:rsid w:val="00913B72"/>
    <w:rsid w:val="00922F9A"/>
    <w:rsid w:val="0092656F"/>
    <w:rsid w:val="009274CA"/>
    <w:rsid w:val="00931A1B"/>
    <w:rsid w:val="0093569A"/>
    <w:rsid w:val="009409C0"/>
    <w:rsid w:val="00943A00"/>
    <w:rsid w:val="00946B7C"/>
    <w:rsid w:val="00950E93"/>
    <w:rsid w:val="00952B0F"/>
    <w:rsid w:val="00952DCF"/>
    <w:rsid w:val="009559AF"/>
    <w:rsid w:val="00956845"/>
    <w:rsid w:val="00957DFB"/>
    <w:rsid w:val="00967492"/>
    <w:rsid w:val="00983BDB"/>
    <w:rsid w:val="00987D4A"/>
    <w:rsid w:val="00990D45"/>
    <w:rsid w:val="00991646"/>
    <w:rsid w:val="009A2868"/>
    <w:rsid w:val="009C7165"/>
    <w:rsid w:val="009D0FCD"/>
    <w:rsid w:val="009E1B20"/>
    <w:rsid w:val="009E3423"/>
    <w:rsid w:val="009F1154"/>
    <w:rsid w:val="00A07D1A"/>
    <w:rsid w:val="00A25606"/>
    <w:rsid w:val="00A300D7"/>
    <w:rsid w:val="00A4567A"/>
    <w:rsid w:val="00A47C5F"/>
    <w:rsid w:val="00A6008C"/>
    <w:rsid w:val="00A60A1C"/>
    <w:rsid w:val="00A62656"/>
    <w:rsid w:val="00A66BC2"/>
    <w:rsid w:val="00A67FDC"/>
    <w:rsid w:val="00A72600"/>
    <w:rsid w:val="00A85580"/>
    <w:rsid w:val="00A8610D"/>
    <w:rsid w:val="00A8691F"/>
    <w:rsid w:val="00A87C07"/>
    <w:rsid w:val="00A91B3C"/>
    <w:rsid w:val="00A9362C"/>
    <w:rsid w:val="00A9713F"/>
    <w:rsid w:val="00AA7EF0"/>
    <w:rsid w:val="00AB26BA"/>
    <w:rsid w:val="00AB55D4"/>
    <w:rsid w:val="00AD5FBA"/>
    <w:rsid w:val="00AD7B14"/>
    <w:rsid w:val="00AE1A04"/>
    <w:rsid w:val="00AE6439"/>
    <w:rsid w:val="00AF6896"/>
    <w:rsid w:val="00B0028F"/>
    <w:rsid w:val="00B009A0"/>
    <w:rsid w:val="00B01C29"/>
    <w:rsid w:val="00B02450"/>
    <w:rsid w:val="00B02522"/>
    <w:rsid w:val="00B025E4"/>
    <w:rsid w:val="00B22B79"/>
    <w:rsid w:val="00B22F54"/>
    <w:rsid w:val="00B34234"/>
    <w:rsid w:val="00B42E09"/>
    <w:rsid w:val="00B503E7"/>
    <w:rsid w:val="00B51F16"/>
    <w:rsid w:val="00B532A7"/>
    <w:rsid w:val="00B5336D"/>
    <w:rsid w:val="00B672A1"/>
    <w:rsid w:val="00B709E3"/>
    <w:rsid w:val="00B73339"/>
    <w:rsid w:val="00B84AA4"/>
    <w:rsid w:val="00B85789"/>
    <w:rsid w:val="00B96987"/>
    <w:rsid w:val="00BA15F2"/>
    <w:rsid w:val="00BA4C13"/>
    <w:rsid w:val="00BA5206"/>
    <w:rsid w:val="00BA5C35"/>
    <w:rsid w:val="00BA5D6F"/>
    <w:rsid w:val="00BB5565"/>
    <w:rsid w:val="00BB7234"/>
    <w:rsid w:val="00BC21CD"/>
    <w:rsid w:val="00BC5A83"/>
    <w:rsid w:val="00BD153A"/>
    <w:rsid w:val="00BD4C06"/>
    <w:rsid w:val="00BD626B"/>
    <w:rsid w:val="00BD6DED"/>
    <w:rsid w:val="00BD7BE6"/>
    <w:rsid w:val="00BE0607"/>
    <w:rsid w:val="00BE365D"/>
    <w:rsid w:val="00BE3C2E"/>
    <w:rsid w:val="00BF6E97"/>
    <w:rsid w:val="00C12BAB"/>
    <w:rsid w:val="00C1511B"/>
    <w:rsid w:val="00C21800"/>
    <w:rsid w:val="00C23405"/>
    <w:rsid w:val="00C35F68"/>
    <w:rsid w:val="00C45B88"/>
    <w:rsid w:val="00C4643C"/>
    <w:rsid w:val="00C67B42"/>
    <w:rsid w:val="00C83326"/>
    <w:rsid w:val="00C84896"/>
    <w:rsid w:val="00C85914"/>
    <w:rsid w:val="00C86F82"/>
    <w:rsid w:val="00CA2F19"/>
    <w:rsid w:val="00CA6E66"/>
    <w:rsid w:val="00CB087B"/>
    <w:rsid w:val="00CC4FC7"/>
    <w:rsid w:val="00CD0E75"/>
    <w:rsid w:val="00CD2129"/>
    <w:rsid w:val="00CD2F15"/>
    <w:rsid w:val="00CD30E2"/>
    <w:rsid w:val="00CD3F94"/>
    <w:rsid w:val="00CD7DA2"/>
    <w:rsid w:val="00CE269C"/>
    <w:rsid w:val="00CF06BE"/>
    <w:rsid w:val="00CF2C00"/>
    <w:rsid w:val="00CF77CA"/>
    <w:rsid w:val="00D0093F"/>
    <w:rsid w:val="00D026CE"/>
    <w:rsid w:val="00D21920"/>
    <w:rsid w:val="00D321E0"/>
    <w:rsid w:val="00D400F6"/>
    <w:rsid w:val="00D406AD"/>
    <w:rsid w:val="00D40C44"/>
    <w:rsid w:val="00D41086"/>
    <w:rsid w:val="00D52998"/>
    <w:rsid w:val="00D617B0"/>
    <w:rsid w:val="00D62D61"/>
    <w:rsid w:val="00D63322"/>
    <w:rsid w:val="00D66C0C"/>
    <w:rsid w:val="00D67605"/>
    <w:rsid w:val="00D72169"/>
    <w:rsid w:val="00D73349"/>
    <w:rsid w:val="00D73E53"/>
    <w:rsid w:val="00D74277"/>
    <w:rsid w:val="00D81392"/>
    <w:rsid w:val="00D94D34"/>
    <w:rsid w:val="00D952EE"/>
    <w:rsid w:val="00D96491"/>
    <w:rsid w:val="00D971FD"/>
    <w:rsid w:val="00DB45D5"/>
    <w:rsid w:val="00DB52BF"/>
    <w:rsid w:val="00DB546F"/>
    <w:rsid w:val="00DB7270"/>
    <w:rsid w:val="00DB7BF0"/>
    <w:rsid w:val="00DC030A"/>
    <w:rsid w:val="00DC3A54"/>
    <w:rsid w:val="00DD01E7"/>
    <w:rsid w:val="00DD33DF"/>
    <w:rsid w:val="00DD5C63"/>
    <w:rsid w:val="00DE3E59"/>
    <w:rsid w:val="00DE6F00"/>
    <w:rsid w:val="00DF23B0"/>
    <w:rsid w:val="00DF4556"/>
    <w:rsid w:val="00E329C5"/>
    <w:rsid w:val="00E36503"/>
    <w:rsid w:val="00E37C2A"/>
    <w:rsid w:val="00E41166"/>
    <w:rsid w:val="00E43867"/>
    <w:rsid w:val="00E45779"/>
    <w:rsid w:val="00E51311"/>
    <w:rsid w:val="00E5592D"/>
    <w:rsid w:val="00E629E4"/>
    <w:rsid w:val="00E73126"/>
    <w:rsid w:val="00E761A9"/>
    <w:rsid w:val="00E94184"/>
    <w:rsid w:val="00E978A5"/>
    <w:rsid w:val="00EA27B5"/>
    <w:rsid w:val="00EA2AA8"/>
    <w:rsid w:val="00EA2C11"/>
    <w:rsid w:val="00EC12CF"/>
    <w:rsid w:val="00ED686C"/>
    <w:rsid w:val="00EE048D"/>
    <w:rsid w:val="00EE1E32"/>
    <w:rsid w:val="00EE52B0"/>
    <w:rsid w:val="00EF33EF"/>
    <w:rsid w:val="00EF525A"/>
    <w:rsid w:val="00F02672"/>
    <w:rsid w:val="00F0517D"/>
    <w:rsid w:val="00F064F4"/>
    <w:rsid w:val="00F12B7B"/>
    <w:rsid w:val="00F178ED"/>
    <w:rsid w:val="00F26BA8"/>
    <w:rsid w:val="00F272D6"/>
    <w:rsid w:val="00F27E0C"/>
    <w:rsid w:val="00F33918"/>
    <w:rsid w:val="00F34E5E"/>
    <w:rsid w:val="00F35312"/>
    <w:rsid w:val="00F361F7"/>
    <w:rsid w:val="00F36FB1"/>
    <w:rsid w:val="00F42A45"/>
    <w:rsid w:val="00F505A6"/>
    <w:rsid w:val="00F556D0"/>
    <w:rsid w:val="00F6200C"/>
    <w:rsid w:val="00F746D8"/>
    <w:rsid w:val="00F76536"/>
    <w:rsid w:val="00F76B22"/>
    <w:rsid w:val="00F77DB1"/>
    <w:rsid w:val="00F812EF"/>
    <w:rsid w:val="00F84F63"/>
    <w:rsid w:val="00F96053"/>
    <w:rsid w:val="00FA32DD"/>
    <w:rsid w:val="00FA3C18"/>
    <w:rsid w:val="00FA3FAF"/>
    <w:rsid w:val="00FA4C14"/>
    <w:rsid w:val="00FA64DD"/>
    <w:rsid w:val="00FB1265"/>
    <w:rsid w:val="00FB5BD9"/>
    <w:rsid w:val="00FC0FDB"/>
    <w:rsid w:val="00FC1BAE"/>
    <w:rsid w:val="00FC5091"/>
    <w:rsid w:val="00FC60C9"/>
    <w:rsid w:val="00FE22D9"/>
    <w:rsid w:val="00FE2757"/>
    <w:rsid w:val="00FF0D6F"/>
    <w:rsid w:val="00FF3717"/>
    <w:rsid w:val="00FF46B4"/>
    <w:rsid w:val="00FF77BC"/>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A2"/>
    <w:rPr>
      <w:rFonts w:ascii="Calibri" w:eastAsia="Calibri" w:hAnsi="Calibri" w:cs="Times New Roman"/>
    </w:rPr>
  </w:style>
  <w:style w:type="paragraph" w:styleId="Ttulo1">
    <w:name w:val="heading 1"/>
    <w:basedOn w:val="Normal"/>
    <w:next w:val="Normal"/>
    <w:link w:val="Ttulo1Car"/>
    <w:qFormat/>
    <w:rsid w:val="00943A00"/>
    <w:pPr>
      <w:keepNext/>
      <w:autoSpaceDE w:val="0"/>
      <w:autoSpaceDN w:val="0"/>
      <w:adjustRightInd w:val="0"/>
      <w:spacing w:after="0" w:line="240" w:lineRule="auto"/>
      <w:jc w:val="center"/>
      <w:outlineLvl w:val="0"/>
    </w:pPr>
    <w:rPr>
      <w:rFonts w:ascii="Times New Roman" w:eastAsia="Times New Roman" w:hAnsi="Times New Roman"/>
      <w:b/>
      <w:bCs/>
      <w:sz w:val="24"/>
      <w:szCs w:val="24"/>
      <w:lang w:val="es-ES" w:eastAsia="es-ES"/>
    </w:rPr>
  </w:style>
  <w:style w:type="paragraph" w:styleId="Ttulo2">
    <w:name w:val="heading 2"/>
    <w:basedOn w:val="Normal"/>
    <w:next w:val="Normal"/>
    <w:link w:val="Ttulo2Car"/>
    <w:uiPriority w:val="9"/>
    <w:semiHidden/>
    <w:unhideWhenUsed/>
    <w:qFormat/>
    <w:rsid w:val="00D721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032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476B25"/>
    <w:pPr>
      <w:autoSpaceDE w:val="0"/>
      <w:autoSpaceDN w:val="0"/>
      <w:adjustRightInd w:val="0"/>
      <w:spacing w:after="0" w:line="240" w:lineRule="auto"/>
      <w:ind w:left="180" w:hanging="180"/>
      <w:jc w:val="both"/>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semiHidden/>
    <w:rsid w:val="00476B25"/>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943A00"/>
    <w:pPr>
      <w:spacing w:after="120"/>
    </w:pPr>
  </w:style>
  <w:style w:type="character" w:customStyle="1" w:styleId="TextoindependienteCar">
    <w:name w:val="Texto independiente Car"/>
    <w:basedOn w:val="Fuentedeprrafopredeter"/>
    <w:link w:val="Textoindependiente"/>
    <w:uiPriority w:val="99"/>
    <w:semiHidden/>
    <w:rsid w:val="00943A00"/>
    <w:rPr>
      <w:rFonts w:ascii="Calibri" w:eastAsia="Calibri" w:hAnsi="Calibri" w:cs="Times New Roman"/>
    </w:rPr>
  </w:style>
  <w:style w:type="character" w:customStyle="1" w:styleId="Ttulo1Car">
    <w:name w:val="Título 1 Car"/>
    <w:basedOn w:val="Fuentedeprrafopredeter"/>
    <w:link w:val="Ttulo1"/>
    <w:rsid w:val="00943A00"/>
    <w:rPr>
      <w:rFonts w:ascii="Times New Roman" w:eastAsia="Times New Roman" w:hAnsi="Times New Roman" w:cs="Times New Roman"/>
      <w:b/>
      <w:bCs/>
      <w:sz w:val="24"/>
      <w:szCs w:val="24"/>
      <w:lang w:val="es-ES" w:eastAsia="es-ES"/>
    </w:rPr>
  </w:style>
  <w:style w:type="paragraph" w:customStyle="1" w:styleId="Textoindependiente21">
    <w:name w:val="Texto independiente 21"/>
    <w:basedOn w:val="Normal"/>
    <w:rsid w:val="00B02522"/>
    <w:pPr>
      <w:suppressAutoHyphens/>
      <w:spacing w:after="120" w:line="480" w:lineRule="auto"/>
    </w:pPr>
    <w:rPr>
      <w:rFonts w:ascii="Times New Roman" w:eastAsia="Times New Roman" w:hAnsi="Times New Roman"/>
      <w:szCs w:val="20"/>
      <w:lang w:val="es-ES" w:eastAsia="ar-SA"/>
    </w:rPr>
  </w:style>
  <w:style w:type="character" w:customStyle="1" w:styleId="Ttulo3Car">
    <w:name w:val="Título 3 Car"/>
    <w:basedOn w:val="Fuentedeprrafopredeter"/>
    <w:link w:val="Ttulo3"/>
    <w:uiPriority w:val="9"/>
    <w:rsid w:val="00003250"/>
    <w:rPr>
      <w:rFonts w:asciiTheme="majorHAnsi" w:eastAsiaTheme="majorEastAsia" w:hAnsiTheme="majorHAnsi" w:cstheme="majorBidi"/>
      <w:b/>
      <w:bCs/>
      <w:color w:val="4F81BD" w:themeColor="accent1"/>
    </w:rPr>
  </w:style>
  <w:style w:type="paragraph" w:styleId="Textonotapie">
    <w:name w:val="footnote text"/>
    <w:basedOn w:val="Normal"/>
    <w:link w:val="TextonotapieCar"/>
    <w:semiHidden/>
    <w:rsid w:val="00003250"/>
    <w:pPr>
      <w:spacing w:after="0" w:line="240" w:lineRule="auto"/>
      <w:jc w:val="both"/>
    </w:pPr>
    <w:rPr>
      <w:rFonts w:ascii="Times New Roman" w:eastAsia="Times New Roman" w:hAnsi="Times New Roman"/>
      <w:sz w:val="24"/>
      <w:szCs w:val="24"/>
      <w:lang w:eastAsia="es-ES"/>
    </w:rPr>
  </w:style>
  <w:style w:type="character" w:customStyle="1" w:styleId="TextonotapieCar">
    <w:name w:val="Texto nota pie Car"/>
    <w:basedOn w:val="Fuentedeprrafopredeter"/>
    <w:link w:val="Textonotapie"/>
    <w:semiHidden/>
    <w:rsid w:val="00003250"/>
    <w:rPr>
      <w:rFonts w:ascii="Times New Roman" w:eastAsia="Times New Roman" w:hAnsi="Times New Roman" w:cs="Times New Roman"/>
      <w:sz w:val="24"/>
      <w:szCs w:val="24"/>
      <w:lang w:eastAsia="es-ES"/>
    </w:rPr>
  </w:style>
  <w:style w:type="character" w:customStyle="1" w:styleId="Ttulo2Car1">
    <w:name w:val="Título 2 Car1"/>
    <w:basedOn w:val="Fuentedeprrafopredeter"/>
    <w:rsid w:val="00003250"/>
    <w:rPr>
      <w:b/>
      <w:sz w:val="22"/>
      <w:szCs w:val="22"/>
      <w:lang w:val="es-MX" w:eastAsia="es-ES" w:bidi="ar-SA"/>
    </w:rPr>
  </w:style>
  <w:style w:type="character" w:customStyle="1" w:styleId="Ttulo2Car">
    <w:name w:val="Título 2 Car"/>
    <w:basedOn w:val="Fuentedeprrafopredeter"/>
    <w:link w:val="Ttulo2"/>
    <w:uiPriority w:val="9"/>
    <w:semiHidden/>
    <w:rsid w:val="00D72169"/>
    <w:rPr>
      <w:rFonts w:asciiTheme="majorHAnsi" w:eastAsiaTheme="majorEastAsia" w:hAnsiTheme="majorHAnsi" w:cstheme="majorBidi"/>
      <w:b/>
      <w:bCs/>
      <w:color w:val="4F81BD" w:themeColor="accent1"/>
      <w:sz w:val="26"/>
      <w:szCs w:val="26"/>
    </w:rPr>
  </w:style>
  <w:style w:type="paragraph" w:styleId="Piedepgina">
    <w:name w:val="footer"/>
    <w:basedOn w:val="Normal"/>
    <w:link w:val="PiedepginaCar"/>
    <w:uiPriority w:val="99"/>
    <w:rsid w:val="00E37C2A"/>
    <w:pPr>
      <w:widowControl w:val="0"/>
      <w:suppressLineNumbers/>
      <w:tabs>
        <w:tab w:val="center" w:pos="4818"/>
        <w:tab w:val="right" w:pos="9637"/>
      </w:tabs>
      <w:suppressAutoHyphens/>
      <w:spacing w:after="0" w:line="240" w:lineRule="auto"/>
    </w:pPr>
    <w:rPr>
      <w:rFonts w:ascii="Times New Roman" w:eastAsia="Arial Unicode MS" w:hAnsi="Times New Roman"/>
      <w:sz w:val="24"/>
      <w:szCs w:val="24"/>
      <w:lang w:val="es-ES_tradnl" w:eastAsia="es-EC"/>
    </w:rPr>
  </w:style>
  <w:style w:type="character" w:customStyle="1" w:styleId="PiedepginaCar">
    <w:name w:val="Pie de página Car"/>
    <w:basedOn w:val="Fuentedeprrafopredeter"/>
    <w:link w:val="Piedepgina"/>
    <w:uiPriority w:val="99"/>
    <w:rsid w:val="00E37C2A"/>
    <w:rPr>
      <w:rFonts w:ascii="Times New Roman" w:eastAsia="Arial Unicode MS" w:hAnsi="Times New Roman" w:cs="Times New Roman"/>
      <w:sz w:val="24"/>
      <w:szCs w:val="24"/>
      <w:lang w:val="es-ES_tradnl" w:eastAsia="es-EC"/>
    </w:rPr>
  </w:style>
  <w:style w:type="paragraph" w:customStyle="1" w:styleId="Style22">
    <w:name w:val="Style 22"/>
    <w:uiPriority w:val="99"/>
    <w:rsid w:val="006F0DA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table" w:styleId="Tablaconcuadrcula">
    <w:name w:val="Table Grid"/>
    <w:basedOn w:val="Tablanormal"/>
    <w:uiPriority w:val="59"/>
    <w:rsid w:val="00D952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4249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249FD"/>
    <w:rPr>
      <w:rFonts w:ascii="Calibri" w:eastAsia="Calibri" w:hAnsi="Calibri" w:cs="Times New Roman"/>
    </w:rPr>
  </w:style>
  <w:style w:type="paragraph" w:styleId="Prrafodelista">
    <w:name w:val="List Paragraph"/>
    <w:aliases w:val="TIT 2 IND"/>
    <w:basedOn w:val="Normal"/>
    <w:link w:val="PrrafodelistaCar"/>
    <w:uiPriority w:val="34"/>
    <w:qFormat/>
    <w:rsid w:val="00406526"/>
    <w:pPr>
      <w:ind w:left="720"/>
      <w:contextualSpacing/>
    </w:pPr>
  </w:style>
  <w:style w:type="paragraph" w:styleId="Textoindependiente2">
    <w:name w:val="Body Text 2"/>
    <w:basedOn w:val="Normal"/>
    <w:link w:val="Textoindependiente2Car"/>
    <w:unhideWhenUsed/>
    <w:rsid w:val="000379EF"/>
    <w:pPr>
      <w:widowControl w:val="0"/>
      <w:suppressAutoHyphens/>
      <w:spacing w:after="120" w:line="480" w:lineRule="auto"/>
    </w:pPr>
    <w:rPr>
      <w:rFonts w:ascii="Times New Roman" w:eastAsia="Arial Unicode MS" w:hAnsi="Times New Roman"/>
      <w:sz w:val="24"/>
      <w:szCs w:val="24"/>
      <w:lang w:val="es-ES_tradnl" w:eastAsia="es-EC"/>
    </w:rPr>
  </w:style>
  <w:style w:type="character" w:customStyle="1" w:styleId="Textoindependiente2Car">
    <w:name w:val="Texto independiente 2 Car"/>
    <w:basedOn w:val="Fuentedeprrafopredeter"/>
    <w:link w:val="Textoindependiente2"/>
    <w:rsid w:val="000379EF"/>
    <w:rPr>
      <w:rFonts w:ascii="Times New Roman" w:eastAsia="Arial Unicode MS" w:hAnsi="Times New Roman" w:cs="Times New Roman"/>
      <w:sz w:val="24"/>
      <w:szCs w:val="24"/>
      <w:lang w:val="es-ES_tradnl" w:eastAsia="es-EC"/>
    </w:rPr>
  </w:style>
  <w:style w:type="paragraph" w:customStyle="1" w:styleId="Textoindependiente1">
    <w:name w:val="Texto independiente1"/>
    <w:basedOn w:val="Normal"/>
    <w:semiHidden/>
    <w:rsid w:val="000379EF"/>
    <w:pPr>
      <w:widowControl w:val="0"/>
      <w:spacing w:after="0" w:line="240" w:lineRule="auto"/>
      <w:jc w:val="both"/>
    </w:pPr>
    <w:rPr>
      <w:rFonts w:ascii="Helvetica" w:eastAsia="Times New Roman" w:hAnsi="Helvetica"/>
      <w:b/>
      <w:sz w:val="24"/>
      <w:szCs w:val="24"/>
      <w:lang w:eastAsia="es-ES"/>
    </w:rPr>
  </w:style>
  <w:style w:type="character" w:styleId="Refdecomentario">
    <w:name w:val="annotation reference"/>
    <w:basedOn w:val="Fuentedeprrafopredeter"/>
    <w:uiPriority w:val="99"/>
    <w:semiHidden/>
    <w:unhideWhenUsed/>
    <w:rsid w:val="008F7D75"/>
    <w:rPr>
      <w:sz w:val="16"/>
      <w:szCs w:val="16"/>
    </w:rPr>
  </w:style>
  <w:style w:type="paragraph" w:styleId="Textocomentario">
    <w:name w:val="annotation text"/>
    <w:basedOn w:val="Normal"/>
    <w:link w:val="TextocomentarioCar"/>
    <w:uiPriority w:val="99"/>
    <w:semiHidden/>
    <w:unhideWhenUsed/>
    <w:rsid w:val="008F7D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7D7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F7D75"/>
    <w:rPr>
      <w:b/>
      <w:bCs/>
    </w:rPr>
  </w:style>
  <w:style w:type="character" w:customStyle="1" w:styleId="AsuntodelcomentarioCar">
    <w:name w:val="Asunto del comentario Car"/>
    <w:basedOn w:val="TextocomentarioCar"/>
    <w:link w:val="Asuntodelcomentario"/>
    <w:uiPriority w:val="99"/>
    <w:semiHidden/>
    <w:rsid w:val="008F7D75"/>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8F7D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D75"/>
    <w:rPr>
      <w:rFonts w:ascii="Tahoma" w:eastAsia="Calibri" w:hAnsi="Tahoma" w:cs="Tahoma"/>
      <w:sz w:val="16"/>
      <w:szCs w:val="16"/>
    </w:rPr>
  </w:style>
  <w:style w:type="paragraph" w:styleId="Textosinformato">
    <w:name w:val="Plain Text"/>
    <w:basedOn w:val="Normal"/>
    <w:link w:val="TextosinformatoCar"/>
    <w:rsid w:val="00CD2F15"/>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CD2F15"/>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CD2F15"/>
    <w:pPr>
      <w:spacing w:after="0" w:line="240" w:lineRule="auto"/>
    </w:pPr>
    <w:rPr>
      <w:rFonts w:ascii="Times New Roman" w:eastAsia="Times New Roman" w:hAnsi="Times New Roman"/>
      <w:sz w:val="24"/>
      <w:szCs w:val="20"/>
      <w:lang w:val="es-ES_tradnl" w:eastAsia="es-ES"/>
    </w:rPr>
  </w:style>
  <w:style w:type="paragraph" w:styleId="Revisin">
    <w:name w:val="Revision"/>
    <w:hidden/>
    <w:uiPriority w:val="99"/>
    <w:semiHidden/>
    <w:rsid w:val="00310D2C"/>
    <w:pPr>
      <w:spacing w:after="0" w:line="240" w:lineRule="auto"/>
    </w:pPr>
    <w:rPr>
      <w:rFonts w:ascii="Calibri" w:eastAsia="Calibri" w:hAnsi="Calibri" w:cs="Times New Roman"/>
    </w:rPr>
  </w:style>
  <w:style w:type="paragraph" w:customStyle="1" w:styleId="Sinespaciado1">
    <w:name w:val="Sin espaciado1"/>
    <w:uiPriority w:val="99"/>
    <w:qFormat/>
    <w:rsid w:val="00BA5206"/>
    <w:pPr>
      <w:spacing w:after="0" w:line="240" w:lineRule="auto"/>
    </w:pPr>
    <w:rPr>
      <w:rFonts w:ascii="Calibri" w:eastAsia="Times New Roman" w:hAnsi="Calibri" w:cs="Times New Roman"/>
    </w:rPr>
  </w:style>
  <w:style w:type="paragraph" w:styleId="Sinespaciado">
    <w:name w:val="No Spacing"/>
    <w:link w:val="SinespaciadoCar"/>
    <w:uiPriority w:val="1"/>
    <w:qFormat/>
    <w:rsid w:val="00BA5206"/>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BA5206"/>
    <w:rPr>
      <w:rFonts w:ascii="Calibri" w:eastAsia="Calibri" w:hAnsi="Calibri" w:cs="Times New Roman"/>
    </w:rPr>
  </w:style>
  <w:style w:type="paragraph" w:styleId="Ttulo">
    <w:name w:val="Title"/>
    <w:basedOn w:val="Normal"/>
    <w:link w:val="TtuloCar"/>
    <w:qFormat/>
    <w:rsid w:val="00691A30"/>
    <w:pPr>
      <w:spacing w:after="0" w:line="240" w:lineRule="auto"/>
      <w:jc w:val="center"/>
    </w:pPr>
    <w:rPr>
      <w:rFonts w:ascii="Times New Roman" w:eastAsia="Times New Roman" w:hAnsi="Times New Roman"/>
      <w:b/>
      <w:bCs/>
      <w:sz w:val="24"/>
      <w:szCs w:val="24"/>
      <w:lang w:val="es-ES" w:eastAsia="es-ES"/>
    </w:rPr>
  </w:style>
  <w:style w:type="character" w:customStyle="1" w:styleId="TtuloCar">
    <w:name w:val="Título Car"/>
    <w:basedOn w:val="Fuentedeprrafopredeter"/>
    <w:link w:val="Ttulo"/>
    <w:rsid w:val="00691A30"/>
    <w:rPr>
      <w:rFonts w:ascii="Times New Roman" w:eastAsia="Times New Roman" w:hAnsi="Times New Roman" w:cs="Times New Roman"/>
      <w:b/>
      <w:bCs/>
      <w:sz w:val="24"/>
      <w:szCs w:val="24"/>
      <w:lang w:val="es-ES" w:eastAsia="es-ES"/>
    </w:rPr>
  </w:style>
  <w:style w:type="character" w:customStyle="1" w:styleId="PrrafodelistaCar">
    <w:name w:val="Párrafo de lista Car"/>
    <w:aliases w:val="TIT 2 IND Car"/>
    <w:link w:val="Prrafodelista"/>
    <w:uiPriority w:val="34"/>
    <w:rsid w:val="00D81392"/>
    <w:rPr>
      <w:rFonts w:ascii="Calibri" w:eastAsia="Calibri" w:hAnsi="Calibri" w:cs="Times New Roman"/>
    </w:rPr>
  </w:style>
  <w:style w:type="paragraph" w:styleId="Textodebloque">
    <w:name w:val="Block Text"/>
    <w:basedOn w:val="Normal"/>
    <w:uiPriority w:val="99"/>
    <w:semiHidden/>
    <w:rsid w:val="00C4643C"/>
    <w:pPr>
      <w:spacing w:after="0" w:line="240" w:lineRule="atLeast"/>
      <w:ind w:left="567" w:right="49" w:hanging="567"/>
      <w:jc w:val="both"/>
    </w:pPr>
    <w:rPr>
      <w:rFonts w:ascii="Times New Roman" w:eastAsia="Times New Roman" w:hAnsi="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5B6E8-FFD6-4843-B430-83981EBD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4859</Words>
  <Characters>26726</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amena</dc:creator>
  <cp:lastModifiedBy>dcevallos</cp:lastModifiedBy>
  <cp:revision>50</cp:revision>
  <cp:lastPrinted>2014-10-23T20:27:00Z</cp:lastPrinted>
  <dcterms:created xsi:type="dcterms:W3CDTF">2014-10-21T19:17:00Z</dcterms:created>
  <dcterms:modified xsi:type="dcterms:W3CDTF">2014-10-31T15:37:00Z</dcterms:modified>
</cp:coreProperties>
</file>