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AB" w:rsidRPr="00E83D58" w:rsidRDefault="00FA6CAB" w:rsidP="00E83D58">
      <w:pPr>
        <w:spacing w:after="120" w:line="276" w:lineRule="auto"/>
        <w:jc w:val="center"/>
        <w:rPr>
          <w:rFonts w:ascii="Palatino Linotype" w:hAnsi="Palatino Linotype" w:cs="Arial"/>
          <w:b/>
          <w:bCs/>
          <w:sz w:val="22"/>
          <w:szCs w:val="22"/>
        </w:rPr>
      </w:pPr>
      <w:r w:rsidRPr="00E83D58">
        <w:rPr>
          <w:rFonts w:ascii="Palatino Linotype" w:hAnsi="Palatino Linotype" w:cs="Arial"/>
          <w:b/>
          <w:bCs/>
          <w:sz w:val="22"/>
          <w:szCs w:val="22"/>
        </w:rPr>
        <w:t>EXPOSICIÓN DE MOTIVOS</w:t>
      </w:r>
    </w:p>
    <w:p w:rsidR="00FA6CAB" w:rsidRPr="00E83D58" w:rsidRDefault="00FA6CAB" w:rsidP="00E83D58">
      <w:pPr>
        <w:spacing w:after="120" w:line="276" w:lineRule="auto"/>
        <w:ind w:firstLine="708"/>
        <w:jc w:val="both"/>
        <w:rPr>
          <w:rFonts w:ascii="Palatino Linotype" w:hAnsi="Palatino Linotype" w:cs="Arial"/>
          <w:bCs/>
          <w:sz w:val="22"/>
          <w:szCs w:val="22"/>
        </w:rPr>
      </w:pPr>
      <w:r w:rsidRPr="00E83D58">
        <w:rPr>
          <w:rFonts w:ascii="Palatino Linotype" w:hAnsi="Palatino Linotype" w:cs="Arial"/>
          <w:bCs/>
          <w:sz w:val="22"/>
          <w:szCs w:val="22"/>
        </w:rPr>
        <w:t xml:space="preserve">La Constitución de la República del Ecuador, en su artículo 264, numeral 1,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p>
    <w:p w:rsidR="00FA6CAB" w:rsidRPr="00E83D58" w:rsidRDefault="00FA6CAB" w:rsidP="00E83D58">
      <w:pPr>
        <w:spacing w:after="120" w:line="276" w:lineRule="auto"/>
        <w:ind w:firstLine="708"/>
        <w:jc w:val="both"/>
        <w:rPr>
          <w:rFonts w:ascii="Palatino Linotype" w:hAnsi="Palatino Linotype" w:cs="Arial"/>
          <w:bCs/>
          <w:sz w:val="22"/>
          <w:szCs w:val="22"/>
        </w:rPr>
      </w:pPr>
      <w:r w:rsidRPr="00E83D58">
        <w:rPr>
          <w:rFonts w:ascii="Palatino Linotype" w:hAnsi="Palatino Linotype" w:cs="Arial"/>
          <w:bCs/>
          <w:sz w:val="22"/>
          <w:szCs w:val="22"/>
        </w:rPr>
        <w:t>El literal v) del artículo 87, del Código Orgánico de Organización Territorial, Autonomía y Descentralización, en lo que respecta de las atribuciones del Concejo Metropolitano prevé la de regular y controlar el uso de suelo en el territorio del Distrito Metropolitano, de conformidad con las leyes sobre la materia, y establecer el régimen urbanístico de la tierra.</w:t>
      </w:r>
    </w:p>
    <w:p w:rsidR="00E83D58" w:rsidRDefault="00FA6CAB" w:rsidP="00E83D58">
      <w:pPr>
        <w:spacing w:after="120" w:line="276" w:lineRule="auto"/>
        <w:ind w:firstLine="708"/>
        <w:jc w:val="both"/>
        <w:rPr>
          <w:rFonts w:ascii="Palatino Linotype" w:hAnsi="Palatino Linotype" w:cs="Arial"/>
          <w:bCs/>
          <w:sz w:val="22"/>
          <w:szCs w:val="22"/>
        </w:rPr>
        <w:sectPr w:rsidR="00E83D58" w:rsidSect="000B083D">
          <w:headerReference w:type="default" r:id="rId9"/>
          <w:pgSz w:w="12240" w:h="15840"/>
          <w:pgMar w:top="1417" w:right="1701" w:bottom="1417" w:left="1701" w:header="708" w:footer="708" w:gutter="0"/>
          <w:cols w:space="708"/>
          <w:docGrid w:linePitch="360"/>
        </w:sectPr>
      </w:pPr>
      <w:r w:rsidRPr="00E83D58">
        <w:rPr>
          <w:rFonts w:ascii="Palatino Linotype" w:hAnsi="Palatino Linotype" w:cs="Arial"/>
          <w:bCs/>
          <w:sz w:val="22"/>
          <w:szCs w:val="22"/>
        </w:rPr>
        <w:t>La Municipalidad, a través de la Secretaría de Territorio, Hábitat y Vivienda, ha recibido la petición para la aprobación de la Urbanización de Interés Social  de Desarrollo Progresivo “La Comarca”, en el predio No. 3567743, clave catastral No. 32309-26-009, ubicado en la parroquia Quitumbe, de propiedad de la  Cooperativa de Vivienda Solidaria Metropolitana. El proyecto en referencia prevé el desarrollo de 42 lotes, con un área total a subdividir de 12.613,86 m</w:t>
      </w:r>
      <w:r w:rsidRPr="00E83D58">
        <w:rPr>
          <w:rFonts w:ascii="Palatino Linotype" w:hAnsi="Palatino Linotype" w:cs="Arial"/>
          <w:bCs/>
          <w:sz w:val="22"/>
          <w:szCs w:val="22"/>
          <w:vertAlign w:val="superscript"/>
        </w:rPr>
        <w:t>2</w:t>
      </w:r>
      <w:r w:rsidRPr="00E83D58">
        <w:rPr>
          <w:rFonts w:ascii="Palatino Linotype" w:hAnsi="Palatino Linotype" w:cs="Arial"/>
          <w:bCs/>
          <w:sz w:val="22"/>
          <w:szCs w:val="22"/>
        </w:rPr>
        <w:t>, área de vías de 3.605,10 m</w:t>
      </w:r>
      <w:r w:rsidRPr="00E83D58">
        <w:rPr>
          <w:rFonts w:ascii="Palatino Linotype" w:hAnsi="Palatino Linotype" w:cs="Arial"/>
          <w:bCs/>
          <w:sz w:val="22"/>
          <w:szCs w:val="22"/>
          <w:vertAlign w:val="superscript"/>
        </w:rPr>
        <w:t>2</w:t>
      </w:r>
      <w:r w:rsidRPr="00E83D58">
        <w:rPr>
          <w:rFonts w:ascii="Palatino Linotype" w:hAnsi="Palatino Linotype" w:cs="Arial"/>
          <w:bCs/>
          <w:sz w:val="22"/>
          <w:szCs w:val="22"/>
        </w:rPr>
        <w:t>, área verde pública de 1.780,92 m</w:t>
      </w:r>
      <w:r w:rsidRPr="00E83D58">
        <w:rPr>
          <w:rFonts w:ascii="Palatino Linotype" w:hAnsi="Palatino Linotype" w:cs="Arial"/>
          <w:bCs/>
          <w:sz w:val="22"/>
          <w:szCs w:val="22"/>
          <w:vertAlign w:val="superscript"/>
        </w:rPr>
        <w:t>2</w:t>
      </w:r>
      <w:r w:rsidRPr="00E83D58">
        <w:rPr>
          <w:rFonts w:ascii="Palatino Linotype" w:hAnsi="Palatino Linotype" w:cs="Arial"/>
          <w:bCs/>
          <w:sz w:val="22"/>
          <w:szCs w:val="22"/>
        </w:rPr>
        <w:t>, y un área de equipamiento público de 445,21m</w:t>
      </w:r>
      <w:r w:rsidRPr="00E83D58">
        <w:rPr>
          <w:rFonts w:ascii="Palatino Linotype" w:hAnsi="Palatino Linotype" w:cs="Arial"/>
          <w:bCs/>
          <w:sz w:val="22"/>
          <w:szCs w:val="22"/>
          <w:vertAlign w:val="superscript"/>
        </w:rPr>
        <w:t>2</w:t>
      </w:r>
      <w:r w:rsidRPr="00E83D58">
        <w:rPr>
          <w:rFonts w:ascii="Palatino Linotype" w:hAnsi="Palatino Linotype" w:cs="Arial"/>
          <w:bCs/>
          <w:sz w:val="22"/>
          <w:szCs w:val="22"/>
        </w:rPr>
        <w:t xml:space="preserve">. El proyecto que se plantea cumple con el área verde y comunal requerida de conformidad con lo previsto en el artículo 424 del Código Orgánico de Organización Territorial Autonomía y Descentralización. </w:t>
      </w:r>
    </w:p>
    <w:p w:rsidR="00EF442E" w:rsidRPr="00E83D58" w:rsidRDefault="00EF442E" w:rsidP="00E83D58">
      <w:pPr>
        <w:pStyle w:val="Textopredeterminado"/>
        <w:spacing w:after="120" w:line="276" w:lineRule="auto"/>
        <w:jc w:val="center"/>
        <w:rPr>
          <w:rFonts w:ascii="Palatino Linotype" w:hAnsi="Palatino Linotype"/>
          <w:sz w:val="22"/>
          <w:szCs w:val="22"/>
        </w:rPr>
      </w:pPr>
      <w:r w:rsidRPr="00E83D58">
        <w:rPr>
          <w:rFonts w:ascii="Palatino Linotype" w:hAnsi="Palatino Linotype"/>
          <w:b/>
          <w:sz w:val="22"/>
          <w:szCs w:val="22"/>
        </w:rPr>
        <w:lastRenderedPageBreak/>
        <w:t>EL CONCEJO METROPOLITANO DE QUITO</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E83D58">
        <w:rPr>
          <w:rFonts w:ascii="Palatino Linotype" w:hAnsi="Palatino Linotype"/>
          <w:sz w:val="22"/>
          <w:szCs w:val="22"/>
        </w:rPr>
        <w:t>Visto</w:t>
      </w:r>
      <w:r w:rsidR="00E83D58" w:rsidRPr="00E83D58">
        <w:rPr>
          <w:rFonts w:ascii="Palatino Linotype" w:hAnsi="Palatino Linotype"/>
          <w:sz w:val="22"/>
          <w:szCs w:val="22"/>
        </w:rPr>
        <w:t>s</w:t>
      </w:r>
      <w:r w:rsidRPr="00E83D58">
        <w:rPr>
          <w:rFonts w:ascii="Palatino Linotype" w:hAnsi="Palatino Linotype"/>
          <w:sz w:val="22"/>
          <w:szCs w:val="22"/>
        </w:rPr>
        <w:t xml:space="preserve"> </w:t>
      </w:r>
      <w:r w:rsidR="00E83D58" w:rsidRPr="00E83D58">
        <w:rPr>
          <w:rFonts w:ascii="Palatino Linotype" w:hAnsi="Palatino Linotype"/>
          <w:sz w:val="22"/>
          <w:szCs w:val="22"/>
        </w:rPr>
        <w:t>los</w:t>
      </w:r>
      <w:r w:rsidRPr="00E83D58">
        <w:rPr>
          <w:rFonts w:ascii="Palatino Linotype" w:hAnsi="Palatino Linotype"/>
          <w:sz w:val="22"/>
          <w:szCs w:val="22"/>
        </w:rPr>
        <w:t xml:space="preserve"> Informe</w:t>
      </w:r>
      <w:r w:rsidR="00E83D58" w:rsidRPr="00E83D58">
        <w:rPr>
          <w:rFonts w:ascii="Palatino Linotype" w:hAnsi="Palatino Linotype"/>
          <w:sz w:val="22"/>
          <w:szCs w:val="22"/>
        </w:rPr>
        <w:t>s</w:t>
      </w:r>
      <w:r w:rsidRPr="00E83D58">
        <w:rPr>
          <w:rFonts w:ascii="Palatino Linotype" w:hAnsi="Palatino Linotype"/>
          <w:sz w:val="22"/>
          <w:szCs w:val="22"/>
        </w:rPr>
        <w:t xml:space="preserve"> No</w:t>
      </w:r>
      <w:r w:rsidR="00E83D58" w:rsidRPr="00E83D58">
        <w:rPr>
          <w:rFonts w:ascii="Palatino Linotype" w:hAnsi="Palatino Linotype"/>
          <w:sz w:val="22"/>
          <w:szCs w:val="22"/>
        </w:rPr>
        <w:t>s</w:t>
      </w:r>
      <w:r w:rsidRPr="00E83D58">
        <w:rPr>
          <w:rFonts w:ascii="Palatino Linotype" w:hAnsi="Palatino Linotype"/>
          <w:sz w:val="22"/>
          <w:szCs w:val="22"/>
        </w:rPr>
        <w:t>. IC-O-2016-083</w:t>
      </w:r>
      <w:r w:rsidR="00E83D58" w:rsidRPr="00E83D58">
        <w:rPr>
          <w:rFonts w:ascii="Palatino Linotype" w:hAnsi="Palatino Linotype"/>
          <w:sz w:val="22"/>
          <w:szCs w:val="22"/>
        </w:rPr>
        <w:t xml:space="preserve"> e IC-O-2016-143,</w:t>
      </w:r>
      <w:r w:rsidRPr="00E83D58">
        <w:rPr>
          <w:rFonts w:ascii="Palatino Linotype" w:hAnsi="Palatino Linotype"/>
          <w:sz w:val="22"/>
          <w:szCs w:val="22"/>
        </w:rPr>
        <w:t xml:space="preserve"> de 2 de mayo </w:t>
      </w:r>
      <w:r w:rsidR="00E83D58" w:rsidRPr="00E83D58">
        <w:rPr>
          <w:rFonts w:ascii="Palatino Linotype" w:hAnsi="Palatino Linotype"/>
          <w:sz w:val="22"/>
          <w:szCs w:val="22"/>
        </w:rPr>
        <w:t xml:space="preserve">y 19 de julio </w:t>
      </w:r>
      <w:r w:rsidRPr="00E83D58">
        <w:rPr>
          <w:rFonts w:ascii="Palatino Linotype" w:hAnsi="Palatino Linotype"/>
          <w:sz w:val="22"/>
          <w:szCs w:val="22"/>
        </w:rPr>
        <w:t>de 2016,</w:t>
      </w:r>
      <w:r w:rsidR="00E83D58" w:rsidRPr="00E83D58">
        <w:rPr>
          <w:rFonts w:ascii="Palatino Linotype" w:hAnsi="Palatino Linotype"/>
          <w:sz w:val="22"/>
          <w:szCs w:val="22"/>
        </w:rPr>
        <w:t xml:space="preserve"> respectivamente,</w:t>
      </w:r>
      <w:r w:rsidRPr="00E83D58">
        <w:rPr>
          <w:rFonts w:ascii="Palatino Linotype" w:hAnsi="Palatino Linotype"/>
          <w:sz w:val="22"/>
          <w:szCs w:val="22"/>
        </w:rPr>
        <w:t xml:space="preserve"> emitido</w:t>
      </w:r>
      <w:r w:rsidR="00E83D58" w:rsidRPr="00E83D58">
        <w:rPr>
          <w:rFonts w:ascii="Palatino Linotype" w:hAnsi="Palatino Linotype"/>
          <w:sz w:val="22"/>
          <w:szCs w:val="22"/>
        </w:rPr>
        <w:t>s</w:t>
      </w:r>
      <w:r w:rsidRPr="00E83D58">
        <w:rPr>
          <w:rFonts w:ascii="Palatino Linotype" w:hAnsi="Palatino Linotype"/>
          <w:sz w:val="22"/>
          <w:szCs w:val="22"/>
        </w:rPr>
        <w:t xml:space="preserve"> por la Comisión de Uso de Suelo. </w:t>
      </w:r>
    </w:p>
    <w:p w:rsidR="00EF442E" w:rsidRPr="00E83D58" w:rsidRDefault="00EF442E" w:rsidP="00E83D58">
      <w:pPr>
        <w:pStyle w:val="Textopredeterminado"/>
        <w:spacing w:after="120" w:line="276" w:lineRule="auto"/>
        <w:jc w:val="center"/>
        <w:rPr>
          <w:rFonts w:ascii="Palatino Linotype" w:hAnsi="Palatino Linotype"/>
          <w:b/>
          <w:sz w:val="22"/>
          <w:szCs w:val="22"/>
        </w:rPr>
      </w:pPr>
      <w:r w:rsidRPr="00E83D58">
        <w:rPr>
          <w:rFonts w:ascii="Palatino Linotype" w:hAnsi="Palatino Linotype"/>
          <w:b/>
          <w:sz w:val="22"/>
          <w:szCs w:val="22"/>
        </w:rPr>
        <w:t>CONSIDERANDO:</w:t>
      </w:r>
    </w:p>
    <w:p w:rsidR="00EF442E" w:rsidRPr="00E83D58" w:rsidRDefault="00EF442E" w:rsidP="00E83D58">
      <w:pPr>
        <w:pStyle w:val="Sinespaciado"/>
        <w:spacing w:after="120" w:line="276" w:lineRule="auto"/>
        <w:ind w:left="709" w:hanging="709"/>
        <w:jc w:val="both"/>
        <w:rPr>
          <w:rFonts w:ascii="Palatino Linotype" w:hAnsi="Palatino Linotype" w:cs="Times New Roman"/>
          <w:i/>
          <w:sz w:val="22"/>
          <w:szCs w:val="22"/>
        </w:rPr>
      </w:pPr>
      <w:r w:rsidRPr="00E83D58">
        <w:rPr>
          <w:rFonts w:ascii="Palatino Linotype" w:hAnsi="Palatino Linotype" w:cs="Times New Roman"/>
          <w:b/>
          <w:sz w:val="22"/>
          <w:szCs w:val="22"/>
        </w:rPr>
        <w:t xml:space="preserve">Que, </w:t>
      </w:r>
      <w:r w:rsidRPr="00E83D58">
        <w:rPr>
          <w:rFonts w:ascii="Palatino Linotype" w:hAnsi="Palatino Linotype" w:cs="Times New Roman"/>
          <w:b/>
          <w:sz w:val="22"/>
          <w:szCs w:val="22"/>
        </w:rPr>
        <w:tab/>
      </w:r>
      <w:r w:rsidRPr="00E83D58">
        <w:rPr>
          <w:rFonts w:ascii="Palatino Linotype" w:hAnsi="Palatino Linotype" w:cs="Times New Roman"/>
          <w:sz w:val="22"/>
          <w:szCs w:val="22"/>
        </w:rPr>
        <w:t xml:space="preserve">el artículo 240 de la Constitución de la República del Ecuador establece que: </w:t>
      </w:r>
      <w:r w:rsidRPr="00E83D58">
        <w:rPr>
          <w:rFonts w:ascii="Palatino Linotype" w:hAnsi="Palatino Linotype" w:cs="Times New Roman"/>
          <w:i/>
          <w:sz w:val="22"/>
          <w:szCs w:val="22"/>
        </w:rPr>
        <w:t>“Los gobiernos autónomos descentralizados de las regiones, distritos metropolitanos, provincias y cantones, tendrán facultades legislativas en el ámbito de sus competencias y jurisdicciones territoriales (…)”</w:t>
      </w:r>
      <w:r w:rsidRPr="00E83D58">
        <w:rPr>
          <w:rFonts w:ascii="Palatino Linotype" w:hAnsi="Palatino Linotype" w:cs="Times New Roman"/>
          <w:sz w:val="22"/>
          <w:szCs w:val="22"/>
        </w:rPr>
        <w:t>;</w:t>
      </w:r>
      <w:r w:rsidRPr="00E83D58">
        <w:rPr>
          <w:rFonts w:ascii="Palatino Linotype" w:hAnsi="Palatino Linotype" w:cs="Times New Roman"/>
          <w:i/>
          <w:sz w:val="22"/>
          <w:szCs w:val="22"/>
        </w:rPr>
        <w:t xml:space="preserve"> </w:t>
      </w:r>
    </w:p>
    <w:p w:rsidR="00EF442E" w:rsidRPr="00E83D58" w:rsidRDefault="00EF442E" w:rsidP="00E83D58">
      <w:pPr>
        <w:pStyle w:val="Sinespaciado"/>
        <w:spacing w:after="120" w:line="276" w:lineRule="auto"/>
        <w:ind w:left="709" w:hanging="709"/>
        <w:jc w:val="both"/>
        <w:rPr>
          <w:rFonts w:ascii="Palatino Linotype" w:hAnsi="Palatino Linotype" w:cs="Times New Roman"/>
          <w:sz w:val="22"/>
          <w:szCs w:val="22"/>
        </w:rPr>
      </w:pPr>
      <w:r w:rsidRPr="00E83D58">
        <w:rPr>
          <w:rFonts w:ascii="Palatino Linotype" w:hAnsi="Palatino Linotype" w:cs="Times New Roman"/>
          <w:b/>
          <w:sz w:val="22"/>
          <w:szCs w:val="22"/>
        </w:rPr>
        <w:t>Que,</w:t>
      </w:r>
      <w:r w:rsidRPr="00E83D58">
        <w:rPr>
          <w:rFonts w:ascii="Palatino Linotype" w:hAnsi="Palatino Linotype" w:cs="Times New Roman"/>
          <w:b/>
          <w:sz w:val="22"/>
          <w:szCs w:val="22"/>
        </w:rPr>
        <w:tab/>
      </w:r>
      <w:r w:rsidRPr="00E83D58">
        <w:rPr>
          <w:rFonts w:ascii="Palatino Linotype" w:hAnsi="Palatino Linotype" w:cs="Times New Roman"/>
          <w:sz w:val="22"/>
          <w:szCs w:val="22"/>
        </w:rPr>
        <w:t>el numeral 1 del artículo 264 ibídem,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EF442E" w:rsidRPr="00E83D58" w:rsidRDefault="00EF442E" w:rsidP="00E83D58">
      <w:pPr>
        <w:pStyle w:val="Sinespaciado"/>
        <w:spacing w:after="120" w:line="276" w:lineRule="auto"/>
        <w:ind w:left="709" w:hanging="709"/>
        <w:jc w:val="both"/>
        <w:rPr>
          <w:rFonts w:ascii="Palatino Linotype" w:hAnsi="Palatino Linotype" w:cs="Times New Roman"/>
          <w:sz w:val="22"/>
          <w:szCs w:val="22"/>
        </w:rPr>
      </w:pPr>
      <w:r w:rsidRPr="00E83D58">
        <w:rPr>
          <w:rFonts w:ascii="Palatino Linotype" w:hAnsi="Palatino Linotype" w:cs="Times New Roman"/>
          <w:b/>
          <w:sz w:val="22"/>
          <w:szCs w:val="22"/>
        </w:rPr>
        <w:t xml:space="preserve">Que, </w:t>
      </w:r>
      <w:r w:rsidRPr="00E83D58">
        <w:rPr>
          <w:rFonts w:ascii="Palatino Linotype" w:hAnsi="Palatino Linotype" w:cs="Times New Roman"/>
          <w:b/>
          <w:sz w:val="22"/>
          <w:szCs w:val="22"/>
        </w:rPr>
        <w:tab/>
      </w:r>
      <w:r w:rsidRPr="00E83D58">
        <w:rPr>
          <w:rFonts w:ascii="Palatino Linotype" w:hAnsi="Palatino Linotype" w:cs="Times New Roman"/>
          <w:sz w:val="22"/>
          <w:szCs w:val="22"/>
        </w:rPr>
        <w:t>el literal c) del artículo 54 del Código Orgánico de Organización Territorial, Autono</w:t>
      </w:r>
      <w:r w:rsidR="00E83D58">
        <w:rPr>
          <w:rFonts w:ascii="Palatino Linotype" w:hAnsi="Palatino Linotype" w:cs="Times New Roman"/>
          <w:sz w:val="22"/>
          <w:szCs w:val="22"/>
        </w:rPr>
        <w:t>mía y Descentralización -COOTAD</w:t>
      </w:r>
      <w:r w:rsidRPr="00E83D58">
        <w:rPr>
          <w:rFonts w:ascii="Palatino Linotype" w:hAnsi="Palatino Linotype" w:cs="Times New Roman"/>
          <w:sz w:val="22"/>
          <w:szCs w:val="22"/>
        </w:rPr>
        <w:t>, prevé como función del Gobierno Autónomo Descentralizado Municipal la de establece</w:t>
      </w:r>
      <w:r w:rsidR="00E83D58">
        <w:rPr>
          <w:rFonts w:ascii="Palatino Linotype" w:hAnsi="Palatino Linotype" w:cs="Times New Roman"/>
          <w:sz w:val="22"/>
          <w:szCs w:val="22"/>
        </w:rPr>
        <w:t>r</w:t>
      </w:r>
      <w:r w:rsidRPr="00E83D58">
        <w:rPr>
          <w:rFonts w:ascii="Palatino Linotype" w:hAnsi="Palatino Linotype" w:cs="Times New Roman"/>
          <w:sz w:val="22"/>
          <w:szCs w:val="22"/>
        </w:rPr>
        <w:t xml:space="preserve"> el régimen de uso del suelo y urbanístico, parcelación, lotización, división o cualquier otra forma de fraccionamiento de conformidad con la planificación cantonal, asegurando porcentajes para zonas verdes y áreas comunales;</w:t>
      </w:r>
    </w:p>
    <w:p w:rsidR="00EF442E" w:rsidRPr="00E83D58" w:rsidRDefault="00EF442E" w:rsidP="00E83D58">
      <w:pPr>
        <w:pStyle w:val="Sinespaciado"/>
        <w:spacing w:after="120" w:line="276" w:lineRule="auto"/>
        <w:ind w:left="709" w:hanging="709"/>
        <w:jc w:val="both"/>
        <w:rPr>
          <w:rFonts w:ascii="Palatino Linotype" w:hAnsi="Palatino Linotype" w:cs="Times New Roman"/>
          <w:i/>
          <w:sz w:val="22"/>
          <w:szCs w:val="22"/>
        </w:rPr>
      </w:pPr>
      <w:r w:rsidRPr="00E83D58">
        <w:rPr>
          <w:rFonts w:ascii="Palatino Linotype" w:hAnsi="Palatino Linotype" w:cs="Times New Roman"/>
          <w:b/>
          <w:sz w:val="22"/>
          <w:szCs w:val="22"/>
        </w:rPr>
        <w:t>Que,</w:t>
      </w:r>
      <w:r w:rsidRPr="00E83D58">
        <w:rPr>
          <w:rFonts w:ascii="Palatino Linotype" w:hAnsi="Palatino Linotype" w:cs="Times New Roman"/>
          <w:b/>
          <w:sz w:val="22"/>
          <w:szCs w:val="22"/>
        </w:rPr>
        <w:tab/>
      </w:r>
      <w:r w:rsidRPr="00E83D58">
        <w:rPr>
          <w:rFonts w:ascii="Palatino Linotype" w:hAnsi="Palatino Linotype" w:cs="Times New Roman"/>
          <w:sz w:val="22"/>
          <w:szCs w:val="22"/>
        </w:rPr>
        <w:t>los literales a) y x) del artículo 57 del mismo Código, respecto de las atribuciones del Concejo Metropolitano señala</w:t>
      </w:r>
      <w:r w:rsidRPr="00E83D58">
        <w:rPr>
          <w:rFonts w:ascii="Palatino Linotype" w:hAnsi="Palatino Linotype" w:cs="Times New Roman"/>
          <w:i/>
          <w:sz w:val="22"/>
          <w:szCs w:val="22"/>
        </w:rPr>
        <w:t>: “</w:t>
      </w:r>
      <w:r w:rsidR="00E83D58" w:rsidRPr="00E83D58">
        <w:rPr>
          <w:rFonts w:ascii="Palatino Linotype" w:hAnsi="Palatino Linotype" w:cs="Times New Roman"/>
          <w:i/>
          <w:sz w:val="22"/>
          <w:szCs w:val="22"/>
        </w:rPr>
        <w:t>(…)</w:t>
      </w:r>
      <w:r w:rsidR="00E83D58">
        <w:rPr>
          <w:rFonts w:ascii="Palatino Linotype" w:hAnsi="Palatino Linotype" w:cs="Times New Roman"/>
          <w:i/>
          <w:sz w:val="22"/>
          <w:szCs w:val="22"/>
        </w:rPr>
        <w:t xml:space="preserve"> </w:t>
      </w:r>
      <w:r w:rsidRPr="00E83D58">
        <w:rPr>
          <w:rFonts w:ascii="Palatino Linotype" w:hAnsi="Palatino Linotype" w:cs="Times New Roman"/>
          <w:i/>
          <w:sz w:val="22"/>
          <w:szCs w:val="22"/>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E83D58">
        <w:rPr>
          <w:rFonts w:ascii="Palatino Linotype" w:hAnsi="Palatino Linotype" w:cs="Times New Roman"/>
          <w:sz w:val="22"/>
          <w:szCs w:val="22"/>
        </w:rPr>
        <w:t>;</w:t>
      </w:r>
    </w:p>
    <w:p w:rsidR="00EF442E" w:rsidRPr="00E83D58" w:rsidRDefault="00EF442E" w:rsidP="00E83D58">
      <w:pPr>
        <w:pStyle w:val="Textopredeterminado"/>
        <w:spacing w:after="120" w:line="276" w:lineRule="auto"/>
        <w:ind w:left="709" w:hanging="709"/>
        <w:jc w:val="both"/>
        <w:rPr>
          <w:rFonts w:ascii="Palatino Linotype" w:hAnsi="Palatino Linotype"/>
          <w:sz w:val="22"/>
          <w:szCs w:val="22"/>
        </w:rPr>
      </w:pPr>
      <w:r w:rsidRPr="00E83D58">
        <w:rPr>
          <w:rFonts w:ascii="Palatino Linotype" w:hAnsi="Palatino Linotype"/>
          <w:b/>
          <w:sz w:val="22"/>
          <w:szCs w:val="22"/>
        </w:rPr>
        <w:t>Que,</w:t>
      </w:r>
      <w:r w:rsidRPr="00E83D58">
        <w:rPr>
          <w:rFonts w:ascii="Palatino Linotype" w:hAnsi="Palatino Linotype"/>
          <w:b/>
          <w:sz w:val="22"/>
          <w:szCs w:val="22"/>
        </w:rPr>
        <w:tab/>
        <w:t>e</w:t>
      </w:r>
      <w:r w:rsidRPr="00E83D58">
        <w:rPr>
          <w:rFonts w:ascii="Palatino Linotype" w:hAnsi="Palatino Linotype"/>
          <w:sz w:val="22"/>
          <w:szCs w:val="22"/>
        </w:rPr>
        <w:t xml:space="preserve">l artículo 470, inciso primero, ibídem, manifiesta que: </w:t>
      </w:r>
      <w:r w:rsidRPr="00E83D58">
        <w:rPr>
          <w:rFonts w:ascii="Palatino Linotype" w:hAnsi="Palatino Linotype"/>
          <w:i/>
          <w:sz w:val="22"/>
          <w:szCs w:val="22"/>
        </w:rPr>
        <w:t>“Se considera fraccionamiento o subdivisión urbana o rural a la división de un terreno de dos a diez lotes, con frente o acceso a alguna vía pública existente o en proyecto.  La urbanización es la división de un terreno mayor a diez lotes,</w:t>
      </w:r>
      <w:r w:rsidR="00E83D58" w:rsidRPr="00E83D58">
        <w:rPr>
          <w:rFonts w:ascii="Palatino Linotype" w:hAnsi="Palatino Linotype"/>
          <w:i/>
          <w:sz w:val="22"/>
          <w:szCs w:val="22"/>
        </w:rPr>
        <w:t xml:space="preserve"> (…)</w:t>
      </w:r>
      <w:r w:rsidR="00E83D58">
        <w:rPr>
          <w:rFonts w:ascii="Palatino Linotype" w:hAnsi="Palatino Linotype"/>
          <w:i/>
          <w:sz w:val="22"/>
          <w:szCs w:val="22"/>
        </w:rPr>
        <w:t>.”</w:t>
      </w:r>
      <w:r w:rsidR="00E83D58">
        <w:rPr>
          <w:rFonts w:ascii="Palatino Linotype" w:hAnsi="Palatino Linotype"/>
          <w:sz w:val="22"/>
          <w:szCs w:val="22"/>
        </w:rPr>
        <w:t>;</w:t>
      </w:r>
    </w:p>
    <w:p w:rsidR="00EF442E" w:rsidRPr="00E83D58" w:rsidRDefault="00EF442E" w:rsidP="00E83D58">
      <w:pPr>
        <w:pStyle w:val="Sinespaciado"/>
        <w:spacing w:after="120" w:line="276" w:lineRule="auto"/>
        <w:ind w:left="709" w:hanging="709"/>
        <w:jc w:val="both"/>
        <w:rPr>
          <w:rFonts w:ascii="Palatino Linotype" w:hAnsi="Palatino Linotype" w:cs="Times New Roman"/>
          <w:sz w:val="22"/>
          <w:szCs w:val="22"/>
        </w:rPr>
      </w:pPr>
      <w:r w:rsidRPr="00E83D58">
        <w:rPr>
          <w:rFonts w:ascii="Palatino Linotype" w:hAnsi="Palatino Linotype" w:cs="Times New Roman"/>
          <w:b/>
          <w:sz w:val="22"/>
          <w:szCs w:val="22"/>
        </w:rPr>
        <w:lastRenderedPageBreak/>
        <w:t>Que,</w:t>
      </w:r>
      <w:r w:rsidRPr="00E83D58">
        <w:rPr>
          <w:rFonts w:ascii="Palatino Linotype" w:hAnsi="Palatino Linotype" w:cs="Times New Roman"/>
          <w:b/>
          <w:sz w:val="22"/>
          <w:szCs w:val="22"/>
        </w:rPr>
        <w:tab/>
      </w:r>
      <w:r w:rsidRPr="00E83D58">
        <w:rPr>
          <w:rFonts w:ascii="Palatino Linotype" w:hAnsi="Palatino Linotype" w:cs="Times New Roman"/>
          <w:sz w:val="22"/>
          <w:szCs w:val="22"/>
        </w:rPr>
        <w:t>el artículo 2, numeral 1 de la Ley Orgánica de Régimen para el Distrito Metropolitano de Quito, tiene la competencia exclusiva y privativa de regular el uso y la adecuada ocupación del suelo, ejerciendo el control sobre el mismo;</w:t>
      </w:r>
    </w:p>
    <w:p w:rsidR="00EF442E" w:rsidRPr="00E83D58" w:rsidRDefault="00EF442E" w:rsidP="00E83D58">
      <w:pPr>
        <w:pStyle w:val="Sinespaciado"/>
        <w:spacing w:after="120" w:line="276" w:lineRule="auto"/>
        <w:ind w:left="709" w:hanging="709"/>
        <w:jc w:val="both"/>
        <w:rPr>
          <w:rFonts w:ascii="Palatino Linotype" w:hAnsi="Palatino Linotype" w:cs="Times New Roman"/>
          <w:sz w:val="22"/>
          <w:szCs w:val="22"/>
        </w:rPr>
      </w:pPr>
      <w:r w:rsidRPr="00E83D58">
        <w:rPr>
          <w:rFonts w:ascii="Palatino Linotype" w:hAnsi="Palatino Linotype" w:cs="Times New Roman"/>
          <w:b/>
          <w:sz w:val="22"/>
          <w:szCs w:val="22"/>
        </w:rPr>
        <w:t>Que,</w:t>
      </w:r>
      <w:r w:rsidRPr="00E83D58">
        <w:rPr>
          <w:rFonts w:ascii="Palatino Linotype" w:hAnsi="Palatino Linotype" w:cs="Times New Roman"/>
          <w:b/>
          <w:sz w:val="22"/>
          <w:szCs w:val="22"/>
        </w:rPr>
        <w:tab/>
      </w:r>
      <w:r w:rsidRPr="00E83D58">
        <w:rPr>
          <w:rFonts w:ascii="Palatino Linotype" w:hAnsi="Palatino Linotype" w:cs="Times New Roman"/>
          <w:sz w:val="22"/>
          <w:szCs w:val="22"/>
        </w:rPr>
        <w:t>el artículo 8, numeral 1 del mismo cuerpo normativo establece que le corresponde al Concejo Metropolitano, decidir mediante ordenanza, sobre los asuntos de interés general, relativos al desarrollo integral y a la ordenación urbanística del Distrito;</w:t>
      </w:r>
    </w:p>
    <w:p w:rsidR="00EF442E" w:rsidRPr="00E83D58" w:rsidRDefault="00EF442E" w:rsidP="00E83D58">
      <w:pPr>
        <w:pStyle w:val="Sinespaciado"/>
        <w:spacing w:after="120" w:line="276" w:lineRule="auto"/>
        <w:ind w:left="709" w:hanging="709"/>
        <w:jc w:val="both"/>
        <w:rPr>
          <w:rFonts w:ascii="Palatino Linotype" w:hAnsi="Palatino Linotype" w:cs="Times New Roman"/>
          <w:sz w:val="22"/>
          <w:szCs w:val="22"/>
        </w:rPr>
      </w:pPr>
      <w:r w:rsidRPr="00E83D58">
        <w:rPr>
          <w:rFonts w:ascii="Palatino Linotype" w:hAnsi="Palatino Linotype" w:cs="Times New Roman"/>
          <w:b/>
          <w:sz w:val="22"/>
          <w:szCs w:val="22"/>
        </w:rPr>
        <w:t>Que,</w:t>
      </w:r>
      <w:r w:rsidRPr="00E83D58">
        <w:rPr>
          <w:rFonts w:ascii="Palatino Linotype" w:hAnsi="Palatino Linotype" w:cs="Times New Roman"/>
          <w:b/>
          <w:sz w:val="22"/>
          <w:szCs w:val="22"/>
        </w:rPr>
        <w:tab/>
      </w:r>
      <w:r w:rsidRPr="00E83D58">
        <w:rPr>
          <w:rFonts w:ascii="Palatino Linotype" w:hAnsi="Palatino Linotype" w:cs="Times New Roman"/>
          <w:sz w:val="22"/>
          <w:szCs w:val="22"/>
        </w:rPr>
        <w:t>el numeral 1 del artículo 69 de la Ordenanza Metropolitana N</w:t>
      </w:r>
      <w:r w:rsidR="00E83D58">
        <w:rPr>
          <w:rFonts w:ascii="Palatino Linotype" w:hAnsi="Palatino Linotype" w:cs="Times New Roman"/>
          <w:sz w:val="22"/>
          <w:szCs w:val="22"/>
        </w:rPr>
        <w:t>o.</w:t>
      </w:r>
      <w:r w:rsidRPr="00E83D58">
        <w:rPr>
          <w:rFonts w:ascii="Palatino Linotype" w:hAnsi="Palatino Linotype" w:cs="Times New Roman"/>
          <w:sz w:val="22"/>
          <w:szCs w:val="22"/>
        </w:rPr>
        <w:t xml:space="preserve"> 0172, que establece el Régimen Administrativo de Suelo en el Distrito Metropolitano de Quito, establece que los proyectos de urbanización son propuestos de iniciativa municipal o privada que tienen por finalidad la división y habilitación de suelo en áreas de la circunscripción territorial del Distrito Metropolitano de Quito, calificadas exclusivamente como suelo urbano por el P</w:t>
      </w:r>
      <w:r w:rsidR="00E83D58">
        <w:rPr>
          <w:rFonts w:ascii="Palatino Linotype" w:hAnsi="Palatino Linotype" w:cs="Times New Roman"/>
          <w:sz w:val="22"/>
          <w:szCs w:val="22"/>
        </w:rPr>
        <w:t xml:space="preserve">lan </w:t>
      </w:r>
      <w:r w:rsidRPr="00E83D58">
        <w:rPr>
          <w:rFonts w:ascii="Palatino Linotype" w:hAnsi="Palatino Linotype" w:cs="Times New Roman"/>
          <w:sz w:val="22"/>
          <w:szCs w:val="22"/>
        </w:rPr>
        <w:t>M</w:t>
      </w:r>
      <w:r w:rsidR="00E83D58">
        <w:rPr>
          <w:rFonts w:ascii="Palatino Linotype" w:hAnsi="Palatino Linotype" w:cs="Times New Roman"/>
          <w:sz w:val="22"/>
          <w:szCs w:val="22"/>
        </w:rPr>
        <w:t xml:space="preserve">etropolitano de </w:t>
      </w:r>
      <w:r w:rsidRPr="00E83D58">
        <w:rPr>
          <w:rFonts w:ascii="Palatino Linotype" w:hAnsi="Palatino Linotype" w:cs="Times New Roman"/>
          <w:sz w:val="22"/>
          <w:szCs w:val="22"/>
        </w:rPr>
        <w:t>O</w:t>
      </w:r>
      <w:r w:rsidR="00E83D58">
        <w:rPr>
          <w:rFonts w:ascii="Palatino Linotype" w:hAnsi="Palatino Linotype" w:cs="Times New Roman"/>
          <w:sz w:val="22"/>
          <w:szCs w:val="22"/>
        </w:rPr>
        <w:t xml:space="preserve">rdenamiento </w:t>
      </w:r>
      <w:r w:rsidRPr="00E83D58">
        <w:rPr>
          <w:rFonts w:ascii="Palatino Linotype" w:hAnsi="Palatino Linotype" w:cs="Times New Roman"/>
          <w:sz w:val="22"/>
          <w:szCs w:val="22"/>
        </w:rPr>
        <w:t>T</w:t>
      </w:r>
      <w:r w:rsidR="00E83D58">
        <w:rPr>
          <w:rFonts w:ascii="Palatino Linotype" w:hAnsi="Palatino Linotype" w:cs="Times New Roman"/>
          <w:sz w:val="22"/>
          <w:szCs w:val="22"/>
        </w:rPr>
        <w:t>erritorial</w:t>
      </w:r>
      <w:r w:rsidRPr="00E83D58">
        <w:rPr>
          <w:rFonts w:ascii="Palatino Linotype" w:hAnsi="Palatino Linotype" w:cs="Times New Roman"/>
          <w:sz w:val="22"/>
          <w:szCs w:val="22"/>
        </w:rPr>
        <w:t xml:space="preserve"> u otros instrumentos de planificación.  En urbanizaciones, la división del suelo contemplará más de diez lotes, además del correspondiente al de áreas de equipamiento comunal y áreas verdes;  </w:t>
      </w:r>
    </w:p>
    <w:p w:rsidR="00EF442E" w:rsidRPr="00E83D58" w:rsidRDefault="00EF442E" w:rsidP="00E83D58">
      <w:pPr>
        <w:pStyle w:val="Textopredeterminado"/>
        <w:spacing w:after="120" w:line="276" w:lineRule="auto"/>
        <w:ind w:left="709" w:hanging="709"/>
        <w:jc w:val="both"/>
        <w:rPr>
          <w:rFonts w:ascii="Palatino Linotype" w:hAnsi="Palatino Linotype"/>
          <w:i/>
          <w:sz w:val="22"/>
          <w:szCs w:val="22"/>
        </w:rPr>
      </w:pPr>
      <w:r w:rsidRPr="00E83D58">
        <w:rPr>
          <w:rFonts w:ascii="Palatino Linotype" w:hAnsi="Palatino Linotype"/>
          <w:b/>
          <w:sz w:val="22"/>
          <w:szCs w:val="22"/>
        </w:rPr>
        <w:t xml:space="preserve">Que, </w:t>
      </w:r>
      <w:r w:rsidRPr="00E83D58">
        <w:rPr>
          <w:rFonts w:ascii="Palatino Linotype" w:hAnsi="Palatino Linotype"/>
          <w:b/>
          <w:sz w:val="22"/>
          <w:szCs w:val="22"/>
        </w:rPr>
        <w:tab/>
      </w:r>
      <w:r w:rsidRPr="00E83D58">
        <w:rPr>
          <w:rFonts w:ascii="Palatino Linotype" w:hAnsi="Palatino Linotype"/>
          <w:sz w:val="22"/>
          <w:szCs w:val="22"/>
        </w:rPr>
        <w:t>el artículo … (36), letra a), de la Ordenanza Metropolitana N</w:t>
      </w:r>
      <w:r w:rsidR="00E83D58">
        <w:rPr>
          <w:rFonts w:ascii="Palatino Linotype" w:hAnsi="Palatino Linotype"/>
          <w:sz w:val="22"/>
          <w:szCs w:val="22"/>
        </w:rPr>
        <w:t>o.</w:t>
      </w:r>
      <w:r w:rsidRPr="00E83D58">
        <w:rPr>
          <w:rFonts w:ascii="Palatino Linotype" w:hAnsi="Palatino Linotype"/>
          <w:sz w:val="22"/>
          <w:szCs w:val="22"/>
        </w:rPr>
        <w:t xml:space="preserve"> 0156, manifiesta: </w:t>
      </w:r>
      <w:r w:rsidRPr="00E83D58">
        <w:rPr>
          <w:rFonts w:ascii="Palatino Linotype" w:hAnsi="Palatino Linotype"/>
          <w:i/>
          <w:sz w:val="22"/>
          <w:szCs w:val="22"/>
        </w:rPr>
        <w:t>“La Secretaría de Territorio, Hábitat y Vivienda es el órgano competente en materia de LMU (10) dentro del procedimiento especial, para el caso de Urbanizaciones, Subdivisiones Especiales y Reestructuraciones Parcelarias Especiales.  Emitirá el informe para el Concejo Metropolitano de Quito, efectuando las recomendaciones técnicas que se consideren aplicables al caso, previa la expedi</w:t>
      </w:r>
      <w:r w:rsidR="00E83D58">
        <w:rPr>
          <w:rFonts w:ascii="Palatino Linotype" w:hAnsi="Palatino Linotype"/>
          <w:i/>
          <w:sz w:val="22"/>
          <w:szCs w:val="22"/>
        </w:rPr>
        <w:t>ción de la Ordenanza respectiva</w:t>
      </w:r>
      <w:r w:rsidRPr="00E83D58">
        <w:rPr>
          <w:rFonts w:ascii="Palatino Linotype" w:hAnsi="Palatino Linotype"/>
          <w:i/>
          <w:sz w:val="22"/>
          <w:szCs w:val="22"/>
        </w:rPr>
        <w:t>”</w:t>
      </w:r>
      <w:r w:rsidRPr="00E83D58">
        <w:rPr>
          <w:rFonts w:ascii="Palatino Linotype" w:hAnsi="Palatino Linotype"/>
          <w:sz w:val="22"/>
          <w:szCs w:val="22"/>
        </w:rPr>
        <w:t>;</w:t>
      </w:r>
      <w:r w:rsidR="00E83D58">
        <w:rPr>
          <w:rFonts w:ascii="Palatino Linotype" w:hAnsi="Palatino Linotype"/>
          <w:sz w:val="22"/>
          <w:szCs w:val="22"/>
        </w:rPr>
        <w:t xml:space="preserve"> </w:t>
      </w:r>
    </w:p>
    <w:p w:rsidR="00EF442E" w:rsidRPr="00E83D58" w:rsidRDefault="00EF442E" w:rsidP="00E83D58">
      <w:pPr>
        <w:pStyle w:val="Textopredeterminado"/>
        <w:spacing w:after="120" w:line="276" w:lineRule="auto"/>
        <w:ind w:left="709" w:hanging="709"/>
        <w:jc w:val="both"/>
        <w:rPr>
          <w:rFonts w:ascii="Palatino Linotype" w:hAnsi="Palatino Linotype"/>
          <w:sz w:val="22"/>
          <w:szCs w:val="22"/>
        </w:rPr>
      </w:pPr>
      <w:r w:rsidRPr="00E83D58">
        <w:rPr>
          <w:rFonts w:ascii="Palatino Linotype" w:hAnsi="Palatino Linotype"/>
          <w:b/>
          <w:sz w:val="22"/>
          <w:szCs w:val="22"/>
        </w:rPr>
        <w:t>Que</w:t>
      </w:r>
      <w:r w:rsidRPr="00E83D58">
        <w:rPr>
          <w:rFonts w:ascii="Palatino Linotype" w:hAnsi="Palatino Linotype"/>
          <w:b/>
          <w:sz w:val="22"/>
          <w:szCs w:val="22"/>
        </w:rPr>
        <w:tab/>
        <w:t>e</w:t>
      </w:r>
      <w:r w:rsidRPr="00E83D58">
        <w:rPr>
          <w:rFonts w:ascii="Palatino Linotype" w:hAnsi="Palatino Linotype"/>
          <w:sz w:val="22"/>
          <w:szCs w:val="22"/>
        </w:rPr>
        <w:t xml:space="preserve">l </w:t>
      </w:r>
      <w:proofErr w:type="gramStart"/>
      <w:r w:rsidRPr="00E83D58">
        <w:rPr>
          <w:rFonts w:ascii="Palatino Linotype" w:hAnsi="Palatino Linotype"/>
          <w:sz w:val="22"/>
          <w:szCs w:val="22"/>
        </w:rPr>
        <w:t>artículo …</w:t>
      </w:r>
      <w:proofErr w:type="gramEnd"/>
      <w:r w:rsidRPr="00E83D58">
        <w:rPr>
          <w:rFonts w:ascii="Palatino Linotype" w:hAnsi="Palatino Linotype"/>
          <w:sz w:val="22"/>
          <w:szCs w:val="22"/>
        </w:rPr>
        <w:t xml:space="preserve"> (33), No. 3, ibídem, dispone: </w:t>
      </w:r>
      <w:r w:rsidRPr="00E83D58">
        <w:rPr>
          <w:rFonts w:ascii="Palatino Linotype" w:hAnsi="Palatino Linotype"/>
          <w:i/>
          <w:sz w:val="22"/>
          <w:szCs w:val="22"/>
        </w:rPr>
        <w:t xml:space="preserve">“En las urbanizaciones de interés social de desarrollo progresivo efectuadas por organizaciones sociales aprobadas por el Ministerio sectorial competente únicamente servirán como garantía de ejecución de las </w:t>
      </w:r>
      <w:r w:rsidR="00E83D58">
        <w:rPr>
          <w:rFonts w:ascii="Palatino Linotype" w:hAnsi="Palatino Linotype"/>
          <w:i/>
          <w:sz w:val="22"/>
          <w:szCs w:val="22"/>
        </w:rPr>
        <w:t>obras la hipoteca de los lotes”</w:t>
      </w:r>
      <w:r w:rsidR="00E83D58">
        <w:rPr>
          <w:rFonts w:ascii="Palatino Linotype" w:hAnsi="Palatino Linotype"/>
          <w:sz w:val="22"/>
          <w:szCs w:val="22"/>
        </w:rPr>
        <w:t>;</w:t>
      </w:r>
    </w:p>
    <w:p w:rsidR="00EF442E" w:rsidRPr="00E83D58" w:rsidRDefault="00EF442E" w:rsidP="00E83D58">
      <w:pPr>
        <w:pStyle w:val="Textopredeterminado"/>
        <w:spacing w:after="120" w:line="276" w:lineRule="auto"/>
        <w:ind w:left="709" w:hanging="709"/>
        <w:jc w:val="both"/>
        <w:rPr>
          <w:rFonts w:ascii="Palatino Linotype" w:hAnsi="Palatino Linotype"/>
          <w:sz w:val="22"/>
          <w:szCs w:val="22"/>
        </w:rPr>
      </w:pPr>
      <w:r w:rsidRPr="00E83D58">
        <w:rPr>
          <w:rFonts w:ascii="Palatino Linotype" w:hAnsi="Palatino Linotype"/>
          <w:b/>
          <w:sz w:val="22"/>
          <w:szCs w:val="22"/>
        </w:rPr>
        <w:t xml:space="preserve">Que </w:t>
      </w:r>
      <w:r w:rsidRPr="00E83D58">
        <w:rPr>
          <w:rFonts w:ascii="Palatino Linotype" w:hAnsi="Palatino Linotype"/>
          <w:b/>
          <w:sz w:val="22"/>
          <w:szCs w:val="22"/>
        </w:rPr>
        <w:tab/>
      </w:r>
      <w:r w:rsidRPr="00E83D58">
        <w:rPr>
          <w:rFonts w:ascii="Palatino Linotype" w:hAnsi="Palatino Linotype"/>
          <w:sz w:val="22"/>
          <w:szCs w:val="22"/>
        </w:rPr>
        <w:t>los delegados de la Secretaría de Territorio, Hábitat y Vivienda, Dirección Metropolitana de Catastro y Procuraduría Metropolitana, que conforman la Mesa de Trabajo, mediante Acta No. 2 de 26 de enero de 2016, han presentado las recomendaciones relacionadas con el presente proyecto de urbanización; y,</w:t>
      </w:r>
    </w:p>
    <w:p w:rsidR="00EF442E" w:rsidRPr="00E83D58" w:rsidRDefault="00EF442E" w:rsidP="00E83D58">
      <w:pPr>
        <w:pStyle w:val="Textopredeterminado"/>
        <w:spacing w:after="120" w:line="276" w:lineRule="auto"/>
        <w:ind w:left="709" w:hanging="709"/>
        <w:jc w:val="both"/>
        <w:rPr>
          <w:rFonts w:ascii="Palatino Linotype" w:hAnsi="Palatino Linotype"/>
          <w:sz w:val="22"/>
          <w:szCs w:val="22"/>
        </w:rPr>
      </w:pPr>
      <w:r w:rsidRPr="00E83D58">
        <w:rPr>
          <w:rFonts w:ascii="Palatino Linotype" w:hAnsi="Palatino Linotype"/>
          <w:b/>
          <w:sz w:val="22"/>
          <w:szCs w:val="22"/>
        </w:rPr>
        <w:t xml:space="preserve">Que </w:t>
      </w:r>
      <w:r w:rsidRPr="00E83D58">
        <w:rPr>
          <w:rFonts w:ascii="Palatino Linotype" w:hAnsi="Palatino Linotype"/>
          <w:b/>
          <w:sz w:val="22"/>
          <w:szCs w:val="22"/>
        </w:rPr>
        <w:tab/>
      </w:r>
      <w:r w:rsidRPr="00E83D58">
        <w:rPr>
          <w:rFonts w:ascii="Palatino Linotype" w:hAnsi="Palatino Linotype"/>
          <w:sz w:val="22"/>
          <w:szCs w:val="22"/>
        </w:rPr>
        <w:t xml:space="preserve">el Secretario de Territorio, Hábitat y Vivienda ha emitido el informe No. 2015-3567743E-01 de fecha 27 de enero de 2016.    </w:t>
      </w:r>
    </w:p>
    <w:p w:rsidR="00EF442E" w:rsidRPr="00E83D58" w:rsidRDefault="00EF442E" w:rsidP="00E83D58">
      <w:pPr>
        <w:pStyle w:val="Textopredeterminado"/>
        <w:spacing w:after="120" w:line="276" w:lineRule="auto"/>
        <w:jc w:val="both"/>
        <w:rPr>
          <w:rFonts w:ascii="Palatino Linotype" w:hAnsi="Palatino Linotype"/>
          <w:b/>
          <w:sz w:val="22"/>
          <w:szCs w:val="22"/>
          <w:lang w:val="es-ES"/>
        </w:rPr>
      </w:pPr>
      <w:r w:rsidRPr="00E83D58">
        <w:rPr>
          <w:rFonts w:ascii="Palatino Linotype" w:hAnsi="Palatino Linotype"/>
          <w:b/>
          <w:sz w:val="22"/>
          <w:szCs w:val="22"/>
          <w:lang w:val="es-ES"/>
        </w:rPr>
        <w:lastRenderedPageBreak/>
        <w:t>En ejercicio de sus atribuciones legales constantes en los artículos 240 y 264 numerales 1 y 2 de la Constitución de la República; 54 literal c), 57 literales a), x) y 322 del Código Orgánico de Organización Territorial, Autonomía y Descentralización; 2 numeral 1, 8 numeral 1 de la Ley Orgánica de Régimen para el Distrito Metropolitano de Quito; 36 de la Ordenanza Metropolitana No. 156; y, 69 de la Ordenanza Metropolitana No. 172,</w:t>
      </w:r>
    </w:p>
    <w:p w:rsidR="00EF442E" w:rsidRPr="00E83D58" w:rsidRDefault="00EF442E" w:rsidP="00E83D58">
      <w:pPr>
        <w:pStyle w:val="Textopredeterminado"/>
        <w:spacing w:after="120" w:line="276" w:lineRule="auto"/>
        <w:jc w:val="center"/>
        <w:rPr>
          <w:rFonts w:ascii="Palatino Linotype" w:hAnsi="Palatino Linotype"/>
          <w:b/>
          <w:sz w:val="22"/>
          <w:szCs w:val="22"/>
          <w:lang w:val="es-ES"/>
        </w:rPr>
      </w:pPr>
      <w:r w:rsidRPr="00E83D58">
        <w:rPr>
          <w:rFonts w:ascii="Palatino Linotype" w:hAnsi="Palatino Linotype"/>
          <w:b/>
          <w:sz w:val="22"/>
          <w:szCs w:val="22"/>
          <w:lang w:val="es-ES"/>
        </w:rPr>
        <w:t>EXPIDE LA SIGUIENTE:</w:t>
      </w:r>
    </w:p>
    <w:p w:rsidR="00EF442E" w:rsidRPr="00E83D58" w:rsidRDefault="00EF442E" w:rsidP="00E83D58">
      <w:pPr>
        <w:pStyle w:val="Textopredeterminado"/>
        <w:spacing w:after="120" w:line="276" w:lineRule="auto"/>
        <w:jc w:val="center"/>
        <w:rPr>
          <w:rFonts w:ascii="Palatino Linotype" w:hAnsi="Palatino Linotype"/>
          <w:b/>
          <w:sz w:val="22"/>
          <w:szCs w:val="22"/>
          <w:lang w:val="es-ES"/>
        </w:rPr>
      </w:pPr>
      <w:r w:rsidRPr="00E83D58">
        <w:rPr>
          <w:rFonts w:ascii="Palatino Linotype" w:hAnsi="Palatino Linotype"/>
          <w:b/>
          <w:sz w:val="22"/>
          <w:szCs w:val="22"/>
          <w:lang w:val="es-ES"/>
        </w:rPr>
        <w:t>ORDENANZA DE APROBACIÓN DE LA URBANIZACIÓN DE INTERES SOCIAL DE DESARROLLO PROGRESIVO “LA COMARCA”</w:t>
      </w:r>
    </w:p>
    <w:p w:rsidR="00EF442E" w:rsidRPr="00E83D58" w:rsidRDefault="00EF442E" w:rsidP="00E83D58">
      <w:pPr>
        <w:pStyle w:val="Textopredeterminado"/>
        <w:spacing w:after="120" w:line="276" w:lineRule="auto"/>
        <w:jc w:val="both"/>
        <w:rPr>
          <w:rFonts w:ascii="Palatino Linotype" w:hAnsi="Palatino Linotype"/>
          <w:b/>
          <w:sz w:val="22"/>
          <w:szCs w:val="22"/>
        </w:rPr>
      </w:pPr>
      <w:r w:rsidRPr="00E83D58">
        <w:rPr>
          <w:rFonts w:ascii="Palatino Linotype" w:hAnsi="Palatino Linotype"/>
          <w:b/>
          <w:sz w:val="22"/>
          <w:szCs w:val="22"/>
        </w:rPr>
        <w:t>Art</w:t>
      </w:r>
      <w:r w:rsidR="00E83D58">
        <w:rPr>
          <w:rFonts w:ascii="Palatino Linotype" w:hAnsi="Palatino Linotype"/>
          <w:b/>
          <w:sz w:val="22"/>
          <w:szCs w:val="22"/>
        </w:rPr>
        <w:t>ículo</w:t>
      </w:r>
      <w:r w:rsidRPr="00E83D58">
        <w:rPr>
          <w:rFonts w:ascii="Palatino Linotype" w:hAnsi="Palatino Linotype"/>
          <w:b/>
          <w:sz w:val="22"/>
          <w:szCs w:val="22"/>
        </w:rPr>
        <w:t xml:space="preserve"> 1.- </w:t>
      </w:r>
      <w:r w:rsidRPr="00E83D58">
        <w:rPr>
          <w:rFonts w:ascii="Palatino Linotype" w:hAnsi="Palatino Linotype"/>
          <w:sz w:val="22"/>
          <w:szCs w:val="22"/>
        </w:rPr>
        <w:t>La Urbanización de Interés Soc</w:t>
      </w:r>
      <w:r w:rsidR="00E83D58">
        <w:rPr>
          <w:rFonts w:ascii="Palatino Linotype" w:hAnsi="Palatino Linotype"/>
          <w:sz w:val="22"/>
          <w:szCs w:val="22"/>
        </w:rPr>
        <w:t>ial de Desarrollo Progresivo “La</w:t>
      </w:r>
      <w:r w:rsidRPr="00E83D58">
        <w:rPr>
          <w:rFonts w:ascii="Palatino Linotype" w:hAnsi="Palatino Linotype"/>
          <w:sz w:val="22"/>
          <w:szCs w:val="22"/>
        </w:rPr>
        <w:t xml:space="preserve"> C</w:t>
      </w:r>
      <w:r w:rsidR="00E83D58">
        <w:rPr>
          <w:rFonts w:ascii="Palatino Linotype" w:hAnsi="Palatino Linotype"/>
          <w:sz w:val="22"/>
          <w:szCs w:val="22"/>
        </w:rPr>
        <w:t>omarca</w:t>
      </w:r>
      <w:r w:rsidRPr="00E83D58">
        <w:rPr>
          <w:rFonts w:ascii="Palatino Linotype" w:hAnsi="Palatino Linotype"/>
          <w:sz w:val="22"/>
          <w:szCs w:val="22"/>
        </w:rPr>
        <w:t>”, se regirá por los siguientes datos y especificaciones técnicas:</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E83D58">
        <w:rPr>
          <w:rFonts w:ascii="Palatino Linotype" w:hAnsi="Palatino Linotype"/>
          <w:b/>
          <w:sz w:val="22"/>
          <w:szCs w:val="22"/>
        </w:rPr>
        <w:t>P</w:t>
      </w:r>
      <w:r w:rsidR="00E83D58" w:rsidRPr="00E83D58">
        <w:rPr>
          <w:rFonts w:ascii="Palatino Linotype" w:hAnsi="Palatino Linotype"/>
          <w:b/>
          <w:sz w:val="22"/>
          <w:szCs w:val="22"/>
        </w:rPr>
        <w:t>ropietaria</w:t>
      </w:r>
      <w:r w:rsidRPr="00E83D58">
        <w:rPr>
          <w:rFonts w:ascii="Palatino Linotype" w:hAnsi="Palatino Linotype"/>
          <w:b/>
          <w:sz w:val="22"/>
          <w:szCs w:val="22"/>
        </w:rPr>
        <w:t>:</w:t>
      </w:r>
      <w:r w:rsidRPr="00E83D58">
        <w:rPr>
          <w:rFonts w:ascii="Palatino Linotype" w:hAnsi="Palatino Linotype"/>
          <w:b/>
          <w:sz w:val="22"/>
          <w:szCs w:val="22"/>
        </w:rPr>
        <w:tab/>
      </w:r>
      <w:r w:rsidR="00E83D58">
        <w:rPr>
          <w:rFonts w:ascii="Palatino Linotype" w:hAnsi="Palatino Linotype"/>
          <w:sz w:val="22"/>
          <w:szCs w:val="22"/>
        </w:rPr>
        <w:tab/>
      </w:r>
      <w:r w:rsidR="00E83D58">
        <w:rPr>
          <w:rFonts w:ascii="Palatino Linotype" w:hAnsi="Palatino Linotype"/>
          <w:sz w:val="22"/>
          <w:szCs w:val="22"/>
        </w:rPr>
        <w:tab/>
      </w:r>
      <w:r w:rsidR="00E83D58">
        <w:rPr>
          <w:rFonts w:ascii="Palatino Linotype" w:hAnsi="Palatino Linotype"/>
          <w:sz w:val="22"/>
          <w:szCs w:val="22"/>
        </w:rPr>
        <w:tab/>
      </w:r>
      <w:r w:rsidR="00E83D58" w:rsidRPr="00E83D58">
        <w:rPr>
          <w:rFonts w:ascii="Palatino Linotype" w:hAnsi="Palatino Linotype"/>
          <w:sz w:val="22"/>
          <w:szCs w:val="22"/>
        </w:rPr>
        <w:t xml:space="preserve">Cooperativa </w:t>
      </w:r>
      <w:r w:rsidR="00E83D58">
        <w:rPr>
          <w:rFonts w:ascii="Palatino Linotype" w:hAnsi="Palatino Linotype"/>
          <w:sz w:val="22"/>
          <w:szCs w:val="22"/>
        </w:rPr>
        <w:t>d</w:t>
      </w:r>
      <w:r w:rsidR="00E83D58" w:rsidRPr="00E83D58">
        <w:rPr>
          <w:rFonts w:ascii="Palatino Linotype" w:hAnsi="Palatino Linotype"/>
          <w:sz w:val="22"/>
          <w:szCs w:val="22"/>
        </w:rPr>
        <w:t>e Vivienda Solidaria</w:t>
      </w:r>
      <w:r w:rsidR="00E83D58">
        <w:rPr>
          <w:rFonts w:ascii="Palatino Linotype" w:hAnsi="Palatino Linotype"/>
          <w:sz w:val="22"/>
          <w:szCs w:val="22"/>
        </w:rPr>
        <w:t xml:space="preserve"> </w:t>
      </w:r>
      <w:r w:rsidR="00E83D58">
        <w:rPr>
          <w:rFonts w:ascii="Palatino Linotype" w:hAnsi="Palatino Linotype"/>
          <w:sz w:val="22"/>
          <w:szCs w:val="22"/>
        </w:rPr>
        <w:tab/>
      </w:r>
      <w:r w:rsidR="00E83D58" w:rsidRPr="00E83D58">
        <w:rPr>
          <w:rFonts w:ascii="Palatino Linotype" w:hAnsi="Palatino Linotype"/>
          <w:sz w:val="22"/>
          <w:szCs w:val="22"/>
        </w:rPr>
        <w:t>Metropolitana</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E83D58">
        <w:rPr>
          <w:rFonts w:ascii="Palatino Linotype" w:hAnsi="Palatino Linotype"/>
          <w:b/>
          <w:sz w:val="22"/>
          <w:szCs w:val="22"/>
        </w:rPr>
        <w:t>P</w:t>
      </w:r>
      <w:r w:rsidR="00E83D58" w:rsidRPr="00E83D58">
        <w:rPr>
          <w:rFonts w:ascii="Palatino Linotype" w:hAnsi="Palatino Linotype"/>
          <w:b/>
          <w:sz w:val="22"/>
          <w:szCs w:val="22"/>
        </w:rPr>
        <w:t xml:space="preserve">redio </w:t>
      </w:r>
      <w:r w:rsidRPr="00E83D58">
        <w:rPr>
          <w:rFonts w:ascii="Palatino Linotype" w:hAnsi="Palatino Linotype"/>
          <w:b/>
          <w:sz w:val="22"/>
          <w:szCs w:val="22"/>
        </w:rPr>
        <w:t>No.:</w:t>
      </w:r>
      <w:r w:rsidRPr="00E83D58">
        <w:rPr>
          <w:rFonts w:ascii="Palatino Linotype" w:hAnsi="Palatino Linotype"/>
          <w:b/>
          <w:sz w:val="22"/>
          <w:szCs w:val="22"/>
        </w:rPr>
        <w:tab/>
      </w:r>
      <w:r w:rsidR="00E83D58" w:rsidRPr="00E83D58">
        <w:rPr>
          <w:rFonts w:ascii="Palatino Linotype" w:hAnsi="Palatino Linotype"/>
          <w:b/>
          <w:sz w:val="22"/>
          <w:szCs w:val="22"/>
        </w:rPr>
        <w:tab/>
      </w:r>
      <w:r w:rsidR="00E83D58" w:rsidRPr="00E83D58">
        <w:rPr>
          <w:rFonts w:ascii="Palatino Linotype" w:hAnsi="Palatino Linotype"/>
          <w:b/>
          <w:sz w:val="22"/>
          <w:szCs w:val="22"/>
        </w:rPr>
        <w:tab/>
      </w:r>
      <w:r w:rsidR="00E83D58" w:rsidRPr="00E83D58">
        <w:rPr>
          <w:rFonts w:ascii="Palatino Linotype" w:hAnsi="Palatino Linotype"/>
          <w:b/>
          <w:sz w:val="22"/>
          <w:szCs w:val="22"/>
        </w:rPr>
        <w:tab/>
      </w:r>
      <w:r w:rsidRPr="00E83D58">
        <w:rPr>
          <w:rFonts w:ascii="Palatino Linotype" w:hAnsi="Palatino Linotype"/>
          <w:sz w:val="22"/>
          <w:szCs w:val="22"/>
        </w:rPr>
        <w:t>3567743</w:t>
      </w:r>
    </w:p>
    <w:p w:rsidR="00EF442E" w:rsidRPr="00E83D58" w:rsidRDefault="00E83D58" w:rsidP="00E83D58">
      <w:pPr>
        <w:pStyle w:val="Textopredeterminado"/>
        <w:spacing w:after="120" w:line="276" w:lineRule="auto"/>
        <w:jc w:val="both"/>
        <w:rPr>
          <w:rFonts w:ascii="Palatino Linotype" w:hAnsi="Palatino Linotype"/>
          <w:sz w:val="22"/>
          <w:szCs w:val="22"/>
        </w:rPr>
      </w:pPr>
      <w:r w:rsidRPr="00E83D58">
        <w:rPr>
          <w:rFonts w:ascii="Palatino Linotype" w:hAnsi="Palatino Linotype"/>
          <w:b/>
          <w:sz w:val="22"/>
          <w:szCs w:val="22"/>
        </w:rPr>
        <w:t>Clave Catastral</w:t>
      </w:r>
      <w:r w:rsidR="00EF442E" w:rsidRPr="00E83D58">
        <w:rPr>
          <w:rFonts w:ascii="Palatino Linotype" w:hAnsi="Palatino Linotype"/>
          <w:b/>
          <w:sz w:val="22"/>
          <w:szCs w:val="22"/>
        </w:rPr>
        <w:t>:</w:t>
      </w:r>
      <w:r w:rsidR="00EF442E" w:rsidRPr="00E83D58">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EF442E" w:rsidRPr="00E83D58">
        <w:rPr>
          <w:rFonts w:ascii="Palatino Linotype" w:hAnsi="Palatino Linotype"/>
          <w:sz w:val="22"/>
          <w:szCs w:val="22"/>
        </w:rPr>
        <w:t>3230926009</w:t>
      </w:r>
    </w:p>
    <w:p w:rsidR="00EF442E" w:rsidRPr="00E83D58" w:rsidRDefault="00E83D58" w:rsidP="00E83D58">
      <w:pPr>
        <w:pStyle w:val="Textopredeterminado"/>
        <w:spacing w:after="120" w:line="276" w:lineRule="auto"/>
        <w:jc w:val="both"/>
        <w:rPr>
          <w:rFonts w:ascii="Palatino Linotype" w:hAnsi="Palatino Linotype"/>
          <w:b/>
          <w:sz w:val="22"/>
          <w:szCs w:val="22"/>
        </w:rPr>
      </w:pPr>
      <w:r w:rsidRPr="00E83D58">
        <w:rPr>
          <w:rFonts w:ascii="Palatino Linotype" w:hAnsi="Palatino Linotype"/>
          <w:b/>
          <w:sz w:val="22"/>
          <w:szCs w:val="22"/>
        </w:rPr>
        <w:t>Ubicación</w:t>
      </w:r>
      <w:r w:rsidRPr="00E83D58">
        <w:rPr>
          <w:rFonts w:ascii="Palatino Linotype" w:hAnsi="Palatino Linotype"/>
          <w:b/>
          <w:sz w:val="22"/>
          <w:szCs w:val="22"/>
        </w:rPr>
        <w:tab/>
      </w:r>
      <w:r w:rsidR="00EF442E" w:rsidRPr="00E83D58">
        <w:rPr>
          <w:rFonts w:ascii="Palatino Linotype" w:hAnsi="Palatino Linotype"/>
          <w:b/>
          <w:sz w:val="22"/>
          <w:szCs w:val="22"/>
        </w:rPr>
        <w:tab/>
      </w:r>
      <w:r w:rsidR="00EF442E" w:rsidRPr="00E83D58">
        <w:rPr>
          <w:rFonts w:ascii="Palatino Linotype" w:hAnsi="Palatino Linotype"/>
          <w:b/>
          <w:sz w:val="22"/>
          <w:szCs w:val="22"/>
        </w:rPr>
        <w:tab/>
      </w:r>
    </w:p>
    <w:p w:rsidR="00EF442E" w:rsidRPr="00E83D58" w:rsidRDefault="00E83D58" w:rsidP="00E83D58">
      <w:pPr>
        <w:pStyle w:val="Textopredeterminado"/>
        <w:spacing w:after="120" w:line="276" w:lineRule="auto"/>
        <w:jc w:val="both"/>
        <w:rPr>
          <w:rFonts w:ascii="Palatino Linotype" w:hAnsi="Palatino Linotype"/>
          <w:sz w:val="22"/>
          <w:szCs w:val="22"/>
        </w:rPr>
      </w:pPr>
      <w:r w:rsidRPr="00E83D58">
        <w:rPr>
          <w:rFonts w:ascii="Palatino Linotype" w:hAnsi="Palatino Linotype"/>
          <w:b/>
          <w:sz w:val="22"/>
          <w:szCs w:val="22"/>
        </w:rPr>
        <w:t>Barrio</w:t>
      </w:r>
      <w:r w:rsidR="00EF442E" w:rsidRPr="00E83D58">
        <w:rPr>
          <w:rFonts w:ascii="Palatino Linotype" w:hAnsi="Palatino Linotype"/>
          <w:b/>
          <w:sz w:val="22"/>
          <w:szCs w:val="22"/>
        </w:rPr>
        <w:t>:</w:t>
      </w:r>
      <w:r w:rsidRPr="00E83D58">
        <w:rPr>
          <w:rFonts w:ascii="Palatino Linotype" w:hAnsi="Palatino Linotype"/>
          <w:b/>
          <w:sz w:val="22"/>
          <w:szCs w:val="22"/>
        </w:rPr>
        <w:tab/>
      </w:r>
      <w:r w:rsidRPr="00E83D58">
        <w:rPr>
          <w:rFonts w:ascii="Palatino Linotype" w:hAnsi="Palatino Linotype"/>
          <w:b/>
          <w:sz w:val="22"/>
          <w:szCs w:val="22"/>
        </w:rPr>
        <w:tab/>
      </w:r>
      <w:r w:rsidRPr="00E83D58">
        <w:rPr>
          <w:rFonts w:ascii="Palatino Linotype" w:hAnsi="Palatino Linotype"/>
          <w:b/>
          <w:sz w:val="22"/>
          <w:szCs w:val="22"/>
        </w:rPr>
        <w:tab/>
      </w:r>
      <w:r w:rsidRPr="00E83D58">
        <w:rPr>
          <w:rFonts w:ascii="Palatino Linotype" w:hAnsi="Palatino Linotype"/>
          <w:b/>
          <w:sz w:val="22"/>
          <w:szCs w:val="22"/>
        </w:rPr>
        <w:tab/>
      </w:r>
      <w:r w:rsidR="00EF442E" w:rsidRPr="00E83D58">
        <w:rPr>
          <w:rFonts w:ascii="Palatino Linotype" w:hAnsi="Palatino Linotype"/>
          <w:sz w:val="22"/>
          <w:szCs w:val="22"/>
        </w:rPr>
        <w:tab/>
      </w:r>
      <w:proofErr w:type="spellStart"/>
      <w:r w:rsidR="00EF442E" w:rsidRPr="00E83D58">
        <w:rPr>
          <w:rFonts w:ascii="Palatino Linotype" w:hAnsi="Palatino Linotype"/>
          <w:sz w:val="22"/>
          <w:szCs w:val="22"/>
        </w:rPr>
        <w:t>Ninallacta</w:t>
      </w:r>
      <w:proofErr w:type="spellEnd"/>
    </w:p>
    <w:p w:rsidR="00EF442E" w:rsidRPr="00E83D58" w:rsidRDefault="00E83D58" w:rsidP="00E83D58">
      <w:pPr>
        <w:pStyle w:val="Textopredeterminado"/>
        <w:spacing w:after="120" w:line="276" w:lineRule="auto"/>
        <w:jc w:val="both"/>
        <w:rPr>
          <w:rFonts w:ascii="Palatino Linotype" w:hAnsi="Palatino Linotype"/>
          <w:sz w:val="22"/>
          <w:szCs w:val="22"/>
        </w:rPr>
      </w:pPr>
      <w:r w:rsidRPr="00E83D58">
        <w:rPr>
          <w:rFonts w:ascii="Palatino Linotype" w:hAnsi="Palatino Linotype"/>
          <w:b/>
          <w:sz w:val="22"/>
          <w:szCs w:val="22"/>
        </w:rPr>
        <w:t>Parroquia</w:t>
      </w:r>
      <w:r w:rsidR="00EF442E" w:rsidRPr="00E83D58">
        <w:rPr>
          <w:rFonts w:ascii="Palatino Linotype" w:hAnsi="Palatino Linotype"/>
          <w:b/>
          <w:sz w:val="22"/>
          <w:szCs w:val="22"/>
        </w:rPr>
        <w:t>:</w:t>
      </w:r>
      <w:r w:rsidR="00EF442E" w:rsidRPr="00E83D58">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EF442E" w:rsidRPr="00E83D58">
        <w:rPr>
          <w:rFonts w:ascii="Palatino Linotype" w:hAnsi="Palatino Linotype"/>
          <w:sz w:val="22"/>
          <w:szCs w:val="22"/>
        </w:rPr>
        <w:t>Quitumbe</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E83D58">
        <w:rPr>
          <w:rFonts w:ascii="Palatino Linotype" w:hAnsi="Palatino Linotype"/>
          <w:b/>
          <w:sz w:val="22"/>
          <w:szCs w:val="22"/>
        </w:rPr>
        <w:t>C</w:t>
      </w:r>
      <w:r w:rsidR="00E83D58" w:rsidRPr="00E83D58">
        <w:rPr>
          <w:rFonts w:ascii="Palatino Linotype" w:hAnsi="Palatino Linotype"/>
          <w:b/>
          <w:sz w:val="22"/>
          <w:szCs w:val="22"/>
        </w:rPr>
        <w:t>alle</w:t>
      </w:r>
      <w:r w:rsidRPr="00E83D58">
        <w:rPr>
          <w:rFonts w:ascii="Palatino Linotype" w:hAnsi="Palatino Linotype"/>
          <w:b/>
          <w:sz w:val="22"/>
          <w:szCs w:val="22"/>
        </w:rPr>
        <w:t>:</w:t>
      </w:r>
      <w:r w:rsidRPr="00E83D58">
        <w:rPr>
          <w:rFonts w:ascii="Palatino Linotype" w:hAnsi="Palatino Linotype"/>
          <w:sz w:val="22"/>
          <w:szCs w:val="22"/>
        </w:rPr>
        <w:tab/>
      </w:r>
      <w:r w:rsidR="00E83D58">
        <w:rPr>
          <w:rFonts w:ascii="Palatino Linotype" w:hAnsi="Palatino Linotype"/>
          <w:sz w:val="22"/>
          <w:szCs w:val="22"/>
        </w:rPr>
        <w:tab/>
      </w:r>
      <w:r w:rsidR="00E83D58">
        <w:rPr>
          <w:rFonts w:ascii="Palatino Linotype" w:hAnsi="Palatino Linotype"/>
          <w:sz w:val="22"/>
          <w:szCs w:val="22"/>
        </w:rPr>
        <w:tab/>
      </w:r>
      <w:r w:rsidR="00E83D58">
        <w:rPr>
          <w:rFonts w:ascii="Palatino Linotype" w:hAnsi="Palatino Linotype"/>
          <w:sz w:val="22"/>
          <w:szCs w:val="22"/>
        </w:rPr>
        <w:tab/>
      </w:r>
      <w:r w:rsidR="00E83D58">
        <w:rPr>
          <w:rFonts w:ascii="Palatino Linotype" w:hAnsi="Palatino Linotype"/>
          <w:sz w:val="22"/>
          <w:szCs w:val="22"/>
        </w:rPr>
        <w:tab/>
      </w:r>
      <w:r w:rsidRPr="00E83D58">
        <w:rPr>
          <w:rFonts w:ascii="Palatino Linotype" w:hAnsi="Palatino Linotype"/>
          <w:sz w:val="22"/>
          <w:szCs w:val="22"/>
        </w:rPr>
        <w:t>Calle 10.  3563</w:t>
      </w:r>
    </w:p>
    <w:p w:rsidR="00EF442E" w:rsidRPr="00E83D58" w:rsidRDefault="00E83D58" w:rsidP="00E83D58">
      <w:pPr>
        <w:pStyle w:val="Textopredeterminado"/>
        <w:spacing w:after="120" w:line="276" w:lineRule="auto"/>
        <w:jc w:val="both"/>
        <w:rPr>
          <w:rFonts w:ascii="Palatino Linotype" w:hAnsi="Palatino Linotype"/>
          <w:sz w:val="22"/>
          <w:szCs w:val="22"/>
        </w:rPr>
      </w:pPr>
      <w:r w:rsidRPr="00E83D58">
        <w:rPr>
          <w:rFonts w:ascii="Palatino Linotype" w:hAnsi="Palatino Linotype"/>
          <w:b/>
          <w:sz w:val="22"/>
          <w:szCs w:val="22"/>
        </w:rPr>
        <w:t>Área del terreno</w:t>
      </w:r>
      <w:r w:rsidR="00EF442E" w:rsidRPr="00E83D58">
        <w:rPr>
          <w:rFonts w:ascii="Palatino Linotype" w:hAnsi="Palatino Linotype"/>
          <w:b/>
          <w:sz w:val="22"/>
          <w:szCs w:val="22"/>
        </w:rPr>
        <w:t>:</w:t>
      </w:r>
      <w:r w:rsidR="00EF442E" w:rsidRPr="00E83D58">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EF442E" w:rsidRPr="00E83D58">
        <w:rPr>
          <w:rFonts w:ascii="Palatino Linotype" w:hAnsi="Palatino Linotype"/>
          <w:sz w:val="22"/>
          <w:szCs w:val="22"/>
        </w:rPr>
        <w:t>18.445,09</w:t>
      </w:r>
    </w:p>
    <w:p w:rsidR="00EF442E" w:rsidRPr="00E83D58" w:rsidRDefault="00E83D58" w:rsidP="00E83D58">
      <w:pPr>
        <w:pStyle w:val="Textopredeterminado"/>
        <w:spacing w:after="120" w:line="276" w:lineRule="auto"/>
        <w:jc w:val="both"/>
        <w:rPr>
          <w:rFonts w:ascii="Palatino Linotype" w:hAnsi="Palatino Linotype"/>
          <w:b/>
          <w:sz w:val="22"/>
          <w:szCs w:val="22"/>
        </w:rPr>
      </w:pPr>
      <w:r w:rsidRPr="00E83D58">
        <w:rPr>
          <w:rFonts w:ascii="Palatino Linotype" w:hAnsi="Palatino Linotype"/>
          <w:b/>
          <w:sz w:val="22"/>
          <w:szCs w:val="22"/>
        </w:rPr>
        <w:t>Responsable Técnico</w:t>
      </w:r>
      <w:r w:rsidRPr="00E83D58">
        <w:rPr>
          <w:rFonts w:ascii="Palatino Linotype" w:hAnsi="Palatino Linotype"/>
          <w:b/>
          <w:sz w:val="22"/>
          <w:szCs w:val="22"/>
        </w:rPr>
        <w:tab/>
      </w:r>
    </w:p>
    <w:p w:rsidR="00EF442E" w:rsidRPr="00E83D58" w:rsidRDefault="00EF442E" w:rsidP="00E83D58">
      <w:pPr>
        <w:pStyle w:val="Textopredeterminado"/>
        <w:spacing w:after="120" w:line="276" w:lineRule="auto"/>
        <w:jc w:val="both"/>
        <w:rPr>
          <w:rFonts w:ascii="Palatino Linotype" w:hAnsi="Palatino Linotype"/>
          <w:sz w:val="22"/>
          <w:szCs w:val="22"/>
        </w:rPr>
      </w:pPr>
      <w:r w:rsidRPr="00E83D58">
        <w:rPr>
          <w:rFonts w:ascii="Palatino Linotype" w:hAnsi="Palatino Linotype"/>
          <w:b/>
          <w:sz w:val="22"/>
          <w:szCs w:val="22"/>
        </w:rPr>
        <w:t>N</w:t>
      </w:r>
      <w:r w:rsidR="00E83D58" w:rsidRPr="00E83D58">
        <w:rPr>
          <w:rFonts w:ascii="Palatino Linotype" w:hAnsi="Palatino Linotype"/>
          <w:b/>
          <w:sz w:val="22"/>
          <w:szCs w:val="22"/>
        </w:rPr>
        <w:t>ombre</w:t>
      </w:r>
      <w:r w:rsidRPr="00E83D58">
        <w:rPr>
          <w:rFonts w:ascii="Palatino Linotype" w:hAnsi="Palatino Linotype"/>
          <w:b/>
          <w:sz w:val="22"/>
          <w:szCs w:val="22"/>
        </w:rPr>
        <w:t>:</w:t>
      </w:r>
      <w:r w:rsidRPr="00E83D58">
        <w:rPr>
          <w:rFonts w:ascii="Palatino Linotype" w:hAnsi="Palatino Linotype"/>
          <w:sz w:val="22"/>
          <w:szCs w:val="22"/>
        </w:rPr>
        <w:tab/>
      </w:r>
      <w:r w:rsidR="00E83D58">
        <w:rPr>
          <w:rFonts w:ascii="Palatino Linotype" w:hAnsi="Palatino Linotype"/>
          <w:sz w:val="22"/>
          <w:szCs w:val="22"/>
        </w:rPr>
        <w:tab/>
      </w:r>
      <w:r w:rsidR="00E83D58">
        <w:rPr>
          <w:rFonts w:ascii="Palatino Linotype" w:hAnsi="Palatino Linotype"/>
          <w:sz w:val="22"/>
          <w:szCs w:val="22"/>
        </w:rPr>
        <w:tab/>
      </w:r>
      <w:r w:rsidR="00E83D58">
        <w:rPr>
          <w:rFonts w:ascii="Palatino Linotype" w:hAnsi="Palatino Linotype"/>
          <w:sz w:val="22"/>
          <w:szCs w:val="22"/>
        </w:rPr>
        <w:tab/>
      </w:r>
      <w:r w:rsidRPr="00E83D58">
        <w:rPr>
          <w:rFonts w:ascii="Palatino Linotype" w:hAnsi="Palatino Linotype"/>
          <w:sz w:val="22"/>
          <w:szCs w:val="22"/>
        </w:rPr>
        <w:t>Arq. Hernán Eduardo Saavedra Torres</w:t>
      </w:r>
    </w:p>
    <w:p w:rsidR="00EF442E" w:rsidRPr="00E83D58" w:rsidRDefault="00E83D58" w:rsidP="00E83D58">
      <w:pPr>
        <w:pStyle w:val="Textopredeterminado"/>
        <w:spacing w:after="120" w:line="276" w:lineRule="auto"/>
        <w:jc w:val="both"/>
        <w:rPr>
          <w:rFonts w:ascii="Palatino Linotype" w:hAnsi="Palatino Linotype"/>
          <w:sz w:val="22"/>
          <w:szCs w:val="22"/>
        </w:rPr>
      </w:pPr>
      <w:r w:rsidRPr="00E83D58">
        <w:rPr>
          <w:rFonts w:ascii="Palatino Linotype" w:hAnsi="Palatino Linotype"/>
          <w:b/>
          <w:sz w:val="22"/>
          <w:szCs w:val="22"/>
        </w:rPr>
        <w:t xml:space="preserve">Registro </w:t>
      </w:r>
      <w:r w:rsidR="00EF442E" w:rsidRPr="00E83D58">
        <w:rPr>
          <w:rFonts w:ascii="Palatino Linotype" w:hAnsi="Palatino Linotype"/>
          <w:b/>
          <w:sz w:val="22"/>
          <w:szCs w:val="22"/>
        </w:rPr>
        <w:t>SENESCYT:</w:t>
      </w:r>
      <w:r>
        <w:rPr>
          <w:rFonts w:ascii="Palatino Linotype" w:hAnsi="Palatino Linotype"/>
          <w:sz w:val="22"/>
          <w:szCs w:val="22"/>
        </w:rPr>
        <w:tab/>
      </w:r>
      <w:r>
        <w:rPr>
          <w:rFonts w:ascii="Palatino Linotype" w:hAnsi="Palatino Linotype"/>
          <w:sz w:val="22"/>
          <w:szCs w:val="22"/>
        </w:rPr>
        <w:tab/>
      </w:r>
      <w:r w:rsidR="00EF442E" w:rsidRPr="00E83D58">
        <w:rPr>
          <w:rFonts w:ascii="Palatino Linotype" w:hAnsi="Palatino Linotype"/>
          <w:sz w:val="22"/>
          <w:szCs w:val="22"/>
        </w:rPr>
        <w:tab/>
        <w:t>1005-05-653719</w:t>
      </w:r>
    </w:p>
    <w:p w:rsidR="00EF442E" w:rsidRPr="00E83D58" w:rsidRDefault="00E83D58" w:rsidP="00E83D58">
      <w:pPr>
        <w:pStyle w:val="Textopredeterminado"/>
        <w:spacing w:after="120" w:line="276" w:lineRule="auto"/>
        <w:jc w:val="both"/>
        <w:rPr>
          <w:rFonts w:ascii="Palatino Linotype" w:hAnsi="Palatino Linotype"/>
          <w:sz w:val="22"/>
          <w:szCs w:val="22"/>
        </w:rPr>
      </w:pPr>
      <w:r w:rsidRPr="00E83D58">
        <w:rPr>
          <w:rFonts w:ascii="Palatino Linotype" w:hAnsi="Palatino Linotype"/>
          <w:b/>
          <w:sz w:val="22"/>
          <w:szCs w:val="22"/>
        </w:rPr>
        <w:t>Licencia Municipal</w:t>
      </w:r>
      <w:r w:rsidR="00EF442E" w:rsidRPr="00E83D58">
        <w:rPr>
          <w:rFonts w:ascii="Palatino Linotype" w:hAnsi="Palatino Linotype"/>
          <w:b/>
          <w:sz w:val="22"/>
          <w:szCs w:val="22"/>
        </w:rPr>
        <w:t>:</w:t>
      </w:r>
      <w:r w:rsidR="00EF442E" w:rsidRPr="00E83D58">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EF442E" w:rsidRPr="00E83D58">
        <w:rPr>
          <w:rFonts w:ascii="Palatino Linotype" w:hAnsi="Palatino Linotype"/>
          <w:sz w:val="22"/>
          <w:szCs w:val="22"/>
        </w:rPr>
        <w:t>6991</w:t>
      </w:r>
    </w:p>
    <w:p w:rsidR="00EF442E" w:rsidRPr="004D0305" w:rsidRDefault="004D0305" w:rsidP="00E83D58">
      <w:pPr>
        <w:pStyle w:val="Textopredeterminado"/>
        <w:spacing w:after="120" w:line="276" w:lineRule="auto"/>
        <w:jc w:val="both"/>
        <w:rPr>
          <w:rFonts w:ascii="Palatino Linotype" w:hAnsi="Palatino Linotype"/>
          <w:b/>
          <w:sz w:val="22"/>
          <w:szCs w:val="22"/>
        </w:rPr>
      </w:pPr>
      <w:r w:rsidRPr="004D0305">
        <w:rPr>
          <w:rFonts w:ascii="Palatino Linotype" w:hAnsi="Palatino Linotype"/>
          <w:b/>
          <w:sz w:val="22"/>
          <w:szCs w:val="22"/>
        </w:rPr>
        <w:t>Especificaciones T</w:t>
      </w:r>
      <w:r>
        <w:rPr>
          <w:rFonts w:ascii="Palatino Linotype" w:hAnsi="Palatino Linotype"/>
          <w:b/>
          <w:sz w:val="22"/>
          <w:szCs w:val="22"/>
        </w:rPr>
        <w:t>é</w:t>
      </w:r>
      <w:r w:rsidRPr="004D0305">
        <w:rPr>
          <w:rFonts w:ascii="Palatino Linotype" w:hAnsi="Palatino Linotype"/>
          <w:b/>
          <w:sz w:val="22"/>
          <w:szCs w:val="22"/>
        </w:rPr>
        <w:t>cnicas</w:t>
      </w:r>
    </w:p>
    <w:p w:rsidR="00EF442E" w:rsidRPr="00E83D58" w:rsidRDefault="004D0305" w:rsidP="00E83D58">
      <w:pPr>
        <w:pStyle w:val="Textopredeterminado"/>
        <w:spacing w:after="120" w:line="276" w:lineRule="auto"/>
        <w:jc w:val="both"/>
        <w:rPr>
          <w:rFonts w:ascii="Palatino Linotype" w:hAnsi="Palatino Linotype"/>
          <w:sz w:val="22"/>
          <w:szCs w:val="22"/>
        </w:rPr>
      </w:pPr>
      <w:r w:rsidRPr="004D0305">
        <w:rPr>
          <w:rFonts w:ascii="Palatino Linotype" w:hAnsi="Palatino Linotype"/>
          <w:b/>
          <w:sz w:val="22"/>
          <w:szCs w:val="22"/>
        </w:rPr>
        <w:t>Zonificaci</w:t>
      </w:r>
      <w:r>
        <w:rPr>
          <w:rFonts w:ascii="Palatino Linotype" w:hAnsi="Palatino Linotype"/>
          <w:b/>
          <w:sz w:val="22"/>
          <w:szCs w:val="22"/>
        </w:rPr>
        <w:t>ó</w:t>
      </w:r>
      <w:r w:rsidRPr="004D0305">
        <w:rPr>
          <w:rFonts w:ascii="Palatino Linotype" w:hAnsi="Palatino Linotype"/>
          <w:b/>
          <w:sz w:val="22"/>
          <w:szCs w:val="22"/>
        </w:rPr>
        <w:t>n:</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00EF442E" w:rsidRPr="00E83D58">
        <w:rPr>
          <w:rFonts w:ascii="Palatino Linotype" w:hAnsi="Palatino Linotype"/>
          <w:sz w:val="22"/>
          <w:szCs w:val="22"/>
        </w:rPr>
        <w:t>D5 (D304-80)</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4D0305">
        <w:rPr>
          <w:rFonts w:ascii="Palatino Linotype" w:hAnsi="Palatino Linotype"/>
          <w:b/>
          <w:sz w:val="22"/>
          <w:szCs w:val="22"/>
        </w:rPr>
        <w:t>L</w:t>
      </w:r>
      <w:r w:rsidR="004D0305" w:rsidRPr="004D0305">
        <w:rPr>
          <w:rFonts w:ascii="Palatino Linotype" w:hAnsi="Palatino Linotype"/>
          <w:b/>
          <w:sz w:val="22"/>
          <w:szCs w:val="22"/>
        </w:rPr>
        <w:t>ote mínimo</w:t>
      </w:r>
      <w:r w:rsidRPr="004D0305">
        <w:rPr>
          <w:rFonts w:ascii="Palatino Linotype" w:hAnsi="Palatino Linotype"/>
          <w:b/>
          <w:sz w:val="22"/>
          <w:szCs w:val="22"/>
        </w:rPr>
        <w:t>:</w:t>
      </w:r>
      <w:r w:rsidRPr="00E83D58">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Pr="00E83D58">
        <w:rPr>
          <w:rFonts w:ascii="Palatino Linotype" w:hAnsi="Palatino Linotype"/>
          <w:sz w:val="22"/>
          <w:szCs w:val="22"/>
        </w:rPr>
        <w:t>300</w:t>
      </w:r>
    </w:p>
    <w:p w:rsidR="00EF442E" w:rsidRPr="00E83D58" w:rsidRDefault="004D0305" w:rsidP="00E83D58">
      <w:pPr>
        <w:pStyle w:val="Textopredeterminado"/>
        <w:spacing w:after="120" w:line="276" w:lineRule="auto"/>
        <w:jc w:val="both"/>
        <w:rPr>
          <w:rFonts w:ascii="Palatino Linotype" w:hAnsi="Palatino Linotype"/>
          <w:sz w:val="22"/>
          <w:szCs w:val="22"/>
        </w:rPr>
      </w:pPr>
      <w:r w:rsidRPr="004D0305">
        <w:rPr>
          <w:rFonts w:ascii="Palatino Linotype" w:hAnsi="Palatino Linotype"/>
          <w:b/>
          <w:sz w:val="22"/>
          <w:szCs w:val="22"/>
        </w:rPr>
        <w:t>Uso principal</w:t>
      </w:r>
      <w:r w:rsidR="00EF442E" w:rsidRPr="004D0305">
        <w:rPr>
          <w:rFonts w:ascii="Palatino Linotype" w:hAnsi="Palatino Linotype"/>
          <w:b/>
          <w:sz w:val="22"/>
          <w:szCs w:val="22"/>
        </w:rPr>
        <w:t>:</w:t>
      </w:r>
      <w:r w:rsidR="00EF442E" w:rsidRPr="00E83D58">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EF442E" w:rsidRPr="00E83D58">
        <w:rPr>
          <w:rFonts w:ascii="Palatino Linotype" w:hAnsi="Palatino Linotype"/>
          <w:sz w:val="22"/>
          <w:szCs w:val="22"/>
        </w:rPr>
        <w:t>(R3)</w:t>
      </w:r>
      <w:r w:rsidRPr="00E83D58">
        <w:rPr>
          <w:rFonts w:ascii="Palatino Linotype" w:hAnsi="Palatino Linotype"/>
          <w:sz w:val="22"/>
          <w:szCs w:val="22"/>
        </w:rPr>
        <w:t xml:space="preserve"> </w:t>
      </w:r>
      <w:r>
        <w:rPr>
          <w:rFonts w:ascii="Palatino Linotype" w:hAnsi="Palatino Linotype"/>
          <w:sz w:val="22"/>
          <w:szCs w:val="22"/>
        </w:rPr>
        <w:t>R</w:t>
      </w:r>
      <w:r w:rsidRPr="00E83D58">
        <w:rPr>
          <w:rFonts w:ascii="Palatino Linotype" w:hAnsi="Palatino Linotype"/>
          <w:sz w:val="22"/>
          <w:szCs w:val="22"/>
        </w:rPr>
        <w:t>esidencial alta densidad</w:t>
      </w:r>
    </w:p>
    <w:p w:rsidR="00EF442E" w:rsidRPr="00E83D58" w:rsidRDefault="00EF442E" w:rsidP="00E83D58">
      <w:pPr>
        <w:pStyle w:val="Textopredeterminado"/>
        <w:spacing w:after="120" w:line="276" w:lineRule="auto"/>
        <w:jc w:val="both"/>
        <w:rPr>
          <w:rFonts w:ascii="Palatino Linotype" w:hAnsi="Palatino Linotype"/>
          <w:sz w:val="22"/>
          <w:szCs w:val="22"/>
        </w:rPr>
      </w:pPr>
      <w:proofErr w:type="spellStart"/>
      <w:r w:rsidRPr="004D0305">
        <w:rPr>
          <w:rFonts w:ascii="Palatino Linotype" w:hAnsi="Palatino Linotype"/>
          <w:b/>
          <w:sz w:val="22"/>
          <w:szCs w:val="22"/>
        </w:rPr>
        <w:lastRenderedPageBreak/>
        <w:t>C</w:t>
      </w:r>
      <w:r w:rsidR="004D0305" w:rsidRPr="004D0305">
        <w:rPr>
          <w:rFonts w:ascii="Palatino Linotype" w:hAnsi="Palatino Linotype"/>
          <w:b/>
          <w:sz w:val="22"/>
          <w:szCs w:val="22"/>
        </w:rPr>
        <w:t>lasificacion</w:t>
      </w:r>
      <w:proofErr w:type="spellEnd"/>
      <w:r w:rsidR="004D0305" w:rsidRPr="004D0305">
        <w:rPr>
          <w:rFonts w:ascii="Palatino Linotype" w:hAnsi="Palatino Linotype"/>
          <w:b/>
          <w:sz w:val="22"/>
          <w:szCs w:val="22"/>
        </w:rPr>
        <w:t xml:space="preserve"> de suelo</w:t>
      </w:r>
      <w:r w:rsidRPr="004D0305">
        <w:rPr>
          <w:rFonts w:ascii="Palatino Linotype" w:hAnsi="Palatino Linotype"/>
          <w:b/>
          <w:sz w:val="22"/>
          <w:szCs w:val="22"/>
        </w:rPr>
        <w:t>:</w:t>
      </w:r>
      <w:r w:rsidRPr="00E83D58">
        <w:rPr>
          <w:rFonts w:ascii="Palatino Linotype" w:hAnsi="Palatino Linotype"/>
          <w:sz w:val="22"/>
          <w:szCs w:val="22"/>
        </w:rPr>
        <w:tab/>
      </w:r>
      <w:r w:rsidR="004D0305">
        <w:rPr>
          <w:rFonts w:ascii="Palatino Linotype" w:hAnsi="Palatino Linotype"/>
          <w:sz w:val="22"/>
          <w:szCs w:val="22"/>
        </w:rPr>
        <w:tab/>
      </w:r>
      <w:r w:rsidRPr="00E83D58">
        <w:rPr>
          <w:rFonts w:ascii="Palatino Linotype" w:hAnsi="Palatino Linotype"/>
          <w:sz w:val="22"/>
          <w:szCs w:val="22"/>
        </w:rPr>
        <w:t xml:space="preserve">(SU) </w:t>
      </w:r>
      <w:r w:rsidR="004D0305">
        <w:rPr>
          <w:rFonts w:ascii="Palatino Linotype" w:hAnsi="Palatino Linotype"/>
          <w:sz w:val="22"/>
          <w:szCs w:val="22"/>
        </w:rPr>
        <w:t>S</w:t>
      </w:r>
      <w:r w:rsidR="004D0305" w:rsidRPr="00E83D58">
        <w:rPr>
          <w:rFonts w:ascii="Palatino Linotype" w:hAnsi="Palatino Linotype"/>
          <w:sz w:val="22"/>
          <w:szCs w:val="22"/>
        </w:rPr>
        <w:t>uelo urbano</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4D0305">
        <w:rPr>
          <w:rFonts w:ascii="Palatino Linotype" w:hAnsi="Palatino Linotype"/>
          <w:b/>
          <w:sz w:val="22"/>
          <w:szCs w:val="22"/>
        </w:rPr>
        <w:t xml:space="preserve">No. </w:t>
      </w:r>
      <w:r w:rsidR="004D0305" w:rsidRPr="004D0305">
        <w:rPr>
          <w:rFonts w:ascii="Palatino Linotype" w:hAnsi="Palatino Linotype"/>
          <w:b/>
          <w:sz w:val="22"/>
          <w:szCs w:val="22"/>
        </w:rPr>
        <w:t>de lotes</w:t>
      </w:r>
      <w:r w:rsidRPr="004D0305">
        <w:rPr>
          <w:rFonts w:ascii="Palatino Linotype" w:hAnsi="Palatino Linotype"/>
          <w:b/>
          <w:sz w:val="22"/>
          <w:szCs w:val="22"/>
        </w:rPr>
        <w:t>:</w:t>
      </w:r>
      <w:r w:rsidRPr="00E83D58">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Pr="00E83D58">
        <w:rPr>
          <w:rFonts w:ascii="Palatino Linotype" w:hAnsi="Palatino Linotype"/>
          <w:sz w:val="22"/>
          <w:szCs w:val="22"/>
        </w:rPr>
        <w:t>42</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4D0305">
        <w:rPr>
          <w:rFonts w:ascii="Palatino Linotype" w:hAnsi="Palatino Linotype"/>
          <w:b/>
          <w:sz w:val="22"/>
          <w:szCs w:val="22"/>
        </w:rPr>
        <w:t>Á</w:t>
      </w:r>
      <w:r w:rsidR="004D0305" w:rsidRPr="004D0305">
        <w:rPr>
          <w:rFonts w:ascii="Palatino Linotype" w:hAnsi="Palatino Linotype"/>
          <w:b/>
          <w:sz w:val="22"/>
          <w:szCs w:val="22"/>
        </w:rPr>
        <w:t>rea de lotes a subdividir</w:t>
      </w:r>
      <w:r w:rsidRPr="004D0305">
        <w:rPr>
          <w:rFonts w:ascii="Palatino Linotype" w:hAnsi="Palatino Linotype"/>
          <w:b/>
          <w:sz w:val="22"/>
          <w:szCs w:val="22"/>
        </w:rPr>
        <w:t>:</w:t>
      </w:r>
      <w:r w:rsidRPr="00E83D58">
        <w:rPr>
          <w:rFonts w:ascii="Palatino Linotype" w:hAnsi="Palatino Linotype"/>
          <w:sz w:val="22"/>
          <w:szCs w:val="22"/>
        </w:rPr>
        <w:tab/>
      </w:r>
      <w:r w:rsidR="004D0305">
        <w:rPr>
          <w:rFonts w:ascii="Palatino Linotype" w:hAnsi="Palatino Linotype"/>
          <w:sz w:val="22"/>
          <w:szCs w:val="22"/>
        </w:rPr>
        <w:tab/>
        <w:t>12.613,86 m</w:t>
      </w:r>
      <w:r w:rsidR="004D0305" w:rsidRPr="004D0305">
        <w:rPr>
          <w:rFonts w:ascii="Palatino Linotype" w:hAnsi="Palatino Linotype"/>
          <w:sz w:val="22"/>
          <w:szCs w:val="22"/>
          <w:vertAlign w:val="superscript"/>
        </w:rPr>
        <w:t>2</w:t>
      </w:r>
    </w:p>
    <w:p w:rsidR="00EF442E" w:rsidRPr="004D0305" w:rsidRDefault="004D0305" w:rsidP="00E83D58">
      <w:pPr>
        <w:pStyle w:val="Textopredeterminado"/>
        <w:spacing w:after="120" w:line="276" w:lineRule="auto"/>
        <w:jc w:val="both"/>
        <w:rPr>
          <w:rFonts w:ascii="Palatino Linotype" w:hAnsi="Palatino Linotype"/>
          <w:sz w:val="22"/>
          <w:szCs w:val="22"/>
          <w:vertAlign w:val="superscript"/>
        </w:rPr>
      </w:pPr>
      <w:r>
        <w:rPr>
          <w:rFonts w:ascii="Palatino Linotype" w:hAnsi="Palatino Linotype"/>
          <w:b/>
          <w:sz w:val="22"/>
          <w:szCs w:val="22"/>
        </w:rPr>
        <w:t>Á</w:t>
      </w:r>
      <w:r w:rsidRPr="004D0305">
        <w:rPr>
          <w:rFonts w:ascii="Palatino Linotype" w:hAnsi="Palatino Linotype"/>
          <w:b/>
          <w:sz w:val="22"/>
          <w:szCs w:val="22"/>
        </w:rPr>
        <w:t>rea de vías:</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00EF442E" w:rsidRPr="00E83D58">
        <w:rPr>
          <w:rFonts w:ascii="Palatino Linotype" w:hAnsi="Palatino Linotype"/>
          <w:sz w:val="22"/>
          <w:szCs w:val="22"/>
        </w:rPr>
        <w:t>3.605,10 m</w:t>
      </w:r>
      <w:r w:rsidR="00EF442E" w:rsidRPr="004D0305">
        <w:rPr>
          <w:rFonts w:ascii="Palatino Linotype" w:hAnsi="Palatino Linotype"/>
          <w:sz w:val="22"/>
          <w:szCs w:val="22"/>
          <w:vertAlign w:val="superscript"/>
        </w:rPr>
        <w:t>2</w:t>
      </w:r>
    </w:p>
    <w:p w:rsidR="00EF442E" w:rsidRPr="00E83D58" w:rsidRDefault="004D0305" w:rsidP="00E83D58">
      <w:pPr>
        <w:pStyle w:val="Textopredeterminado"/>
        <w:spacing w:after="120" w:line="276" w:lineRule="auto"/>
        <w:jc w:val="both"/>
        <w:rPr>
          <w:rFonts w:ascii="Palatino Linotype" w:hAnsi="Palatino Linotype"/>
          <w:sz w:val="22"/>
          <w:szCs w:val="22"/>
        </w:rPr>
      </w:pPr>
      <w:r>
        <w:rPr>
          <w:rFonts w:ascii="Palatino Linotype" w:hAnsi="Palatino Linotype"/>
          <w:b/>
          <w:sz w:val="22"/>
          <w:szCs w:val="22"/>
        </w:rPr>
        <w:t>Área verde pública</w:t>
      </w:r>
      <w:r w:rsidRPr="00E83D58">
        <w:rPr>
          <w:rFonts w:ascii="Palatino Linotype" w:hAnsi="Palatino Linotype"/>
          <w:sz w:val="22"/>
          <w:szCs w:val="22"/>
        </w:rPr>
        <w:t>:</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EF442E" w:rsidRPr="00E83D58">
        <w:rPr>
          <w:rFonts w:ascii="Palatino Linotype" w:hAnsi="Palatino Linotype"/>
          <w:sz w:val="22"/>
          <w:szCs w:val="22"/>
        </w:rPr>
        <w:t>1.780,92 m</w:t>
      </w:r>
      <w:r w:rsidR="00EF442E" w:rsidRPr="004D0305">
        <w:rPr>
          <w:rFonts w:ascii="Palatino Linotype" w:hAnsi="Palatino Linotype"/>
          <w:sz w:val="22"/>
          <w:szCs w:val="22"/>
          <w:vertAlign w:val="superscript"/>
        </w:rPr>
        <w:t>2</w:t>
      </w:r>
    </w:p>
    <w:p w:rsidR="00EF442E" w:rsidRPr="004D0305" w:rsidRDefault="004D0305" w:rsidP="00E83D58">
      <w:pPr>
        <w:pStyle w:val="Textopredeterminado"/>
        <w:spacing w:after="120" w:line="276" w:lineRule="auto"/>
        <w:jc w:val="both"/>
        <w:rPr>
          <w:rFonts w:ascii="Palatino Linotype" w:hAnsi="Palatino Linotype"/>
          <w:b/>
          <w:sz w:val="22"/>
          <w:szCs w:val="22"/>
        </w:rPr>
      </w:pPr>
      <w:r>
        <w:rPr>
          <w:rFonts w:ascii="Palatino Linotype" w:hAnsi="Palatino Linotype"/>
          <w:b/>
          <w:sz w:val="22"/>
          <w:szCs w:val="22"/>
        </w:rPr>
        <w:t>Á</w:t>
      </w:r>
      <w:r w:rsidRPr="004D0305">
        <w:rPr>
          <w:rFonts w:ascii="Palatino Linotype" w:hAnsi="Palatino Linotype"/>
          <w:b/>
          <w:sz w:val="22"/>
          <w:szCs w:val="22"/>
        </w:rPr>
        <w:t>rea comunal de</w:t>
      </w:r>
    </w:p>
    <w:p w:rsidR="00EF442E" w:rsidRPr="00E83D58" w:rsidRDefault="004D0305" w:rsidP="00E83D58">
      <w:pPr>
        <w:pStyle w:val="Textopredeterminado"/>
        <w:spacing w:after="120" w:line="276" w:lineRule="auto"/>
        <w:jc w:val="both"/>
        <w:rPr>
          <w:rFonts w:ascii="Palatino Linotype" w:hAnsi="Palatino Linotype"/>
          <w:sz w:val="22"/>
          <w:szCs w:val="22"/>
        </w:rPr>
      </w:pPr>
      <w:proofErr w:type="gramStart"/>
      <w:r w:rsidRPr="004D0305">
        <w:rPr>
          <w:rFonts w:ascii="Palatino Linotype" w:hAnsi="Palatino Linotype"/>
          <w:b/>
          <w:sz w:val="22"/>
          <w:szCs w:val="22"/>
        </w:rPr>
        <w:t>equipamiento</w:t>
      </w:r>
      <w:proofErr w:type="gramEnd"/>
      <w:r w:rsidRPr="004D0305">
        <w:rPr>
          <w:rFonts w:ascii="Palatino Linotype" w:hAnsi="Palatino Linotype"/>
          <w:b/>
          <w:sz w:val="22"/>
          <w:szCs w:val="22"/>
        </w:rPr>
        <w:t xml:space="preserve"> p</w:t>
      </w:r>
      <w:r>
        <w:rPr>
          <w:rFonts w:ascii="Palatino Linotype" w:hAnsi="Palatino Linotype"/>
          <w:b/>
          <w:sz w:val="22"/>
          <w:szCs w:val="22"/>
        </w:rPr>
        <w:t>ú</w:t>
      </w:r>
      <w:r w:rsidRPr="004D0305">
        <w:rPr>
          <w:rFonts w:ascii="Palatino Linotype" w:hAnsi="Palatino Linotype"/>
          <w:b/>
          <w:sz w:val="22"/>
          <w:szCs w:val="22"/>
        </w:rPr>
        <w:t>blico:</w:t>
      </w:r>
      <w:r w:rsidR="00EF442E" w:rsidRPr="00E83D58">
        <w:rPr>
          <w:rFonts w:ascii="Palatino Linotype" w:hAnsi="Palatino Linotype"/>
          <w:sz w:val="22"/>
          <w:szCs w:val="22"/>
        </w:rPr>
        <w:tab/>
      </w:r>
      <w:r>
        <w:rPr>
          <w:rFonts w:ascii="Palatino Linotype" w:hAnsi="Palatino Linotype"/>
          <w:sz w:val="22"/>
          <w:szCs w:val="22"/>
        </w:rPr>
        <w:tab/>
      </w:r>
      <w:r w:rsidR="00EF442E" w:rsidRPr="00E83D58">
        <w:rPr>
          <w:rFonts w:ascii="Palatino Linotype" w:hAnsi="Palatino Linotype"/>
          <w:sz w:val="22"/>
          <w:szCs w:val="22"/>
        </w:rPr>
        <w:t>445,21 m</w:t>
      </w:r>
      <w:r w:rsidR="00EF442E" w:rsidRPr="004D0305">
        <w:rPr>
          <w:rFonts w:ascii="Palatino Linotype" w:hAnsi="Palatino Linotype"/>
          <w:sz w:val="22"/>
          <w:szCs w:val="22"/>
          <w:vertAlign w:val="superscript"/>
        </w:rPr>
        <w:t>2</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4D0305">
        <w:rPr>
          <w:rFonts w:ascii="Palatino Linotype" w:hAnsi="Palatino Linotype"/>
          <w:b/>
          <w:sz w:val="22"/>
          <w:szCs w:val="22"/>
        </w:rPr>
        <w:t>Art</w:t>
      </w:r>
      <w:r w:rsidR="004D0305" w:rsidRPr="004D0305">
        <w:rPr>
          <w:rFonts w:ascii="Palatino Linotype" w:hAnsi="Palatino Linotype"/>
          <w:b/>
          <w:sz w:val="22"/>
          <w:szCs w:val="22"/>
        </w:rPr>
        <w:t>ículo</w:t>
      </w:r>
      <w:r w:rsidRPr="004D0305">
        <w:rPr>
          <w:rFonts w:ascii="Palatino Linotype" w:hAnsi="Palatino Linotype"/>
          <w:b/>
          <w:sz w:val="22"/>
          <w:szCs w:val="22"/>
        </w:rPr>
        <w:t xml:space="preserve"> 2.- D</w:t>
      </w:r>
      <w:r w:rsidR="004D0305" w:rsidRPr="004D0305">
        <w:rPr>
          <w:rFonts w:ascii="Palatino Linotype" w:hAnsi="Palatino Linotype"/>
          <w:b/>
          <w:sz w:val="22"/>
          <w:szCs w:val="22"/>
        </w:rPr>
        <w:t>e las áreas verde y comunal</w:t>
      </w:r>
      <w:r w:rsidRPr="004D0305">
        <w:rPr>
          <w:rFonts w:ascii="Palatino Linotype" w:hAnsi="Palatino Linotype"/>
          <w:b/>
          <w:sz w:val="22"/>
          <w:szCs w:val="22"/>
        </w:rPr>
        <w:t>.-</w:t>
      </w:r>
      <w:r w:rsidRPr="00E83D58">
        <w:rPr>
          <w:rFonts w:ascii="Palatino Linotype" w:hAnsi="Palatino Linotype"/>
          <w:sz w:val="22"/>
          <w:szCs w:val="22"/>
        </w:rPr>
        <w:t xml:space="preserve"> La Urbanización cumple con el área verde y comunal requerida por</w:t>
      </w:r>
      <w:r w:rsidR="00036CF3">
        <w:rPr>
          <w:rFonts w:ascii="Palatino Linotype" w:hAnsi="Palatino Linotype"/>
          <w:sz w:val="22"/>
          <w:szCs w:val="22"/>
        </w:rPr>
        <w:t xml:space="preserve"> el</w:t>
      </w:r>
      <w:bookmarkStart w:id="0" w:name="_GoBack"/>
      <w:bookmarkEnd w:id="0"/>
      <w:r w:rsidRPr="00E83D58">
        <w:rPr>
          <w:rFonts w:ascii="Palatino Linotype" w:hAnsi="Palatino Linotype"/>
          <w:sz w:val="22"/>
          <w:szCs w:val="22"/>
        </w:rPr>
        <w:t xml:space="preserve"> Código Orgánico de Organización Territorial, Autonomía y Descentralización, artículo 424. </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E83D58">
        <w:rPr>
          <w:rFonts w:ascii="Palatino Linotype" w:hAnsi="Palatino Linotype"/>
          <w:sz w:val="22"/>
          <w:szCs w:val="22"/>
        </w:rPr>
        <w:t>En tal virtud, la propietaria de la urbanización a través de su representante legal, transfiere como aporte de áreas verde y comunal a favor del Municipio Metropolitano de Quito, la superficie de 2.226,13 m</w:t>
      </w:r>
      <w:r w:rsidRPr="004D0305">
        <w:rPr>
          <w:rFonts w:ascii="Palatino Linotype" w:hAnsi="Palatino Linotype"/>
          <w:sz w:val="22"/>
          <w:szCs w:val="22"/>
          <w:vertAlign w:val="superscript"/>
        </w:rPr>
        <w:t>2</w:t>
      </w:r>
      <w:r w:rsidRPr="00E83D58">
        <w:rPr>
          <w:rFonts w:ascii="Palatino Linotype" w:hAnsi="Palatino Linotype"/>
          <w:sz w:val="22"/>
          <w:szCs w:val="22"/>
        </w:rPr>
        <w:t xml:space="preserve">, de acuerdo al Informe Técnico (Referencia SLUM 2015-3567743E-01 de </w:t>
      </w:r>
      <w:r w:rsidR="004D0305">
        <w:rPr>
          <w:rFonts w:ascii="Palatino Linotype" w:hAnsi="Palatino Linotype"/>
          <w:sz w:val="22"/>
          <w:szCs w:val="22"/>
        </w:rPr>
        <w:t>14 de abril de 2015</w:t>
      </w:r>
      <w:r w:rsidRPr="00E83D58">
        <w:rPr>
          <w:rFonts w:ascii="Palatino Linotype" w:hAnsi="Palatino Linotype"/>
          <w:sz w:val="22"/>
          <w:szCs w:val="22"/>
        </w:rPr>
        <w:t>), de la Dirección Metropolitana de Catastro, áreas que tienen los siguientes datos técnicos:</w:t>
      </w:r>
    </w:p>
    <w:p w:rsidR="00EF442E" w:rsidRPr="00E83D58" w:rsidRDefault="004D0305" w:rsidP="00E83D58">
      <w:pPr>
        <w:pStyle w:val="Textopredeterminado"/>
        <w:spacing w:after="120" w:line="276" w:lineRule="auto"/>
        <w:jc w:val="both"/>
        <w:rPr>
          <w:rFonts w:ascii="Palatino Linotype" w:hAnsi="Palatino Linotype"/>
          <w:b/>
          <w:sz w:val="22"/>
          <w:szCs w:val="22"/>
        </w:rPr>
      </w:pPr>
      <w:r w:rsidRPr="00E83D58">
        <w:rPr>
          <w:rFonts w:ascii="Palatino Linotype" w:hAnsi="Palatino Linotype"/>
          <w:b/>
          <w:sz w:val="22"/>
          <w:szCs w:val="22"/>
        </w:rPr>
        <w:t xml:space="preserve">Área </w:t>
      </w:r>
      <w:r>
        <w:rPr>
          <w:rFonts w:ascii="Palatino Linotype" w:hAnsi="Palatino Linotype"/>
          <w:b/>
          <w:sz w:val="22"/>
          <w:szCs w:val="22"/>
        </w:rPr>
        <w:t>V</w:t>
      </w:r>
      <w:r w:rsidRPr="00E83D58">
        <w:rPr>
          <w:rFonts w:ascii="Palatino Linotype" w:hAnsi="Palatino Linotype"/>
          <w:b/>
          <w:sz w:val="22"/>
          <w:szCs w:val="22"/>
        </w:rPr>
        <w:t>erde</w:t>
      </w:r>
    </w:p>
    <w:p w:rsidR="00EF442E" w:rsidRPr="00E83D58" w:rsidRDefault="00EF442E" w:rsidP="00E83D58">
      <w:pPr>
        <w:pStyle w:val="Textopredeterminado"/>
        <w:spacing w:after="120" w:line="276" w:lineRule="auto"/>
        <w:ind w:left="2160" w:hanging="2160"/>
        <w:jc w:val="both"/>
        <w:rPr>
          <w:rFonts w:ascii="Palatino Linotype" w:hAnsi="Palatino Linotype"/>
          <w:sz w:val="22"/>
          <w:szCs w:val="22"/>
        </w:rPr>
      </w:pPr>
      <w:r w:rsidRPr="004D0305">
        <w:rPr>
          <w:rFonts w:ascii="Palatino Linotype" w:hAnsi="Palatino Linotype"/>
          <w:b/>
          <w:sz w:val="22"/>
          <w:szCs w:val="22"/>
        </w:rPr>
        <w:t>U</w:t>
      </w:r>
      <w:r w:rsidR="004D0305" w:rsidRPr="004D0305">
        <w:rPr>
          <w:rFonts w:ascii="Palatino Linotype" w:hAnsi="Palatino Linotype"/>
          <w:b/>
          <w:sz w:val="22"/>
          <w:szCs w:val="22"/>
        </w:rPr>
        <w:t>bicación</w:t>
      </w:r>
      <w:r w:rsidRPr="004D0305">
        <w:rPr>
          <w:rFonts w:ascii="Palatino Linotype" w:hAnsi="Palatino Linotype"/>
          <w:b/>
          <w:sz w:val="22"/>
          <w:szCs w:val="22"/>
        </w:rPr>
        <w:t>:</w:t>
      </w:r>
      <w:r w:rsidRPr="00E83D58">
        <w:rPr>
          <w:rFonts w:ascii="Palatino Linotype" w:hAnsi="Palatino Linotype"/>
          <w:sz w:val="22"/>
          <w:szCs w:val="22"/>
        </w:rPr>
        <w:tab/>
      </w:r>
      <w:r w:rsidR="004D0305">
        <w:rPr>
          <w:rFonts w:ascii="Palatino Linotype" w:hAnsi="Palatino Linotype"/>
          <w:sz w:val="22"/>
          <w:szCs w:val="22"/>
        </w:rPr>
        <w:tab/>
      </w:r>
      <w:r w:rsidRPr="00E83D58">
        <w:rPr>
          <w:rFonts w:ascii="Palatino Linotype" w:hAnsi="Palatino Linotype"/>
          <w:sz w:val="22"/>
          <w:szCs w:val="22"/>
        </w:rPr>
        <w:t>Calle “3”, “4” y “1”</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4D0305">
        <w:rPr>
          <w:rFonts w:ascii="Palatino Linotype" w:hAnsi="Palatino Linotype"/>
          <w:b/>
          <w:sz w:val="22"/>
          <w:szCs w:val="22"/>
        </w:rPr>
        <w:t>S</w:t>
      </w:r>
      <w:r w:rsidR="004D0305" w:rsidRPr="004D0305">
        <w:rPr>
          <w:rFonts w:ascii="Palatino Linotype" w:hAnsi="Palatino Linotype"/>
          <w:b/>
          <w:sz w:val="22"/>
          <w:szCs w:val="22"/>
        </w:rPr>
        <w:t>uperficie</w:t>
      </w:r>
      <w:r w:rsidRPr="004D0305">
        <w:rPr>
          <w:rFonts w:ascii="Palatino Linotype" w:hAnsi="Palatino Linotype"/>
          <w:b/>
          <w:sz w:val="22"/>
          <w:szCs w:val="22"/>
        </w:rPr>
        <w:t>:</w:t>
      </w:r>
      <w:r w:rsidRPr="00E83D58">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Pr="00E83D58">
        <w:rPr>
          <w:rFonts w:ascii="Palatino Linotype" w:hAnsi="Palatino Linotype"/>
          <w:sz w:val="22"/>
          <w:szCs w:val="22"/>
        </w:rPr>
        <w:t>1.780,92 m</w:t>
      </w:r>
      <w:r w:rsidRPr="004D0305">
        <w:rPr>
          <w:rFonts w:ascii="Palatino Linotype" w:hAnsi="Palatino Linotype"/>
          <w:sz w:val="22"/>
          <w:szCs w:val="22"/>
          <w:vertAlign w:val="superscript"/>
        </w:rPr>
        <w:t>2</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4D0305">
        <w:rPr>
          <w:rFonts w:ascii="Palatino Linotype" w:hAnsi="Palatino Linotype"/>
          <w:b/>
          <w:sz w:val="22"/>
          <w:szCs w:val="22"/>
        </w:rPr>
        <w:t>P</w:t>
      </w:r>
      <w:r w:rsidR="004D0305">
        <w:rPr>
          <w:rFonts w:ascii="Palatino Linotype" w:hAnsi="Palatino Linotype"/>
          <w:b/>
          <w:sz w:val="22"/>
          <w:szCs w:val="22"/>
        </w:rPr>
        <w:t>endiente</w:t>
      </w:r>
      <w:r w:rsidRPr="004D0305">
        <w:rPr>
          <w:rFonts w:ascii="Palatino Linotype" w:hAnsi="Palatino Linotype"/>
          <w:b/>
          <w:sz w:val="22"/>
          <w:szCs w:val="22"/>
        </w:rPr>
        <w:t>:</w:t>
      </w:r>
      <w:r w:rsidRPr="00E83D58">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Pr="00E83D58">
        <w:rPr>
          <w:rFonts w:ascii="Palatino Linotype" w:hAnsi="Palatino Linotype"/>
          <w:sz w:val="22"/>
          <w:szCs w:val="22"/>
        </w:rPr>
        <w:t xml:space="preserve">2,90 grados </w:t>
      </w:r>
    </w:p>
    <w:p w:rsidR="00EF442E" w:rsidRPr="004D0305" w:rsidRDefault="00EF442E" w:rsidP="00E83D58">
      <w:pPr>
        <w:pStyle w:val="Textopredeterminado"/>
        <w:spacing w:after="120" w:line="276" w:lineRule="auto"/>
        <w:jc w:val="both"/>
        <w:rPr>
          <w:rFonts w:ascii="Palatino Linotype" w:hAnsi="Palatino Linotype"/>
          <w:b/>
          <w:sz w:val="22"/>
          <w:szCs w:val="22"/>
        </w:rPr>
      </w:pPr>
      <w:r w:rsidRPr="004D0305">
        <w:rPr>
          <w:rFonts w:ascii="Palatino Linotype" w:hAnsi="Palatino Linotype"/>
          <w:b/>
          <w:sz w:val="22"/>
          <w:szCs w:val="22"/>
        </w:rPr>
        <w:t>L</w:t>
      </w:r>
      <w:r w:rsidR="004D0305">
        <w:rPr>
          <w:rFonts w:ascii="Palatino Linotype" w:hAnsi="Palatino Linotype"/>
          <w:b/>
          <w:sz w:val="22"/>
          <w:szCs w:val="22"/>
        </w:rPr>
        <w:t>inderos</w:t>
      </w:r>
      <w:r w:rsidRPr="004D0305">
        <w:rPr>
          <w:rFonts w:ascii="Palatino Linotype" w:hAnsi="Palatino Linotype"/>
          <w:b/>
          <w:sz w:val="22"/>
          <w:szCs w:val="22"/>
        </w:rPr>
        <w:tab/>
      </w:r>
    </w:p>
    <w:p w:rsidR="00EF442E" w:rsidRPr="00E83D58" w:rsidRDefault="00EF442E" w:rsidP="00E83D58">
      <w:pPr>
        <w:pStyle w:val="Textopredeterminado"/>
        <w:spacing w:after="120" w:line="276" w:lineRule="auto"/>
        <w:jc w:val="both"/>
        <w:rPr>
          <w:rFonts w:ascii="Palatino Linotype" w:hAnsi="Palatino Linotype"/>
          <w:sz w:val="22"/>
          <w:szCs w:val="22"/>
        </w:rPr>
      </w:pPr>
      <w:r w:rsidRPr="004D0305">
        <w:rPr>
          <w:rFonts w:ascii="Palatino Linotype" w:hAnsi="Palatino Linotype"/>
          <w:b/>
          <w:sz w:val="22"/>
          <w:szCs w:val="22"/>
        </w:rPr>
        <w:t>N</w:t>
      </w:r>
      <w:r w:rsidR="004D0305" w:rsidRPr="004D0305">
        <w:rPr>
          <w:rFonts w:ascii="Palatino Linotype" w:hAnsi="Palatino Linotype"/>
          <w:b/>
          <w:sz w:val="22"/>
          <w:szCs w:val="22"/>
        </w:rPr>
        <w:t>orte</w:t>
      </w:r>
      <w:r w:rsidRPr="004D0305">
        <w:rPr>
          <w:rFonts w:ascii="Palatino Linotype" w:hAnsi="Palatino Linotype"/>
          <w:b/>
          <w:sz w:val="22"/>
          <w:szCs w:val="22"/>
        </w:rPr>
        <w:t>:</w:t>
      </w:r>
      <w:r w:rsidRPr="00E83D58">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Pr="00E83D58">
        <w:rPr>
          <w:rFonts w:ascii="Palatino Linotype" w:hAnsi="Palatino Linotype"/>
          <w:sz w:val="22"/>
          <w:szCs w:val="22"/>
        </w:rPr>
        <w:t>Calle “3” en 60,00 m</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4D0305">
        <w:rPr>
          <w:rFonts w:ascii="Palatino Linotype" w:hAnsi="Palatino Linotype"/>
          <w:b/>
          <w:sz w:val="22"/>
          <w:szCs w:val="22"/>
        </w:rPr>
        <w:t>S</w:t>
      </w:r>
      <w:r w:rsidR="004D0305" w:rsidRPr="004D0305">
        <w:rPr>
          <w:rFonts w:ascii="Palatino Linotype" w:hAnsi="Palatino Linotype"/>
          <w:b/>
          <w:sz w:val="22"/>
          <w:szCs w:val="22"/>
        </w:rPr>
        <w:t>ur</w:t>
      </w:r>
      <w:r w:rsidRPr="004D0305">
        <w:rPr>
          <w:rFonts w:ascii="Palatino Linotype" w:hAnsi="Palatino Linotype"/>
          <w:b/>
          <w:sz w:val="22"/>
          <w:szCs w:val="22"/>
        </w:rPr>
        <w:t>:</w:t>
      </w:r>
      <w:r w:rsidRPr="00E83D58">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Pr="00E83D58">
        <w:rPr>
          <w:rFonts w:ascii="Palatino Linotype" w:hAnsi="Palatino Linotype"/>
          <w:sz w:val="22"/>
          <w:szCs w:val="22"/>
        </w:rPr>
        <w:t>Calle “4” en 36,41 m, y área comunal en 24,11 m</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4D0305">
        <w:rPr>
          <w:rFonts w:ascii="Palatino Linotype" w:hAnsi="Palatino Linotype"/>
          <w:b/>
          <w:sz w:val="22"/>
          <w:szCs w:val="22"/>
        </w:rPr>
        <w:t>E</w:t>
      </w:r>
      <w:r w:rsidR="004D0305" w:rsidRPr="004D0305">
        <w:rPr>
          <w:rFonts w:ascii="Palatino Linotype" w:hAnsi="Palatino Linotype"/>
          <w:b/>
          <w:sz w:val="22"/>
          <w:szCs w:val="22"/>
        </w:rPr>
        <w:t>ste</w:t>
      </w:r>
      <w:r w:rsidRPr="004D0305">
        <w:rPr>
          <w:rFonts w:ascii="Palatino Linotype" w:hAnsi="Palatino Linotype"/>
          <w:b/>
          <w:sz w:val="22"/>
          <w:szCs w:val="22"/>
        </w:rPr>
        <w:t>:</w:t>
      </w:r>
      <w:r w:rsidRPr="00E83D58">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Pr="00E83D58">
        <w:rPr>
          <w:rFonts w:ascii="Palatino Linotype" w:hAnsi="Palatino Linotype"/>
          <w:sz w:val="22"/>
          <w:szCs w:val="22"/>
        </w:rPr>
        <w:t>Lote No. 21 en 18,45 m, y área comunal en 18,46 m</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4D0305">
        <w:rPr>
          <w:rFonts w:ascii="Palatino Linotype" w:hAnsi="Palatino Linotype"/>
          <w:b/>
          <w:sz w:val="22"/>
          <w:szCs w:val="22"/>
        </w:rPr>
        <w:t>O</w:t>
      </w:r>
      <w:r w:rsidR="004D0305" w:rsidRPr="004D0305">
        <w:rPr>
          <w:rFonts w:ascii="Palatino Linotype" w:hAnsi="Palatino Linotype"/>
          <w:b/>
          <w:sz w:val="22"/>
          <w:szCs w:val="22"/>
        </w:rPr>
        <w:t>este</w:t>
      </w:r>
      <w:r w:rsidRPr="004D0305">
        <w:rPr>
          <w:rFonts w:ascii="Palatino Linotype" w:hAnsi="Palatino Linotype"/>
          <w:b/>
          <w:sz w:val="22"/>
          <w:szCs w:val="22"/>
        </w:rPr>
        <w:t>:</w:t>
      </w:r>
      <w:r w:rsidR="004D0305">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Pr="00E83D58">
        <w:rPr>
          <w:rFonts w:ascii="Palatino Linotype" w:hAnsi="Palatino Linotype"/>
          <w:sz w:val="22"/>
          <w:szCs w:val="22"/>
        </w:rPr>
        <w:t xml:space="preserve">Calle “1” en 36,80 m. </w:t>
      </w:r>
    </w:p>
    <w:p w:rsidR="00EF442E" w:rsidRPr="00E83D58" w:rsidRDefault="004D0305" w:rsidP="00E83D58">
      <w:pPr>
        <w:pStyle w:val="Textopredeterminado"/>
        <w:spacing w:after="120" w:line="276" w:lineRule="auto"/>
        <w:jc w:val="both"/>
        <w:rPr>
          <w:rFonts w:ascii="Palatino Linotype" w:hAnsi="Palatino Linotype"/>
          <w:b/>
          <w:sz w:val="22"/>
          <w:szCs w:val="22"/>
        </w:rPr>
      </w:pPr>
      <w:r>
        <w:rPr>
          <w:rFonts w:ascii="Palatino Linotype" w:hAnsi="Palatino Linotype"/>
          <w:b/>
          <w:sz w:val="22"/>
          <w:szCs w:val="22"/>
        </w:rPr>
        <w:t>Á</w:t>
      </w:r>
      <w:r w:rsidRPr="00E83D58">
        <w:rPr>
          <w:rFonts w:ascii="Palatino Linotype" w:hAnsi="Palatino Linotype"/>
          <w:b/>
          <w:sz w:val="22"/>
          <w:szCs w:val="22"/>
        </w:rPr>
        <w:t>rea Equipamiento</w:t>
      </w:r>
      <w:r>
        <w:rPr>
          <w:rFonts w:ascii="Palatino Linotype" w:hAnsi="Palatino Linotype"/>
          <w:b/>
          <w:sz w:val="22"/>
          <w:szCs w:val="22"/>
        </w:rPr>
        <w:t xml:space="preserve"> </w:t>
      </w:r>
      <w:r w:rsidRPr="00E83D58">
        <w:rPr>
          <w:rFonts w:ascii="Palatino Linotype" w:hAnsi="Palatino Linotype"/>
          <w:b/>
          <w:sz w:val="22"/>
          <w:szCs w:val="22"/>
        </w:rPr>
        <w:t>Comunal</w:t>
      </w:r>
    </w:p>
    <w:p w:rsidR="00EF442E" w:rsidRPr="00E83D58" w:rsidRDefault="00EF442E" w:rsidP="00E83D58">
      <w:pPr>
        <w:pStyle w:val="Textopredeterminado"/>
        <w:spacing w:after="120" w:line="276" w:lineRule="auto"/>
        <w:ind w:left="2127" w:hanging="2127"/>
        <w:jc w:val="both"/>
        <w:rPr>
          <w:rFonts w:ascii="Palatino Linotype" w:hAnsi="Palatino Linotype"/>
          <w:sz w:val="22"/>
          <w:szCs w:val="22"/>
        </w:rPr>
      </w:pPr>
      <w:r w:rsidRPr="004D0305">
        <w:rPr>
          <w:rFonts w:ascii="Palatino Linotype" w:hAnsi="Palatino Linotype"/>
          <w:b/>
          <w:sz w:val="22"/>
          <w:szCs w:val="22"/>
        </w:rPr>
        <w:t>U</w:t>
      </w:r>
      <w:r w:rsidR="004D0305" w:rsidRPr="004D0305">
        <w:rPr>
          <w:rFonts w:ascii="Palatino Linotype" w:hAnsi="Palatino Linotype"/>
          <w:b/>
          <w:sz w:val="22"/>
          <w:szCs w:val="22"/>
        </w:rPr>
        <w:t>bicación</w:t>
      </w:r>
      <w:r w:rsidRPr="004D0305">
        <w:rPr>
          <w:rFonts w:ascii="Palatino Linotype" w:hAnsi="Palatino Linotype"/>
          <w:b/>
          <w:sz w:val="22"/>
          <w:szCs w:val="22"/>
        </w:rPr>
        <w:t>:</w:t>
      </w:r>
      <w:r w:rsidRPr="00E83D58">
        <w:rPr>
          <w:rFonts w:ascii="Palatino Linotype" w:hAnsi="Palatino Linotype"/>
          <w:sz w:val="22"/>
          <w:szCs w:val="22"/>
        </w:rPr>
        <w:tab/>
      </w:r>
      <w:r w:rsidR="004D0305">
        <w:rPr>
          <w:rFonts w:ascii="Palatino Linotype" w:hAnsi="Palatino Linotype"/>
          <w:sz w:val="22"/>
          <w:szCs w:val="22"/>
        </w:rPr>
        <w:tab/>
      </w:r>
      <w:r w:rsidRPr="00E83D58">
        <w:rPr>
          <w:rFonts w:ascii="Palatino Linotype" w:hAnsi="Palatino Linotype"/>
          <w:sz w:val="22"/>
          <w:szCs w:val="22"/>
        </w:rPr>
        <w:t>Calle “4”</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4D0305">
        <w:rPr>
          <w:rFonts w:ascii="Palatino Linotype" w:hAnsi="Palatino Linotype"/>
          <w:b/>
          <w:sz w:val="22"/>
          <w:szCs w:val="22"/>
        </w:rPr>
        <w:lastRenderedPageBreak/>
        <w:t>S</w:t>
      </w:r>
      <w:r w:rsidR="004D0305" w:rsidRPr="004D0305">
        <w:rPr>
          <w:rFonts w:ascii="Palatino Linotype" w:hAnsi="Palatino Linotype"/>
          <w:b/>
          <w:sz w:val="22"/>
          <w:szCs w:val="22"/>
        </w:rPr>
        <w:t>uperficie</w:t>
      </w:r>
      <w:r w:rsidRPr="004D0305">
        <w:rPr>
          <w:rFonts w:ascii="Palatino Linotype" w:hAnsi="Palatino Linotype"/>
          <w:b/>
          <w:sz w:val="22"/>
          <w:szCs w:val="22"/>
        </w:rPr>
        <w:t>:</w:t>
      </w:r>
      <w:r w:rsidRPr="00E83D58">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Pr="00E83D58">
        <w:rPr>
          <w:rFonts w:ascii="Palatino Linotype" w:hAnsi="Palatino Linotype"/>
          <w:sz w:val="22"/>
          <w:szCs w:val="22"/>
        </w:rPr>
        <w:t>445,21 m</w:t>
      </w:r>
      <w:r w:rsidRPr="004D0305">
        <w:rPr>
          <w:rFonts w:ascii="Palatino Linotype" w:hAnsi="Palatino Linotype"/>
          <w:sz w:val="22"/>
          <w:szCs w:val="22"/>
          <w:vertAlign w:val="superscript"/>
        </w:rPr>
        <w:t>2</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4D0305">
        <w:rPr>
          <w:rFonts w:ascii="Palatino Linotype" w:hAnsi="Palatino Linotype"/>
          <w:b/>
          <w:sz w:val="22"/>
          <w:szCs w:val="22"/>
        </w:rPr>
        <w:t>P</w:t>
      </w:r>
      <w:r w:rsidR="004D0305" w:rsidRPr="004D0305">
        <w:rPr>
          <w:rFonts w:ascii="Palatino Linotype" w:hAnsi="Palatino Linotype"/>
          <w:b/>
          <w:sz w:val="22"/>
          <w:szCs w:val="22"/>
        </w:rPr>
        <w:t>endiente</w:t>
      </w:r>
      <w:r w:rsidRPr="004D0305">
        <w:rPr>
          <w:rFonts w:ascii="Palatino Linotype" w:hAnsi="Palatino Linotype"/>
          <w:b/>
          <w:sz w:val="22"/>
          <w:szCs w:val="22"/>
        </w:rPr>
        <w:t>:</w:t>
      </w:r>
      <w:r w:rsidRPr="00E83D58">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Pr="00E83D58">
        <w:rPr>
          <w:rFonts w:ascii="Palatino Linotype" w:hAnsi="Palatino Linotype"/>
          <w:sz w:val="22"/>
          <w:szCs w:val="22"/>
        </w:rPr>
        <w:t>2.90 grados</w:t>
      </w:r>
    </w:p>
    <w:p w:rsidR="00EF442E" w:rsidRPr="004D0305" w:rsidRDefault="00EF442E" w:rsidP="00E83D58">
      <w:pPr>
        <w:pStyle w:val="Textopredeterminado"/>
        <w:spacing w:after="120" w:line="276" w:lineRule="auto"/>
        <w:jc w:val="both"/>
        <w:rPr>
          <w:rFonts w:ascii="Palatino Linotype" w:hAnsi="Palatino Linotype"/>
          <w:b/>
          <w:sz w:val="22"/>
          <w:szCs w:val="22"/>
        </w:rPr>
      </w:pPr>
      <w:r w:rsidRPr="004D0305">
        <w:rPr>
          <w:rFonts w:ascii="Palatino Linotype" w:hAnsi="Palatino Linotype"/>
          <w:b/>
          <w:sz w:val="22"/>
          <w:szCs w:val="22"/>
        </w:rPr>
        <w:t>L</w:t>
      </w:r>
      <w:r w:rsidR="004D0305" w:rsidRPr="004D0305">
        <w:rPr>
          <w:rFonts w:ascii="Palatino Linotype" w:hAnsi="Palatino Linotype"/>
          <w:b/>
          <w:sz w:val="22"/>
          <w:szCs w:val="22"/>
        </w:rPr>
        <w:t>inderos</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4D0305">
        <w:rPr>
          <w:rFonts w:ascii="Palatino Linotype" w:hAnsi="Palatino Linotype"/>
          <w:b/>
          <w:sz w:val="22"/>
          <w:szCs w:val="22"/>
        </w:rPr>
        <w:t>N</w:t>
      </w:r>
      <w:r w:rsidR="004D0305" w:rsidRPr="004D0305">
        <w:rPr>
          <w:rFonts w:ascii="Palatino Linotype" w:hAnsi="Palatino Linotype"/>
          <w:b/>
          <w:sz w:val="22"/>
          <w:szCs w:val="22"/>
        </w:rPr>
        <w:t>orte</w:t>
      </w:r>
      <w:r w:rsidRPr="004D0305">
        <w:rPr>
          <w:rFonts w:ascii="Palatino Linotype" w:hAnsi="Palatino Linotype"/>
          <w:b/>
          <w:sz w:val="22"/>
          <w:szCs w:val="22"/>
        </w:rPr>
        <w:t>:</w:t>
      </w:r>
      <w:r w:rsidRPr="00E83D58">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Pr="00E83D58">
        <w:rPr>
          <w:rFonts w:ascii="Palatino Linotype" w:hAnsi="Palatino Linotype"/>
          <w:sz w:val="22"/>
          <w:szCs w:val="22"/>
        </w:rPr>
        <w:t xml:space="preserve">Área verde en 24,11 m </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4D0305">
        <w:rPr>
          <w:rFonts w:ascii="Palatino Linotype" w:hAnsi="Palatino Linotype"/>
          <w:b/>
          <w:sz w:val="22"/>
          <w:szCs w:val="22"/>
        </w:rPr>
        <w:t>S</w:t>
      </w:r>
      <w:r w:rsidR="004D0305" w:rsidRPr="004D0305">
        <w:rPr>
          <w:rFonts w:ascii="Palatino Linotype" w:hAnsi="Palatino Linotype"/>
          <w:b/>
          <w:sz w:val="22"/>
          <w:szCs w:val="22"/>
        </w:rPr>
        <w:t>ur</w:t>
      </w:r>
      <w:r w:rsidRPr="004D0305">
        <w:rPr>
          <w:rFonts w:ascii="Palatino Linotype" w:hAnsi="Palatino Linotype"/>
          <w:b/>
          <w:sz w:val="22"/>
          <w:szCs w:val="22"/>
        </w:rPr>
        <w:t>:</w:t>
      </w:r>
      <w:r w:rsidRPr="00E83D58">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Pr="00E83D58">
        <w:rPr>
          <w:rFonts w:ascii="Palatino Linotype" w:hAnsi="Palatino Linotype"/>
          <w:sz w:val="22"/>
          <w:szCs w:val="22"/>
        </w:rPr>
        <w:t>Calle “4” en 24,11 m</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4D0305">
        <w:rPr>
          <w:rFonts w:ascii="Palatino Linotype" w:hAnsi="Palatino Linotype"/>
          <w:b/>
          <w:sz w:val="22"/>
          <w:szCs w:val="22"/>
        </w:rPr>
        <w:t>E</w:t>
      </w:r>
      <w:r w:rsidR="004D0305" w:rsidRPr="004D0305">
        <w:rPr>
          <w:rFonts w:ascii="Palatino Linotype" w:hAnsi="Palatino Linotype"/>
          <w:b/>
          <w:sz w:val="22"/>
          <w:szCs w:val="22"/>
        </w:rPr>
        <w:t>ste</w:t>
      </w:r>
      <w:r w:rsidRPr="004D0305">
        <w:rPr>
          <w:rFonts w:ascii="Palatino Linotype" w:hAnsi="Palatino Linotype"/>
          <w:b/>
          <w:sz w:val="22"/>
          <w:szCs w:val="22"/>
        </w:rPr>
        <w:t>:</w:t>
      </w:r>
      <w:r w:rsidRPr="00E83D58">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Pr="00E83D58">
        <w:rPr>
          <w:rFonts w:ascii="Palatino Linotype" w:hAnsi="Palatino Linotype"/>
          <w:sz w:val="22"/>
          <w:szCs w:val="22"/>
        </w:rPr>
        <w:t>Lote No. 22 en 18,46 m</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4D0305">
        <w:rPr>
          <w:rFonts w:ascii="Palatino Linotype" w:hAnsi="Palatino Linotype"/>
          <w:b/>
          <w:sz w:val="22"/>
          <w:szCs w:val="22"/>
        </w:rPr>
        <w:t>O</w:t>
      </w:r>
      <w:r w:rsidR="004D0305" w:rsidRPr="004D0305">
        <w:rPr>
          <w:rFonts w:ascii="Palatino Linotype" w:hAnsi="Palatino Linotype"/>
          <w:b/>
          <w:sz w:val="22"/>
          <w:szCs w:val="22"/>
        </w:rPr>
        <w:t>este</w:t>
      </w:r>
      <w:r w:rsidRPr="004D0305">
        <w:rPr>
          <w:rFonts w:ascii="Palatino Linotype" w:hAnsi="Palatino Linotype"/>
          <w:b/>
          <w:sz w:val="22"/>
          <w:szCs w:val="22"/>
        </w:rPr>
        <w:t>:</w:t>
      </w:r>
      <w:r w:rsidRPr="00E83D58">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004D0305">
        <w:rPr>
          <w:rFonts w:ascii="Palatino Linotype" w:hAnsi="Palatino Linotype"/>
          <w:sz w:val="22"/>
          <w:szCs w:val="22"/>
        </w:rPr>
        <w:tab/>
      </w:r>
      <w:r w:rsidRPr="00E83D58">
        <w:rPr>
          <w:rFonts w:ascii="Palatino Linotype" w:hAnsi="Palatino Linotype"/>
          <w:sz w:val="22"/>
          <w:szCs w:val="22"/>
        </w:rPr>
        <w:t>Área verde en 18,46 m</w:t>
      </w:r>
    </w:p>
    <w:p w:rsidR="00EF442E" w:rsidRPr="00E83D58" w:rsidRDefault="004D0305" w:rsidP="00E83D58">
      <w:pPr>
        <w:pStyle w:val="Textopredeterminado"/>
        <w:spacing w:after="120" w:line="276" w:lineRule="auto"/>
        <w:jc w:val="both"/>
        <w:rPr>
          <w:rFonts w:ascii="Palatino Linotype" w:hAnsi="Palatino Linotype"/>
          <w:sz w:val="22"/>
          <w:szCs w:val="22"/>
        </w:rPr>
      </w:pPr>
      <w:r>
        <w:rPr>
          <w:rFonts w:ascii="Palatino Linotype" w:hAnsi="Palatino Linotype"/>
          <w:b/>
          <w:sz w:val="22"/>
          <w:szCs w:val="22"/>
        </w:rPr>
        <w:t>Artículo</w:t>
      </w:r>
      <w:r w:rsidR="00EF442E" w:rsidRPr="00E83D58">
        <w:rPr>
          <w:rFonts w:ascii="Palatino Linotype" w:hAnsi="Palatino Linotype"/>
          <w:b/>
          <w:sz w:val="22"/>
          <w:szCs w:val="22"/>
        </w:rPr>
        <w:t xml:space="preserve"> 3.- </w:t>
      </w:r>
      <w:r w:rsidRPr="004D0305">
        <w:rPr>
          <w:rFonts w:ascii="Palatino Linotype" w:hAnsi="Palatino Linotype"/>
          <w:b/>
          <w:sz w:val="22"/>
          <w:szCs w:val="22"/>
        </w:rPr>
        <w:t>De las vías.-</w:t>
      </w:r>
      <w:r w:rsidR="00EF442E" w:rsidRPr="00E83D58">
        <w:rPr>
          <w:rFonts w:ascii="Palatino Linotype" w:hAnsi="Palatino Linotype"/>
          <w:sz w:val="22"/>
          <w:szCs w:val="22"/>
        </w:rPr>
        <w:t xml:space="preserve"> Las vías planificadas en la urbanización cumplen con lo estipulado en el cuadro No. 1 del Anexo Único que contiene las Reglas Técnicas de </w:t>
      </w:r>
      <w:r>
        <w:rPr>
          <w:rFonts w:ascii="Palatino Linotype" w:hAnsi="Palatino Linotype"/>
          <w:sz w:val="22"/>
          <w:szCs w:val="22"/>
        </w:rPr>
        <w:t>A</w:t>
      </w:r>
      <w:r w:rsidR="00EF442E" w:rsidRPr="00E83D58">
        <w:rPr>
          <w:rFonts w:ascii="Palatino Linotype" w:hAnsi="Palatino Linotype"/>
          <w:sz w:val="22"/>
          <w:szCs w:val="22"/>
        </w:rPr>
        <w:t xml:space="preserve">rquitectura y Urbanismo de la Ordenanza </w:t>
      </w:r>
      <w:r>
        <w:rPr>
          <w:rFonts w:ascii="Palatino Linotype" w:hAnsi="Palatino Linotype"/>
          <w:sz w:val="22"/>
          <w:szCs w:val="22"/>
        </w:rPr>
        <w:t xml:space="preserve">Metropolitana </w:t>
      </w:r>
      <w:r w:rsidR="00EF442E" w:rsidRPr="00E83D58">
        <w:rPr>
          <w:rFonts w:ascii="Palatino Linotype" w:hAnsi="Palatino Linotype"/>
          <w:sz w:val="22"/>
          <w:szCs w:val="22"/>
        </w:rPr>
        <w:t>No. 172</w:t>
      </w:r>
      <w:r>
        <w:rPr>
          <w:rFonts w:ascii="Palatino Linotype" w:hAnsi="Palatino Linotype"/>
          <w:sz w:val="22"/>
          <w:szCs w:val="22"/>
        </w:rPr>
        <w:t>,</w:t>
      </w:r>
      <w:r w:rsidR="00EF442E" w:rsidRPr="00E83D58">
        <w:rPr>
          <w:rFonts w:ascii="Palatino Linotype" w:hAnsi="Palatino Linotype"/>
          <w:sz w:val="22"/>
          <w:szCs w:val="22"/>
        </w:rPr>
        <w:t xml:space="preserve"> que establece el Régimen Administrativo del Distrito Metropolitano de Quito, siendo estas:</w:t>
      </w:r>
    </w:p>
    <w:p w:rsidR="00EF442E" w:rsidRPr="00E83D58" w:rsidRDefault="00EF442E" w:rsidP="00E83D58">
      <w:pPr>
        <w:pStyle w:val="Textopredeterminado"/>
        <w:numPr>
          <w:ilvl w:val="0"/>
          <w:numId w:val="1"/>
        </w:numPr>
        <w:spacing w:after="120" w:line="276" w:lineRule="auto"/>
        <w:jc w:val="both"/>
        <w:textAlignment w:val="auto"/>
        <w:rPr>
          <w:rFonts w:ascii="Palatino Linotype" w:hAnsi="Palatino Linotype"/>
          <w:sz w:val="22"/>
          <w:szCs w:val="22"/>
        </w:rPr>
      </w:pPr>
      <w:r w:rsidRPr="00E83D58">
        <w:rPr>
          <w:rFonts w:ascii="Palatino Linotype" w:hAnsi="Palatino Linotype"/>
          <w:sz w:val="22"/>
          <w:szCs w:val="22"/>
        </w:rPr>
        <w:t>Calles Nos. “1” y “2”</w:t>
      </w:r>
      <w:r w:rsidR="004D0305">
        <w:rPr>
          <w:rFonts w:ascii="Palatino Linotype" w:hAnsi="Palatino Linotype"/>
          <w:sz w:val="22"/>
          <w:szCs w:val="22"/>
        </w:rPr>
        <w:t>,</w:t>
      </w:r>
      <w:r w:rsidRPr="00E83D58">
        <w:rPr>
          <w:rFonts w:ascii="Palatino Linotype" w:hAnsi="Palatino Linotype"/>
          <w:sz w:val="22"/>
          <w:szCs w:val="22"/>
        </w:rPr>
        <w:t xml:space="preserve"> de 10 m. de ancho.</w:t>
      </w:r>
    </w:p>
    <w:p w:rsidR="00EF442E" w:rsidRPr="00E83D58" w:rsidRDefault="00EF442E" w:rsidP="00E83D58">
      <w:pPr>
        <w:pStyle w:val="Textopredeterminado"/>
        <w:numPr>
          <w:ilvl w:val="0"/>
          <w:numId w:val="1"/>
        </w:numPr>
        <w:spacing w:after="120" w:line="276" w:lineRule="auto"/>
        <w:jc w:val="both"/>
        <w:textAlignment w:val="auto"/>
        <w:rPr>
          <w:rFonts w:ascii="Palatino Linotype" w:hAnsi="Palatino Linotype"/>
          <w:sz w:val="22"/>
          <w:szCs w:val="22"/>
        </w:rPr>
      </w:pPr>
      <w:r w:rsidRPr="00E83D58">
        <w:rPr>
          <w:rFonts w:ascii="Palatino Linotype" w:hAnsi="Palatino Linotype"/>
          <w:sz w:val="22"/>
          <w:szCs w:val="22"/>
        </w:rPr>
        <w:t>Calles Nos. “3” y “4”</w:t>
      </w:r>
      <w:r w:rsidR="004D0305">
        <w:rPr>
          <w:rFonts w:ascii="Palatino Linotype" w:hAnsi="Palatino Linotype"/>
          <w:sz w:val="22"/>
          <w:szCs w:val="22"/>
        </w:rPr>
        <w:t>,</w:t>
      </w:r>
      <w:r w:rsidRPr="00E83D58">
        <w:rPr>
          <w:rFonts w:ascii="Palatino Linotype" w:hAnsi="Palatino Linotype"/>
          <w:sz w:val="22"/>
          <w:szCs w:val="22"/>
        </w:rPr>
        <w:t xml:space="preserve"> de 8 m. de ancho</w:t>
      </w:r>
    </w:p>
    <w:p w:rsidR="00EF442E" w:rsidRPr="00E83D58" w:rsidRDefault="004D0305" w:rsidP="00E83D58">
      <w:pPr>
        <w:pStyle w:val="Textopredeterminado"/>
        <w:spacing w:after="120" w:line="276" w:lineRule="auto"/>
        <w:jc w:val="both"/>
        <w:textAlignment w:val="auto"/>
        <w:rPr>
          <w:rFonts w:ascii="Palatino Linotype" w:hAnsi="Palatino Linotype"/>
          <w:sz w:val="22"/>
          <w:szCs w:val="22"/>
        </w:rPr>
      </w:pPr>
      <w:r>
        <w:rPr>
          <w:rFonts w:ascii="Palatino Linotype" w:hAnsi="Palatino Linotype"/>
          <w:b/>
          <w:sz w:val="22"/>
          <w:szCs w:val="22"/>
        </w:rPr>
        <w:t>Artículo</w:t>
      </w:r>
      <w:r w:rsidR="00EF442E" w:rsidRPr="00E83D58">
        <w:rPr>
          <w:rFonts w:ascii="Palatino Linotype" w:hAnsi="Palatino Linotype"/>
          <w:b/>
          <w:sz w:val="22"/>
          <w:szCs w:val="22"/>
        </w:rPr>
        <w:t xml:space="preserve"> 4.- </w:t>
      </w:r>
      <w:r>
        <w:rPr>
          <w:rFonts w:ascii="Palatino Linotype" w:hAnsi="Palatino Linotype"/>
          <w:b/>
          <w:sz w:val="22"/>
          <w:szCs w:val="22"/>
        </w:rPr>
        <w:t>D</w:t>
      </w:r>
      <w:r w:rsidRPr="004D0305">
        <w:rPr>
          <w:rFonts w:ascii="Palatino Linotype" w:hAnsi="Palatino Linotype"/>
          <w:b/>
          <w:sz w:val="22"/>
          <w:szCs w:val="22"/>
        </w:rPr>
        <w:t>e la garantía para ejecución de obras</w:t>
      </w:r>
      <w:r>
        <w:rPr>
          <w:rFonts w:ascii="Palatino Linotype" w:hAnsi="Palatino Linotype"/>
          <w:sz w:val="22"/>
          <w:szCs w:val="22"/>
        </w:rPr>
        <w:t>.-</w:t>
      </w:r>
      <w:r w:rsidR="00EF442E" w:rsidRPr="00E83D58">
        <w:rPr>
          <w:rFonts w:ascii="Palatino Linotype" w:hAnsi="Palatino Linotype"/>
          <w:sz w:val="22"/>
          <w:szCs w:val="22"/>
        </w:rPr>
        <w:t xml:space="preserve"> La Secretaría de Territorio, Hábitat y Vivienda, emite los Informes Técnicos </w:t>
      </w:r>
      <w:r>
        <w:rPr>
          <w:rFonts w:ascii="Palatino Linotype" w:hAnsi="Palatino Linotype"/>
          <w:sz w:val="22"/>
          <w:szCs w:val="22"/>
        </w:rPr>
        <w:t xml:space="preserve">Nos. </w:t>
      </w:r>
      <w:r w:rsidR="00EF442E" w:rsidRPr="00E83D58">
        <w:rPr>
          <w:rFonts w:ascii="Palatino Linotype" w:hAnsi="Palatino Linotype"/>
          <w:sz w:val="22"/>
          <w:szCs w:val="22"/>
        </w:rPr>
        <w:t>2015-3567743E-01</w:t>
      </w:r>
      <w:r>
        <w:rPr>
          <w:rFonts w:ascii="Palatino Linotype" w:hAnsi="Palatino Linotype"/>
          <w:sz w:val="22"/>
          <w:szCs w:val="22"/>
        </w:rPr>
        <w:t>,</w:t>
      </w:r>
      <w:r w:rsidR="00EF442E" w:rsidRPr="00E83D58">
        <w:rPr>
          <w:rFonts w:ascii="Palatino Linotype" w:hAnsi="Palatino Linotype"/>
          <w:sz w:val="22"/>
          <w:szCs w:val="22"/>
        </w:rPr>
        <w:t xml:space="preserve"> de </w:t>
      </w:r>
      <w:r>
        <w:rPr>
          <w:rFonts w:ascii="Palatino Linotype" w:hAnsi="Palatino Linotype"/>
          <w:sz w:val="22"/>
          <w:szCs w:val="22"/>
        </w:rPr>
        <w:t>19 de octubre de 2015,</w:t>
      </w:r>
      <w:r w:rsidR="00EF442E" w:rsidRPr="00E83D58">
        <w:rPr>
          <w:rFonts w:ascii="Palatino Linotype" w:hAnsi="Palatino Linotype"/>
          <w:sz w:val="22"/>
          <w:szCs w:val="22"/>
        </w:rPr>
        <w:t xml:space="preserve"> y 2015-3567743E-01 de </w:t>
      </w:r>
      <w:r>
        <w:rPr>
          <w:rFonts w:ascii="Palatino Linotype" w:hAnsi="Palatino Linotype"/>
          <w:sz w:val="22"/>
          <w:szCs w:val="22"/>
        </w:rPr>
        <w:t xml:space="preserve">14 de diciembre de 2015, </w:t>
      </w:r>
      <w:r w:rsidR="00EF442E" w:rsidRPr="00E83D58">
        <w:rPr>
          <w:rFonts w:ascii="Palatino Linotype" w:hAnsi="Palatino Linotype"/>
          <w:sz w:val="22"/>
          <w:szCs w:val="22"/>
        </w:rPr>
        <w:t xml:space="preserve">del </w:t>
      </w:r>
      <w:r>
        <w:rPr>
          <w:rFonts w:ascii="Palatino Linotype" w:hAnsi="Palatino Linotype"/>
          <w:sz w:val="22"/>
          <w:szCs w:val="22"/>
        </w:rPr>
        <w:t>p</w:t>
      </w:r>
      <w:r w:rsidR="00EF442E" w:rsidRPr="00E83D58">
        <w:rPr>
          <w:rFonts w:ascii="Palatino Linotype" w:hAnsi="Palatino Linotype"/>
          <w:sz w:val="22"/>
          <w:szCs w:val="22"/>
        </w:rPr>
        <w:t xml:space="preserve">royecto </w:t>
      </w:r>
      <w:r>
        <w:rPr>
          <w:rFonts w:ascii="Palatino Linotype" w:hAnsi="Palatino Linotype"/>
          <w:sz w:val="22"/>
          <w:szCs w:val="22"/>
        </w:rPr>
        <w:t>t</w:t>
      </w:r>
      <w:r w:rsidR="00EF442E" w:rsidRPr="00E83D58">
        <w:rPr>
          <w:rFonts w:ascii="Palatino Linotype" w:hAnsi="Palatino Linotype"/>
          <w:sz w:val="22"/>
          <w:szCs w:val="22"/>
        </w:rPr>
        <w:t xml:space="preserve">écnico de </w:t>
      </w:r>
      <w:r>
        <w:rPr>
          <w:rFonts w:ascii="Palatino Linotype" w:hAnsi="Palatino Linotype"/>
          <w:sz w:val="22"/>
          <w:szCs w:val="22"/>
        </w:rPr>
        <w:t xml:space="preserve">la </w:t>
      </w:r>
      <w:r w:rsidR="00EF442E" w:rsidRPr="00E83D58">
        <w:rPr>
          <w:rFonts w:ascii="Palatino Linotype" w:hAnsi="Palatino Linotype"/>
          <w:sz w:val="22"/>
          <w:szCs w:val="22"/>
        </w:rPr>
        <w:t>Urbanización de Interés Social de Desarrollo Progresivo “L</w:t>
      </w:r>
      <w:r>
        <w:rPr>
          <w:rFonts w:ascii="Palatino Linotype" w:hAnsi="Palatino Linotype"/>
          <w:sz w:val="22"/>
          <w:szCs w:val="22"/>
        </w:rPr>
        <w:t>a Comarca</w:t>
      </w:r>
      <w:r w:rsidR="00EF442E" w:rsidRPr="00E83D58">
        <w:rPr>
          <w:rFonts w:ascii="Palatino Linotype" w:hAnsi="Palatino Linotype"/>
          <w:sz w:val="22"/>
          <w:szCs w:val="22"/>
        </w:rPr>
        <w:t>”, en los que se determina que el valor de las obras de urbanización es de US</w:t>
      </w:r>
      <w:r>
        <w:rPr>
          <w:rFonts w:ascii="Palatino Linotype" w:hAnsi="Palatino Linotype"/>
          <w:sz w:val="22"/>
          <w:szCs w:val="22"/>
        </w:rPr>
        <w:t>D.</w:t>
      </w:r>
      <w:r w:rsidR="00EF442E" w:rsidRPr="00E83D58">
        <w:rPr>
          <w:rFonts w:ascii="Palatino Linotype" w:hAnsi="Palatino Linotype"/>
          <w:sz w:val="22"/>
          <w:szCs w:val="22"/>
        </w:rPr>
        <w:t xml:space="preserve"> 178.852,61 (</w:t>
      </w:r>
      <w:r w:rsidR="003C15E1" w:rsidRPr="00E83D58">
        <w:rPr>
          <w:rFonts w:ascii="Palatino Linotype" w:hAnsi="Palatino Linotype"/>
          <w:sz w:val="22"/>
          <w:szCs w:val="22"/>
        </w:rPr>
        <w:t>ciento setenta y ocho mil ochocientos cincuenta y dos d</w:t>
      </w:r>
      <w:r w:rsidR="003C15E1">
        <w:rPr>
          <w:rFonts w:ascii="Palatino Linotype" w:hAnsi="Palatino Linotype"/>
          <w:sz w:val="22"/>
          <w:szCs w:val="22"/>
        </w:rPr>
        <w:t>ó</w:t>
      </w:r>
      <w:r w:rsidR="003C15E1" w:rsidRPr="00E83D58">
        <w:rPr>
          <w:rFonts w:ascii="Palatino Linotype" w:hAnsi="Palatino Linotype"/>
          <w:sz w:val="22"/>
          <w:szCs w:val="22"/>
        </w:rPr>
        <w:t>lares con sesenta y un centavos</w:t>
      </w:r>
      <w:r w:rsidR="00EF442E" w:rsidRPr="00E83D58">
        <w:rPr>
          <w:rFonts w:ascii="Palatino Linotype" w:hAnsi="Palatino Linotype"/>
          <w:sz w:val="22"/>
          <w:szCs w:val="22"/>
        </w:rPr>
        <w:t xml:space="preserve">), por lo que el propietario constituye primera, especial y preferente hipoteca sobre todos los lotes que conforman la Urbanización, a favor de la Municipalidad, en garantía de la ejecución de las obras de la misma, hasta la terminación total de las obras. </w:t>
      </w:r>
    </w:p>
    <w:p w:rsidR="00EF442E" w:rsidRPr="00E83D58" w:rsidRDefault="003C15E1" w:rsidP="00E83D58">
      <w:pPr>
        <w:pStyle w:val="Textopredeterminado"/>
        <w:spacing w:after="120" w:line="276" w:lineRule="auto"/>
        <w:jc w:val="both"/>
        <w:rPr>
          <w:rFonts w:ascii="Palatino Linotype" w:hAnsi="Palatino Linotype"/>
          <w:sz w:val="22"/>
          <w:szCs w:val="22"/>
        </w:rPr>
      </w:pPr>
      <w:r>
        <w:rPr>
          <w:rFonts w:ascii="Palatino Linotype" w:hAnsi="Palatino Linotype"/>
          <w:b/>
          <w:sz w:val="22"/>
          <w:szCs w:val="22"/>
        </w:rPr>
        <w:t>Artículo</w:t>
      </w:r>
      <w:r w:rsidR="00EF442E" w:rsidRPr="00E83D58">
        <w:rPr>
          <w:rFonts w:ascii="Palatino Linotype" w:hAnsi="Palatino Linotype"/>
          <w:b/>
          <w:sz w:val="22"/>
          <w:szCs w:val="22"/>
        </w:rPr>
        <w:t xml:space="preserve"> 5.- </w:t>
      </w:r>
      <w:r w:rsidR="00EF442E" w:rsidRPr="003C15E1">
        <w:rPr>
          <w:rFonts w:ascii="Palatino Linotype" w:hAnsi="Palatino Linotype"/>
          <w:b/>
          <w:sz w:val="22"/>
          <w:szCs w:val="22"/>
        </w:rPr>
        <w:t>P</w:t>
      </w:r>
      <w:r w:rsidRPr="003C15E1">
        <w:rPr>
          <w:rFonts w:ascii="Palatino Linotype" w:hAnsi="Palatino Linotype"/>
          <w:b/>
          <w:sz w:val="22"/>
          <w:szCs w:val="22"/>
        </w:rPr>
        <w:t>lazo de ejecución de obras.-</w:t>
      </w:r>
      <w:r w:rsidR="00EF442E" w:rsidRPr="00E83D58">
        <w:rPr>
          <w:rFonts w:ascii="Palatino Linotype" w:hAnsi="Palatino Linotype"/>
          <w:sz w:val="22"/>
          <w:szCs w:val="22"/>
        </w:rPr>
        <w:t xml:space="preserve"> Es obligación de la urbanizadora, en el plazo de tres años contados a partir de la sanción de la presente ordenanza, realizar las obras detalladas en el cronograma valorado de obras conforme plano adjunto que contiene la implantación del proyecto.</w:t>
      </w:r>
    </w:p>
    <w:p w:rsidR="00EF442E" w:rsidRPr="00E83D58" w:rsidRDefault="00EF442E" w:rsidP="00E83D58">
      <w:pPr>
        <w:pStyle w:val="Textopredeterminado"/>
        <w:spacing w:after="120" w:line="276" w:lineRule="auto"/>
        <w:jc w:val="both"/>
        <w:rPr>
          <w:rFonts w:ascii="Palatino Linotype" w:hAnsi="Palatino Linotype"/>
          <w:b/>
          <w:sz w:val="22"/>
          <w:szCs w:val="22"/>
        </w:rPr>
      </w:pPr>
      <w:r w:rsidRPr="00E83D58">
        <w:rPr>
          <w:rFonts w:ascii="Palatino Linotype" w:hAnsi="Palatino Linotype"/>
          <w:sz w:val="22"/>
          <w:szCs w:val="22"/>
        </w:rPr>
        <w:t>De las obras de urbanización, se deberán pagar las contribuciones y mejoras de ley; y, deberá cancelarse la tasa retributiva por gastos administrativos correspondientes al registro de la Urbanización, de conformidad con la normativa vigente.</w:t>
      </w:r>
    </w:p>
    <w:p w:rsidR="00EF442E" w:rsidRPr="00E83D58" w:rsidRDefault="003C15E1" w:rsidP="00E83D58">
      <w:pPr>
        <w:pStyle w:val="Textopredeterminado"/>
        <w:spacing w:after="120" w:line="276" w:lineRule="auto"/>
        <w:jc w:val="both"/>
        <w:rPr>
          <w:rFonts w:ascii="Palatino Linotype" w:hAnsi="Palatino Linotype"/>
          <w:b/>
          <w:sz w:val="22"/>
          <w:szCs w:val="22"/>
        </w:rPr>
      </w:pPr>
      <w:r>
        <w:rPr>
          <w:rFonts w:ascii="Palatino Linotype" w:hAnsi="Palatino Linotype"/>
          <w:b/>
          <w:sz w:val="22"/>
          <w:szCs w:val="22"/>
        </w:rPr>
        <w:lastRenderedPageBreak/>
        <w:t>Artículo</w:t>
      </w:r>
      <w:r w:rsidR="00EF442E" w:rsidRPr="00E83D58">
        <w:rPr>
          <w:rFonts w:ascii="Palatino Linotype" w:hAnsi="Palatino Linotype"/>
          <w:b/>
          <w:sz w:val="22"/>
          <w:szCs w:val="22"/>
        </w:rPr>
        <w:t xml:space="preserve"> 6.- </w:t>
      </w:r>
      <w:r w:rsidR="00EF442E" w:rsidRPr="003C15E1">
        <w:rPr>
          <w:rFonts w:ascii="Palatino Linotype" w:hAnsi="Palatino Linotype"/>
          <w:b/>
          <w:sz w:val="22"/>
          <w:szCs w:val="22"/>
        </w:rPr>
        <w:t>D</w:t>
      </w:r>
      <w:r w:rsidRPr="003C15E1">
        <w:rPr>
          <w:rFonts w:ascii="Palatino Linotype" w:hAnsi="Palatino Linotype"/>
          <w:b/>
          <w:sz w:val="22"/>
          <w:szCs w:val="22"/>
        </w:rPr>
        <w:t>el control de ejecuci</w:t>
      </w:r>
      <w:r>
        <w:rPr>
          <w:rFonts w:ascii="Palatino Linotype" w:hAnsi="Palatino Linotype"/>
          <w:b/>
          <w:sz w:val="22"/>
          <w:szCs w:val="22"/>
        </w:rPr>
        <w:t>ó</w:t>
      </w:r>
      <w:r w:rsidRPr="003C15E1">
        <w:rPr>
          <w:rFonts w:ascii="Palatino Linotype" w:hAnsi="Palatino Linotype"/>
          <w:b/>
          <w:sz w:val="22"/>
          <w:szCs w:val="22"/>
        </w:rPr>
        <w:t>n de las obras</w:t>
      </w:r>
      <w:r w:rsidR="00EF442E" w:rsidRPr="003C15E1">
        <w:rPr>
          <w:rFonts w:ascii="Palatino Linotype" w:hAnsi="Palatino Linotype"/>
          <w:b/>
          <w:sz w:val="22"/>
          <w:szCs w:val="22"/>
        </w:rPr>
        <w:t>.-</w:t>
      </w:r>
      <w:r w:rsidR="00EF442E" w:rsidRPr="00E83D58">
        <w:rPr>
          <w:rFonts w:ascii="Palatino Linotype" w:hAnsi="Palatino Linotype"/>
          <w:sz w:val="22"/>
          <w:szCs w:val="22"/>
        </w:rPr>
        <w:t xml:space="preserve"> La Administración Zonal Quitumbe realizará el control y seguimiento de la ejecución de las obras de urbanización hasta la terminación de las mismas. </w:t>
      </w:r>
    </w:p>
    <w:p w:rsidR="00EF442E" w:rsidRPr="00E83D58" w:rsidRDefault="003C15E1" w:rsidP="003C15E1">
      <w:pPr>
        <w:pStyle w:val="Textopredeterminado"/>
        <w:tabs>
          <w:tab w:val="left" w:pos="5460"/>
        </w:tabs>
        <w:spacing w:after="120" w:line="276" w:lineRule="auto"/>
        <w:jc w:val="both"/>
        <w:rPr>
          <w:rFonts w:ascii="Palatino Linotype" w:hAnsi="Palatino Linotype"/>
          <w:b/>
          <w:sz w:val="22"/>
          <w:szCs w:val="22"/>
        </w:rPr>
      </w:pPr>
      <w:r>
        <w:rPr>
          <w:rFonts w:ascii="Palatino Linotype" w:hAnsi="Palatino Linotype"/>
          <w:b/>
          <w:sz w:val="22"/>
          <w:szCs w:val="22"/>
        </w:rPr>
        <w:t>Artículo</w:t>
      </w:r>
      <w:r w:rsidR="00EF442E" w:rsidRPr="00E83D58">
        <w:rPr>
          <w:rFonts w:ascii="Palatino Linotype" w:hAnsi="Palatino Linotype"/>
          <w:b/>
          <w:sz w:val="22"/>
          <w:szCs w:val="22"/>
        </w:rPr>
        <w:t xml:space="preserve"> 7.- </w:t>
      </w:r>
      <w:r w:rsidR="00EF442E" w:rsidRPr="003C15E1">
        <w:rPr>
          <w:rFonts w:ascii="Palatino Linotype" w:hAnsi="Palatino Linotype"/>
          <w:b/>
          <w:sz w:val="22"/>
          <w:szCs w:val="22"/>
        </w:rPr>
        <w:t>D</w:t>
      </w:r>
      <w:r w:rsidRPr="003C15E1">
        <w:rPr>
          <w:rFonts w:ascii="Palatino Linotype" w:hAnsi="Palatino Linotype"/>
          <w:b/>
          <w:sz w:val="22"/>
          <w:szCs w:val="22"/>
        </w:rPr>
        <w:t>el retraso en la ejecuci</w:t>
      </w:r>
      <w:r>
        <w:rPr>
          <w:rFonts w:ascii="Palatino Linotype" w:hAnsi="Palatino Linotype"/>
          <w:b/>
          <w:sz w:val="22"/>
          <w:szCs w:val="22"/>
        </w:rPr>
        <w:t>ó</w:t>
      </w:r>
      <w:r w:rsidRPr="003C15E1">
        <w:rPr>
          <w:rFonts w:ascii="Palatino Linotype" w:hAnsi="Palatino Linotype"/>
          <w:b/>
          <w:sz w:val="22"/>
          <w:szCs w:val="22"/>
        </w:rPr>
        <w:t>n de las obras</w:t>
      </w:r>
      <w:r w:rsidR="00EF442E" w:rsidRPr="003C15E1">
        <w:rPr>
          <w:rFonts w:ascii="Palatino Linotype" w:hAnsi="Palatino Linotype"/>
          <w:b/>
          <w:sz w:val="22"/>
          <w:szCs w:val="22"/>
        </w:rPr>
        <w:t>.-</w:t>
      </w:r>
      <w:r w:rsidR="00EF442E" w:rsidRPr="00E83D58">
        <w:rPr>
          <w:rFonts w:ascii="Palatino Linotype" w:hAnsi="Palatino Linotype"/>
          <w:sz w:val="22"/>
          <w:szCs w:val="22"/>
        </w:rPr>
        <w:t xml:space="preserve"> En caso de retraso en la ejecución de las obras de urbanización, la propietaria pagará a la Municipalidad en calidad de multa el uno por mil por cada día de retraso, calculado del costo de las obras no ejecutadas, cuyo monto se establecerá previo los informes técnicos correspondientes, por incumplimiento de las obras de urbanización, y a su vez se notificará a la Dirección Metropolitana Financiera para que se emita el título de crédito respectivo y proceder a su cobro, incluso por la vía coactiva. </w:t>
      </w:r>
    </w:p>
    <w:p w:rsidR="00EF442E" w:rsidRPr="00E83D58" w:rsidRDefault="003C15E1" w:rsidP="00E83D58">
      <w:pPr>
        <w:pStyle w:val="Textopredeterminado"/>
        <w:spacing w:after="120" w:line="276" w:lineRule="auto"/>
        <w:jc w:val="both"/>
        <w:rPr>
          <w:rFonts w:ascii="Palatino Linotype" w:hAnsi="Palatino Linotype"/>
          <w:b/>
          <w:sz w:val="22"/>
          <w:szCs w:val="22"/>
        </w:rPr>
      </w:pPr>
      <w:r>
        <w:rPr>
          <w:rFonts w:ascii="Palatino Linotype" w:hAnsi="Palatino Linotype"/>
          <w:b/>
          <w:sz w:val="22"/>
          <w:szCs w:val="22"/>
        </w:rPr>
        <w:t>Artículo</w:t>
      </w:r>
      <w:r w:rsidR="00EF442E" w:rsidRPr="00E83D58">
        <w:rPr>
          <w:rFonts w:ascii="Palatino Linotype" w:hAnsi="Palatino Linotype"/>
          <w:b/>
          <w:sz w:val="22"/>
          <w:szCs w:val="22"/>
        </w:rPr>
        <w:t xml:space="preserve"> 8.- </w:t>
      </w:r>
      <w:r w:rsidR="00EF442E" w:rsidRPr="00E83D58">
        <w:rPr>
          <w:rFonts w:ascii="Palatino Linotype" w:hAnsi="Palatino Linotype"/>
          <w:sz w:val="22"/>
          <w:szCs w:val="22"/>
        </w:rPr>
        <w:t>En caso de comprobarse ocultamiento o falsedad en los datos, planos o de existir reclamos de terceros afectados, el Concejo Metropolitano revocará la presente ordenanza bajo exclusiva responsabilidad de la propietaria y proyectista de la urbanización, mismos que no podrán alegar a su favor que se encuentran ejecutadas las obras de urbanización o celebradas escrituras de transferencia de dominio a favor de terceros.</w:t>
      </w:r>
    </w:p>
    <w:p w:rsidR="00EF442E" w:rsidRPr="00E83D58" w:rsidRDefault="003C15E1" w:rsidP="00E83D58">
      <w:pPr>
        <w:pStyle w:val="Textopredeterminado"/>
        <w:spacing w:after="120" w:line="276" w:lineRule="auto"/>
        <w:jc w:val="both"/>
        <w:rPr>
          <w:rFonts w:ascii="Palatino Linotype" w:hAnsi="Palatino Linotype"/>
          <w:sz w:val="22"/>
          <w:szCs w:val="22"/>
        </w:rPr>
      </w:pPr>
      <w:r>
        <w:rPr>
          <w:rFonts w:ascii="Palatino Linotype" w:hAnsi="Palatino Linotype"/>
          <w:b/>
          <w:sz w:val="22"/>
          <w:szCs w:val="22"/>
        </w:rPr>
        <w:t>Artículo</w:t>
      </w:r>
      <w:r w:rsidR="00EF442E" w:rsidRPr="00E83D58">
        <w:rPr>
          <w:rFonts w:ascii="Palatino Linotype" w:hAnsi="Palatino Linotype"/>
          <w:b/>
          <w:sz w:val="22"/>
          <w:szCs w:val="22"/>
        </w:rPr>
        <w:t xml:space="preserve"> 9.- </w:t>
      </w:r>
      <w:r w:rsidR="00EF442E" w:rsidRPr="00E83D58">
        <w:rPr>
          <w:rFonts w:ascii="Palatino Linotype" w:hAnsi="Palatino Linotype"/>
          <w:sz w:val="22"/>
          <w:szCs w:val="22"/>
        </w:rPr>
        <w:t xml:space="preserve">La urbanizadora se compromete en el plazo de </w:t>
      </w:r>
      <w:r>
        <w:rPr>
          <w:rFonts w:ascii="Palatino Linotype" w:hAnsi="Palatino Linotype"/>
          <w:sz w:val="22"/>
          <w:szCs w:val="22"/>
        </w:rPr>
        <w:t>ciento veinte (</w:t>
      </w:r>
      <w:r w:rsidR="00EF442E" w:rsidRPr="00E83D58">
        <w:rPr>
          <w:rFonts w:ascii="Palatino Linotype" w:hAnsi="Palatino Linotype"/>
          <w:sz w:val="22"/>
          <w:szCs w:val="22"/>
        </w:rPr>
        <w:t>120</w:t>
      </w:r>
      <w:r>
        <w:rPr>
          <w:rFonts w:ascii="Palatino Linotype" w:hAnsi="Palatino Linotype"/>
          <w:sz w:val="22"/>
          <w:szCs w:val="22"/>
        </w:rPr>
        <w:t>)</w:t>
      </w:r>
      <w:r w:rsidR="00EF442E" w:rsidRPr="00E83D58">
        <w:rPr>
          <w:rFonts w:ascii="Palatino Linotype" w:hAnsi="Palatino Linotype"/>
          <w:sz w:val="22"/>
          <w:szCs w:val="22"/>
        </w:rPr>
        <w:t xml:space="preserve"> días, contados a partir de la sanción de la presente ordenanza a protocolizarla con todos sus documentos habilitantes </w:t>
      </w:r>
      <w:r>
        <w:rPr>
          <w:rFonts w:ascii="Palatino Linotype" w:hAnsi="Palatino Linotype"/>
          <w:sz w:val="22"/>
          <w:szCs w:val="22"/>
        </w:rPr>
        <w:t>ante N</w:t>
      </w:r>
      <w:r w:rsidR="00EF442E" w:rsidRPr="00E83D58">
        <w:rPr>
          <w:rFonts w:ascii="Palatino Linotype" w:hAnsi="Palatino Linotype"/>
          <w:sz w:val="22"/>
          <w:szCs w:val="22"/>
        </w:rPr>
        <w:t>otar</w:t>
      </w:r>
      <w:r>
        <w:rPr>
          <w:rFonts w:ascii="Palatino Linotype" w:hAnsi="Palatino Linotype"/>
          <w:sz w:val="22"/>
          <w:szCs w:val="22"/>
        </w:rPr>
        <w:t>io Público</w:t>
      </w:r>
      <w:r w:rsidR="00EF442E" w:rsidRPr="00E83D58">
        <w:rPr>
          <w:rFonts w:ascii="Palatino Linotype" w:hAnsi="Palatino Linotype"/>
          <w:sz w:val="22"/>
          <w:szCs w:val="22"/>
        </w:rPr>
        <w:t xml:space="preserve"> e inscribirla en el Registro de la Propiedad, para que constituya título de transferencia de dominio de las áreas de uso público, verdes y comunales a favor del Municipio del Distrito Metropolitano de Quito, caso contrario el Concejo Metropolitano revocará la presente ordenanza, notificándose del particular a la Agencia de Control para que inicie las acciones legales pertinentes.</w:t>
      </w:r>
    </w:p>
    <w:p w:rsidR="003C15E1" w:rsidRPr="003C15E1" w:rsidRDefault="003C15E1" w:rsidP="003C15E1">
      <w:pPr>
        <w:spacing w:after="120"/>
        <w:jc w:val="both"/>
        <w:rPr>
          <w:rFonts w:ascii="Palatino Linotype" w:hAnsi="Palatino Linotype" w:cs="Arial"/>
          <w:sz w:val="22"/>
          <w:szCs w:val="22"/>
        </w:rPr>
      </w:pPr>
      <w:r w:rsidRPr="003C15E1">
        <w:rPr>
          <w:rFonts w:ascii="Palatino Linotype" w:hAnsi="Palatino Linotype" w:cs="Arial"/>
          <w:b/>
          <w:color w:val="000000"/>
          <w:sz w:val="22"/>
          <w:szCs w:val="22"/>
        </w:rPr>
        <w:t>Disposición final.-</w:t>
      </w:r>
      <w:r w:rsidRPr="003C15E1">
        <w:rPr>
          <w:rFonts w:ascii="Palatino Linotype" w:hAnsi="Palatino Linotype" w:cs="Arial"/>
          <w:color w:val="000000"/>
          <w:sz w:val="22"/>
          <w:szCs w:val="22"/>
        </w:rPr>
        <w:t xml:space="preserve">  La presente ordenanza entrará en vigencia a partir de su sanción, sin perjuicio de su publicación en la página web institucional de la Municipalidad.</w:t>
      </w:r>
    </w:p>
    <w:p w:rsidR="003C15E1" w:rsidRDefault="003C15E1" w:rsidP="003C15E1">
      <w:pPr>
        <w:pStyle w:val="Cuadrculaclara-nfasis31"/>
        <w:tabs>
          <w:tab w:val="left" w:pos="2410"/>
        </w:tabs>
        <w:suppressAutoHyphens w:val="0"/>
        <w:spacing w:after="120" w:line="276" w:lineRule="auto"/>
        <w:ind w:left="0"/>
        <w:jc w:val="both"/>
        <w:rPr>
          <w:rFonts w:ascii="Palatino Linotype" w:hAnsi="Palatino Linotype"/>
          <w:sz w:val="22"/>
          <w:szCs w:val="22"/>
        </w:rPr>
      </w:pPr>
      <w:r>
        <w:rPr>
          <w:rFonts w:ascii="Palatino Linotype" w:hAnsi="Palatino Linotype"/>
          <w:sz w:val="22"/>
          <w:szCs w:val="22"/>
        </w:rPr>
        <w:t>Dada, en la Sala de Sesiones del Concejo Metropolitano de Quito, el 8 de septiembre de 2016.</w:t>
      </w:r>
    </w:p>
    <w:p w:rsidR="003C15E1" w:rsidRDefault="003C15E1" w:rsidP="003C15E1">
      <w:pPr>
        <w:pStyle w:val="Textopredeterminado"/>
        <w:shd w:val="clear" w:color="auto" w:fill="FFFFFF"/>
        <w:jc w:val="both"/>
        <w:rPr>
          <w:rFonts w:ascii="Palatino Linotype" w:hAnsi="Palatino Linotype"/>
          <w:sz w:val="22"/>
          <w:szCs w:val="22"/>
        </w:rPr>
      </w:pPr>
    </w:p>
    <w:p w:rsidR="003C15E1" w:rsidRDefault="003C15E1" w:rsidP="003C15E1">
      <w:pPr>
        <w:pStyle w:val="Textopredeterminado"/>
        <w:shd w:val="clear" w:color="auto" w:fill="FFFFFF"/>
        <w:jc w:val="both"/>
        <w:rPr>
          <w:rFonts w:ascii="Palatino Linotype" w:hAnsi="Palatino Linotype"/>
          <w:sz w:val="22"/>
          <w:szCs w:val="22"/>
        </w:rPr>
      </w:pPr>
    </w:p>
    <w:tbl>
      <w:tblPr>
        <w:tblW w:w="10899" w:type="dxa"/>
        <w:jc w:val="center"/>
        <w:tblInd w:w="-885" w:type="dxa"/>
        <w:tblLook w:val="04A0" w:firstRow="1" w:lastRow="0" w:firstColumn="1" w:lastColumn="0" w:noHBand="0" w:noVBand="1"/>
      </w:tblPr>
      <w:tblGrid>
        <w:gridCol w:w="5575"/>
        <w:gridCol w:w="5324"/>
      </w:tblGrid>
      <w:tr w:rsidR="003C15E1" w:rsidRPr="003C15E1" w:rsidTr="00695941">
        <w:trPr>
          <w:jc w:val="center"/>
        </w:trPr>
        <w:tc>
          <w:tcPr>
            <w:tcW w:w="5575" w:type="dxa"/>
            <w:hideMark/>
          </w:tcPr>
          <w:p w:rsidR="003C15E1" w:rsidRPr="003C15E1" w:rsidRDefault="003C15E1" w:rsidP="00695941">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3C15E1" w:rsidRPr="003C15E1" w:rsidRDefault="003C15E1" w:rsidP="00695941">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3C15E1" w:rsidRPr="003C15E1" w:rsidRDefault="003C15E1" w:rsidP="00695941">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María Elisa Holmes Roldós</w:t>
            </w:r>
          </w:p>
          <w:p w:rsidR="003C15E1" w:rsidRPr="003C15E1" w:rsidRDefault="003C15E1" w:rsidP="00695941">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Secretaria General del Concejo Metropolitano de Quito</w:t>
            </w:r>
          </w:p>
          <w:p w:rsidR="003C15E1" w:rsidRPr="003C15E1" w:rsidRDefault="003C15E1" w:rsidP="00695941">
            <w:pPr>
              <w:pStyle w:val="Textopredeterminado"/>
              <w:rPr>
                <w:rFonts w:ascii="Palatino Linotype" w:hAnsi="Palatino Linotype" w:cs="Arial"/>
                <w:b/>
                <w:sz w:val="19"/>
                <w:szCs w:val="19"/>
              </w:rPr>
            </w:pPr>
          </w:p>
        </w:tc>
      </w:tr>
    </w:tbl>
    <w:p w:rsidR="003C15E1" w:rsidRPr="006336FA" w:rsidRDefault="003C15E1" w:rsidP="003C15E1">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lastRenderedPageBreak/>
        <w:t>CERTIFICADO DE DISCUSIÓN</w:t>
      </w:r>
    </w:p>
    <w:p w:rsidR="003C15E1" w:rsidRPr="006336FA" w:rsidRDefault="003C15E1" w:rsidP="003C15E1">
      <w:pPr>
        <w:pStyle w:val="Textosinformato"/>
        <w:jc w:val="both"/>
        <w:rPr>
          <w:rFonts w:ascii="Palatino Linotype" w:eastAsia="MS Mincho" w:hAnsi="Palatino Linotype" w:cs="Arial"/>
          <w:sz w:val="22"/>
          <w:szCs w:val="22"/>
        </w:rPr>
      </w:pPr>
    </w:p>
    <w:p w:rsidR="003C15E1" w:rsidRPr="006336FA" w:rsidRDefault="003C15E1" w:rsidP="003C15E1">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 Secretaria</w:t>
      </w:r>
      <w:r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Pr>
          <w:rFonts w:ascii="Palatino Linotype" w:eastAsia="MS Mincho" w:hAnsi="Palatino Linotype" w:cs="Arial"/>
          <w:sz w:val="22"/>
          <w:szCs w:val="22"/>
        </w:rPr>
        <w:t xml:space="preserve">16 de junio </w:t>
      </w:r>
      <w:r w:rsidRPr="006336FA">
        <w:rPr>
          <w:rFonts w:ascii="Palatino Linotype" w:eastAsia="MS Mincho" w:hAnsi="Palatino Linotype" w:cs="Arial"/>
          <w:sz w:val="22"/>
          <w:szCs w:val="22"/>
        </w:rPr>
        <w:t xml:space="preserve">y </w:t>
      </w:r>
      <w:r>
        <w:rPr>
          <w:rFonts w:ascii="Palatino Linotype" w:eastAsia="MS Mincho" w:hAnsi="Palatino Linotype" w:cs="Arial"/>
          <w:sz w:val="22"/>
          <w:szCs w:val="22"/>
        </w:rPr>
        <w:t>8</w:t>
      </w:r>
      <w:r w:rsidRPr="006336FA">
        <w:rPr>
          <w:rFonts w:ascii="Palatino Linotype" w:eastAsia="MS Mincho" w:hAnsi="Palatino Linotype" w:cs="Arial"/>
          <w:sz w:val="22"/>
          <w:szCs w:val="22"/>
        </w:rPr>
        <w:t xml:space="preserve"> de </w:t>
      </w:r>
      <w:r>
        <w:rPr>
          <w:rFonts w:ascii="Palatino Linotype" w:eastAsia="MS Mincho" w:hAnsi="Palatino Linotype" w:cs="Arial"/>
          <w:sz w:val="22"/>
          <w:szCs w:val="22"/>
        </w:rPr>
        <w:t xml:space="preserve">septiembre </w:t>
      </w:r>
      <w:r w:rsidRPr="006336FA">
        <w:rPr>
          <w:rFonts w:ascii="Palatino Linotype" w:eastAsia="MS Mincho" w:hAnsi="Palatino Linotype" w:cs="Arial"/>
          <w:sz w:val="22"/>
          <w:szCs w:val="22"/>
        </w:rPr>
        <w:t>de 201</w:t>
      </w:r>
      <w:r>
        <w:rPr>
          <w:rFonts w:ascii="Palatino Linotype" w:eastAsia="MS Mincho" w:hAnsi="Palatino Linotype" w:cs="Arial"/>
          <w:sz w:val="22"/>
          <w:szCs w:val="22"/>
        </w:rPr>
        <w:t>6</w:t>
      </w:r>
      <w:r w:rsidRPr="006336FA">
        <w:rPr>
          <w:rFonts w:ascii="Palatino Linotype" w:eastAsia="MS Mincho" w:hAnsi="Palatino Linotype" w:cs="Arial"/>
          <w:sz w:val="22"/>
          <w:szCs w:val="22"/>
        </w:rPr>
        <w:t>.- Quito,</w:t>
      </w:r>
    </w:p>
    <w:p w:rsidR="003C15E1"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C15E1" w:rsidRPr="006336FA" w:rsidRDefault="003C15E1" w:rsidP="003C15E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C15E1"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C15E1" w:rsidRPr="006336FA" w:rsidRDefault="003C15E1" w:rsidP="003C15E1">
      <w:pPr>
        <w:pStyle w:val="Textosinformato"/>
        <w:jc w:val="center"/>
        <w:rPr>
          <w:rFonts w:ascii="Palatino Linotype" w:eastAsia="MS Mincho" w:hAnsi="Palatino Linotype" w:cs="Arial"/>
          <w:b/>
          <w:sz w:val="22"/>
          <w:szCs w:val="22"/>
        </w:rPr>
      </w:pPr>
    </w:p>
    <w:p w:rsidR="003C15E1" w:rsidRPr="006336FA" w:rsidRDefault="003C15E1" w:rsidP="003C15E1">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C15E1" w:rsidRPr="006336FA"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C15E1" w:rsidRPr="006336FA" w:rsidRDefault="003C15E1" w:rsidP="003C15E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C15E1" w:rsidRPr="006336FA"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C15E1" w:rsidRPr="006336FA" w:rsidRDefault="003C15E1" w:rsidP="003C15E1">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C15E1"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C15E1" w:rsidRPr="006336FA" w:rsidRDefault="003C15E1" w:rsidP="003C15E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EF442E" w:rsidRPr="003C15E1" w:rsidRDefault="003C15E1" w:rsidP="00E83D58">
      <w:pPr>
        <w:pStyle w:val="Textopredeterminado"/>
        <w:spacing w:after="120" w:line="276" w:lineRule="auto"/>
        <w:jc w:val="both"/>
        <w:rPr>
          <w:rFonts w:ascii="Palatino Linotype" w:hAnsi="Palatino Linotype"/>
          <w:sz w:val="14"/>
          <w:szCs w:val="14"/>
          <w:lang w:val="es-ES"/>
        </w:rPr>
      </w:pPr>
      <w:r w:rsidRPr="003C15E1">
        <w:rPr>
          <w:rFonts w:ascii="Palatino Linotype" w:hAnsi="Palatino Linotype"/>
          <w:sz w:val="14"/>
          <w:szCs w:val="14"/>
          <w:lang w:val="es-ES"/>
        </w:rPr>
        <w:t>DSCS</w:t>
      </w:r>
    </w:p>
    <w:p w:rsidR="00EF442E" w:rsidRPr="00E83D58" w:rsidRDefault="00EF442E" w:rsidP="00E83D58">
      <w:pPr>
        <w:pStyle w:val="Textopredeterminado"/>
        <w:spacing w:after="120" w:line="276" w:lineRule="auto"/>
        <w:jc w:val="both"/>
        <w:rPr>
          <w:rFonts w:ascii="Palatino Linotype" w:hAnsi="Palatino Linotype"/>
          <w:b/>
          <w:sz w:val="22"/>
          <w:szCs w:val="22"/>
        </w:rPr>
      </w:pPr>
    </w:p>
    <w:p w:rsidR="00EF442E" w:rsidRPr="00E83D58" w:rsidRDefault="00EF442E" w:rsidP="00E83D58">
      <w:pPr>
        <w:pStyle w:val="Textopredeterminado"/>
        <w:spacing w:after="120" w:line="276" w:lineRule="auto"/>
        <w:jc w:val="both"/>
        <w:rPr>
          <w:rFonts w:ascii="Palatino Linotype" w:hAnsi="Palatino Linotype"/>
          <w:sz w:val="22"/>
          <w:szCs w:val="22"/>
        </w:rPr>
      </w:pPr>
    </w:p>
    <w:p w:rsidR="00E83D58" w:rsidRPr="00E83D58" w:rsidRDefault="00E83D58">
      <w:pPr>
        <w:spacing w:after="120" w:line="276" w:lineRule="auto"/>
        <w:rPr>
          <w:rFonts w:ascii="Palatino Linotype" w:hAnsi="Palatino Linotype"/>
          <w:sz w:val="22"/>
          <w:szCs w:val="22"/>
          <w:lang w:val="es-EC"/>
        </w:rPr>
      </w:pPr>
    </w:p>
    <w:sectPr w:rsidR="00E83D58" w:rsidRPr="00E83D58" w:rsidSect="004D0305">
      <w:headerReference w:type="default" r:id="rId10"/>
      <w:footerReference w:type="defaul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37" w:rsidRDefault="004B2137" w:rsidP="00C6095F">
      <w:r>
        <w:separator/>
      </w:r>
    </w:p>
  </w:endnote>
  <w:endnote w:type="continuationSeparator" w:id="0">
    <w:p w:rsidR="004B2137" w:rsidRDefault="004B2137" w:rsidP="00C6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60383"/>
      <w:docPartObj>
        <w:docPartGallery w:val="Page Numbers (Bottom of Page)"/>
        <w:docPartUnique/>
      </w:docPartObj>
    </w:sdtPr>
    <w:sdtEndPr/>
    <w:sdtContent>
      <w:sdt>
        <w:sdtPr>
          <w:id w:val="860082579"/>
          <w:docPartObj>
            <w:docPartGallery w:val="Page Numbers (Top of Page)"/>
            <w:docPartUnique/>
          </w:docPartObj>
        </w:sdtPr>
        <w:sdtEndPr/>
        <w:sdtContent>
          <w:p w:rsidR="004D0305" w:rsidRDefault="004D0305">
            <w:pPr>
              <w:pStyle w:val="Piedepgina"/>
              <w:jc w:val="right"/>
            </w:pPr>
            <w:r w:rsidRPr="004D0305">
              <w:rPr>
                <w:rFonts w:ascii="Palatino Linotype" w:hAnsi="Palatino Linotype"/>
                <w:sz w:val="22"/>
                <w:szCs w:val="22"/>
              </w:rPr>
              <w:t xml:space="preserve">Página </w:t>
            </w:r>
            <w:r w:rsidRPr="004D0305">
              <w:rPr>
                <w:rFonts w:ascii="Palatino Linotype" w:hAnsi="Palatino Linotype"/>
                <w:b/>
                <w:bCs/>
                <w:sz w:val="22"/>
                <w:szCs w:val="22"/>
              </w:rPr>
              <w:fldChar w:fldCharType="begin"/>
            </w:r>
            <w:r w:rsidRPr="004D0305">
              <w:rPr>
                <w:rFonts w:ascii="Palatino Linotype" w:hAnsi="Palatino Linotype"/>
                <w:b/>
                <w:bCs/>
                <w:sz w:val="22"/>
                <w:szCs w:val="22"/>
              </w:rPr>
              <w:instrText>PAGE</w:instrText>
            </w:r>
            <w:r w:rsidRPr="004D0305">
              <w:rPr>
                <w:rFonts w:ascii="Palatino Linotype" w:hAnsi="Palatino Linotype"/>
                <w:b/>
                <w:bCs/>
                <w:sz w:val="22"/>
                <w:szCs w:val="22"/>
              </w:rPr>
              <w:fldChar w:fldCharType="separate"/>
            </w:r>
            <w:r w:rsidR="00036CF3">
              <w:rPr>
                <w:rFonts w:ascii="Palatino Linotype" w:hAnsi="Palatino Linotype"/>
                <w:b/>
                <w:bCs/>
                <w:noProof/>
                <w:sz w:val="22"/>
                <w:szCs w:val="22"/>
              </w:rPr>
              <w:t>4</w:t>
            </w:r>
            <w:r w:rsidRPr="004D0305">
              <w:rPr>
                <w:rFonts w:ascii="Palatino Linotype" w:hAnsi="Palatino Linotype"/>
                <w:b/>
                <w:bCs/>
                <w:sz w:val="22"/>
                <w:szCs w:val="22"/>
              </w:rPr>
              <w:fldChar w:fldCharType="end"/>
            </w:r>
            <w:r w:rsidRPr="004D0305">
              <w:rPr>
                <w:rFonts w:ascii="Palatino Linotype" w:hAnsi="Palatino Linotype"/>
                <w:sz w:val="22"/>
                <w:szCs w:val="22"/>
              </w:rPr>
              <w:t xml:space="preserve"> de </w:t>
            </w:r>
            <w:r w:rsidR="003C15E1">
              <w:rPr>
                <w:rFonts w:ascii="Palatino Linotype" w:hAnsi="Palatino Linotype"/>
                <w:b/>
                <w:bCs/>
                <w:sz w:val="22"/>
                <w:szCs w:val="22"/>
              </w:rPr>
              <w:t>7</w:t>
            </w:r>
          </w:p>
        </w:sdtContent>
      </w:sdt>
    </w:sdtContent>
  </w:sdt>
  <w:p w:rsidR="004D0305" w:rsidRDefault="004D03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37" w:rsidRDefault="004B2137" w:rsidP="00C6095F">
      <w:r>
        <w:separator/>
      </w:r>
    </w:p>
  </w:footnote>
  <w:footnote w:type="continuationSeparator" w:id="0">
    <w:p w:rsidR="004B2137" w:rsidRDefault="004B2137" w:rsidP="00C6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5F" w:rsidRDefault="00C6095F">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rsidP="00E83D58">
    <w:pPr>
      <w:spacing w:after="120" w:line="276" w:lineRule="auto"/>
      <w:jc w:val="center"/>
      <w:rPr>
        <w:rFonts w:ascii="Palatino Linotype" w:hAnsi="Palatino Linotype" w:cs="Arial"/>
        <w:b/>
        <w:bCs/>
        <w:sz w:val="22"/>
        <w:szCs w:val="22"/>
      </w:rPr>
    </w:pPr>
  </w:p>
  <w:p w:rsidR="00E83D58" w:rsidRPr="00E83D58" w:rsidRDefault="00E83D58" w:rsidP="00E83D58">
    <w:pPr>
      <w:spacing w:after="120" w:line="276" w:lineRule="auto"/>
      <w:jc w:val="center"/>
      <w:rPr>
        <w:rFonts w:ascii="Palatino Linotype" w:hAnsi="Palatino Linotype" w:cs="Arial"/>
        <w:b/>
        <w:bCs/>
        <w:sz w:val="22"/>
        <w:szCs w:val="22"/>
      </w:rPr>
    </w:pPr>
    <w:r>
      <w:rPr>
        <w:rFonts w:ascii="Palatino Linotype" w:hAnsi="Palatino Linotype" w:cs="Arial"/>
        <w:b/>
        <w:bCs/>
        <w:sz w:val="22"/>
        <w:szCs w:val="22"/>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rsidP="00E83D58">
    <w:pPr>
      <w:spacing w:after="120" w:line="276" w:lineRule="auto"/>
      <w:jc w:val="center"/>
      <w:rPr>
        <w:rFonts w:ascii="Palatino Linotype" w:hAnsi="Palatino Linotype" w:cs="Arial"/>
        <w:b/>
        <w:bCs/>
        <w:sz w:val="22"/>
        <w:szCs w:val="22"/>
      </w:rPr>
    </w:pPr>
  </w:p>
  <w:p w:rsidR="004D0305" w:rsidRPr="00E83D58" w:rsidRDefault="004D0305" w:rsidP="00E83D58">
    <w:pPr>
      <w:spacing w:after="120" w:line="276" w:lineRule="auto"/>
      <w:jc w:val="center"/>
      <w:rPr>
        <w:rFonts w:ascii="Palatino Linotype" w:hAnsi="Palatino Linotype" w:cs="Arial"/>
        <w:b/>
        <w:bCs/>
        <w:sz w:val="22"/>
        <w:szCs w:val="22"/>
      </w:rPr>
    </w:pPr>
    <w:r>
      <w:rPr>
        <w:rFonts w:ascii="Palatino Linotype" w:hAnsi="Palatino Linotype" w:cs="Arial"/>
        <w:b/>
        <w:bCs/>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97E"/>
    <w:multiLevelType w:val="hybridMultilevel"/>
    <w:tmpl w:val="5476BA3A"/>
    <w:lvl w:ilvl="0" w:tplc="3042DC06">
      <w:numFmt w:val="bullet"/>
      <w:lvlText w:val="-"/>
      <w:lvlJc w:val="left"/>
      <w:pPr>
        <w:tabs>
          <w:tab w:val="num" w:pos="720"/>
        </w:tabs>
        <w:ind w:left="720" w:hanging="360"/>
      </w:pPr>
      <w:rPr>
        <w:rFonts w:ascii="Garamond" w:eastAsia="Times New Roman" w:hAnsi="Garamond"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AB"/>
    <w:rsid w:val="00036CF3"/>
    <w:rsid w:val="000B083D"/>
    <w:rsid w:val="001031AE"/>
    <w:rsid w:val="003C15E1"/>
    <w:rsid w:val="0045115D"/>
    <w:rsid w:val="004B2137"/>
    <w:rsid w:val="004D0305"/>
    <w:rsid w:val="004F5443"/>
    <w:rsid w:val="005B416F"/>
    <w:rsid w:val="007A4BB6"/>
    <w:rsid w:val="008159EB"/>
    <w:rsid w:val="00C6095F"/>
    <w:rsid w:val="00E83D58"/>
    <w:rsid w:val="00EF442E"/>
    <w:rsid w:val="00F15719"/>
    <w:rsid w:val="00F81990"/>
    <w:rsid w:val="00FA6CAB"/>
    <w:rsid w:val="00FC4831"/>
    <w:rsid w:val="00FD0C9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A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442E"/>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paragraph" w:customStyle="1" w:styleId="Textopredeterminado">
    <w:name w:val="Texto predeterminado"/>
    <w:basedOn w:val="Normal"/>
    <w:rsid w:val="00EF442E"/>
    <w:pPr>
      <w:overflowPunct w:val="0"/>
      <w:autoSpaceDE w:val="0"/>
      <w:autoSpaceDN w:val="0"/>
      <w:adjustRightInd w:val="0"/>
      <w:textAlignment w:val="baseline"/>
    </w:pPr>
    <w:rPr>
      <w:color w:val="000000"/>
      <w:sz w:val="24"/>
      <w:lang w:val="es-EC"/>
    </w:rPr>
  </w:style>
  <w:style w:type="paragraph" w:styleId="Encabezado">
    <w:name w:val="header"/>
    <w:basedOn w:val="Normal"/>
    <w:link w:val="EncabezadoCar"/>
    <w:uiPriority w:val="99"/>
    <w:unhideWhenUsed/>
    <w:rsid w:val="00C6095F"/>
    <w:pPr>
      <w:tabs>
        <w:tab w:val="center" w:pos="4419"/>
        <w:tab w:val="right" w:pos="8838"/>
      </w:tabs>
    </w:pPr>
  </w:style>
  <w:style w:type="character" w:customStyle="1" w:styleId="EncabezadoCar">
    <w:name w:val="Encabezado Car"/>
    <w:basedOn w:val="Fuentedeprrafopredeter"/>
    <w:link w:val="Encabezado"/>
    <w:uiPriority w:val="99"/>
    <w:rsid w:val="00C6095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6095F"/>
    <w:pPr>
      <w:tabs>
        <w:tab w:val="center" w:pos="4419"/>
        <w:tab w:val="right" w:pos="8838"/>
      </w:tabs>
    </w:pPr>
  </w:style>
  <w:style w:type="character" w:customStyle="1" w:styleId="PiedepginaCar">
    <w:name w:val="Pie de página Car"/>
    <w:basedOn w:val="Fuentedeprrafopredeter"/>
    <w:link w:val="Piedepgina"/>
    <w:uiPriority w:val="99"/>
    <w:rsid w:val="00C6095F"/>
    <w:rPr>
      <w:rFonts w:ascii="Times New Roman" w:eastAsia="Times New Roman" w:hAnsi="Times New Roman" w:cs="Times New Roman"/>
      <w:sz w:val="20"/>
      <w:szCs w:val="20"/>
      <w:lang w:val="es-ES" w:eastAsia="es-ES"/>
    </w:rPr>
  </w:style>
  <w:style w:type="paragraph" w:customStyle="1" w:styleId="Cuadrculaclara-nfasis31">
    <w:name w:val="Cuadrícula clara - Énfasis 31"/>
    <w:basedOn w:val="Normal"/>
    <w:link w:val="Cuadrculaclara-nfasis3Car"/>
    <w:uiPriority w:val="34"/>
    <w:qFormat/>
    <w:rsid w:val="003C15E1"/>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3C15E1"/>
    <w:rPr>
      <w:rFonts w:ascii="Times New Roman" w:eastAsia="Arial Unicode MS" w:hAnsi="Times New Roman" w:cs="Times New Roman"/>
      <w:kern w:val="1"/>
      <w:sz w:val="24"/>
      <w:szCs w:val="24"/>
      <w:lang w:val="es-ES_tradnl" w:eastAsia="ar-SA"/>
    </w:rPr>
  </w:style>
  <w:style w:type="paragraph" w:styleId="Textosinformato">
    <w:name w:val="Plain Text"/>
    <w:basedOn w:val="Normal"/>
    <w:link w:val="TextosinformatoCar"/>
    <w:rsid w:val="003C15E1"/>
    <w:rPr>
      <w:rFonts w:ascii="Courier New" w:hAnsi="Courier New"/>
    </w:rPr>
  </w:style>
  <w:style w:type="character" w:customStyle="1" w:styleId="TextosinformatoCar">
    <w:name w:val="Texto sin formato Car"/>
    <w:basedOn w:val="Fuentedeprrafopredeter"/>
    <w:link w:val="Textosinformato"/>
    <w:rsid w:val="003C15E1"/>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F81990"/>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99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A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442E"/>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paragraph" w:customStyle="1" w:styleId="Textopredeterminado">
    <w:name w:val="Texto predeterminado"/>
    <w:basedOn w:val="Normal"/>
    <w:rsid w:val="00EF442E"/>
    <w:pPr>
      <w:overflowPunct w:val="0"/>
      <w:autoSpaceDE w:val="0"/>
      <w:autoSpaceDN w:val="0"/>
      <w:adjustRightInd w:val="0"/>
      <w:textAlignment w:val="baseline"/>
    </w:pPr>
    <w:rPr>
      <w:color w:val="000000"/>
      <w:sz w:val="24"/>
      <w:lang w:val="es-EC"/>
    </w:rPr>
  </w:style>
  <w:style w:type="paragraph" w:styleId="Encabezado">
    <w:name w:val="header"/>
    <w:basedOn w:val="Normal"/>
    <w:link w:val="EncabezadoCar"/>
    <w:uiPriority w:val="99"/>
    <w:unhideWhenUsed/>
    <w:rsid w:val="00C6095F"/>
    <w:pPr>
      <w:tabs>
        <w:tab w:val="center" w:pos="4419"/>
        <w:tab w:val="right" w:pos="8838"/>
      </w:tabs>
    </w:pPr>
  </w:style>
  <w:style w:type="character" w:customStyle="1" w:styleId="EncabezadoCar">
    <w:name w:val="Encabezado Car"/>
    <w:basedOn w:val="Fuentedeprrafopredeter"/>
    <w:link w:val="Encabezado"/>
    <w:uiPriority w:val="99"/>
    <w:rsid w:val="00C6095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6095F"/>
    <w:pPr>
      <w:tabs>
        <w:tab w:val="center" w:pos="4419"/>
        <w:tab w:val="right" w:pos="8838"/>
      </w:tabs>
    </w:pPr>
  </w:style>
  <w:style w:type="character" w:customStyle="1" w:styleId="PiedepginaCar">
    <w:name w:val="Pie de página Car"/>
    <w:basedOn w:val="Fuentedeprrafopredeter"/>
    <w:link w:val="Piedepgina"/>
    <w:uiPriority w:val="99"/>
    <w:rsid w:val="00C6095F"/>
    <w:rPr>
      <w:rFonts w:ascii="Times New Roman" w:eastAsia="Times New Roman" w:hAnsi="Times New Roman" w:cs="Times New Roman"/>
      <w:sz w:val="20"/>
      <w:szCs w:val="20"/>
      <w:lang w:val="es-ES" w:eastAsia="es-ES"/>
    </w:rPr>
  </w:style>
  <w:style w:type="paragraph" w:customStyle="1" w:styleId="Cuadrculaclara-nfasis31">
    <w:name w:val="Cuadrícula clara - Énfasis 31"/>
    <w:basedOn w:val="Normal"/>
    <w:link w:val="Cuadrculaclara-nfasis3Car"/>
    <w:uiPriority w:val="34"/>
    <w:qFormat/>
    <w:rsid w:val="003C15E1"/>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3C15E1"/>
    <w:rPr>
      <w:rFonts w:ascii="Times New Roman" w:eastAsia="Arial Unicode MS" w:hAnsi="Times New Roman" w:cs="Times New Roman"/>
      <w:kern w:val="1"/>
      <w:sz w:val="24"/>
      <w:szCs w:val="24"/>
      <w:lang w:val="es-ES_tradnl" w:eastAsia="ar-SA"/>
    </w:rPr>
  </w:style>
  <w:style w:type="paragraph" w:styleId="Textosinformato">
    <w:name w:val="Plain Text"/>
    <w:basedOn w:val="Normal"/>
    <w:link w:val="TextosinformatoCar"/>
    <w:rsid w:val="003C15E1"/>
    <w:rPr>
      <w:rFonts w:ascii="Courier New" w:hAnsi="Courier New"/>
    </w:rPr>
  </w:style>
  <w:style w:type="character" w:customStyle="1" w:styleId="TextosinformatoCar">
    <w:name w:val="Texto sin formato Car"/>
    <w:basedOn w:val="Fuentedeprrafopredeter"/>
    <w:link w:val="Textosinformato"/>
    <w:rsid w:val="003C15E1"/>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F81990"/>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99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0E0CF-E7C6-4F59-8C31-E8F20F72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2056</Words>
  <Characters>11309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Diego Sebastian Cevallos Salgado</cp:lastModifiedBy>
  <cp:revision>5</cp:revision>
  <cp:lastPrinted>2016-09-08T21:29:00Z</cp:lastPrinted>
  <dcterms:created xsi:type="dcterms:W3CDTF">2016-09-08T21:02:00Z</dcterms:created>
  <dcterms:modified xsi:type="dcterms:W3CDTF">2016-09-09T18:59:00Z</dcterms:modified>
</cp:coreProperties>
</file>