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C" w:rsidRPr="006336FA" w:rsidRDefault="003078EC" w:rsidP="00725931">
      <w:pPr>
        <w:pStyle w:val="Ttulo"/>
        <w:tabs>
          <w:tab w:val="left" w:pos="6379"/>
        </w:tabs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6336FA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6336FA" w:rsidRDefault="003078EC" w:rsidP="0072593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6336FA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6336FA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6336FA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6336FA" w:rsidRDefault="003078EC" w:rsidP="0072593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6336FA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580643" w:rsidRDefault="00580643" w:rsidP="0072593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Asentamiento Humano de Hecho y Consolidado denominado </w:t>
      </w:r>
      <w:r w:rsidR="00661E84">
        <w:rPr>
          <w:rFonts w:ascii="Palatino Linotype" w:hAnsi="Palatino Linotype" w:cs="Arial"/>
          <w:b w:val="0"/>
          <w:sz w:val="22"/>
          <w:szCs w:val="22"/>
        </w:rPr>
        <w:t>“</w:t>
      </w:r>
      <w:r w:rsidR="00397154">
        <w:rPr>
          <w:rFonts w:ascii="Palatino Linotype" w:hAnsi="Palatino Linotype" w:cs="Arial"/>
          <w:b w:val="0"/>
          <w:sz w:val="22"/>
          <w:szCs w:val="22"/>
        </w:rPr>
        <w:t>Balcones de la Victoria</w:t>
      </w:r>
      <w:r w:rsidR="00661E84">
        <w:rPr>
          <w:rFonts w:ascii="Palatino Linotype" w:hAnsi="Palatino Linotype" w:cs="Arial"/>
          <w:b w:val="0"/>
          <w:sz w:val="22"/>
          <w:szCs w:val="22"/>
        </w:rPr>
        <w:t>”</w:t>
      </w:r>
      <w:r w:rsidRPr="000E7241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Pr="00BA196D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397154">
        <w:rPr>
          <w:rFonts w:ascii="Palatino Linotype" w:hAnsi="Palatino Linotype" w:cs="Arial"/>
          <w:b w:val="0"/>
          <w:sz w:val="22"/>
          <w:szCs w:val="22"/>
        </w:rPr>
        <w:t>5</w:t>
      </w:r>
      <w:r w:rsidRPr="00BA196D">
        <w:rPr>
          <w:rFonts w:ascii="Palatino Linotype" w:hAnsi="Palatino Linotype" w:cs="Arial"/>
          <w:b w:val="0"/>
          <w:sz w:val="22"/>
          <w:szCs w:val="22"/>
        </w:rPr>
        <w:t xml:space="preserve"> años de asentamiento</w:t>
      </w:r>
      <w:r w:rsidR="001D27BC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397154">
        <w:rPr>
          <w:rFonts w:ascii="Palatino Linotype" w:hAnsi="Palatino Linotype" w:cs="Arial"/>
          <w:b w:val="0"/>
          <w:sz w:val="22"/>
          <w:szCs w:val="22"/>
        </w:rPr>
        <w:t>16</w:t>
      </w:r>
      <w:r w:rsidR="001D27BC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397154">
        <w:rPr>
          <w:rFonts w:ascii="Palatino Linotype" w:hAnsi="Palatino Linotype" w:cs="Arial"/>
          <w:b w:val="0"/>
          <w:sz w:val="22"/>
          <w:szCs w:val="22"/>
        </w:rPr>
        <w:t>copropietarios</w:t>
      </w:r>
      <w:r w:rsidR="001D27BC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397154">
        <w:rPr>
          <w:rFonts w:ascii="Palatino Linotype" w:hAnsi="Palatino Linotype" w:cs="Arial"/>
          <w:b w:val="0"/>
          <w:sz w:val="22"/>
          <w:szCs w:val="22"/>
        </w:rPr>
        <w:t>16</w:t>
      </w:r>
      <w:r w:rsidR="001D27BC">
        <w:rPr>
          <w:rFonts w:ascii="Palatino Linotype" w:hAnsi="Palatino Linotype" w:cs="Arial"/>
          <w:b w:val="0"/>
          <w:sz w:val="22"/>
          <w:szCs w:val="22"/>
        </w:rPr>
        <w:t xml:space="preserve"> lotes</w:t>
      </w:r>
      <w:r>
        <w:rPr>
          <w:rFonts w:ascii="Palatino Linotype" w:hAnsi="Palatino Linotype" w:cs="Arial"/>
          <w:b w:val="0"/>
          <w:sz w:val="22"/>
          <w:szCs w:val="22"/>
        </w:rPr>
        <w:t xml:space="preserve"> y </w:t>
      </w:r>
      <w:r w:rsidR="00397154">
        <w:rPr>
          <w:rFonts w:ascii="Palatino Linotype" w:hAnsi="Palatino Linotype" w:cs="Arial"/>
          <w:b w:val="0"/>
          <w:sz w:val="22"/>
          <w:szCs w:val="22"/>
        </w:rPr>
        <w:t>64</w:t>
      </w:r>
      <w:r w:rsidR="00D23741">
        <w:rPr>
          <w:rFonts w:ascii="Palatino Linotype" w:hAnsi="Palatino Linotype" w:cs="Arial"/>
          <w:b w:val="0"/>
          <w:sz w:val="22"/>
          <w:szCs w:val="22"/>
        </w:rPr>
        <w:t xml:space="preserve"> </w:t>
      </w:r>
      <w:r>
        <w:rPr>
          <w:rFonts w:ascii="Palatino Linotype" w:hAnsi="Palatino Linotype" w:cs="Arial"/>
          <w:b w:val="0"/>
          <w:sz w:val="22"/>
          <w:szCs w:val="22"/>
        </w:rPr>
        <w:t>habitantes</w:t>
      </w:r>
      <w:r w:rsidRPr="00BA196D">
        <w:rPr>
          <w:rFonts w:ascii="Palatino Linotype" w:hAnsi="Palatino Linotype" w:cs="Arial"/>
          <w:b w:val="0"/>
          <w:sz w:val="22"/>
          <w:szCs w:val="22"/>
        </w:rPr>
        <w:t>.</w:t>
      </w:r>
      <w:r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D23741" w:rsidRPr="006336FA">
        <w:rPr>
          <w:rFonts w:ascii="Palatino Linotype" w:hAnsi="Palatino Linotype" w:cs="Arial"/>
          <w:b w:val="0"/>
          <w:sz w:val="22"/>
          <w:szCs w:val="22"/>
        </w:rPr>
        <w:t>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Pr="00580643" w:rsidRDefault="00580643" w:rsidP="0072593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7C200E">
        <w:rPr>
          <w:rFonts w:ascii="Palatino Linotype" w:hAnsi="Palatino Linotype" w:cs="Arial"/>
          <w:b w:val="0"/>
          <w:sz w:val="22"/>
          <w:szCs w:val="22"/>
        </w:rPr>
        <w:t>“</w:t>
      </w:r>
      <w:r w:rsidR="00397154">
        <w:rPr>
          <w:rFonts w:ascii="Palatino Linotype" w:hAnsi="Palatino Linotype" w:cs="Arial"/>
          <w:b w:val="0"/>
          <w:sz w:val="22"/>
          <w:szCs w:val="22"/>
        </w:rPr>
        <w:t>Balcones de la Victoria</w:t>
      </w:r>
      <w:r w:rsidR="007C200E">
        <w:rPr>
          <w:rFonts w:ascii="Palatino Linotype" w:hAnsi="Palatino Linotype" w:cs="Arial"/>
          <w:b w:val="0"/>
          <w:sz w:val="22"/>
          <w:szCs w:val="22"/>
        </w:rPr>
        <w:t>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</w:t>
      </w:r>
      <w:r w:rsidR="00495310">
        <w:rPr>
          <w:rFonts w:ascii="Palatino Linotype" w:hAnsi="Palatino Linotype" w:cs="Arial"/>
          <w:b w:val="0"/>
          <w:sz w:val="22"/>
          <w:szCs w:val="22"/>
        </w:rPr>
        <w:t>.</w:t>
      </w:r>
      <w:bookmarkStart w:id="0" w:name="_GoBack"/>
      <w:bookmarkEnd w:id="0"/>
    </w:p>
    <w:p w:rsidR="003078EC" w:rsidRPr="006336FA" w:rsidRDefault="003078EC" w:rsidP="0072593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6336FA" w:rsidRDefault="003078EC" w:rsidP="0072593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RPr="006336FA" w:rsidSect="00D82CFE">
          <w:headerReference w:type="default" r:id="rId9"/>
          <w:footerReference w:type="default" r:id="rId10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6336FA" w:rsidRDefault="00C52450" w:rsidP="0072593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6336F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6336FA" w:rsidRDefault="00870361" w:rsidP="00725931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6336FA">
        <w:rPr>
          <w:rFonts w:ascii="Palatino Linotype" w:hAnsi="Palatino Linotype" w:cs="Arial"/>
          <w:sz w:val="22"/>
          <w:szCs w:val="22"/>
        </w:rPr>
        <w:t>Visto</w:t>
      </w:r>
      <w:r w:rsidR="007F0371">
        <w:rPr>
          <w:rFonts w:ascii="Palatino Linotype" w:hAnsi="Palatino Linotype" w:cs="Arial"/>
          <w:sz w:val="22"/>
          <w:szCs w:val="22"/>
        </w:rPr>
        <w:t>s</w:t>
      </w:r>
      <w:r w:rsidRPr="006336FA">
        <w:rPr>
          <w:rFonts w:ascii="Palatino Linotype" w:hAnsi="Palatino Linotype" w:cs="Arial"/>
          <w:sz w:val="22"/>
          <w:szCs w:val="22"/>
        </w:rPr>
        <w:t xml:space="preserve"> </w:t>
      </w:r>
      <w:r w:rsidR="007F0371">
        <w:rPr>
          <w:rFonts w:ascii="Palatino Linotype" w:hAnsi="Palatino Linotype" w:cs="Arial"/>
          <w:sz w:val="22"/>
          <w:szCs w:val="22"/>
        </w:rPr>
        <w:t>los</w:t>
      </w:r>
      <w:r w:rsidRPr="006336FA">
        <w:rPr>
          <w:rFonts w:ascii="Palatino Linotype" w:hAnsi="Palatino Linotype" w:cs="Arial"/>
          <w:sz w:val="22"/>
          <w:szCs w:val="22"/>
        </w:rPr>
        <w:t xml:space="preserve"> Informe</w:t>
      </w:r>
      <w:r w:rsidR="007F0371">
        <w:rPr>
          <w:rFonts w:ascii="Palatino Linotype" w:hAnsi="Palatino Linotype" w:cs="Arial"/>
          <w:sz w:val="22"/>
          <w:szCs w:val="22"/>
        </w:rPr>
        <w:t>s</w:t>
      </w:r>
      <w:r w:rsidRPr="006336FA">
        <w:rPr>
          <w:rFonts w:ascii="Palatino Linotype" w:hAnsi="Palatino Linotype" w:cs="Arial"/>
          <w:sz w:val="22"/>
          <w:szCs w:val="22"/>
        </w:rPr>
        <w:t xml:space="preserve"> No</w:t>
      </w:r>
      <w:r w:rsidR="007F0371">
        <w:rPr>
          <w:rFonts w:ascii="Palatino Linotype" w:hAnsi="Palatino Linotype" w:cs="Arial"/>
          <w:sz w:val="22"/>
          <w:szCs w:val="22"/>
        </w:rPr>
        <w:t>s</w:t>
      </w:r>
      <w:r w:rsidRPr="006336FA">
        <w:rPr>
          <w:rFonts w:ascii="Palatino Linotype" w:hAnsi="Palatino Linotype" w:cs="Arial"/>
          <w:sz w:val="22"/>
          <w:szCs w:val="22"/>
        </w:rPr>
        <w:t>. IC-O-201</w:t>
      </w:r>
      <w:r w:rsidR="00541431">
        <w:rPr>
          <w:rFonts w:ascii="Palatino Linotype" w:hAnsi="Palatino Linotype" w:cs="Arial"/>
          <w:sz w:val="22"/>
          <w:szCs w:val="22"/>
        </w:rPr>
        <w:t>6</w:t>
      </w:r>
      <w:r w:rsidRPr="006336FA">
        <w:rPr>
          <w:rFonts w:ascii="Palatino Linotype" w:hAnsi="Palatino Linotype" w:cs="Arial"/>
          <w:sz w:val="22"/>
          <w:szCs w:val="22"/>
        </w:rPr>
        <w:t>-</w:t>
      </w:r>
      <w:r w:rsidR="001D27BC">
        <w:rPr>
          <w:rFonts w:ascii="Palatino Linotype" w:hAnsi="Palatino Linotype" w:cs="Arial"/>
          <w:sz w:val="22"/>
          <w:szCs w:val="22"/>
        </w:rPr>
        <w:t>0</w:t>
      </w:r>
      <w:r w:rsidR="007F0371">
        <w:rPr>
          <w:rFonts w:ascii="Palatino Linotype" w:hAnsi="Palatino Linotype" w:cs="Arial"/>
          <w:sz w:val="22"/>
          <w:szCs w:val="22"/>
        </w:rPr>
        <w:t>4</w:t>
      </w:r>
      <w:r w:rsidR="00397154">
        <w:rPr>
          <w:rFonts w:ascii="Palatino Linotype" w:hAnsi="Palatino Linotype" w:cs="Arial"/>
          <w:sz w:val="22"/>
          <w:szCs w:val="22"/>
        </w:rPr>
        <w:t>6</w:t>
      </w:r>
      <w:r w:rsidR="007F0371">
        <w:rPr>
          <w:rFonts w:ascii="Palatino Linotype" w:hAnsi="Palatino Linotype" w:cs="Arial"/>
          <w:sz w:val="22"/>
          <w:szCs w:val="22"/>
        </w:rPr>
        <w:t xml:space="preserve"> e </w:t>
      </w:r>
      <w:r w:rsidR="007F0371" w:rsidRPr="006336FA">
        <w:rPr>
          <w:rFonts w:ascii="Palatino Linotype" w:hAnsi="Palatino Linotype" w:cs="Arial"/>
          <w:sz w:val="22"/>
          <w:szCs w:val="22"/>
        </w:rPr>
        <w:t>IC-O-201</w:t>
      </w:r>
      <w:r w:rsidR="007F0371">
        <w:rPr>
          <w:rFonts w:ascii="Palatino Linotype" w:hAnsi="Palatino Linotype" w:cs="Arial"/>
          <w:sz w:val="22"/>
          <w:szCs w:val="22"/>
        </w:rPr>
        <w:t>6</w:t>
      </w:r>
      <w:r w:rsidR="007F0371" w:rsidRPr="006336FA">
        <w:rPr>
          <w:rFonts w:ascii="Palatino Linotype" w:hAnsi="Palatino Linotype" w:cs="Arial"/>
          <w:sz w:val="22"/>
          <w:szCs w:val="22"/>
        </w:rPr>
        <w:t>-</w:t>
      </w:r>
      <w:r w:rsidR="007F0371">
        <w:rPr>
          <w:rFonts w:ascii="Palatino Linotype" w:hAnsi="Palatino Linotype" w:cs="Arial"/>
          <w:sz w:val="22"/>
          <w:szCs w:val="22"/>
        </w:rPr>
        <w:t>124</w:t>
      </w:r>
      <w:r w:rsidR="007F3A59" w:rsidRPr="006336FA">
        <w:rPr>
          <w:rFonts w:ascii="Palatino Linotype" w:hAnsi="Palatino Linotype" w:cs="Arial"/>
          <w:sz w:val="22"/>
          <w:szCs w:val="22"/>
        </w:rPr>
        <w:t xml:space="preserve">, de </w:t>
      </w:r>
      <w:r w:rsidR="001D27BC">
        <w:rPr>
          <w:rFonts w:ascii="Palatino Linotype" w:hAnsi="Palatino Linotype" w:cs="Arial"/>
          <w:sz w:val="22"/>
          <w:szCs w:val="22"/>
        </w:rPr>
        <w:t>23</w:t>
      </w:r>
      <w:r w:rsidR="00057D41" w:rsidRPr="006336FA">
        <w:rPr>
          <w:rFonts w:ascii="Palatino Linotype" w:hAnsi="Palatino Linotype" w:cs="Arial"/>
          <w:sz w:val="22"/>
          <w:szCs w:val="22"/>
        </w:rPr>
        <w:t xml:space="preserve"> </w:t>
      </w:r>
      <w:r w:rsidR="007F3A59" w:rsidRPr="006336FA">
        <w:rPr>
          <w:rFonts w:ascii="Palatino Linotype" w:hAnsi="Palatino Linotype" w:cs="Arial"/>
          <w:sz w:val="22"/>
          <w:szCs w:val="22"/>
        </w:rPr>
        <w:t xml:space="preserve">de </w:t>
      </w:r>
      <w:r w:rsidR="001D27BC">
        <w:rPr>
          <w:rFonts w:ascii="Palatino Linotype" w:hAnsi="Palatino Linotype" w:cs="Arial"/>
          <w:sz w:val="22"/>
          <w:szCs w:val="22"/>
        </w:rPr>
        <w:t xml:space="preserve">febrero </w:t>
      </w:r>
      <w:r w:rsidR="007F0371">
        <w:rPr>
          <w:rFonts w:ascii="Palatino Linotype" w:hAnsi="Palatino Linotype" w:cs="Arial"/>
          <w:sz w:val="22"/>
          <w:szCs w:val="22"/>
        </w:rPr>
        <w:t xml:space="preserve">y 11 de julio </w:t>
      </w:r>
      <w:r w:rsidR="00C94C65">
        <w:rPr>
          <w:rFonts w:ascii="Palatino Linotype" w:hAnsi="Palatino Linotype" w:cs="Arial"/>
          <w:sz w:val="22"/>
          <w:szCs w:val="22"/>
        </w:rPr>
        <w:t>de 2016</w:t>
      </w:r>
      <w:r w:rsidR="007F3A59" w:rsidRPr="006336FA">
        <w:rPr>
          <w:rFonts w:ascii="Palatino Linotype" w:hAnsi="Palatino Linotype" w:cs="Arial"/>
          <w:sz w:val="22"/>
          <w:szCs w:val="22"/>
        </w:rPr>
        <w:t xml:space="preserve">, </w:t>
      </w:r>
      <w:r w:rsidR="007F0371">
        <w:rPr>
          <w:rFonts w:ascii="Palatino Linotype" w:hAnsi="Palatino Linotype" w:cs="Arial"/>
          <w:sz w:val="22"/>
          <w:szCs w:val="22"/>
        </w:rPr>
        <w:t xml:space="preserve">respectivamente, </w:t>
      </w:r>
      <w:r w:rsidR="007F3A59" w:rsidRPr="006336FA">
        <w:rPr>
          <w:rFonts w:ascii="Palatino Linotype" w:hAnsi="Palatino Linotype" w:cs="Arial"/>
          <w:sz w:val="22"/>
          <w:szCs w:val="22"/>
        </w:rPr>
        <w:t>expedido</w:t>
      </w:r>
      <w:r w:rsidR="007F0371">
        <w:rPr>
          <w:rFonts w:ascii="Palatino Linotype" w:hAnsi="Palatino Linotype" w:cs="Arial"/>
          <w:sz w:val="22"/>
          <w:szCs w:val="22"/>
        </w:rPr>
        <w:t>s</w:t>
      </w:r>
      <w:r w:rsidR="007F3A59" w:rsidRPr="006336FA">
        <w:rPr>
          <w:rFonts w:ascii="Palatino Linotype" w:hAnsi="Palatino Linotype" w:cs="Arial"/>
          <w:sz w:val="22"/>
          <w:szCs w:val="22"/>
        </w:rPr>
        <w:t xml:space="preserve"> por la Comisión de </w:t>
      </w:r>
      <w:r w:rsidRPr="006336FA"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7E3D3E" w:rsidRDefault="001123C1" w:rsidP="007E3D3E">
      <w:pPr>
        <w:spacing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7E3D3E"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</w:rPr>
        <w:t xml:space="preserve">Que, </w:t>
      </w:r>
      <w:r w:rsidRPr="007E3D3E">
        <w:rPr>
          <w:rFonts w:ascii="Palatino Linotype" w:hAnsi="Palatino Linotype" w:cs="Arial"/>
          <w:b/>
        </w:rPr>
        <w:tab/>
      </w:r>
      <w:r w:rsidRPr="007E3D3E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7E3D3E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7E3D3E">
        <w:rPr>
          <w:rFonts w:ascii="Palatino Linotype" w:hAnsi="Palatino Linotype" w:cs="Arial"/>
        </w:rPr>
        <w:t>”;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>el artículo 31 de la Constitución expresa que: “</w:t>
      </w:r>
      <w:r w:rsidRPr="007E3D3E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7E3D3E">
        <w:rPr>
          <w:rFonts w:ascii="Palatino Linotype" w:hAnsi="Palatino Linotype" w:cs="Arial"/>
          <w:bCs/>
        </w:rPr>
        <w:t xml:space="preserve">”; 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</w:rPr>
        <w:t>el artículo 240 de la Constitución establece que: “</w:t>
      </w:r>
      <w:r w:rsidRPr="007E3D3E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7E3D3E">
        <w:rPr>
          <w:rFonts w:ascii="Palatino Linotype" w:hAnsi="Palatino Linotype" w:cs="Arial"/>
        </w:rPr>
        <w:t>”;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="00077615" w:rsidRPr="007E3D3E">
        <w:rPr>
          <w:rFonts w:ascii="Palatino Linotype" w:hAnsi="Palatino Linotype" w:cs="Arial"/>
        </w:rPr>
        <w:tab/>
        <w:t>el numeral 1 del artí</w:t>
      </w:r>
      <w:r w:rsidRPr="007E3D3E">
        <w:rPr>
          <w:rFonts w:ascii="Palatino Linotype" w:hAnsi="Palatino Linotype" w:cs="Arial"/>
        </w:rPr>
        <w:t>culo 264 de la Constitución manifiesta que: “</w:t>
      </w:r>
      <w:r w:rsidRPr="007E3D3E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7E3D3E">
        <w:rPr>
          <w:rFonts w:ascii="Palatino Linotype" w:hAnsi="Palatino Linotype" w:cs="Arial"/>
        </w:rPr>
        <w:t>”;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7E3D3E">
        <w:rPr>
          <w:rFonts w:ascii="Palatino Linotype" w:hAnsi="Palatino Linotype" w:cs="Arial"/>
          <w:b/>
          <w:bCs/>
        </w:rPr>
        <w:t xml:space="preserve"> </w:t>
      </w:r>
      <w:r w:rsidRPr="007E3D3E">
        <w:rPr>
          <w:rFonts w:ascii="Palatino Linotype" w:hAnsi="Palatino Linotype" w:cs="Arial"/>
          <w:bCs/>
        </w:rPr>
        <w:t>señala</w:t>
      </w:r>
      <w:r w:rsidRPr="007E3D3E">
        <w:rPr>
          <w:rFonts w:ascii="Palatino Linotype" w:hAnsi="Palatino Linotype" w:cs="Arial"/>
          <w:b/>
          <w:bCs/>
        </w:rPr>
        <w:t xml:space="preserve"> </w:t>
      </w:r>
      <w:r w:rsidRPr="007E3D3E">
        <w:rPr>
          <w:rFonts w:ascii="Palatino Linotype" w:hAnsi="Palatino Linotype" w:cs="Arial"/>
          <w:bCs/>
        </w:rPr>
        <w:t>como una función del gobierno autónomo descentralizado municipal</w:t>
      </w:r>
      <w:r w:rsidRPr="007E3D3E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7E3D3E">
        <w:rPr>
          <w:rFonts w:ascii="Palatino Linotype" w:hAnsi="Palatino Linotype" w:cs="Arial"/>
          <w:iCs/>
        </w:rPr>
        <w:t>“</w:t>
      </w:r>
      <w:r w:rsidRPr="007E3D3E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7E3D3E">
        <w:rPr>
          <w:rFonts w:ascii="Palatino Linotype" w:hAnsi="Palatino Linotype" w:cs="Arial"/>
          <w:i/>
        </w:rPr>
        <w:t xml:space="preserve"> </w:t>
      </w:r>
      <w:r w:rsidRPr="007E3D3E">
        <w:rPr>
          <w:rFonts w:ascii="Palatino Linotype" w:hAnsi="Palatino Linotype" w:cs="Arial"/>
          <w:i/>
          <w:iCs/>
        </w:rPr>
        <w:t xml:space="preserve">x) Regular y </w:t>
      </w:r>
      <w:r w:rsidRPr="007E3D3E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7E3D3E">
        <w:rPr>
          <w:rFonts w:ascii="Palatino Linotype" w:hAnsi="Palatino Linotype" w:cs="Arial"/>
          <w:i/>
        </w:rPr>
        <w:t xml:space="preserve"> y, (…) </w:t>
      </w:r>
      <w:r w:rsidRPr="007E3D3E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7E3D3E">
        <w:rPr>
          <w:rFonts w:ascii="Palatino Linotype" w:hAnsi="Palatino Linotype" w:cs="Arial"/>
          <w:i/>
          <w:iCs/>
        </w:rPr>
        <w:t>interbarrial</w:t>
      </w:r>
      <w:proofErr w:type="spellEnd"/>
      <w:r w:rsidRPr="007E3D3E">
        <w:rPr>
          <w:rFonts w:ascii="Palatino Linotype" w:hAnsi="Palatino Linotype" w:cs="Arial"/>
          <w:i/>
          <w:iCs/>
        </w:rPr>
        <w:t>.</w:t>
      </w:r>
      <w:r w:rsidRPr="007E3D3E">
        <w:rPr>
          <w:rFonts w:ascii="Palatino Linotype" w:hAnsi="Palatino Linotype" w:cs="Arial"/>
          <w:iCs/>
        </w:rPr>
        <w:t xml:space="preserve">”; </w:t>
      </w:r>
    </w:p>
    <w:p w:rsidR="003843CA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t xml:space="preserve">Que,  </w:t>
      </w:r>
      <w:r w:rsidRPr="007E3D3E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580643" w:rsidRPr="007E3D3E" w:rsidRDefault="00580643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>el artículo 486 del COOTAD establece que: “</w:t>
      </w:r>
      <w:r w:rsidRPr="007E3D3E">
        <w:rPr>
          <w:rFonts w:ascii="Palatino Linotype" w:hAnsi="Palatino Linotype" w:cs="Arial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7E3D3E">
        <w:rPr>
          <w:rFonts w:ascii="Palatino Linotype" w:hAnsi="Palatino Linotype" w:cs="Arial"/>
          <w:bCs/>
          <w:lang w:val="es-ES_tradnl"/>
        </w:rPr>
        <w:t>”</w:t>
      </w:r>
      <w:r w:rsidRPr="007E3D3E">
        <w:rPr>
          <w:rFonts w:ascii="Palatino Linotype" w:hAnsi="Palatino Linotype" w:cs="Arial"/>
          <w:b/>
          <w:bCs/>
        </w:rPr>
        <w:t>;</w:t>
      </w:r>
    </w:p>
    <w:p w:rsidR="007E3D3E" w:rsidRPr="007E3D3E" w:rsidRDefault="007E3D3E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>la Disposición Transitoria Décima Cuarta del COOTAD, señala: “</w:t>
      </w:r>
      <w:r w:rsidRPr="007E3D3E">
        <w:rPr>
          <w:rFonts w:ascii="Palatino Linotype" w:hAnsi="Palatino Linotype" w:cs="Arial"/>
          <w:bCs/>
          <w:i/>
        </w:rPr>
        <w:t xml:space="preserve">(…) </w:t>
      </w:r>
      <w:r w:rsidRPr="007E3D3E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7E3D3E">
        <w:rPr>
          <w:rFonts w:ascii="Palatino Linotype" w:hAnsi="Palatino Linotype" w:cs="Arial"/>
        </w:rPr>
        <w:t>.”;</w:t>
      </w:r>
    </w:p>
    <w:p w:rsidR="007E3D3E" w:rsidRP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7E3D3E" w:rsidRDefault="003843CA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7E3D3E">
        <w:rPr>
          <w:rFonts w:ascii="Palatino Linotype" w:hAnsi="Palatino Linotype" w:cs="Arial"/>
          <w:b/>
          <w:bCs/>
        </w:rPr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  <w:bCs/>
        </w:rPr>
        <w:t>el</w:t>
      </w:r>
      <w:r w:rsidRPr="007E3D3E">
        <w:rPr>
          <w:rFonts w:ascii="Palatino Linotype" w:hAnsi="Palatino Linotype" w:cs="Arial"/>
          <w:b/>
          <w:bCs/>
        </w:rPr>
        <w:t xml:space="preserve"> </w:t>
      </w:r>
      <w:r w:rsidRPr="007E3D3E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D003F3" w:rsidRPr="00D003F3" w:rsidRDefault="00D003F3" w:rsidP="00D003F3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  <w:bCs/>
        </w:rPr>
        <w:t xml:space="preserve">Que, 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 xml:space="preserve">la </w:t>
      </w:r>
      <w:r w:rsidR="00A40905">
        <w:rPr>
          <w:rFonts w:ascii="Palatino Linotype" w:hAnsi="Palatino Linotype" w:cs="Arial"/>
          <w:bCs/>
        </w:rPr>
        <w:t>D</w:t>
      </w:r>
      <w:r>
        <w:rPr>
          <w:rFonts w:ascii="Palatino Linotype" w:hAnsi="Palatino Linotype" w:cs="Arial"/>
          <w:bCs/>
        </w:rPr>
        <w:t xml:space="preserve">isposición </w:t>
      </w:r>
      <w:r w:rsidR="00A40905">
        <w:rPr>
          <w:rFonts w:ascii="Palatino Linotype" w:hAnsi="Palatino Linotype" w:cs="Arial"/>
          <w:bCs/>
        </w:rPr>
        <w:t>T</w:t>
      </w:r>
      <w:r>
        <w:rPr>
          <w:rFonts w:ascii="Palatino Linotype" w:hAnsi="Palatino Linotype" w:cs="Arial"/>
          <w:bCs/>
        </w:rPr>
        <w:t xml:space="preserve">ransitoria </w:t>
      </w:r>
      <w:r w:rsidR="00A40905">
        <w:rPr>
          <w:rFonts w:ascii="Palatino Linotype" w:hAnsi="Palatino Linotype" w:cs="Arial"/>
          <w:bCs/>
        </w:rPr>
        <w:t>S</w:t>
      </w:r>
      <w:r>
        <w:rPr>
          <w:rFonts w:ascii="Palatino Linotype" w:hAnsi="Palatino Linotype" w:cs="Arial"/>
          <w:bCs/>
        </w:rPr>
        <w:t>exta de la Ley Orgánica de Ordenamiento Territorial, Uso y Gestión de Suelo, establece que: “</w:t>
      </w:r>
      <w:r w:rsidRPr="00D003F3">
        <w:rPr>
          <w:rFonts w:ascii="Palatino Linotype" w:hAnsi="Palatino Linotype" w:cs="Arial"/>
          <w:bCs/>
          <w:i/>
        </w:rPr>
        <w:t xml:space="preserve">(…) </w:t>
      </w:r>
      <w:r w:rsidRPr="00D003F3">
        <w:rPr>
          <w:rFonts w:ascii="Palatino Linotype" w:eastAsia="Times New Roman" w:hAnsi="Palatino Linotype"/>
          <w:i/>
          <w:lang w:val="es-ES"/>
        </w:rPr>
        <w:t>Las licencias, permisos y autorizaciones concedidas de conformidad con la legislación existente anterior a la fecha de entrada en vigencia de la presente Ley, subsistirán por el tiempo en que fueren concedidos. (…) Las licencias, permisos y autorizaciones que se encuentren en trámite de aprobación deberán cumplir la normativa municipal existente anterior a la fecha de entrada en vigencia de la presente Ley.</w:t>
      </w:r>
      <w:r>
        <w:rPr>
          <w:rFonts w:ascii="Palatino Linotype" w:eastAsia="Times New Roman" w:hAnsi="Palatino Linotype"/>
          <w:lang w:val="es-ES"/>
        </w:rPr>
        <w:t>”;</w:t>
      </w:r>
    </w:p>
    <w:p w:rsidR="00D003F3" w:rsidRPr="00D003F3" w:rsidRDefault="00D003F3" w:rsidP="007E3D3E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  <w:i/>
          <w:lang w:val="es-ES"/>
        </w:rPr>
      </w:pPr>
    </w:p>
    <w:p w:rsidR="00CB56E6" w:rsidRDefault="003843CA" w:rsidP="00CB56E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7E3D3E">
        <w:rPr>
          <w:rFonts w:ascii="Palatino Linotype" w:hAnsi="Palatino Linotype" w:cs="Arial"/>
          <w:b/>
          <w:bCs/>
        </w:rPr>
        <w:lastRenderedPageBreak/>
        <w:t>Que,</w:t>
      </w:r>
      <w:r w:rsidRPr="007E3D3E">
        <w:rPr>
          <w:rFonts w:ascii="Palatino Linotype" w:hAnsi="Palatino Linotype" w:cs="Arial"/>
          <w:b/>
          <w:bCs/>
        </w:rPr>
        <w:tab/>
      </w:r>
      <w:r w:rsidRPr="007E3D3E">
        <w:rPr>
          <w:rFonts w:ascii="Palatino Linotype" w:hAnsi="Palatino Linotype" w:cs="Arial"/>
        </w:rPr>
        <w:t xml:space="preserve"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</w:t>
      </w:r>
    </w:p>
    <w:p w:rsidR="00CB56E6" w:rsidRPr="00CB56E6" w:rsidRDefault="00CB56E6" w:rsidP="00CB56E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2668E9">
        <w:rPr>
          <w:rFonts w:ascii="Palatino Linotype" w:hAnsi="Palatino Linotype"/>
          <w:b/>
          <w:bCs/>
        </w:rPr>
        <w:t>Que,</w:t>
      </w:r>
      <w:r w:rsidRPr="002668E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Pr="002668E9">
        <w:rPr>
          <w:rFonts w:ascii="Palatino Linotype" w:hAnsi="Palatino Linotype"/>
        </w:rPr>
        <w:t>la Mesa Institu</w:t>
      </w:r>
      <w:r>
        <w:rPr>
          <w:rFonts w:ascii="Palatino Linotype" w:hAnsi="Palatino Linotype"/>
        </w:rPr>
        <w:t>cional de Trabajo, reunida el 18 de noviemb</w:t>
      </w:r>
      <w:r w:rsidRPr="002668E9">
        <w:rPr>
          <w:rFonts w:ascii="Palatino Linotype" w:hAnsi="Palatino Linotype"/>
        </w:rPr>
        <w:t>re de 2015, en la Administración Zonal Quitumbe, integrada por los representantes de los siguientes órganos y dependencias: Dr. Julio Cesar Añasco, Administrador Zonal Quitumbe; Arq. Miguel Hidalgo, Coordinador UERB-Q</w:t>
      </w:r>
      <w:r>
        <w:rPr>
          <w:rFonts w:ascii="Palatino Linotype" w:hAnsi="Palatino Linotype"/>
        </w:rPr>
        <w:t xml:space="preserve"> (E</w:t>
      </w:r>
      <w:r w:rsidRPr="002668E9">
        <w:rPr>
          <w:rFonts w:ascii="Palatino Linotype" w:hAnsi="Palatino Linotype"/>
        </w:rPr>
        <w:t xml:space="preserve">); </w:t>
      </w:r>
      <w:r w:rsidRPr="002668E9">
        <w:rPr>
          <w:rFonts w:ascii="Palatino Linotype" w:hAnsi="Palatino Linotype" w:cs="Arial"/>
        </w:rPr>
        <w:t xml:space="preserve">Arq. Edgar Flores </w:t>
      </w:r>
      <w:r>
        <w:rPr>
          <w:rFonts w:ascii="Palatino Linotype" w:hAnsi="Palatino Linotype"/>
        </w:rPr>
        <w:t xml:space="preserve"> D</w:t>
      </w:r>
      <w:r w:rsidRPr="002668E9">
        <w:rPr>
          <w:rFonts w:ascii="Palatino Linotype" w:hAnsi="Palatino Linotype"/>
        </w:rPr>
        <w:t>elegado de la Secretaría de Territorio, Hábitat y Vivienda;</w:t>
      </w:r>
      <w:r>
        <w:rPr>
          <w:rFonts w:ascii="Palatino Linotype" w:hAnsi="Palatino Linotype" w:cs="Arial"/>
        </w:rPr>
        <w:t xml:space="preserve"> Sr. Miguel </w:t>
      </w:r>
      <w:proofErr w:type="spellStart"/>
      <w:r>
        <w:rPr>
          <w:rFonts w:ascii="Palatino Linotype" w:hAnsi="Palatino Linotype" w:cs="Arial"/>
        </w:rPr>
        <w:t>Bosquez</w:t>
      </w:r>
      <w:proofErr w:type="spellEnd"/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>D</w:t>
      </w:r>
      <w:r w:rsidRPr="002668E9">
        <w:rPr>
          <w:rFonts w:ascii="Palatino Linotype" w:hAnsi="Palatino Linotype"/>
        </w:rPr>
        <w:t>elegado de la  Dirección Metropolitana de C</w:t>
      </w:r>
      <w:r>
        <w:rPr>
          <w:rFonts w:ascii="Palatino Linotype" w:hAnsi="Palatino Linotype"/>
        </w:rPr>
        <w:t xml:space="preserve">atastro; Ing. Marco </w:t>
      </w:r>
      <w:proofErr w:type="spellStart"/>
      <w:r>
        <w:rPr>
          <w:rFonts w:ascii="Palatino Linotype" w:hAnsi="Palatino Linotype"/>
        </w:rPr>
        <w:t>Manobanda</w:t>
      </w:r>
      <w:proofErr w:type="spellEnd"/>
      <w:r>
        <w:rPr>
          <w:rFonts w:ascii="Palatino Linotype" w:hAnsi="Palatino Linotype"/>
        </w:rPr>
        <w:t>, D</w:t>
      </w:r>
      <w:r w:rsidRPr="002668E9">
        <w:rPr>
          <w:rFonts w:ascii="Palatino Linotype" w:hAnsi="Palatino Linotype"/>
        </w:rPr>
        <w:t>elegado de la Secretaría de Gestión de Riesgos; Arq. Alfonso Cevallos, Dirección de Gestión del Territorio Zonal Quitumbe, Dr. Patricio Endara, Dirección de Asesoría Jurídica Zonal Quitumbe;</w:t>
      </w:r>
      <w:r>
        <w:rPr>
          <w:rFonts w:ascii="Palatino Linotype" w:hAnsi="Palatino Linotype"/>
        </w:rPr>
        <w:t xml:space="preserve"> Dr. Mario Guerra Responsable Legal,</w:t>
      </w:r>
      <w:r w:rsidRPr="002668E9">
        <w:rPr>
          <w:rFonts w:ascii="Palatino Linotype" w:hAnsi="Palatino Linotype"/>
        </w:rPr>
        <w:t xml:space="preserve"> Lcda. </w:t>
      </w:r>
      <w:proofErr w:type="spellStart"/>
      <w:r w:rsidRPr="002668E9">
        <w:rPr>
          <w:rFonts w:ascii="Palatino Linotype" w:hAnsi="Palatino Linotype"/>
        </w:rPr>
        <w:t>Gianyna</w:t>
      </w:r>
      <w:proofErr w:type="spellEnd"/>
      <w:r w:rsidRPr="002668E9">
        <w:rPr>
          <w:rFonts w:ascii="Palatino Linotype" w:hAnsi="Palatino Linotype"/>
        </w:rPr>
        <w:t xml:space="preserve"> Rosero, Responsable Socio- Organizativo, de la Unidad Especial Regula Tu Barrio, </w:t>
      </w:r>
      <w:r w:rsidRPr="002668E9">
        <w:rPr>
          <w:rFonts w:ascii="Palatino Linotype" w:hAnsi="Palatino Linotype"/>
          <w:iCs/>
        </w:rPr>
        <w:t xml:space="preserve">emitió el </w:t>
      </w:r>
      <w:r>
        <w:rPr>
          <w:rFonts w:ascii="Palatino Linotype" w:hAnsi="Palatino Linotype"/>
        </w:rPr>
        <w:t>informe No. 016</w:t>
      </w:r>
      <w:r w:rsidRPr="002668E9">
        <w:rPr>
          <w:rFonts w:ascii="Palatino Linotype" w:hAnsi="Palatino Linotype"/>
        </w:rPr>
        <w:t xml:space="preserve">-UERB-Q-SOLT-2015, para la aprobación del Asentamiento Humano de Hecho y Consolidado denominado </w:t>
      </w:r>
      <w:r w:rsidRPr="002668E9">
        <w:rPr>
          <w:rFonts w:ascii="Palatino Linotype" w:hAnsi="Palatino Linotype" w:cstheme="minorHAnsi"/>
        </w:rPr>
        <w:t>“</w:t>
      </w:r>
      <w:r>
        <w:rPr>
          <w:rFonts w:ascii="Palatino Linotype" w:hAnsi="Palatino Linotype" w:cstheme="minorHAnsi"/>
        </w:rPr>
        <w:t>Balcones de la Victoria</w:t>
      </w:r>
      <w:r w:rsidRPr="002668E9">
        <w:rPr>
          <w:rFonts w:ascii="Palatino Linotype" w:hAnsi="Palatino Linotype" w:cstheme="minorHAnsi"/>
        </w:rPr>
        <w:t>”</w:t>
      </w:r>
      <w:r>
        <w:rPr>
          <w:rFonts w:ascii="Palatino Linotype" w:hAnsi="Palatino Linotype" w:cstheme="minorHAnsi"/>
        </w:rPr>
        <w:t>, a favor de sus copropietarios</w:t>
      </w:r>
      <w:r w:rsidRPr="002668E9">
        <w:rPr>
          <w:rFonts w:ascii="Palatino Linotype" w:hAnsi="Palatino Linotype" w:cstheme="minorHAnsi"/>
        </w:rPr>
        <w:t>.</w:t>
      </w:r>
    </w:p>
    <w:p w:rsidR="008079C6" w:rsidRPr="007E3D3E" w:rsidRDefault="008079C6" w:rsidP="007E3D3E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7E3D3E">
        <w:rPr>
          <w:rFonts w:ascii="Palatino Linotype" w:hAnsi="Palatino Linotype" w:cs="Arial"/>
          <w:b/>
          <w:bCs/>
        </w:rPr>
        <w:t xml:space="preserve">En </w:t>
      </w:r>
      <w:r w:rsidRPr="007E3D3E">
        <w:rPr>
          <w:rFonts w:ascii="Palatino Linotype" w:hAnsi="Palatino Linotype" w:cs="Arial"/>
          <w:b/>
        </w:rPr>
        <w:t>ejercicio  de  sus  atribuciones  legales  constantes en los artículos 30, 31, 240 y 264 numeral 1 de la Constitución  de la República del Ecuador; 84, literal c), 87, literales a), v) y x), y 322 del Código Orgánico de Organización Territorial Autonomía y Descentralización; 2, numeral 1, 8, numeral 1 de la Ley Orgánica de Régimen para el  Distrito Metropolitano de Quito; y, 2 de la  Resolución No. A0010, de 19 de marzo de 2010,</w:t>
      </w:r>
    </w:p>
    <w:p w:rsidR="007E3D3E" w:rsidRPr="00CB56E6" w:rsidRDefault="00C52450" w:rsidP="00CB56E6">
      <w:pPr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CB56E6">
        <w:rPr>
          <w:rFonts w:ascii="Palatino Linotype" w:hAnsi="Palatino Linotype"/>
          <w:b/>
          <w:sz w:val="22"/>
          <w:szCs w:val="22"/>
        </w:rPr>
        <w:t>EXPIDE</w:t>
      </w:r>
      <w:r w:rsidR="00B452F1" w:rsidRPr="00CB56E6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CB56E6">
        <w:rPr>
          <w:rFonts w:ascii="Palatino Linotype" w:hAnsi="Palatino Linotype"/>
          <w:b/>
          <w:sz w:val="22"/>
          <w:szCs w:val="22"/>
        </w:rPr>
        <w:t>:</w:t>
      </w:r>
    </w:p>
    <w:p w:rsidR="00CB56E6" w:rsidRPr="00CB56E6" w:rsidRDefault="00CB56E6" w:rsidP="00CB56E6">
      <w:pPr>
        <w:spacing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CB56E6">
        <w:rPr>
          <w:rFonts w:ascii="Palatino Linotype" w:hAnsi="Palatino Linotype" w:cs="Arial"/>
          <w:b/>
          <w:sz w:val="22"/>
          <w:szCs w:val="22"/>
        </w:rPr>
        <w:t>ORDENANZA QUE RECONOCE Y APRUEBA EL ASENTAMIENTO HUMANO DE HECHO Y CONSOLIDADO DENOMINADO</w:t>
      </w:r>
      <w:r w:rsidRPr="00CB56E6">
        <w:rPr>
          <w:rFonts w:ascii="Palatino Linotype" w:hAnsi="Palatino Linotype"/>
          <w:sz w:val="22"/>
          <w:szCs w:val="22"/>
        </w:rPr>
        <w:t xml:space="preserve"> </w:t>
      </w:r>
      <w:r w:rsidRPr="00CB56E6">
        <w:rPr>
          <w:rFonts w:ascii="Palatino Linotype" w:hAnsi="Palatino Linotype" w:cs="Arial"/>
          <w:b/>
          <w:sz w:val="22"/>
          <w:szCs w:val="22"/>
        </w:rPr>
        <w:t>“</w:t>
      </w:r>
      <w:r w:rsidRPr="00CB56E6">
        <w:rPr>
          <w:rFonts w:ascii="Palatino Linotype" w:hAnsi="Palatino Linotype" w:cstheme="minorHAnsi"/>
          <w:b/>
          <w:sz w:val="22"/>
          <w:szCs w:val="22"/>
        </w:rPr>
        <w:t>BALCONES DE LA VICTORIA</w:t>
      </w:r>
      <w:r w:rsidR="007F0371">
        <w:rPr>
          <w:rFonts w:ascii="Palatino Linotype" w:hAnsi="Palatino Linotype" w:cs="Arial"/>
          <w:b/>
          <w:sz w:val="22"/>
          <w:szCs w:val="22"/>
        </w:rPr>
        <w:t>”, A FAVOR DE SU</w:t>
      </w:r>
      <w:r w:rsidRPr="00CB56E6">
        <w:rPr>
          <w:rFonts w:ascii="Palatino Linotype" w:hAnsi="Palatino Linotype" w:cs="Arial"/>
          <w:b/>
          <w:sz w:val="22"/>
          <w:szCs w:val="22"/>
        </w:rPr>
        <w:t>S COPROPIETARIOS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CB56E6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dirigentes del predio donde se encuentra el Asentamiento Humano de Hecho y Consolidado denominado 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a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f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avor de sus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c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>opropietarios,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 sin perjuicio de la responsabilidad de quienes revisaron los planos y los documentos legales, excepto en caso de que hayan sido inducidos a engaño.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lastRenderedPageBreak/>
        <w:t>En caso de comprobarse ocultación o falsedad en planos, datos, documentos; o de existir reclamos de terceros afectados, será de exclusiva responsabilidad del técnico y de los dirigentes de 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y sus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c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>opropietarios</w:t>
      </w:r>
      <w:r w:rsidRPr="00CB56E6">
        <w:rPr>
          <w:rFonts w:ascii="Palatino Linotype" w:hAnsi="Palatino Linotype"/>
          <w:sz w:val="22"/>
          <w:szCs w:val="22"/>
          <w:lang w:val="es-EC"/>
        </w:rPr>
        <w:t>.</w:t>
      </w:r>
      <w:r w:rsidRPr="00CB56E6">
        <w:rPr>
          <w:rFonts w:ascii="Palatino Linotype" w:hAnsi="Palatino Linotype"/>
          <w:sz w:val="22"/>
          <w:szCs w:val="22"/>
        </w:rPr>
        <w:t xml:space="preserve"> 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Zonificación: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D3</w:t>
      </w:r>
      <w:r w:rsidR="00A40905">
        <w:rPr>
          <w:rFonts w:ascii="Palatino Linotype" w:hAnsi="Palatino Linotype" w:cstheme="minorHAnsi"/>
          <w:sz w:val="22"/>
          <w:szCs w:val="22"/>
        </w:rPr>
        <w:t xml:space="preserve"> </w:t>
      </w:r>
      <w:r w:rsidRPr="00CB56E6">
        <w:rPr>
          <w:rFonts w:ascii="Palatino Linotype" w:hAnsi="Palatino Linotype" w:cstheme="minorHAnsi"/>
          <w:sz w:val="22"/>
          <w:szCs w:val="22"/>
        </w:rPr>
        <w:t>(D203-80)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Lote mínimo: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200 m</w:t>
      </w:r>
      <w:r w:rsidRPr="00CB56E6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Forma de </w:t>
      </w:r>
      <w:r>
        <w:rPr>
          <w:rFonts w:ascii="Palatino Linotype" w:hAnsi="Palatino Linotype" w:cstheme="minorHAnsi"/>
          <w:b/>
          <w:sz w:val="22"/>
          <w:szCs w:val="22"/>
        </w:rPr>
        <w:t>o</w:t>
      </w:r>
      <w:r w:rsidRPr="00CB56E6">
        <w:rPr>
          <w:rFonts w:ascii="Palatino Linotype" w:hAnsi="Palatino Linotype" w:cstheme="minorHAnsi"/>
          <w:b/>
          <w:sz w:val="22"/>
          <w:szCs w:val="22"/>
        </w:rPr>
        <w:t>cupación del suelo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(D) Sobre línea de fábrica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Uso principal del suelo: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(R2) Residencia mediana densidad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Número de lotes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16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ú</w:t>
      </w: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til de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CB56E6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3.284,47</w:t>
      </w:r>
      <w:r w:rsidRPr="00CB56E6">
        <w:rPr>
          <w:rFonts w:ascii="Palatino Linotype" w:hAnsi="Palatino Linotype" w:cstheme="minorHAnsi"/>
          <w:bCs/>
          <w:sz w:val="22"/>
          <w:szCs w:val="22"/>
        </w:rPr>
        <w:t xml:space="preserve"> m</w:t>
      </w:r>
      <w:r w:rsidRPr="00CB56E6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71,09%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Área de vías y</w:t>
      </w:r>
      <w:r>
        <w:rPr>
          <w:rFonts w:ascii="Palatino Linotype" w:hAnsi="Palatino Linotype" w:cstheme="minorHAnsi"/>
          <w:b/>
          <w:sz w:val="22"/>
          <w:szCs w:val="22"/>
        </w:rPr>
        <w:t xml:space="preserve"> p</w:t>
      </w:r>
      <w:r w:rsidRPr="00CB56E6">
        <w:rPr>
          <w:rFonts w:ascii="Palatino Linotype" w:hAnsi="Palatino Linotype" w:cstheme="minorHAnsi"/>
          <w:b/>
          <w:sz w:val="22"/>
          <w:szCs w:val="22"/>
        </w:rPr>
        <w:t>asajes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802,59</w:t>
      </w:r>
      <w:r w:rsidRPr="00CB56E6">
        <w:rPr>
          <w:rFonts w:ascii="Palatino Linotype" w:hAnsi="Palatino Linotype" w:cstheme="minorHAnsi"/>
          <w:bCs/>
          <w:sz w:val="22"/>
          <w:szCs w:val="22"/>
        </w:rPr>
        <w:t xml:space="preserve"> m</w:t>
      </w:r>
      <w:r w:rsidRPr="00CB56E6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17,37%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v</w:t>
      </w: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erde y </w:t>
      </w:r>
      <w:r>
        <w:rPr>
          <w:rFonts w:ascii="Palatino Linotype" w:hAnsi="Palatino Linotype" w:cstheme="minorHAnsi"/>
          <w:b/>
          <w:sz w:val="22"/>
          <w:szCs w:val="22"/>
        </w:rPr>
        <w:t>c</w:t>
      </w:r>
      <w:r w:rsidRPr="00CB56E6">
        <w:rPr>
          <w:rFonts w:ascii="Palatino Linotype" w:hAnsi="Palatino Linotype" w:cstheme="minorHAnsi"/>
          <w:b/>
          <w:sz w:val="22"/>
          <w:szCs w:val="22"/>
        </w:rPr>
        <w:t>omunal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532,94</w:t>
      </w:r>
      <w:r>
        <w:rPr>
          <w:rFonts w:ascii="Palatino Linotype" w:hAnsi="Palatino Linotype" w:cstheme="minorHAnsi"/>
          <w:sz w:val="22"/>
          <w:szCs w:val="22"/>
        </w:rPr>
        <w:t xml:space="preserve"> </w:t>
      </w:r>
      <w:r w:rsidRPr="00CB56E6">
        <w:rPr>
          <w:rFonts w:ascii="Palatino Linotype" w:hAnsi="Palatino Linotype" w:cstheme="minorHAnsi"/>
          <w:bCs/>
          <w:sz w:val="22"/>
          <w:szCs w:val="22"/>
        </w:rPr>
        <w:t>m</w:t>
      </w:r>
      <w:r w:rsidRPr="00CB56E6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11,54%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>Área bruta del terreno (</w:t>
      </w:r>
      <w:r>
        <w:rPr>
          <w:rFonts w:ascii="Palatino Linotype" w:hAnsi="Palatino Linotype" w:cstheme="minorHAnsi"/>
          <w:b/>
          <w:sz w:val="22"/>
          <w:szCs w:val="22"/>
        </w:rPr>
        <w:t>á</w:t>
      </w: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rea </w:t>
      </w:r>
      <w:r>
        <w:rPr>
          <w:rFonts w:ascii="Palatino Linotype" w:hAnsi="Palatino Linotype" w:cstheme="minorHAnsi"/>
          <w:b/>
          <w:sz w:val="22"/>
          <w:szCs w:val="22"/>
        </w:rPr>
        <w:t>t</w:t>
      </w:r>
      <w:r w:rsidRPr="00CB56E6">
        <w:rPr>
          <w:rFonts w:ascii="Palatino Linotype" w:hAnsi="Palatino Linotype" w:cstheme="minorHAnsi"/>
          <w:b/>
          <w:sz w:val="22"/>
          <w:szCs w:val="22"/>
        </w:rPr>
        <w:t>otal)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ab/>
        <w:t>4.620,00</w:t>
      </w:r>
      <w:r w:rsidRPr="00CB56E6">
        <w:rPr>
          <w:rFonts w:ascii="Palatino Linotype" w:hAnsi="Palatino Linotype" w:cstheme="minorHAnsi"/>
          <w:bCs/>
          <w:sz w:val="22"/>
          <w:szCs w:val="22"/>
        </w:rPr>
        <w:t xml:space="preserve"> m</w:t>
      </w:r>
      <w:r w:rsidRPr="00CB56E6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ab/>
      </w:r>
      <w:r w:rsidRPr="00CB56E6">
        <w:rPr>
          <w:rFonts w:ascii="Palatino Linotype" w:hAnsi="Palatino Linotype" w:cstheme="minorHAnsi"/>
          <w:sz w:val="22"/>
          <w:szCs w:val="22"/>
        </w:rPr>
        <w:t>100%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CB56E6">
        <w:rPr>
          <w:rFonts w:ascii="Palatino Linotype" w:hAnsi="Palatino Linotype" w:cs="Arial"/>
          <w:b/>
          <w:sz w:val="22"/>
          <w:szCs w:val="22"/>
        </w:rPr>
        <w:t xml:space="preserve">Área de 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CB56E6">
        <w:rPr>
          <w:rFonts w:ascii="Palatino Linotype" w:hAnsi="Palatino Linotype" w:cs="Arial"/>
          <w:b/>
          <w:sz w:val="22"/>
          <w:szCs w:val="22"/>
        </w:rPr>
        <w:t>scritura:</w:t>
      </w:r>
      <w:r w:rsidRPr="00CB56E6">
        <w:rPr>
          <w:rFonts w:ascii="Palatino Linotype" w:hAnsi="Palatino Linotype" w:cs="Arial"/>
          <w:b/>
          <w:sz w:val="22"/>
          <w:szCs w:val="22"/>
        </w:rPr>
        <w:tab/>
      </w:r>
      <w:r w:rsidRPr="00CB56E6">
        <w:rPr>
          <w:rFonts w:ascii="Palatino Linotype" w:hAnsi="Palatino Linotype" w:cs="Arial"/>
          <w:b/>
          <w:sz w:val="22"/>
          <w:szCs w:val="22"/>
        </w:rPr>
        <w:tab/>
      </w:r>
      <w:r w:rsidRPr="00CB56E6">
        <w:rPr>
          <w:rFonts w:ascii="Palatino Linotype" w:hAnsi="Palatino Linotype" w:cs="Arial"/>
          <w:b/>
          <w:sz w:val="22"/>
          <w:szCs w:val="22"/>
        </w:rPr>
        <w:tab/>
      </w:r>
      <w:r w:rsidRPr="00CB56E6">
        <w:rPr>
          <w:rFonts w:ascii="Palatino Linotype" w:hAnsi="Palatino Linotype" w:cs="Arial"/>
          <w:b/>
          <w:sz w:val="22"/>
          <w:szCs w:val="22"/>
        </w:rPr>
        <w:tab/>
      </w:r>
      <w:r w:rsidRPr="00CB56E6">
        <w:rPr>
          <w:rFonts w:ascii="Palatino Linotype" w:hAnsi="Palatino Linotype" w:cs="Calibri"/>
          <w:bCs/>
          <w:color w:val="000000"/>
          <w:sz w:val="22"/>
          <w:szCs w:val="22"/>
        </w:rPr>
        <w:t>5.000 m</w:t>
      </w:r>
      <w:r w:rsidRPr="00CB56E6">
        <w:rPr>
          <w:rFonts w:ascii="Palatino Linotype" w:hAnsi="Palatino Linotype" w:cs="Calibri"/>
          <w:bCs/>
          <w:color w:val="000000"/>
          <w:sz w:val="22"/>
          <w:szCs w:val="22"/>
          <w:vertAlign w:val="superscript"/>
        </w:rPr>
        <w:t>2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t>El número total de lotes es de 16</w:t>
      </w:r>
      <w:r w:rsidRPr="00CB56E6">
        <w:rPr>
          <w:rFonts w:ascii="Palatino Linotype" w:hAnsi="Palatino Linotype" w:cs="Arial"/>
          <w:sz w:val="22"/>
          <w:szCs w:val="22"/>
        </w:rPr>
        <w:t>, signados del uno (1) al diez y seis (16)</w:t>
      </w:r>
      <w:r w:rsidRPr="00CB56E6">
        <w:rPr>
          <w:rFonts w:ascii="Palatino Linotype" w:hAnsi="Palatino Linotype"/>
          <w:sz w:val="22"/>
          <w:szCs w:val="22"/>
          <w:lang w:val="es-EC"/>
        </w:rPr>
        <w:t>,</w:t>
      </w:r>
      <w:r w:rsidRPr="00CB56E6">
        <w:rPr>
          <w:rFonts w:ascii="Palatino Linotype" w:eastAsia="Calibri" w:hAnsi="Palatino Linotype" w:cs="Calibri"/>
          <w:sz w:val="22"/>
          <w:szCs w:val="22"/>
          <w:lang w:eastAsia="en-US"/>
        </w:rPr>
        <w:t xml:space="preserve"> 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cuyo detalle es el que consta 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adjunto al plano aprobatorio, </w:t>
      </w:r>
      <w:r w:rsidR="00B80823">
        <w:rPr>
          <w:rFonts w:ascii="Palatino Linotype" w:hAnsi="Palatino Linotype"/>
          <w:bCs/>
          <w:sz w:val="22"/>
          <w:szCs w:val="22"/>
          <w:lang w:val="es-EC"/>
        </w:rPr>
        <w:t xml:space="preserve">el mismo 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>que forma parte de la presente ordenanza.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CB56E6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 w:rsidR="00176D18">
        <w:rPr>
          <w:rFonts w:ascii="Palatino Linotype" w:hAnsi="Palatino Linotype" w:cs="Arial"/>
          <w:bCs/>
          <w:sz w:val="22"/>
          <w:szCs w:val="22"/>
        </w:rPr>
        <w:t>L</w:t>
      </w:r>
      <w:r w:rsidRPr="00CB56E6">
        <w:rPr>
          <w:rFonts w:ascii="Palatino Linotype" w:hAnsi="Palatino Linotype" w:cs="Arial"/>
          <w:bCs/>
          <w:sz w:val="22"/>
          <w:szCs w:val="22"/>
        </w:rPr>
        <w:t xml:space="preserve">os lotes </w:t>
      </w:r>
      <w:r w:rsidR="00176D18">
        <w:rPr>
          <w:rFonts w:ascii="Palatino Linotype" w:hAnsi="Palatino Linotype" w:cs="Arial"/>
          <w:bCs/>
          <w:sz w:val="22"/>
          <w:szCs w:val="22"/>
        </w:rPr>
        <w:t xml:space="preserve">fraccionados </w:t>
      </w:r>
      <w:r w:rsidRPr="00CB56E6">
        <w:rPr>
          <w:rFonts w:ascii="Palatino Linotype" w:hAnsi="Palatino Linotype" w:cs="Arial"/>
          <w:bCs/>
          <w:sz w:val="22"/>
          <w:szCs w:val="22"/>
        </w:rPr>
        <w:t>mant</w:t>
      </w:r>
      <w:r w:rsidR="00176D18">
        <w:rPr>
          <w:rFonts w:ascii="Palatino Linotype" w:hAnsi="Palatino Linotype" w:cs="Arial"/>
          <w:bCs/>
          <w:sz w:val="22"/>
          <w:szCs w:val="22"/>
        </w:rPr>
        <w:t>endrán</w:t>
      </w:r>
      <w:r w:rsidRPr="00CB56E6">
        <w:rPr>
          <w:rFonts w:ascii="Palatino Linotype" w:hAnsi="Palatino Linotype" w:cs="Arial"/>
          <w:bCs/>
          <w:sz w:val="22"/>
          <w:szCs w:val="22"/>
        </w:rPr>
        <w:t xml:space="preserve"> la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176D18">
        <w:rPr>
          <w:rFonts w:ascii="Palatino Linotype" w:hAnsi="Palatino Linotype"/>
          <w:sz w:val="22"/>
          <w:szCs w:val="22"/>
          <w:lang w:val="es-EC"/>
        </w:rPr>
        <w:t xml:space="preserve">siguiente </w:t>
      </w:r>
      <w:r w:rsidRPr="00CB56E6">
        <w:rPr>
          <w:rFonts w:ascii="Palatino Linotype" w:hAnsi="Palatino Linotype"/>
          <w:sz w:val="22"/>
          <w:szCs w:val="22"/>
          <w:lang w:val="es-EC"/>
        </w:rPr>
        <w:t>zonificación: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D3 (D203-80)</w:t>
      </w:r>
      <w:r w:rsidR="00176D18">
        <w:rPr>
          <w:rFonts w:ascii="Palatino Linotype" w:hAnsi="Palatino Linotype" w:cstheme="minorHAnsi"/>
          <w:sz w:val="22"/>
          <w:szCs w:val="22"/>
        </w:rPr>
        <w:t>;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lote mínimo</w:t>
      </w:r>
      <w:r w:rsidR="00176D18">
        <w:rPr>
          <w:rFonts w:ascii="Palatino Linotype" w:hAnsi="Palatino Linotype" w:cstheme="minorHAnsi"/>
          <w:sz w:val="22"/>
          <w:szCs w:val="22"/>
        </w:rPr>
        <w:t>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200 m</w:t>
      </w:r>
      <w:r w:rsidRPr="00176D18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  <w:r w:rsidR="00176D18">
        <w:rPr>
          <w:rFonts w:ascii="Palatino Linotype" w:hAnsi="Palatino Linotype" w:cstheme="minorHAnsi"/>
          <w:sz w:val="22"/>
          <w:szCs w:val="22"/>
        </w:rPr>
        <w:t>;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uso principal del suelo</w:t>
      </w:r>
      <w:r w:rsidR="00176D18">
        <w:rPr>
          <w:rFonts w:ascii="Palatino Linotype" w:hAnsi="Palatino Linotype" w:cstheme="minorHAnsi"/>
          <w:sz w:val="22"/>
          <w:szCs w:val="22"/>
        </w:rPr>
        <w:t>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(R2) Residencia Mediana Densidad</w:t>
      </w:r>
      <w:r w:rsidR="00176D18">
        <w:rPr>
          <w:rFonts w:ascii="Palatino Linotype" w:hAnsi="Palatino Linotype" w:cstheme="minorHAnsi"/>
          <w:sz w:val="22"/>
          <w:szCs w:val="22"/>
        </w:rPr>
        <w:t>;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y</w:t>
      </w:r>
      <w:r w:rsidR="00176D18">
        <w:rPr>
          <w:rFonts w:ascii="Palatino Linotype" w:hAnsi="Palatino Linotype" w:cstheme="minorHAnsi"/>
          <w:sz w:val="22"/>
          <w:szCs w:val="22"/>
        </w:rPr>
        <w:t>,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forma de ocupación del suelo</w:t>
      </w:r>
      <w:r w:rsidR="00176D18">
        <w:rPr>
          <w:rFonts w:ascii="Palatino Linotype" w:hAnsi="Palatino Linotype" w:cstheme="minorHAnsi"/>
          <w:sz w:val="22"/>
          <w:szCs w:val="22"/>
        </w:rPr>
        <w:t>: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 (D) Sobre línea de fábrica.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4.- Excedentes o </w:t>
      </w:r>
      <w:r w:rsidR="00176D18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Por cuanto dentro del proceso de regularización se </w:t>
      </w:r>
      <w:proofErr w:type="gramStart"/>
      <w:r w:rsidRPr="00CB56E6">
        <w:rPr>
          <w:rFonts w:ascii="Palatino Linotype" w:hAnsi="Palatino Linotype"/>
          <w:bCs/>
          <w:sz w:val="22"/>
          <w:szCs w:val="22"/>
          <w:lang w:val="es-EC"/>
        </w:rPr>
        <w:t>detectó</w:t>
      </w:r>
      <w:proofErr w:type="gramEnd"/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 la existencia de una variación de área, previo a la protocolización e 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lastRenderedPageBreak/>
        <w:t xml:space="preserve">inscripción de la presente ordenanza se deberá regularizar el área, de conformidad con lo establecido en la </w:t>
      </w:r>
      <w:r w:rsidR="00D003F3">
        <w:rPr>
          <w:rFonts w:ascii="Palatino Linotype" w:hAnsi="Palatino Linotype"/>
          <w:bCs/>
          <w:sz w:val="22"/>
          <w:szCs w:val="22"/>
          <w:lang w:val="es-EC"/>
        </w:rPr>
        <w:t>normativa metropolitana vigente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>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Del </w:t>
      </w:r>
      <w:r w:rsidR="00B80823">
        <w:rPr>
          <w:rFonts w:ascii="Palatino Linotype" w:hAnsi="Palatino Linotype"/>
          <w:b/>
          <w:bCs/>
          <w:sz w:val="22"/>
          <w:szCs w:val="22"/>
          <w:lang w:val="es-EC"/>
        </w:rPr>
        <w:t>á</w:t>
      </w: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 w:rsidR="00176D18"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 y </w:t>
      </w:r>
      <w:r w:rsidR="00176D18"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omunal.- 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Los dirigentes del </w:t>
      </w:r>
      <w:r w:rsidRPr="00CB56E6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 w:rsidR="00176D18">
        <w:rPr>
          <w:rFonts w:ascii="Palatino Linotype" w:hAnsi="Palatino Linotype" w:cs="Arial"/>
          <w:sz w:val="22"/>
          <w:szCs w:val="22"/>
        </w:rPr>
        <w:t xml:space="preserve"> </w:t>
      </w:r>
      <w:r w:rsidRPr="00CB56E6">
        <w:rPr>
          <w:rFonts w:ascii="Palatino Linotype" w:hAnsi="Palatino Linotype"/>
          <w:sz w:val="22"/>
          <w:szCs w:val="22"/>
          <w:lang w:val="es-EC"/>
        </w:rPr>
        <w:t>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</w:t>
      </w:r>
      <w:r w:rsidRPr="00CB56E6">
        <w:rPr>
          <w:rFonts w:ascii="Palatino Linotype" w:hAnsi="Palatino Linotype"/>
          <w:sz w:val="22"/>
          <w:szCs w:val="22"/>
        </w:rPr>
        <w:t xml:space="preserve">y sus </w:t>
      </w:r>
      <w:r w:rsidR="00176D18">
        <w:rPr>
          <w:rFonts w:ascii="Palatino Linotype" w:hAnsi="Palatino Linotype"/>
          <w:sz w:val="22"/>
          <w:szCs w:val="22"/>
        </w:rPr>
        <w:t>c</w:t>
      </w:r>
      <w:r w:rsidRPr="00CB56E6">
        <w:rPr>
          <w:rFonts w:ascii="Palatino Linotype" w:hAnsi="Palatino Linotype"/>
          <w:sz w:val="22"/>
          <w:szCs w:val="22"/>
        </w:rPr>
        <w:t>opropietarios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>,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CB56E6">
        <w:rPr>
          <w:rFonts w:ascii="Palatino Linotype" w:hAnsi="Palatino Linotype" w:cs="Arial"/>
          <w:sz w:val="22"/>
          <w:szCs w:val="22"/>
        </w:rPr>
        <w:t xml:space="preserve">transfieren al Municipio del Distrito Metropolitano de Quito, como contribución de área verde, un área total de </w:t>
      </w:r>
      <w:r w:rsidRPr="00CB56E6">
        <w:rPr>
          <w:rFonts w:ascii="Palatino Linotype" w:hAnsi="Palatino Linotype" w:cstheme="minorHAnsi"/>
          <w:sz w:val="22"/>
          <w:szCs w:val="22"/>
        </w:rPr>
        <w:t>532,94</w:t>
      </w:r>
      <w:r w:rsidRPr="00CB56E6">
        <w:rPr>
          <w:rFonts w:ascii="Palatino Linotype" w:hAnsi="Palatino Linotype" w:cs="Arial"/>
          <w:sz w:val="22"/>
          <w:szCs w:val="22"/>
        </w:rPr>
        <w:t xml:space="preserve"> m</w:t>
      </w:r>
      <w:r w:rsidRPr="00CB56E6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="00B80823">
        <w:rPr>
          <w:rFonts w:ascii="Palatino Linotype" w:hAnsi="Palatino Linotype" w:cs="Arial"/>
          <w:sz w:val="22"/>
          <w:szCs w:val="22"/>
        </w:rPr>
        <w:t>, equivalente al 16,23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% </w:t>
      </w:r>
      <w:r w:rsidRPr="00CB56E6">
        <w:rPr>
          <w:rFonts w:ascii="Palatino Linotype" w:hAnsi="Palatino Linotype" w:cs="Arial"/>
          <w:sz w:val="22"/>
          <w:szCs w:val="22"/>
        </w:rPr>
        <w:t xml:space="preserve">del área útil de los lotes, </w:t>
      </w:r>
      <w:r w:rsidR="00176D18">
        <w:rPr>
          <w:rFonts w:ascii="Palatino Linotype" w:hAnsi="Palatino Linotype" w:cs="Arial"/>
          <w:sz w:val="22"/>
          <w:szCs w:val="22"/>
        </w:rPr>
        <w:t>de conformidad al siguiente detalle</w:t>
      </w:r>
      <w:r w:rsidRPr="00CB56E6">
        <w:rPr>
          <w:rFonts w:ascii="Palatino Linotype" w:hAnsi="Palatino Linotype" w:cs="Arial"/>
          <w:sz w:val="22"/>
          <w:szCs w:val="22"/>
        </w:rPr>
        <w:t xml:space="preserve">: </w:t>
      </w:r>
    </w:p>
    <w:p w:rsidR="00CB56E6" w:rsidRPr="00CB56E6" w:rsidRDefault="00CB56E6" w:rsidP="00CB56E6">
      <w:pPr>
        <w:spacing w:after="240" w:line="276" w:lineRule="auto"/>
        <w:rPr>
          <w:rFonts w:ascii="Palatino Linotype" w:hAnsi="Palatino Linotype" w:cs="Calibri"/>
          <w:b/>
          <w:sz w:val="22"/>
          <w:szCs w:val="22"/>
          <w:u w:val="single"/>
        </w:rPr>
      </w:pPr>
      <w:r w:rsidRPr="00CB56E6">
        <w:rPr>
          <w:rFonts w:ascii="Palatino Linotype" w:hAnsi="Palatino Linotype" w:cs="Calibri"/>
          <w:b/>
          <w:sz w:val="22"/>
          <w:szCs w:val="22"/>
          <w:u w:val="single"/>
        </w:rPr>
        <w:t xml:space="preserve">Área Verde y Comunal </w:t>
      </w:r>
    </w:p>
    <w:p w:rsidR="00176D18" w:rsidRPr="00176D18" w:rsidRDefault="00176D18" w:rsidP="00176D18">
      <w:pPr>
        <w:spacing w:after="240" w:line="276" w:lineRule="auto"/>
        <w:contextualSpacing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v</w:t>
      </w:r>
      <w:r w:rsidRPr="00CB56E6">
        <w:rPr>
          <w:rFonts w:ascii="Palatino Linotype" w:hAnsi="Palatino Linotype" w:cstheme="minorHAnsi"/>
          <w:b/>
          <w:sz w:val="22"/>
          <w:szCs w:val="22"/>
        </w:rPr>
        <w:t xml:space="preserve">erde y </w:t>
      </w:r>
      <w:r>
        <w:rPr>
          <w:rFonts w:ascii="Palatino Linotype" w:hAnsi="Palatino Linotype" w:cstheme="minorHAnsi"/>
          <w:b/>
          <w:sz w:val="22"/>
          <w:szCs w:val="22"/>
        </w:rPr>
        <w:t>c</w:t>
      </w:r>
      <w:r w:rsidRPr="00CB56E6">
        <w:rPr>
          <w:rFonts w:ascii="Palatino Linotype" w:hAnsi="Palatino Linotype" w:cstheme="minorHAnsi"/>
          <w:b/>
          <w:sz w:val="22"/>
          <w:szCs w:val="22"/>
        </w:rPr>
        <w:t>omunal en relación al área útil de lotes</w:t>
      </w:r>
      <w:r>
        <w:rPr>
          <w:rFonts w:ascii="Palatino Linotype" w:hAnsi="Palatino Linotype" w:cstheme="minorHAnsi"/>
          <w:b/>
          <w:sz w:val="22"/>
          <w:szCs w:val="22"/>
        </w:rPr>
        <w:t xml:space="preserve">: </w:t>
      </w:r>
      <w:r w:rsidRPr="00176D18">
        <w:rPr>
          <w:rFonts w:ascii="Palatino Linotype" w:hAnsi="Palatino Linotype" w:cstheme="minorHAnsi"/>
          <w:sz w:val="22"/>
          <w:szCs w:val="22"/>
        </w:rPr>
        <w:t>532,94 m</w:t>
      </w:r>
      <w:r w:rsidRPr="00176D18">
        <w:rPr>
          <w:rFonts w:ascii="Palatino Linotype" w:hAnsi="Palatino Linotype" w:cstheme="minorHAnsi"/>
          <w:bCs/>
          <w:sz w:val="22"/>
          <w:szCs w:val="22"/>
          <w:vertAlign w:val="superscript"/>
        </w:rPr>
        <w:t xml:space="preserve">2 </w:t>
      </w:r>
      <w:r>
        <w:rPr>
          <w:rFonts w:ascii="Palatino Linotype" w:hAnsi="Palatino Linotype" w:cstheme="minorHAnsi"/>
          <w:bCs/>
          <w:sz w:val="22"/>
          <w:szCs w:val="22"/>
          <w:vertAlign w:val="superscript"/>
        </w:rPr>
        <w:t xml:space="preserve"> </w:t>
      </w:r>
      <w:r w:rsidRPr="00176D18">
        <w:rPr>
          <w:rFonts w:ascii="Palatino Linotype" w:hAnsi="Palatino Linotype" w:cstheme="minorHAnsi"/>
          <w:bCs/>
          <w:sz w:val="22"/>
          <w:szCs w:val="22"/>
        </w:rPr>
        <w:t>(</w:t>
      </w:r>
      <w:r w:rsidR="00B80823">
        <w:rPr>
          <w:rFonts w:ascii="Palatino Linotype" w:hAnsi="Palatino Linotype" w:cstheme="minorHAnsi"/>
          <w:sz w:val="22"/>
          <w:szCs w:val="22"/>
        </w:rPr>
        <w:t>16,23</w:t>
      </w:r>
      <w:r w:rsidRPr="00176D18">
        <w:rPr>
          <w:rFonts w:ascii="Palatino Linotype" w:hAnsi="Palatino Linotype" w:cstheme="minorHAnsi"/>
          <w:sz w:val="22"/>
          <w:szCs w:val="22"/>
        </w:rPr>
        <w:t>%)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51"/>
        <w:gridCol w:w="2640"/>
        <w:gridCol w:w="1255"/>
        <w:gridCol w:w="1255"/>
        <w:gridCol w:w="1533"/>
      </w:tblGrid>
      <w:tr w:rsidR="00CB56E6" w:rsidRPr="00CB56E6" w:rsidTr="00176D18">
        <w:tc>
          <w:tcPr>
            <w:tcW w:w="1363" w:type="dxa"/>
            <w:vMerge w:val="restart"/>
            <w:shd w:val="clear" w:color="auto" w:fill="auto"/>
            <w:vAlign w:val="center"/>
          </w:tcPr>
          <w:p w:rsidR="00B80823" w:rsidRDefault="00B80823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</w:p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Área Verde </w:t>
            </w:r>
          </w:p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L</w:t>
            </w:r>
            <w:r w:rsidR="00176D18"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indero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En parte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S</w:t>
            </w:r>
            <w:r w:rsidR="00176D18"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uperficie</w:t>
            </w:r>
          </w:p>
        </w:tc>
      </w:tr>
      <w:tr w:rsidR="00CB56E6" w:rsidRPr="00CB56E6" w:rsidTr="00176D18">
        <w:trPr>
          <w:trHeight w:val="293"/>
        </w:trPr>
        <w:tc>
          <w:tcPr>
            <w:tcW w:w="136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Norte:</w:t>
            </w:r>
          </w:p>
        </w:tc>
        <w:tc>
          <w:tcPr>
            <w:tcW w:w="2640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  <w:lang w:val="es-EC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  <w:lang w:val="es-EC"/>
              </w:rPr>
              <w:t xml:space="preserve">Propiedad Particular  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  <w:lang w:val="en-US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---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176D18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38,07 m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532,94 m</w:t>
            </w:r>
            <w:r w:rsidRPr="00176D18">
              <w:rPr>
                <w:rFonts w:ascii="Palatino Linotype" w:hAnsi="Palatino Linotype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B56E6" w:rsidRPr="00CB56E6" w:rsidTr="00176D18">
        <w:tc>
          <w:tcPr>
            <w:tcW w:w="136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Sur:</w:t>
            </w:r>
          </w:p>
        </w:tc>
        <w:tc>
          <w:tcPr>
            <w:tcW w:w="2640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Propiedad particular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---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5,65 m.</w:t>
            </w:r>
          </w:p>
        </w:tc>
        <w:tc>
          <w:tcPr>
            <w:tcW w:w="153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CB56E6" w:rsidRPr="00CB56E6" w:rsidTr="00176D18">
        <w:tc>
          <w:tcPr>
            <w:tcW w:w="136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Este:</w:t>
            </w:r>
          </w:p>
        </w:tc>
        <w:tc>
          <w:tcPr>
            <w:tcW w:w="2640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 xml:space="preserve">Propiedad Particular 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 xml:space="preserve">         ---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 xml:space="preserve">40,64 m. </w:t>
            </w:r>
          </w:p>
        </w:tc>
        <w:tc>
          <w:tcPr>
            <w:tcW w:w="153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CB56E6" w:rsidRPr="00CB56E6" w:rsidTr="00176D18">
        <w:tc>
          <w:tcPr>
            <w:tcW w:w="136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b/>
                <w:sz w:val="22"/>
                <w:szCs w:val="22"/>
              </w:rPr>
              <w:t>Oeste:</w:t>
            </w:r>
          </w:p>
        </w:tc>
        <w:tc>
          <w:tcPr>
            <w:tcW w:w="2640" w:type="dxa"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L</w:t>
            </w:r>
            <w:r w:rsidR="00176D18">
              <w:rPr>
                <w:rFonts w:ascii="Palatino Linotype" w:hAnsi="Palatino Linotype" w:cstheme="minorHAnsi"/>
                <w:sz w:val="22"/>
                <w:szCs w:val="22"/>
              </w:rPr>
              <w:t>ote No. 16</w:t>
            </w:r>
          </w:p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Calle CaS64C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>19,30 m</w:t>
            </w:r>
          </w:p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 xml:space="preserve">5,00 m 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6E6" w:rsidRPr="00CB56E6" w:rsidRDefault="00CB56E6" w:rsidP="00CB56E6">
            <w:pPr>
              <w:spacing w:after="240" w:line="276" w:lineRule="auto"/>
              <w:jc w:val="center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B56E6">
              <w:rPr>
                <w:rFonts w:ascii="Palatino Linotype" w:hAnsi="Palatino Linotype" w:cstheme="minorHAnsi"/>
                <w:sz w:val="22"/>
                <w:szCs w:val="22"/>
              </w:rPr>
              <w:t xml:space="preserve">24,30 m. </w:t>
            </w:r>
          </w:p>
        </w:tc>
        <w:tc>
          <w:tcPr>
            <w:tcW w:w="1533" w:type="dxa"/>
            <w:vMerge/>
            <w:shd w:val="clear" w:color="auto" w:fill="auto"/>
          </w:tcPr>
          <w:p w:rsidR="00CB56E6" w:rsidRPr="00CB56E6" w:rsidRDefault="00CB56E6" w:rsidP="00CB56E6">
            <w:pPr>
              <w:spacing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</w:tbl>
    <w:p w:rsidR="00D003F3" w:rsidRDefault="00D003F3" w:rsidP="00CB56E6">
      <w:pPr>
        <w:pStyle w:val="Sinespaciado"/>
        <w:spacing w:after="240" w:line="276" w:lineRule="auto"/>
        <w:jc w:val="both"/>
        <w:rPr>
          <w:rFonts w:ascii="Palatino Linotype" w:hAnsi="Palatino Linotype"/>
          <w:b/>
          <w:bCs/>
        </w:rPr>
      </w:pPr>
    </w:p>
    <w:p w:rsidR="00CB56E6" w:rsidRPr="00CB56E6" w:rsidRDefault="00CB56E6" w:rsidP="00CB56E6">
      <w:pPr>
        <w:pStyle w:val="Sinespaciado"/>
        <w:spacing w:after="240" w:line="276" w:lineRule="auto"/>
        <w:jc w:val="both"/>
        <w:rPr>
          <w:rFonts w:ascii="Palatino Linotype" w:hAnsi="Palatino Linotype"/>
          <w:iCs/>
        </w:rPr>
      </w:pPr>
      <w:r w:rsidRPr="00CB56E6">
        <w:rPr>
          <w:rFonts w:ascii="Palatino Linotype" w:hAnsi="Palatino Linotype"/>
          <w:b/>
          <w:bCs/>
        </w:rPr>
        <w:t xml:space="preserve">Artículo 6.- De las vías.- </w:t>
      </w:r>
      <w:r w:rsidRPr="00CB56E6">
        <w:rPr>
          <w:rFonts w:ascii="Palatino Linotype" w:hAnsi="Palatino Linotype"/>
          <w:bCs/>
          <w:iCs/>
        </w:rPr>
        <w:t xml:space="preserve">El </w:t>
      </w:r>
      <w:r w:rsidR="00176D18">
        <w:rPr>
          <w:rFonts w:ascii="Palatino Linotype" w:hAnsi="Palatino Linotype"/>
          <w:bCs/>
          <w:iCs/>
        </w:rPr>
        <w:t>a</w:t>
      </w:r>
      <w:r w:rsidRPr="00CB56E6">
        <w:rPr>
          <w:rFonts w:ascii="Palatino Linotype" w:hAnsi="Palatino Linotype"/>
          <w:bCs/>
          <w:iCs/>
        </w:rPr>
        <w:t xml:space="preserve">sentamiento </w:t>
      </w:r>
      <w:r w:rsidR="00176D18">
        <w:rPr>
          <w:rFonts w:ascii="Palatino Linotype" w:hAnsi="Palatino Linotype"/>
          <w:bCs/>
          <w:iCs/>
        </w:rPr>
        <w:t>h</w:t>
      </w:r>
      <w:r w:rsidRPr="00CB56E6">
        <w:rPr>
          <w:rFonts w:ascii="Palatino Linotype" w:hAnsi="Palatino Linotype"/>
          <w:bCs/>
          <w:iCs/>
        </w:rPr>
        <w:t xml:space="preserve">umano de </w:t>
      </w:r>
      <w:r w:rsidR="00176D18">
        <w:rPr>
          <w:rFonts w:ascii="Palatino Linotype" w:hAnsi="Palatino Linotype"/>
          <w:bCs/>
          <w:iCs/>
        </w:rPr>
        <w:t>h</w:t>
      </w:r>
      <w:r w:rsidRPr="00CB56E6">
        <w:rPr>
          <w:rFonts w:ascii="Palatino Linotype" w:hAnsi="Palatino Linotype"/>
          <w:bCs/>
          <w:iCs/>
        </w:rPr>
        <w:t xml:space="preserve">echo y </w:t>
      </w:r>
      <w:r w:rsidR="00176D18">
        <w:rPr>
          <w:rFonts w:ascii="Palatino Linotype" w:hAnsi="Palatino Linotype"/>
          <w:bCs/>
          <w:iCs/>
        </w:rPr>
        <w:t>c</w:t>
      </w:r>
      <w:r w:rsidRPr="00CB56E6">
        <w:rPr>
          <w:rFonts w:ascii="Palatino Linotype" w:hAnsi="Palatino Linotype"/>
          <w:bCs/>
          <w:iCs/>
        </w:rPr>
        <w:t xml:space="preserve">onsolidado </w:t>
      </w:r>
      <w:r w:rsidRPr="00CB56E6">
        <w:rPr>
          <w:rFonts w:ascii="Palatino Linotype" w:hAnsi="Palatino Linotype"/>
          <w:iCs/>
        </w:rPr>
        <w:t>contempla un sistema vial de uso público, debido a que éste es un asentamiento humano de hecho y consolidado de 5 años de existencia, con un 43,75% de consolidación de viviendas, se aprueban los anchos de vías y pasajes</w:t>
      </w:r>
      <w:r w:rsidR="00176D18">
        <w:rPr>
          <w:rFonts w:ascii="Palatino Linotype" w:hAnsi="Palatino Linotype"/>
          <w:iCs/>
        </w:rPr>
        <w:t xml:space="preserve"> de conformidad a lo previsto en la presente Ordenanza</w:t>
      </w:r>
      <w:r w:rsidRPr="00CB56E6">
        <w:rPr>
          <w:rFonts w:ascii="Palatino Linotype" w:hAnsi="Palatino Linotype"/>
          <w:iCs/>
        </w:rPr>
        <w:t xml:space="preserve">. </w:t>
      </w:r>
    </w:p>
    <w:p w:rsidR="00CB56E6" w:rsidRPr="00CB56E6" w:rsidRDefault="00CB56E6" w:rsidP="00CB56E6">
      <w:pPr>
        <w:pStyle w:val="Sinespaciado"/>
        <w:spacing w:after="240" w:line="276" w:lineRule="auto"/>
        <w:jc w:val="both"/>
        <w:rPr>
          <w:rFonts w:ascii="Palatino Linotype" w:hAnsi="Palatino Linotype" w:cs="Arial"/>
          <w:bCs/>
        </w:rPr>
      </w:pPr>
      <w:r w:rsidRPr="00CB56E6">
        <w:rPr>
          <w:rFonts w:ascii="Palatino Linotype" w:hAnsi="Palatino Linotype"/>
          <w:iCs/>
        </w:rPr>
        <w:t>Los anchos de vías y pasajes que se aprueban son las siguientes:</w:t>
      </w:r>
    </w:p>
    <w:p w:rsidR="00176D18" w:rsidRPr="00CB56E6" w:rsidRDefault="00CB56E6" w:rsidP="00176D18">
      <w:pPr>
        <w:spacing w:after="240" w:line="276" w:lineRule="auto"/>
        <w:contextualSpacing/>
        <w:rPr>
          <w:rFonts w:ascii="Palatino Linotype" w:hAnsi="Palatino Linotype" w:cstheme="minorHAnsi"/>
          <w:sz w:val="22"/>
          <w:szCs w:val="22"/>
          <w:lang w:val="es-EC"/>
        </w:rPr>
      </w:pPr>
      <w:r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 w:rsidR="00176D18" w:rsidRPr="00CB56E6">
        <w:rPr>
          <w:rFonts w:ascii="Palatino Linotype" w:hAnsi="Palatino Linotype" w:cstheme="minorHAnsi"/>
          <w:sz w:val="22"/>
          <w:szCs w:val="22"/>
          <w:lang w:val="es-EC"/>
        </w:rPr>
        <w:t>Calle CaS64C</w:t>
      </w:r>
      <w:r w:rsidR="00176D18">
        <w:rPr>
          <w:rFonts w:ascii="Palatino Linotype" w:hAnsi="Palatino Linotype" w:cstheme="minorHAnsi"/>
          <w:sz w:val="22"/>
          <w:szCs w:val="22"/>
          <w:lang w:val="es-EC"/>
        </w:rPr>
        <w:t>:</w:t>
      </w:r>
      <w:r w:rsidR="00176D18">
        <w:rPr>
          <w:rFonts w:ascii="Palatino Linotype" w:hAnsi="Palatino Linotype" w:cstheme="minorHAnsi"/>
          <w:sz w:val="22"/>
          <w:szCs w:val="22"/>
          <w:lang w:val="es-EC"/>
        </w:rPr>
        <w:tab/>
      </w:r>
      <w:r w:rsidR="00176D18" w:rsidRPr="00CB56E6">
        <w:rPr>
          <w:rFonts w:ascii="Palatino Linotype" w:hAnsi="Palatino Linotype" w:cstheme="minorHAnsi"/>
          <w:sz w:val="22"/>
          <w:szCs w:val="22"/>
          <w:lang w:val="es-EC"/>
        </w:rPr>
        <w:t>10,00</w:t>
      </w:r>
      <w:r w:rsidR="00176D18"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="00176D18" w:rsidRPr="00CB56E6">
        <w:rPr>
          <w:rFonts w:ascii="Palatino Linotype" w:hAnsi="Palatino Linotype" w:cstheme="minorHAnsi"/>
          <w:sz w:val="22"/>
          <w:szCs w:val="22"/>
          <w:lang w:val="es-EC"/>
        </w:rPr>
        <w:t>m</w:t>
      </w:r>
    </w:p>
    <w:p w:rsidR="00CB56E6" w:rsidRPr="00CB56E6" w:rsidRDefault="00CB56E6" w:rsidP="00CB56E6">
      <w:pPr>
        <w:spacing w:after="240" w:line="276" w:lineRule="auto"/>
        <w:contextualSpacing/>
        <w:jc w:val="both"/>
        <w:rPr>
          <w:rFonts w:ascii="Palatino Linotype" w:hAnsi="Palatino Linotype"/>
          <w:bCs/>
          <w:sz w:val="22"/>
          <w:szCs w:val="22"/>
          <w:lang w:val="es-EC"/>
        </w:rPr>
      </w:pP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7.- De las obras a ejecutarse.- 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176D18">
        <w:rPr>
          <w:rFonts w:ascii="Palatino Linotype" w:hAnsi="Palatino Linotype"/>
          <w:sz w:val="22"/>
          <w:szCs w:val="22"/>
          <w:lang w:val="es-EC"/>
        </w:rPr>
        <w:t xml:space="preserve">humano de hecho y consolidado </w:t>
      </w:r>
      <w:r w:rsidRPr="00CB56E6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CB56E6" w:rsidRPr="00CB56E6" w:rsidRDefault="00CB56E6" w:rsidP="00176D1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t>Calzadas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100%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Aceras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100%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lastRenderedPageBreak/>
        <w:t>Bordillos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100%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Agua </w:t>
      </w:r>
      <w:r w:rsidR="00176D18">
        <w:rPr>
          <w:rFonts w:ascii="Palatino Linotype" w:hAnsi="Palatino Linotype"/>
          <w:sz w:val="22"/>
          <w:szCs w:val="22"/>
          <w:lang w:val="es-EC"/>
        </w:rPr>
        <w:t>p</w:t>
      </w:r>
      <w:r w:rsidRPr="00CB56E6">
        <w:rPr>
          <w:rFonts w:ascii="Palatino Linotype" w:hAnsi="Palatino Linotype"/>
          <w:sz w:val="22"/>
          <w:szCs w:val="22"/>
          <w:lang w:val="es-EC"/>
        </w:rPr>
        <w:t>otable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50%</w:t>
      </w:r>
    </w:p>
    <w:p w:rsidR="00CB56E6" w:rsidRPr="00CB56E6" w:rsidRDefault="00CB56E6" w:rsidP="00176D1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sz w:val="22"/>
          <w:szCs w:val="22"/>
          <w:lang w:val="es-EC"/>
        </w:rPr>
        <w:t>Alcantarillado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50%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Energía </w:t>
      </w:r>
      <w:r w:rsidR="00176D18">
        <w:rPr>
          <w:rFonts w:ascii="Palatino Linotype" w:hAnsi="Palatino Linotype"/>
          <w:sz w:val="22"/>
          <w:szCs w:val="22"/>
          <w:lang w:val="es-EC"/>
        </w:rPr>
        <w:t>e</w:t>
      </w:r>
      <w:r w:rsidRPr="00CB56E6">
        <w:rPr>
          <w:rFonts w:ascii="Palatino Linotype" w:hAnsi="Palatino Linotype"/>
          <w:sz w:val="22"/>
          <w:szCs w:val="22"/>
          <w:lang w:val="es-EC"/>
        </w:rPr>
        <w:t>léctrica</w:t>
      </w:r>
      <w:r w:rsidR="00176D18">
        <w:rPr>
          <w:rFonts w:ascii="Palatino Linotype" w:hAnsi="Palatino Linotype"/>
          <w:sz w:val="22"/>
          <w:szCs w:val="22"/>
          <w:lang w:val="es-EC"/>
        </w:rPr>
        <w:t>:</w:t>
      </w:r>
      <w:r w:rsidR="00176D18">
        <w:rPr>
          <w:rFonts w:ascii="Palatino Linotype" w:hAnsi="Palatino Linotype"/>
          <w:sz w:val="22"/>
          <w:szCs w:val="22"/>
          <w:lang w:val="es-EC"/>
        </w:rPr>
        <w:tab/>
      </w:r>
      <w:r w:rsidRPr="00CB56E6">
        <w:rPr>
          <w:rFonts w:ascii="Palatino Linotype" w:hAnsi="Palatino Linotype"/>
          <w:sz w:val="22"/>
          <w:szCs w:val="22"/>
          <w:lang w:val="es-EC"/>
        </w:rPr>
        <w:t>100%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CB56E6">
        <w:rPr>
          <w:rFonts w:ascii="Palatino Linotype" w:hAnsi="Palatino Linotype"/>
          <w:b/>
          <w:bCs/>
          <w:sz w:val="22"/>
          <w:szCs w:val="22"/>
        </w:rPr>
        <w:t>Artículo 8</w:t>
      </w:r>
      <w:r w:rsidRPr="00CB56E6">
        <w:rPr>
          <w:rFonts w:ascii="Palatino Linotype" w:hAnsi="Palatino Linotype"/>
          <w:b/>
          <w:bCs/>
          <w:i/>
          <w:sz w:val="22"/>
          <w:szCs w:val="22"/>
        </w:rPr>
        <w:t>.-</w:t>
      </w:r>
      <w:r w:rsidRPr="00CB56E6">
        <w:rPr>
          <w:rFonts w:ascii="Palatino Linotype" w:hAnsi="Palatino Linotype"/>
          <w:b/>
          <w:bCs/>
          <w:sz w:val="22"/>
          <w:szCs w:val="22"/>
        </w:rPr>
        <w:t xml:space="preserve"> Informe Técnico de  Evaluación de Riesgos de la Secretaría General de Seguridad y Gobernabilidad.-</w:t>
      </w:r>
      <w:r w:rsidRPr="00CB56E6">
        <w:rPr>
          <w:rFonts w:ascii="Palatino Linotype" w:hAnsi="Palatino Linotype"/>
          <w:b/>
          <w:bCs/>
          <w:sz w:val="22"/>
          <w:szCs w:val="22"/>
          <w:lang w:eastAsia="es-EC"/>
        </w:rPr>
        <w:t> </w:t>
      </w:r>
      <w:r w:rsidR="00176D18" w:rsidRPr="00816DB2">
        <w:rPr>
          <w:rFonts w:ascii="Palatino Linotype" w:hAnsi="Palatino Linotype"/>
          <w:sz w:val="22"/>
          <w:szCs w:val="22"/>
          <w:lang w:eastAsia="es-EC"/>
        </w:rPr>
        <w:t>Los dirigentes del predio que se regulariza, deberán cumplir con las recomendaciones que se encuentra</w:t>
      </w:r>
      <w:r w:rsidR="00B80823">
        <w:rPr>
          <w:rFonts w:ascii="Palatino Linotype" w:hAnsi="Palatino Linotype"/>
          <w:sz w:val="22"/>
          <w:szCs w:val="22"/>
          <w:lang w:eastAsia="es-EC"/>
        </w:rPr>
        <w:t>n</w:t>
      </w:r>
      <w:r w:rsidR="00176D18" w:rsidRPr="00816DB2">
        <w:rPr>
          <w:rFonts w:ascii="Palatino Linotype" w:hAnsi="Palatino Linotype"/>
          <w:sz w:val="22"/>
          <w:szCs w:val="22"/>
          <w:lang w:eastAsia="es-EC"/>
        </w:rPr>
        <w:t xml:space="preserve"> determinadas en el informe de la Dirección Metropolitana de Gestión de Riesgos </w:t>
      </w:r>
      <w:r w:rsidR="00176D18" w:rsidRPr="00816DB2">
        <w:rPr>
          <w:rFonts w:ascii="Palatino Linotype" w:hAnsi="Palatino Linotype" w:cstheme="minorHAnsi"/>
          <w:sz w:val="22"/>
          <w:szCs w:val="22"/>
        </w:rPr>
        <w:t>No.</w:t>
      </w:r>
      <w:r w:rsidR="00176D18" w:rsidRPr="00CB56E6">
        <w:rPr>
          <w:rFonts w:ascii="Palatino Linotype" w:hAnsi="Palatino Linotype" w:cstheme="minorHAnsi"/>
          <w:sz w:val="22"/>
          <w:szCs w:val="22"/>
        </w:rPr>
        <w:t xml:space="preserve"> 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114-AT-DMGR-2015, de 28 de septiembre de 2015, en el mismo que </w:t>
      </w:r>
      <w:r w:rsidR="00176D18">
        <w:rPr>
          <w:rFonts w:ascii="Palatino Linotype" w:hAnsi="Palatino Linotype" w:cstheme="minorHAnsi"/>
          <w:sz w:val="22"/>
          <w:szCs w:val="22"/>
        </w:rPr>
        <w:t xml:space="preserve">se </w:t>
      </w:r>
      <w:r w:rsidRPr="00CB56E6">
        <w:rPr>
          <w:rFonts w:ascii="Palatino Linotype" w:hAnsi="Palatino Linotype" w:cstheme="minorHAnsi"/>
          <w:sz w:val="22"/>
          <w:szCs w:val="22"/>
        </w:rPr>
        <w:t xml:space="preserve">determina: 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“La zona en estudio, una vez realizada la inspección técnica al AHHYC en el barrio “Balcones de Victoria” de la Parroquia de </w:t>
      </w:r>
      <w:proofErr w:type="spellStart"/>
      <w:r w:rsidRPr="00176D18">
        <w:rPr>
          <w:rFonts w:ascii="Palatino Linotype" w:hAnsi="Palatino Linotype" w:cstheme="minorHAnsi"/>
          <w:i/>
          <w:sz w:val="22"/>
          <w:szCs w:val="22"/>
        </w:rPr>
        <w:t>Turubamba</w:t>
      </w:r>
      <w:proofErr w:type="spellEnd"/>
      <w:r w:rsidRPr="00176D18">
        <w:rPr>
          <w:rFonts w:ascii="Palatino Linotype" w:hAnsi="Palatino Linotype" w:cstheme="minorHAnsi"/>
          <w:i/>
          <w:sz w:val="22"/>
          <w:szCs w:val="22"/>
        </w:rPr>
        <w:t>, considerando los elementos expuestos, viviendas construidas hasta la actualidad con elementos estructurales artesanales,</w:t>
      </w:r>
      <w:r w:rsidR="00B80823">
        <w:rPr>
          <w:rFonts w:ascii="Palatino Linotype" w:hAnsi="Palatino Linotype" w:cstheme="minorHAnsi"/>
          <w:i/>
          <w:sz w:val="22"/>
          <w:szCs w:val="22"/>
        </w:rPr>
        <w:t xml:space="preserve"> </w:t>
      </w:r>
      <w:r w:rsidRPr="00176D18">
        <w:rPr>
          <w:rFonts w:ascii="Palatino Linotype" w:hAnsi="Palatino Linotype" w:cstheme="minorHAnsi"/>
          <w:i/>
          <w:sz w:val="22"/>
          <w:szCs w:val="22"/>
        </w:rPr>
        <w:t>condiciones socioeconómicas, la pendiente del terreno, susceptibilidad por fenómenos de inestabilidad de terrenos. Se manifiesta que presenta un Riesgo Medio Moderado.”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La calificación de la evaluación de la condición del riesgo está dada en base a la probabilidad de ocurrencia de eventos adversos y a las perdidas con su consecuente afectación. Por lo tanto,  desde el análisis de la DMGR expresa que es </w:t>
      </w:r>
      <w:r w:rsidR="00B80823">
        <w:rPr>
          <w:rFonts w:ascii="Palatino Linotype" w:hAnsi="Palatino Linotype" w:cstheme="minorHAnsi"/>
          <w:i/>
          <w:sz w:val="22"/>
          <w:szCs w:val="22"/>
        </w:rPr>
        <w:t>f</w:t>
      </w:r>
      <w:r w:rsidRPr="00176D18">
        <w:rPr>
          <w:rFonts w:ascii="Palatino Linotype" w:hAnsi="Palatino Linotype" w:cstheme="minorHAnsi"/>
          <w:i/>
          <w:sz w:val="22"/>
          <w:szCs w:val="22"/>
        </w:rPr>
        <w:t>actible continuar con el proceso de regularización y que se deberá cumplir con las siguientes recomendaciones: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t>“Incluir en el Informe de Regulación Metropolitana</w:t>
      </w:r>
      <w:r w:rsidR="00B80823">
        <w:rPr>
          <w:rFonts w:ascii="Palatino Linotype" w:hAnsi="Palatino Linotype" w:cstheme="minorHAnsi"/>
          <w:i/>
          <w:sz w:val="22"/>
          <w:szCs w:val="22"/>
        </w:rPr>
        <w:t xml:space="preserve"> –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IRM</w:t>
      </w:r>
      <w:r w:rsidR="00B80823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las observaciones de calificación de riesgo y recomendaciones para emisión de permisos y control de usos futuros y ocupación del suelo, en cumplimiento estricto con el cuerpo normativo que garantice el adecuado cuidado ambiental y protección de taludes y quebradas, en prevención de riesgos naturales y antrópicos que se podrían presentar.”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t>“En el proyecto de regularización se debe respetar la normativa vigente de las Ordenanzas Metropolitanas de: aprobación de los Planes Metropolitanos de Ordenamiento Territorial, (PMOT), Uso y Ocupación del Suelo, (PUOS) y Régimen Administrativo del Suelo en el D.M.Q. (Ordenanzas Metropolitanas No</w:t>
      </w:r>
      <w:r w:rsidR="00B80823">
        <w:rPr>
          <w:rFonts w:ascii="Palatino Linotype" w:hAnsi="Palatino Linotype" w:cstheme="minorHAnsi"/>
          <w:i/>
          <w:sz w:val="22"/>
          <w:szCs w:val="22"/>
        </w:rPr>
        <w:t>.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171 y No</w:t>
      </w:r>
      <w:r w:rsidR="00B80823">
        <w:rPr>
          <w:rFonts w:ascii="Palatino Linotype" w:hAnsi="Palatino Linotype" w:cstheme="minorHAnsi"/>
          <w:i/>
          <w:sz w:val="22"/>
          <w:szCs w:val="22"/>
        </w:rPr>
        <w:t>.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172, y sus Reformatorias No</w:t>
      </w:r>
      <w:r w:rsidR="00B80823">
        <w:rPr>
          <w:rFonts w:ascii="Palatino Linotype" w:hAnsi="Palatino Linotype" w:cstheme="minorHAnsi"/>
          <w:i/>
          <w:sz w:val="22"/>
          <w:szCs w:val="22"/>
        </w:rPr>
        <w:t xml:space="preserve">. </w:t>
      </w:r>
      <w:r w:rsidRPr="00176D18">
        <w:rPr>
          <w:rFonts w:ascii="Palatino Linotype" w:hAnsi="Palatino Linotype" w:cstheme="minorHAnsi"/>
          <w:i/>
          <w:sz w:val="22"/>
          <w:szCs w:val="22"/>
        </w:rPr>
        <w:t>447 y No</w:t>
      </w:r>
      <w:r w:rsidR="00B80823">
        <w:rPr>
          <w:rFonts w:ascii="Palatino Linotype" w:hAnsi="Palatino Linotype" w:cstheme="minorHAnsi"/>
          <w:i/>
          <w:sz w:val="22"/>
          <w:szCs w:val="22"/>
        </w:rPr>
        <w:t xml:space="preserve">. 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432); </w:t>
      </w:r>
      <w:r w:rsidR="00B80823">
        <w:rPr>
          <w:rFonts w:ascii="Palatino Linotype" w:hAnsi="Palatino Linotype" w:cstheme="minorHAnsi"/>
          <w:i/>
          <w:sz w:val="22"/>
          <w:szCs w:val="22"/>
        </w:rPr>
        <w:t>e</w:t>
      </w:r>
      <w:r w:rsidRPr="00176D18">
        <w:rPr>
          <w:rFonts w:ascii="Palatino Linotype" w:hAnsi="Palatino Linotype" w:cstheme="minorHAnsi"/>
          <w:i/>
          <w:sz w:val="22"/>
          <w:szCs w:val="22"/>
        </w:rPr>
        <w:t>n el caso de afectaciones o cercanía a las quebradas, taludes, ríos</w:t>
      </w:r>
      <w:r w:rsidR="00B80823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</w:t>
      </w:r>
      <w:r w:rsidR="00B80823">
        <w:rPr>
          <w:rFonts w:ascii="Palatino Linotype" w:hAnsi="Palatino Linotype" w:cstheme="minorHAnsi"/>
          <w:i/>
          <w:sz w:val="22"/>
          <w:szCs w:val="22"/>
        </w:rPr>
        <w:t>c</w:t>
      </w:r>
      <w:r w:rsidRPr="00176D18">
        <w:rPr>
          <w:rFonts w:ascii="Palatino Linotype" w:hAnsi="Palatino Linotype" w:cstheme="minorHAnsi"/>
          <w:i/>
          <w:sz w:val="22"/>
          <w:szCs w:val="22"/>
        </w:rPr>
        <w:t>umplir con lo establecido en los artículos 116</w:t>
      </w:r>
      <w:r w:rsidR="00B80823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</w:t>
      </w:r>
      <w:r w:rsidR="00B80823">
        <w:rPr>
          <w:rFonts w:ascii="Palatino Linotype" w:hAnsi="Palatino Linotype" w:cstheme="minorHAnsi"/>
          <w:i/>
          <w:sz w:val="22"/>
          <w:szCs w:val="22"/>
        </w:rPr>
        <w:t>á</w:t>
      </w:r>
      <w:r w:rsidRPr="00176D18">
        <w:rPr>
          <w:rFonts w:ascii="Palatino Linotype" w:hAnsi="Palatino Linotype" w:cstheme="minorHAnsi"/>
          <w:i/>
          <w:sz w:val="22"/>
          <w:szCs w:val="22"/>
        </w:rPr>
        <w:t>reas de protección de taludes</w:t>
      </w:r>
      <w:r w:rsidR="00B80823">
        <w:rPr>
          <w:rFonts w:ascii="Palatino Linotype" w:hAnsi="Palatino Linotype" w:cstheme="minorHAnsi"/>
          <w:i/>
          <w:sz w:val="22"/>
          <w:szCs w:val="22"/>
        </w:rPr>
        <w:t>;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117</w:t>
      </w:r>
      <w:r w:rsidR="00B80823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</w:t>
      </w:r>
      <w:r w:rsidR="00B80823">
        <w:rPr>
          <w:rFonts w:ascii="Palatino Linotype" w:hAnsi="Palatino Linotype" w:cstheme="minorHAnsi"/>
          <w:i/>
          <w:sz w:val="22"/>
          <w:szCs w:val="22"/>
        </w:rPr>
        <w:t>á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reas de </w:t>
      </w:r>
      <w:r w:rsidR="00B80823">
        <w:rPr>
          <w:rFonts w:ascii="Palatino Linotype" w:hAnsi="Palatino Linotype" w:cstheme="minorHAnsi"/>
          <w:i/>
          <w:sz w:val="22"/>
          <w:szCs w:val="22"/>
        </w:rPr>
        <w:t>p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rotección de </w:t>
      </w:r>
      <w:r w:rsidR="00B80823">
        <w:rPr>
          <w:rFonts w:ascii="Palatino Linotype" w:hAnsi="Palatino Linotype" w:cstheme="minorHAnsi"/>
          <w:i/>
          <w:sz w:val="22"/>
          <w:szCs w:val="22"/>
        </w:rPr>
        <w:t>q</w:t>
      </w:r>
      <w:r w:rsidRPr="00176D18">
        <w:rPr>
          <w:rFonts w:ascii="Palatino Linotype" w:hAnsi="Palatino Linotype" w:cstheme="minorHAnsi"/>
          <w:i/>
          <w:sz w:val="22"/>
          <w:szCs w:val="22"/>
        </w:rPr>
        <w:t>uebradas</w:t>
      </w:r>
      <w:r w:rsidR="00B80823">
        <w:rPr>
          <w:rFonts w:ascii="Palatino Linotype" w:hAnsi="Palatino Linotype" w:cstheme="minorHAnsi"/>
          <w:i/>
          <w:sz w:val="22"/>
          <w:szCs w:val="22"/>
        </w:rPr>
        <w:t>;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118</w:t>
      </w:r>
      <w:r w:rsidR="00B80823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áreas de protección de cuerpos de agua, ríos</w:t>
      </w:r>
      <w:r w:rsidR="006B25ED">
        <w:rPr>
          <w:rFonts w:ascii="Palatino Linotype" w:hAnsi="Palatino Linotype" w:cstheme="minorHAnsi"/>
          <w:i/>
          <w:sz w:val="22"/>
          <w:szCs w:val="22"/>
        </w:rPr>
        <w:t>;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y</w:t>
      </w:r>
      <w:r w:rsidR="006B25ED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el articulo 122</w:t>
      </w:r>
      <w:r w:rsidR="006B25ED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referente a construcciones Sismo resistentes. Por lo tanto</w:t>
      </w:r>
      <w:r w:rsidR="006B25ED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el AHHYC</w:t>
      </w:r>
      <w:r w:rsidR="006B25ED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conjuntamente con el profesional técnico responsable del barrio</w:t>
      </w:r>
      <w:r w:rsidR="006B25ED">
        <w:rPr>
          <w:rFonts w:ascii="Palatino Linotype" w:hAnsi="Palatino Linotype" w:cstheme="minorHAnsi"/>
          <w:i/>
          <w:sz w:val="22"/>
          <w:szCs w:val="22"/>
        </w:rPr>
        <w:t>,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deberá reestructurar el proyecto en función de las condiciones de la normativa manteniendo lo dispuesto en el </w:t>
      </w:r>
      <w:r w:rsidR="006B25ED">
        <w:rPr>
          <w:rFonts w:ascii="Palatino Linotype" w:hAnsi="Palatino Linotype" w:cstheme="minorHAnsi"/>
          <w:i/>
          <w:sz w:val="22"/>
          <w:szCs w:val="22"/>
        </w:rPr>
        <w:t>l</w:t>
      </w:r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evantamiento </w:t>
      </w:r>
      <w:proofErr w:type="spellStart"/>
      <w:r w:rsidR="006B25ED">
        <w:rPr>
          <w:rFonts w:ascii="Palatino Linotype" w:hAnsi="Palatino Linotype" w:cstheme="minorHAnsi"/>
          <w:i/>
          <w:sz w:val="22"/>
          <w:szCs w:val="22"/>
        </w:rPr>
        <w:t>p</w:t>
      </w:r>
      <w:r w:rsidRPr="00176D18">
        <w:rPr>
          <w:rFonts w:ascii="Palatino Linotype" w:hAnsi="Palatino Linotype" w:cstheme="minorHAnsi"/>
          <w:i/>
          <w:sz w:val="22"/>
          <w:szCs w:val="22"/>
        </w:rPr>
        <w:t>lanialtimétrico</w:t>
      </w:r>
      <w:proofErr w:type="spellEnd"/>
      <w:r w:rsidRPr="00176D18">
        <w:rPr>
          <w:rFonts w:ascii="Palatino Linotype" w:hAnsi="Palatino Linotype" w:cstheme="minorHAnsi"/>
          <w:i/>
          <w:sz w:val="22"/>
          <w:szCs w:val="22"/>
        </w:rPr>
        <w:t xml:space="preserve"> proporcionado por la UERB.”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lastRenderedPageBreak/>
        <w:t>“La Dirección Metropolitana de Gestión de Riesgos (DMGR) recomienda para el proceso de regularización del barrio “Balcones de Victoria”, con respecto a las edificaciones actuales, sus propietarios deberían contratar a un especialista (Ing. Civil Estructuralista o Estructural) para que evalúe su estado actual y proponga un sistema de reforzamiento estructural si el caso así lo amerita. Y para reducir el riesgo sísmico se tiene que tomar en cuenta la calidad constructiva de las viviendas y el tipo de suelo. Las futuras edificaciones deberán ser construidas siguiendo la guía técnica de la Norma Ecuatoriana de la Construcción (NEC-11), sobretodo, lo que se refiere a diseños estructurales sismo-resistentes, para lo cual la Agencia Metropolitana de Control deberá hacer cumplir esta disposición.”</w:t>
      </w:r>
    </w:p>
    <w:p w:rsidR="00CB56E6" w:rsidRPr="00176D18" w:rsidRDefault="00CB56E6" w:rsidP="00176D18">
      <w:pPr>
        <w:pStyle w:val="Prrafodelista"/>
        <w:numPr>
          <w:ilvl w:val="0"/>
          <w:numId w:val="42"/>
        </w:numPr>
        <w:spacing w:after="240" w:line="276" w:lineRule="auto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176D18">
        <w:rPr>
          <w:rFonts w:ascii="Palatino Linotype" w:hAnsi="Palatino Linotype" w:cstheme="minorHAnsi"/>
          <w:i/>
          <w:sz w:val="22"/>
          <w:szCs w:val="22"/>
        </w:rPr>
        <w:t>“Coordinar con la EPMMOP para mejorar el trazado de la red  vial, asegurando su estabilidad, y de los pequeños taludes generados en los cortes efectuados para la apertura de calles; y considerar el criterio técnico de la EPMAPS para que implemente el sistema de alcantarillado pluvial y sanitario que evite la erosión del suelo, por ser un espacio que está desprotegido de cobertura vegetal u otro material.”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>Artículo 9.- Del plazo de ejecución de las obras.-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ocho (8) años, </w:t>
      </w:r>
      <w:r w:rsidRPr="00CB56E6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 los dirigentes del Asentamiento Humano de Hecho y Consolidado denominado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>”,</w:t>
      </w:r>
      <w:r w:rsidRPr="00CB56E6">
        <w:rPr>
          <w:rFonts w:ascii="Palatino Linotype" w:hAnsi="Palatino Linotype"/>
          <w:iCs/>
          <w:sz w:val="22"/>
          <w:szCs w:val="22"/>
          <w:lang w:val="es-EC"/>
        </w:rPr>
        <w:t xml:space="preserve"> plazo que se contará a partir de la fecha de sanción de la presente ordenanza. De estas obras </w:t>
      </w:r>
      <w:r w:rsidRPr="00CB56E6">
        <w:rPr>
          <w:rFonts w:ascii="Palatino Linotype" w:hAnsi="Palatino Linotype"/>
          <w:sz w:val="22"/>
          <w:szCs w:val="22"/>
          <w:lang w:val="es-EC"/>
        </w:rPr>
        <w:t>los socios</w:t>
      </w:r>
      <w:r w:rsidRPr="00CB56E6">
        <w:rPr>
          <w:rFonts w:ascii="Palatino Linotype" w:hAnsi="Palatino Linotype"/>
          <w:bCs/>
          <w:sz w:val="22"/>
          <w:szCs w:val="22"/>
          <w:lang w:val="es-EC"/>
        </w:rPr>
        <w:t xml:space="preserve"> del predio fraccionado</w:t>
      </w:r>
      <w:r w:rsidRPr="00CB56E6">
        <w:rPr>
          <w:rFonts w:ascii="Palatino Linotype" w:hAnsi="Palatino Linotype"/>
          <w:iCs/>
          <w:sz w:val="22"/>
          <w:szCs w:val="22"/>
          <w:lang w:val="es-EC"/>
        </w:rPr>
        <w:t xml:space="preserve"> pagarán las contribuciones especiales y mejoras de ley.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CB56E6">
        <w:rPr>
          <w:rFonts w:ascii="Palatino Linotype" w:hAnsi="Palatino Linotype"/>
          <w:iCs/>
          <w:sz w:val="22"/>
          <w:szCs w:val="22"/>
          <w:lang w:val="es-EC"/>
        </w:rPr>
        <w:t>Pudiendo este plazo prorrogarse por un periodo más, siempre y cuando se haya justificado un avance de  la obra de por lo menos un 50% de las obras que debían ejecutarse.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CB56E6">
        <w:rPr>
          <w:rFonts w:ascii="Palatino Linotype" w:hAnsi="Palatino Linotype"/>
          <w:iCs/>
          <w:sz w:val="22"/>
          <w:szCs w:val="22"/>
          <w:lang w:val="es-EC"/>
        </w:rPr>
        <w:t>La solicitud de ampliación de plazo para la ejecución de las obras será resuelta por la  Administración  Zonal a  la que pertenece el asentamiento.</w:t>
      </w:r>
    </w:p>
    <w:p w:rsidR="00176D18" w:rsidRDefault="00CB56E6" w:rsidP="00176D1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 w:rsidRPr="00CB56E6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10.- Del control de ejecución de las obras.-</w:t>
      </w:r>
      <w:r w:rsidRPr="00CB56E6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</w:t>
      </w:r>
      <w:r w:rsidR="00176D18" w:rsidRPr="006336FA">
        <w:rPr>
          <w:rFonts w:ascii="Palatino Linotype" w:hAnsi="Palatino Linotype" w:cs="Arial"/>
          <w:sz w:val="22"/>
          <w:szCs w:val="22"/>
        </w:rPr>
        <w:t xml:space="preserve">se responsabiliza del seguimiento en la ejecución y avance de las obras de urbanización hasta la terminación de las mismas, </w:t>
      </w:r>
      <w:r w:rsidR="00176D18" w:rsidRPr="006336FA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CB56E6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11.- De la multa por retraso en la ejecución de obras.- </w:t>
      </w:r>
      <w:r w:rsidRPr="00CB56E6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 w:rsidRPr="00CB56E6">
        <w:rPr>
          <w:rFonts w:ascii="Palatino Linotype" w:hAnsi="Palatino Linotype"/>
          <w:sz w:val="22"/>
          <w:szCs w:val="22"/>
          <w:lang w:val="es-EC"/>
        </w:rPr>
        <w:t>los socios del predio donde se encuentra el Asentamiento Humano de Hecho y Consolidado denominado“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 </w:t>
      </w:r>
      <w:r w:rsidRPr="00CB56E6">
        <w:rPr>
          <w:rFonts w:ascii="Palatino Linotype" w:hAnsi="Palatino Linotype"/>
          <w:sz w:val="22"/>
          <w:szCs w:val="22"/>
          <w:lang w:val="es-ES_tradnl"/>
        </w:rPr>
        <w:lastRenderedPageBreak/>
        <w:t>pagarán a la Municipalidad en calidad de multa, el uno por mil por cada día de retraso, calculado del costo de las obras no ejecutadas.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CB56E6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 w:rsidRPr="00CB56E6"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CB56E6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CB56E6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se emita el título de crédito respectivo y se proceda a su cobro, incluso por la vía coactiva.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12.- De la garantía de ejecución de las obras.- </w:t>
      </w:r>
      <w:r w:rsidRPr="00CB56E6">
        <w:rPr>
          <w:rFonts w:ascii="Palatino Linotype" w:hAnsi="Palatino Linotype"/>
          <w:sz w:val="22"/>
          <w:szCs w:val="22"/>
          <w:lang w:val="es-EC"/>
        </w:rPr>
        <w:t>Los lotes producto del presente reconocimiento del Asentamiento Humano de Hecho y Consolidado denominado 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</w:t>
      </w:r>
      <w:r w:rsidRPr="00CB56E6">
        <w:rPr>
          <w:rFonts w:ascii="Palatino Linotype" w:hAnsi="Palatino Linotype"/>
          <w:sz w:val="22"/>
          <w:szCs w:val="22"/>
          <w:lang w:val="es-EC"/>
        </w:rPr>
        <w:t>quedan gravados con primera, especial y preferente hipoteca a favor del Municipio del Distrito Metropolitano de Quito, y que subsistirá hasta la terminación de la ejecución de las obras de urbanización.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CB56E6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13.- De la protocolización e inscripción de la ordenanza.- </w:t>
      </w:r>
      <w:r w:rsidRPr="00CB56E6">
        <w:rPr>
          <w:rFonts w:ascii="Palatino Linotype" w:hAnsi="Palatino Linotype"/>
          <w:sz w:val="22"/>
          <w:szCs w:val="22"/>
          <w:lang w:val="es-EC"/>
        </w:rPr>
        <w:t>Los dirigentes del Asentamiento Humano de Hecho y Consolidado denominado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 w:rsidRPr="00CB56E6">
        <w:rPr>
          <w:rFonts w:ascii="Palatino Linotype" w:hAnsi="Palatino Linotype"/>
          <w:sz w:val="22"/>
          <w:szCs w:val="22"/>
          <w:lang w:val="es-EC"/>
        </w:rPr>
        <w:t>“</w:t>
      </w:r>
      <w:r w:rsidRPr="00CB56E6">
        <w:rPr>
          <w:rFonts w:ascii="Palatino Linotype" w:hAnsi="Palatino Linotype" w:cstheme="minorHAnsi"/>
          <w:sz w:val="22"/>
          <w:szCs w:val="22"/>
        </w:rPr>
        <w:t>Balcones de la Victoria</w:t>
      </w:r>
      <w:r w:rsidRPr="00CB56E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” </w:t>
      </w:r>
      <w:r w:rsidRPr="00CB56E6">
        <w:rPr>
          <w:rFonts w:ascii="Palatino Linotype" w:hAnsi="Palatino Linotype"/>
          <w:sz w:val="22"/>
          <w:szCs w:val="22"/>
          <w:lang w:val="es-ES_tradnl"/>
        </w:rPr>
        <w:t xml:space="preserve">se comprometen en el término de ciento ochenta (180) días, contados a partir de la fecha de emisión de la resolución de regularización de excedentes o diferencias de áreas por parte de la Autoridad Administrativa Competente, a </w:t>
      </w:r>
      <w:r w:rsidRPr="00CB56E6">
        <w:rPr>
          <w:rFonts w:ascii="Palatino Linotype" w:hAnsi="Palatino Linotype"/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CB56E6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CB56E6">
        <w:rPr>
          <w:rFonts w:ascii="Palatino Linotype" w:hAnsi="Palatino Linotype"/>
          <w:sz w:val="22"/>
          <w:szCs w:val="22"/>
          <w:lang w:val="es-EC"/>
        </w:rPr>
        <w:t>;</w:t>
      </w:r>
      <w:r w:rsidRPr="00CB56E6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CB56E6"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CB56E6">
        <w:rPr>
          <w:rFonts w:ascii="Palatino Linotype" w:hAnsi="Palatino Linotype" w:cs="Arial"/>
          <w:b/>
          <w:sz w:val="22"/>
          <w:szCs w:val="22"/>
          <w:lang w:val="es-ES_tradnl"/>
        </w:rPr>
        <w:t>Artículo 14.- De la partición y adjudicación.-</w:t>
      </w:r>
      <w:r w:rsidRPr="00CB56E6">
        <w:rPr>
          <w:rFonts w:ascii="Palatino Linotype" w:hAnsi="Palatino Linotype" w:cs="Arial"/>
          <w:sz w:val="22"/>
          <w:szCs w:val="22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</w:p>
    <w:p w:rsidR="00CB56E6" w:rsidRPr="00CB56E6" w:rsidRDefault="00CB56E6" w:rsidP="00CB56E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C"/>
        </w:rPr>
        <w:lastRenderedPageBreak/>
        <w:t>Artículo</w:t>
      </w:r>
      <w:r w:rsidRPr="00CB56E6">
        <w:rPr>
          <w:rFonts w:ascii="Palatino Linotype" w:hAnsi="Palatino Linotype"/>
          <w:b/>
          <w:sz w:val="22"/>
          <w:szCs w:val="22"/>
          <w:lang w:val="es-EC"/>
        </w:rPr>
        <w:t xml:space="preserve"> 15.- Potestad de ejecución.- </w:t>
      </w:r>
      <w:r w:rsidRPr="00CB56E6">
        <w:rPr>
          <w:rFonts w:ascii="Palatino Linotype" w:hAnsi="Palatino Linotype"/>
          <w:sz w:val="22"/>
          <w:szCs w:val="22"/>
          <w:lang w:val="es-EC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CB56E6" w:rsidRDefault="00CB56E6" w:rsidP="00CB56E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CB56E6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Artículo 16.- Solicitudes de ampliación de plazo.- </w:t>
      </w:r>
      <w:r w:rsidRPr="00CB56E6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D003F3" w:rsidRPr="00D003F3" w:rsidRDefault="00D003F3" w:rsidP="00CB56E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Disposición General.- </w:t>
      </w:r>
      <w:r>
        <w:rPr>
          <w:rFonts w:ascii="Palatino Linotype" w:hAnsi="Palatino Linotype"/>
          <w:bCs/>
          <w:sz w:val="22"/>
          <w:szCs w:val="22"/>
          <w:lang w:val="es-ES_tradnl"/>
        </w:rPr>
        <w:t>La Unidad Especial Regula Tu Barrio, una vez sancionada la presente Ordenanza, deberá informar a la Secretaría de Territorio, Hábitat y Vivienda, de manera exacta, las dimensiones y georreferenciación de los inmuebles objeto de la presente ordenanza.</w:t>
      </w:r>
    </w:p>
    <w:p w:rsidR="00BA5D17" w:rsidRPr="00CB56E6" w:rsidRDefault="00BA5D17" w:rsidP="00CB56E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CB56E6">
        <w:rPr>
          <w:rFonts w:ascii="Palatino Linotype" w:hAnsi="Palatino Linotype" w:cs="Arial"/>
          <w:b/>
          <w:sz w:val="22"/>
          <w:szCs w:val="22"/>
          <w:lang w:val="es-ES_tradnl"/>
        </w:rPr>
        <w:t>Dispo</w:t>
      </w:r>
      <w:r w:rsidR="00816DB2" w:rsidRPr="00CB56E6">
        <w:rPr>
          <w:rFonts w:ascii="Palatino Linotype" w:hAnsi="Palatino Linotype" w:cs="Arial"/>
          <w:b/>
          <w:sz w:val="22"/>
          <w:szCs w:val="22"/>
          <w:lang w:val="es-ES_tradnl"/>
        </w:rPr>
        <w:t>sición f</w:t>
      </w:r>
      <w:r w:rsidRPr="00CB56E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Pr="00CB56E6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302F52" w:rsidRPr="006336FA" w:rsidRDefault="00302F52" w:rsidP="00725931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6336FA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D003F3">
        <w:rPr>
          <w:rFonts w:ascii="Palatino Linotype" w:hAnsi="Palatino Linotype" w:cs="Arial"/>
          <w:sz w:val="22"/>
          <w:szCs w:val="22"/>
        </w:rPr>
        <w:t>28</w:t>
      </w:r>
      <w:r w:rsidRPr="006336FA">
        <w:rPr>
          <w:rFonts w:ascii="Palatino Linotype" w:hAnsi="Palatino Linotype" w:cs="Arial"/>
          <w:sz w:val="22"/>
          <w:szCs w:val="22"/>
        </w:rPr>
        <w:t xml:space="preserve"> de </w:t>
      </w:r>
      <w:r w:rsidR="00D003F3">
        <w:rPr>
          <w:rFonts w:ascii="Palatino Linotype" w:hAnsi="Palatino Linotype" w:cs="Arial"/>
          <w:sz w:val="22"/>
          <w:szCs w:val="22"/>
        </w:rPr>
        <w:t xml:space="preserve">julio </w:t>
      </w:r>
      <w:r w:rsidRPr="006336FA">
        <w:rPr>
          <w:rFonts w:ascii="Palatino Linotype" w:hAnsi="Palatino Linotype" w:cs="Arial"/>
          <w:sz w:val="22"/>
          <w:szCs w:val="22"/>
        </w:rPr>
        <w:t>de 201</w:t>
      </w:r>
      <w:r w:rsidR="00220E13">
        <w:rPr>
          <w:rFonts w:ascii="Palatino Linotype" w:hAnsi="Palatino Linotype" w:cs="Arial"/>
          <w:sz w:val="22"/>
          <w:szCs w:val="22"/>
        </w:rPr>
        <w:t>6</w:t>
      </w:r>
      <w:r w:rsidRPr="006336FA">
        <w:rPr>
          <w:rFonts w:ascii="Palatino Linotype" w:hAnsi="Palatino Linotype" w:cs="Arial"/>
          <w:sz w:val="22"/>
          <w:szCs w:val="22"/>
        </w:rPr>
        <w:t>.</w:t>
      </w:r>
    </w:p>
    <w:p w:rsidR="00A44DC3" w:rsidRDefault="00A44DC3" w:rsidP="00816DB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816DB2" w:rsidRDefault="00816DB2" w:rsidP="00816DB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D44472" w:rsidRPr="006336FA" w:rsidRDefault="00D44472" w:rsidP="00816DB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302F52" w:rsidRPr="006336FA" w:rsidTr="00A571E2">
        <w:trPr>
          <w:jc w:val="center"/>
        </w:trPr>
        <w:tc>
          <w:tcPr>
            <w:tcW w:w="5575" w:type="dxa"/>
            <w:hideMark/>
          </w:tcPr>
          <w:p w:rsidR="00302F52" w:rsidRPr="006336FA" w:rsidRDefault="00302F52" w:rsidP="00816DB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336FA" w:rsidRDefault="00302F52" w:rsidP="00816DB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b/>
                <w:sz w:val="19"/>
                <w:szCs w:val="19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302F52" w:rsidRPr="006336FA" w:rsidRDefault="005A7785" w:rsidP="00816DB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</w:t>
            </w:r>
            <w:r w:rsidR="00D003F3">
              <w:rPr>
                <w:rFonts w:ascii="Palatino Linotype" w:hAnsi="Palatino Linotype" w:cs="Arial"/>
                <w:sz w:val="19"/>
                <w:szCs w:val="19"/>
              </w:rPr>
              <w:t>.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María Elisa Holmes Roldós</w:t>
            </w:r>
          </w:p>
          <w:p w:rsidR="00302F52" w:rsidRPr="006336FA" w:rsidRDefault="00302F52" w:rsidP="00816DB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 w:rsidR="005A7785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336FA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A01024" w:rsidRPr="006336FA" w:rsidRDefault="00A01024" w:rsidP="00816DB2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6336FA" w:rsidRDefault="00302F52" w:rsidP="00816DB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6336FA" w:rsidRDefault="00302F52" w:rsidP="00816DB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5A7785" w:rsidP="00816DB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La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a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 w:rsidR="00D003F3">
        <w:rPr>
          <w:rFonts w:ascii="Palatino Linotype" w:eastAsia="MS Mincho" w:hAnsi="Palatino Linotype" w:cs="Arial"/>
          <w:sz w:val="22"/>
          <w:szCs w:val="22"/>
        </w:rPr>
        <w:t>a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</w:t>
      </w:r>
      <w:r w:rsidR="000A0F48" w:rsidRPr="006336FA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D003F3">
        <w:rPr>
          <w:rFonts w:ascii="Palatino Linotype" w:eastAsia="MS Mincho" w:hAnsi="Palatino Linotype" w:cs="Arial"/>
          <w:sz w:val="22"/>
          <w:szCs w:val="22"/>
        </w:rPr>
        <w:t>7 de abril</w:t>
      </w:r>
      <w:r w:rsidR="000A0F48" w:rsidRPr="006336FA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D003F3">
        <w:rPr>
          <w:rFonts w:ascii="Palatino Linotype" w:eastAsia="MS Mincho" w:hAnsi="Palatino Linotype" w:cs="Arial"/>
          <w:sz w:val="22"/>
          <w:szCs w:val="22"/>
        </w:rPr>
        <w:t>28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D003F3">
        <w:rPr>
          <w:rFonts w:ascii="Palatino Linotype" w:eastAsia="MS Mincho" w:hAnsi="Palatino Linotype" w:cs="Arial"/>
          <w:sz w:val="22"/>
          <w:szCs w:val="22"/>
        </w:rPr>
        <w:t xml:space="preserve">julio 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>de 201</w:t>
      </w:r>
      <w:r w:rsidR="00220E13">
        <w:rPr>
          <w:rFonts w:ascii="Palatino Linotype" w:eastAsia="MS Mincho" w:hAnsi="Palatino Linotype" w:cs="Arial"/>
          <w:sz w:val="22"/>
          <w:szCs w:val="22"/>
        </w:rPr>
        <w:t>6</w:t>
      </w:r>
      <w:r w:rsidR="00302F52" w:rsidRPr="006336F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6336FA" w:rsidRDefault="00302F52" w:rsidP="00816DB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003F3" w:rsidRPr="006336FA" w:rsidRDefault="00D003F3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6336FA" w:rsidRDefault="008079C6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5A7785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5A7785"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003F3" w:rsidRPr="006336FA" w:rsidRDefault="00D003F3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6336FA" w:rsidRDefault="008079C6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302F52" w:rsidRPr="006336FA" w:rsidRDefault="00302F52" w:rsidP="00816DB2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Pr="006336FA" w:rsidRDefault="00A44DC3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6336FA" w:rsidRDefault="00302F52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A7785" w:rsidRPr="006336FA" w:rsidRDefault="005A7785" w:rsidP="00816DB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CA554A" w:rsidRDefault="005A7785" w:rsidP="00176D18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D003F3" w:rsidRPr="00D003F3" w:rsidRDefault="00D003F3" w:rsidP="00D003F3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D003F3" w:rsidRPr="00D003F3" w:rsidSect="008079C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402" w:right="1133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72" w:rsidRDefault="00D44472" w:rsidP="00B14643">
      <w:r>
        <w:separator/>
      </w:r>
    </w:p>
  </w:endnote>
  <w:endnote w:type="continuationSeparator" w:id="0">
    <w:p w:rsidR="00D44472" w:rsidRDefault="00D44472" w:rsidP="00B1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Pr="00723B61" w:rsidRDefault="00D44472">
    <w:pPr>
      <w:pStyle w:val="Piedepgina"/>
      <w:jc w:val="right"/>
      <w:rPr>
        <w:rFonts w:ascii="Palatino Linotype" w:hAnsi="Palatino Linotype"/>
      </w:rPr>
    </w:pPr>
  </w:p>
  <w:p w:rsidR="00D44472" w:rsidRDefault="00D444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Pr="00723B61" w:rsidRDefault="00D44472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Pr="00723B61">
      <w:rPr>
        <w:rFonts w:ascii="Palatino Linotype" w:hAnsi="Palatino Linotype"/>
        <w:b/>
        <w:sz w:val="24"/>
        <w:szCs w:val="24"/>
      </w:rPr>
      <w:fldChar w:fldCharType="separate"/>
    </w:r>
    <w:r w:rsidR="00495310">
      <w:rPr>
        <w:rFonts w:ascii="Palatino Linotype" w:hAnsi="Palatino Linotype"/>
        <w:b/>
        <w:noProof/>
      </w:rPr>
      <w:t>10</w:t>
    </w:r>
    <w:r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>
      <w:rPr>
        <w:rFonts w:ascii="Palatino Linotype" w:hAnsi="Palatino Linotype"/>
        <w:b/>
      </w:rPr>
      <w:t>10</w:t>
    </w:r>
  </w:p>
  <w:p w:rsidR="00D44472" w:rsidRDefault="00D44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72" w:rsidRDefault="00D44472" w:rsidP="00B14643">
      <w:r>
        <w:separator/>
      </w:r>
    </w:p>
  </w:footnote>
  <w:footnote w:type="continuationSeparator" w:id="0">
    <w:p w:rsidR="00D44472" w:rsidRDefault="00D44472" w:rsidP="00B1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Default="00D44472">
    <w:pPr>
      <w:pStyle w:val="Encabezado"/>
      <w:rPr>
        <w:lang w:val="es-EC"/>
      </w:rPr>
    </w:pPr>
  </w:p>
  <w:p w:rsidR="00D44472" w:rsidRDefault="00D44472">
    <w:pPr>
      <w:pStyle w:val="Encabezado"/>
      <w:rPr>
        <w:lang w:val="es-EC"/>
      </w:rPr>
    </w:pPr>
  </w:p>
  <w:p w:rsidR="00D44472" w:rsidRDefault="00D44472">
    <w:pPr>
      <w:pStyle w:val="Encabezado"/>
      <w:rPr>
        <w:lang w:val="es-EC"/>
      </w:rPr>
    </w:pPr>
  </w:p>
  <w:p w:rsidR="00D44472" w:rsidRDefault="00D44472">
    <w:pPr>
      <w:pStyle w:val="Encabezado"/>
      <w:rPr>
        <w:lang w:val="es-EC"/>
      </w:rPr>
    </w:pPr>
  </w:p>
  <w:p w:rsidR="00D44472" w:rsidRDefault="00D4447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D44472">
    <w:pPr>
      <w:pStyle w:val="Ttulo"/>
      <w:rPr>
        <w:rFonts w:ascii="Palatino Linotype" w:hAnsi="Palatino Linotype" w:cs="Arial"/>
        <w:sz w:val="22"/>
        <w:szCs w:val="22"/>
      </w:rPr>
    </w:pPr>
  </w:p>
  <w:p w:rsidR="00D44472" w:rsidRPr="00D44472" w:rsidRDefault="00D44472" w:rsidP="00D44472">
    <w:pPr>
      <w:pStyle w:val="Ttulo"/>
      <w:spacing w:after="120" w:line="276" w:lineRule="aut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Default="00D444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Default="00D4447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D44472" w:rsidRPr="00D44472" w:rsidRDefault="00D44472" w:rsidP="00D44472">
    <w:pPr>
      <w:pStyle w:val="Ttulo"/>
      <w:spacing w:after="120" w:line="276" w:lineRule="auto"/>
      <w:rPr>
        <w:rFonts w:ascii="Palatino Linotype" w:hAnsi="Palatino Linotype" w:cs="Arial"/>
        <w:sz w:val="22"/>
        <w:szCs w:val="22"/>
      </w:rPr>
    </w:pPr>
    <w:r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72" w:rsidRDefault="00D44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01BE"/>
    <w:multiLevelType w:val="hybridMultilevel"/>
    <w:tmpl w:val="4D36A9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926034"/>
    <w:multiLevelType w:val="hybridMultilevel"/>
    <w:tmpl w:val="FBCECF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E7148"/>
    <w:multiLevelType w:val="hybridMultilevel"/>
    <w:tmpl w:val="50BA40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7152"/>
    <w:multiLevelType w:val="hybridMultilevel"/>
    <w:tmpl w:val="B2CA95D6"/>
    <w:lvl w:ilvl="0" w:tplc="30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C2482"/>
    <w:multiLevelType w:val="hybridMultilevel"/>
    <w:tmpl w:val="99467C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84D9B"/>
    <w:multiLevelType w:val="hybridMultilevel"/>
    <w:tmpl w:val="ED4653EE"/>
    <w:lvl w:ilvl="0" w:tplc="30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14F72"/>
    <w:multiLevelType w:val="hybridMultilevel"/>
    <w:tmpl w:val="061C9C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63B5A"/>
    <w:multiLevelType w:val="hybridMultilevel"/>
    <w:tmpl w:val="7C703E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B15FB"/>
    <w:multiLevelType w:val="hybridMultilevel"/>
    <w:tmpl w:val="C1E02F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E455B"/>
    <w:multiLevelType w:val="hybridMultilevel"/>
    <w:tmpl w:val="EA7C38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"/>
  </w:num>
  <w:num w:numId="11">
    <w:abstractNumId w:val="36"/>
  </w:num>
  <w:num w:numId="12">
    <w:abstractNumId w:val="1"/>
  </w:num>
  <w:num w:numId="13">
    <w:abstractNumId w:val="37"/>
  </w:num>
  <w:num w:numId="14">
    <w:abstractNumId w:val="28"/>
  </w:num>
  <w:num w:numId="15">
    <w:abstractNumId w:val="13"/>
  </w:num>
  <w:num w:numId="16">
    <w:abstractNumId w:val="18"/>
  </w:num>
  <w:num w:numId="17">
    <w:abstractNumId w:val="12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2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5"/>
  </w:num>
  <w:num w:numId="28">
    <w:abstractNumId w:val="21"/>
  </w:num>
  <w:num w:numId="29">
    <w:abstractNumId w:val="35"/>
  </w:num>
  <w:num w:numId="30">
    <w:abstractNumId w:val="11"/>
  </w:num>
  <w:num w:numId="31">
    <w:abstractNumId w:val="27"/>
  </w:num>
  <w:num w:numId="32">
    <w:abstractNumId w:val="14"/>
  </w:num>
  <w:num w:numId="33">
    <w:abstractNumId w:val="24"/>
  </w:num>
  <w:num w:numId="34">
    <w:abstractNumId w:val="6"/>
  </w:num>
  <w:num w:numId="35">
    <w:abstractNumId w:val="16"/>
  </w:num>
  <w:num w:numId="36">
    <w:abstractNumId w:val="15"/>
  </w:num>
  <w:num w:numId="37">
    <w:abstractNumId w:val="38"/>
  </w:num>
  <w:num w:numId="38">
    <w:abstractNumId w:val="3"/>
  </w:num>
  <w:num w:numId="39">
    <w:abstractNumId w:val="9"/>
  </w:num>
  <w:num w:numId="40">
    <w:abstractNumId w:val="32"/>
  </w:num>
  <w:num w:numId="41">
    <w:abstractNumId w:val="2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53F"/>
    <w:rsid w:val="00070E32"/>
    <w:rsid w:val="000726A0"/>
    <w:rsid w:val="00074B5F"/>
    <w:rsid w:val="00077615"/>
    <w:rsid w:val="0008239D"/>
    <w:rsid w:val="00090566"/>
    <w:rsid w:val="000926DD"/>
    <w:rsid w:val="000950B5"/>
    <w:rsid w:val="00097181"/>
    <w:rsid w:val="000A0F48"/>
    <w:rsid w:val="000A124A"/>
    <w:rsid w:val="000A2823"/>
    <w:rsid w:val="000A3329"/>
    <w:rsid w:val="000A3E7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388A"/>
    <w:rsid w:val="000F4323"/>
    <w:rsid w:val="000F577D"/>
    <w:rsid w:val="00101D99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221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76D18"/>
    <w:rsid w:val="00184A73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014"/>
    <w:rsid w:val="001C5676"/>
    <w:rsid w:val="001C5B7C"/>
    <w:rsid w:val="001D2138"/>
    <w:rsid w:val="001D27BC"/>
    <w:rsid w:val="001D2853"/>
    <w:rsid w:val="001D28A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2B7E"/>
    <w:rsid w:val="00203A7C"/>
    <w:rsid w:val="00203D43"/>
    <w:rsid w:val="002076F1"/>
    <w:rsid w:val="00210534"/>
    <w:rsid w:val="00210EC5"/>
    <w:rsid w:val="00212D0E"/>
    <w:rsid w:val="002149A1"/>
    <w:rsid w:val="002151EE"/>
    <w:rsid w:val="00220E13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1989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429"/>
    <w:rsid w:val="002C2A63"/>
    <w:rsid w:val="002C3D9C"/>
    <w:rsid w:val="002C6383"/>
    <w:rsid w:val="002D0E3E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1D3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0D5E"/>
    <w:rsid w:val="003336D9"/>
    <w:rsid w:val="00336F6D"/>
    <w:rsid w:val="00341621"/>
    <w:rsid w:val="0034212F"/>
    <w:rsid w:val="00344324"/>
    <w:rsid w:val="00345E3C"/>
    <w:rsid w:val="00346972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1ADA"/>
    <w:rsid w:val="003834FF"/>
    <w:rsid w:val="00383E00"/>
    <w:rsid w:val="003843CA"/>
    <w:rsid w:val="003843DB"/>
    <w:rsid w:val="003870B9"/>
    <w:rsid w:val="003946FB"/>
    <w:rsid w:val="003953BD"/>
    <w:rsid w:val="003958F3"/>
    <w:rsid w:val="0039693E"/>
    <w:rsid w:val="00397154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1ABC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4932"/>
    <w:rsid w:val="0048545E"/>
    <w:rsid w:val="004868B3"/>
    <w:rsid w:val="00487381"/>
    <w:rsid w:val="00487ABE"/>
    <w:rsid w:val="00492BEE"/>
    <w:rsid w:val="00495310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D7B61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32C2"/>
    <w:rsid w:val="0050724E"/>
    <w:rsid w:val="00510372"/>
    <w:rsid w:val="00511176"/>
    <w:rsid w:val="00516E13"/>
    <w:rsid w:val="00516FFD"/>
    <w:rsid w:val="005222E0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1431"/>
    <w:rsid w:val="0054440D"/>
    <w:rsid w:val="00544EEB"/>
    <w:rsid w:val="00545995"/>
    <w:rsid w:val="005473C3"/>
    <w:rsid w:val="00550DC7"/>
    <w:rsid w:val="00554B2F"/>
    <w:rsid w:val="0055533F"/>
    <w:rsid w:val="0055677A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0643"/>
    <w:rsid w:val="00581B8B"/>
    <w:rsid w:val="005831C5"/>
    <w:rsid w:val="00587621"/>
    <w:rsid w:val="005878A2"/>
    <w:rsid w:val="0058791B"/>
    <w:rsid w:val="00590CEC"/>
    <w:rsid w:val="005925D4"/>
    <w:rsid w:val="00594578"/>
    <w:rsid w:val="00595261"/>
    <w:rsid w:val="00595499"/>
    <w:rsid w:val="005A5EB9"/>
    <w:rsid w:val="005A7785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D6DFC"/>
    <w:rsid w:val="005E0184"/>
    <w:rsid w:val="005E4085"/>
    <w:rsid w:val="005E64B1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36F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1E84"/>
    <w:rsid w:val="00664DB0"/>
    <w:rsid w:val="0066756C"/>
    <w:rsid w:val="00667CBB"/>
    <w:rsid w:val="00670025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25ED"/>
    <w:rsid w:val="006B357E"/>
    <w:rsid w:val="006C23B8"/>
    <w:rsid w:val="006C53D9"/>
    <w:rsid w:val="006D3AAD"/>
    <w:rsid w:val="006D3DD7"/>
    <w:rsid w:val="006D6757"/>
    <w:rsid w:val="006D7BAE"/>
    <w:rsid w:val="006E111C"/>
    <w:rsid w:val="006E2129"/>
    <w:rsid w:val="006E2294"/>
    <w:rsid w:val="006E24E6"/>
    <w:rsid w:val="006E3791"/>
    <w:rsid w:val="006E56AD"/>
    <w:rsid w:val="006F435D"/>
    <w:rsid w:val="006F4DF0"/>
    <w:rsid w:val="006F5682"/>
    <w:rsid w:val="006F5A11"/>
    <w:rsid w:val="006F68C0"/>
    <w:rsid w:val="006F77BC"/>
    <w:rsid w:val="00701131"/>
    <w:rsid w:val="007029A0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31"/>
    <w:rsid w:val="007259B0"/>
    <w:rsid w:val="00725EF6"/>
    <w:rsid w:val="00726EC8"/>
    <w:rsid w:val="00727DE4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200E"/>
    <w:rsid w:val="007C54B6"/>
    <w:rsid w:val="007C7FCF"/>
    <w:rsid w:val="007D4E08"/>
    <w:rsid w:val="007D62F0"/>
    <w:rsid w:val="007E2C33"/>
    <w:rsid w:val="007E3D3E"/>
    <w:rsid w:val="007F0371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DB2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3FAC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4C11"/>
    <w:rsid w:val="009F504C"/>
    <w:rsid w:val="009F7CD5"/>
    <w:rsid w:val="00A01024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0905"/>
    <w:rsid w:val="00A4271A"/>
    <w:rsid w:val="00A44DC3"/>
    <w:rsid w:val="00A44F2B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6186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69DA"/>
    <w:rsid w:val="00B072AF"/>
    <w:rsid w:val="00B125FD"/>
    <w:rsid w:val="00B12E92"/>
    <w:rsid w:val="00B13ABD"/>
    <w:rsid w:val="00B14643"/>
    <w:rsid w:val="00B20086"/>
    <w:rsid w:val="00B207A5"/>
    <w:rsid w:val="00B21732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0832"/>
    <w:rsid w:val="00B742EF"/>
    <w:rsid w:val="00B74318"/>
    <w:rsid w:val="00B7468B"/>
    <w:rsid w:val="00B747F5"/>
    <w:rsid w:val="00B74F7F"/>
    <w:rsid w:val="00B80823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57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6E0B"/>
    <w:rsid w:val="00C27958"/>
    <w:rsid w:val="00C3085E"/>
    <w:rsid w:val="00C31999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4C65"/>
    <w:rsid w:val="00C9504D"/>
    <w:rsid w:val="00C96AAE"/>
    <w:rsid w:val="00CA4237"/>
    <w:rsid w:val="00CA554A"/>
    <w:rsid w:val="00CA6DDF"/>
    <w:rsid w:val="00CA731F"/>
    <w:rsid w:val="00CB5645"/>
    <w:rsid w:val="00CB56E6"/>
    <w:rsid w:val="00CB5B78"/>
    <w:rsid w:val="00CB5F45"/>
    <w:rsid w:val="00CC07E1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E751E"/>
    <w:rsid w:val="00CF350D"/>
    <w:rsid w:val="00CF3C94"/>
    <w:rsid w:val="00CF6872"/>
    <w:rsid w:val="00D003F3"/>
    <w:rsid w:val="00D005A3"/>
    <w:rsid w:val="00D0199B"/>
    <w:rsid w:val="00D0271B"/>
    <w:rsid w:val="00D04849"/>
    <w:rsid w:val="00D057C6"/>
    <w:rsid w:val="00D071B4"/>
    <w:rsid w:val="00D123D9"/>
    <w:rsid w:val="00D17A49"/>
    <w:rsid w:val="00D20544"/>
    <w:rsid w:val="00D21B39"/>
    <w:rsid w:val="00D2233B"/>
    <w:rsid w:val="00D23621"/>
    <w:rsid w:val="00D23741"/>
    <w:rsid w:val="00D238EF"/>
    <w:rsid w:val="00D25592"/>
    <w:rsid w:val="00D26767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472"/>
    <w:rsid w:val="00D44738"/>
    <w:rsid w:val="00D458F1"/>
    <w:rsid w:val="00D503B8"/>
    <w:rsid w:val="00D50C10"/>
    <w:rsid w:val="00D50EE9"/>
    <w:rsid w:val="00D6298B"/>
    <w:rsid w:val="00D64B17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968EF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397D"/>
    <w:rsid w:val="00E06ACC"/>
    <w:rsid w:val="00E07811"/>
    <w:rsid w:val="00E123FB"/>
    <w:rsid w:val="00E130CF"/>
    <w:rsid w:val="00E16E4D"/>
    <w:rsid w:val="00E23B34"/>
    <w:rsid w:val="00E2474D"/>
    <w:rsid w:val="00E25D18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46CCC"/>
    <w:rsid w:val="00E506FA"/>
    <w:rsid w:val="00E515DC"/>
    <w:rsid w:val="00E51A77"/>
    <w:rsid w:val="00E552C1"/>
    <w:rsid w:val="00E60674"/>
    <w:rsid w:val="00E649A7"/>
    <w:rsid w:val="00E64F9D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355D"/>
    <w:rsid w:val="00EE5DE1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4F6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30B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5EAE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7F29-62A7-4A98-A3CA-F9275AB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3471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Diego Sebastian Cevallos Salgado</cp:lastModifiedBy>
  <cp:revision>3</cp:revision>
  <cp:lastPrinted>2016-08-01T15:31:00Z</cp:lastPrinted>
  <dcterms:created xsi:type="dcterms:W3CDTF">2016-08-01T14:36:00Z</dcterms:created>
  <dcterms:modified xsi:type="dcterms:W3CDTF">2016-08-01T15:35:00Z</dcterms:modified>
</cp:coreProperties>
</file>