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D64B17">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661E84">
        <w:rPr>
          <w:rFonts w:ascii="Palatino Linotype" w:hAnsi="Palatino Linotype" w:cs="Arial"/>
          <w:b w:val="0"/>
          <w:sz w:val="22"/>
          <w:szCs w:val="22"/>
        </w:rPr>
        <w:t>“El Carmen”</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661E84">
        <w:rPr>
          <w:rFonts w:ascii="Palatino Linotype" w:hAnsi="Palatino Linotype" w:cs="Arial"/>
          <w:b w:val="0"/>
          <w:sz w:val="22"/>
          <w:szCs w:val="22"/>
        </w:rPr>
        <w:t>14</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w:t>
      </w:r>
      <w:r w:rsidR="00661E84">
        <w:rPr>
          <w:rFonts w:ascii="Palatino Linotype" w:hAnsi="Palatino Linotype" w:cs="Arial"/>
          <w:b w:val="0"/>
          <w:sz w:val="22"/>
          <w:szCs w:val="22"/>
        </w:rPr>
        <w:t>64</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661E84">
        <w:rPr>
          <w:rFonts w:ascii="Palatino Linotype" w:hAnsi="Palatino Linotype" w:cs="Arial"/>
          <w:b w:val="0"/>
          <w:sz w:val="22"/>
          <w:szCs w:val="22"/>
        </w:rPr>
        <w:t>“El Carmen”</w:t>
      </w:r>
      <w:r>
        <w:rPr>
          <w:rFonts w:ascii="Palatino Linotype" w:hAnsi="Palatino Linotype" w:cs="Arial"/>
          <w:b w:val="0"/>
          <w:sz w:val="22"/>
          <w:szCs w:val="22"/>
        </w:rPr>
        <w:t>, a fin de garantizar a los beneficiarios el ejercicio de su derecho a la vivienda y el acceso a servicios básicos de calidad</w:t>
      </w:r>
      <w:r w:rsidR="00633AC7">
        <w:rPr>
          <w:rFonts w:ascii="Palatino Linotype" w:hAnsi="Palatino Linotype" w:cs="Arial"/>
          <w:b w:val="0"/>
          <w:sz w:val="22"/>
          <w:szCs w:val="22"/>
        </w:rPr>
        <w:t>.</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D23741">
        <w:rPr>
          <w:rFonts w:ascii="Palatino Linotype" w:hAnsi="Palatino Linotype" w:cs="Arial"/>
          <w:sz w:val="22"/>
          <w:szCs w:val="22"/>
        </w:rPr>
        <w:t>0</w:t>
      </w:r>
      <w:r w:rsidR="00661E84">
        <w:rPr>
          <w:rFonts w:ascii="Palatino Linotype" w:hAnsi="Palatino Linotype" w:cs="Arial"/>
          <w:sz w:val="22"/>
          <w:szCs w:val="22"/>
        </w:rPr>
        <w:t>19</w:t>
      </w:r>
      <w:r w:rsidR="007F3A59" w:rsidRPr="006336FA">
        <w:rPr>
          <w:rFonts w:ascii="Palatino Linotype" w:hAnsi="Palatino Linotype" w:cs="Arial"/>
          <w:sz w:val="22"/>
          <w:szCs w:val="22"/>
        </w:rPr>
        <w:t xml:space="preserve">, de </w:t>
      </w:r>
      <w:r w:rsidR="00580643">
        <w:rPr>
          <w:rFonts w:ascii="Palatino Linotype" w:hAnsi="Palatino Linotype" w:cs="Arial"/>
          <w:sz w:val="22"/>
          <w:szCs w:val="22"/>
        </w:rPr>
        <w:t>13</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961F33" w:rsidRPr="006336FA" w:rsidRDefault="00961F33" w:rsidP="00961F33">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controlar, </w:t>
      </w:r>
      <w:r w:rsidRPr="006336FA">
        <w:rPr>
          <w:rFonts w:ascii="Palatino Linotype" w:hAnsi="Palatino Linotype" w:cs="Arial"/>
          <w:i/>
          <w:iCs/>
        </w:rPr>
        <w:lastRenderedPageBreak/>
        <w:t>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580643">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D23741" w:rsidRDefault="003843CA" w:rsidP="00D23741">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661E84" w:rsidRPr="00864FDE" w:rsidRDefault="00661E84" w:rsidP="00661E84">
      <w:pPr>
        <w:spacing w:after="240" w:line="276" w:lineRule="auto"/>
        <w:ind w:left="454" w:hanging="539"/>
        <w:jc w:val="both"/>
        <w:rPr>
          <w:rFonts w:ascii="Palatino Linotype" w:hAnsi="Palatino Linotype" w:cs="Arial"/>
          <w:sz w:val="22"/>
          <w:szCs w:val="22"/>
        </w:rPr>
      </w:pPr>
      <w:r w:rsidRPr="00B01691">
        <w:rPr>
          <w:rFonts w:ascii="Palatino Linotype" w:hAnsi="Palatino Linotype"/>
          <w:b/>
          <w:bCs/>
          <w:sz w:val="22"/>
          <w:szCs w:val="22"/>
        </w:rPr>
        <w:t>Que,</w:t>
      </w:r>
      <w:r w:rsidRPr="002668E9">
        <w:rPr>
          <w:rFonts w:ascii="Palatino Linotype" w:hAnsi="Palatino Linotype"/>
        </w:rPr>
        <w:t xml:space="preserve"> </w:t>
      </w:r>
      <w:r w:rsidRPr="00864FDE">
        <w:rPr>
          <w:rFonts w:ascii="Palatino Linotype" w:hAnsi="Palatino Linotype"/>
          <w:sz w:val="22"/>
          <w:szCs w:val="22"/>
        </w:rPr>
        <w:t xml:space="preserve">la Mesa Institucional de Trabajo, reunida el 9 de </w:t>
      </w:r>
      <w:r>
        <w:rPr>
          <w:rFonts w:ascii="Palatino Linotype" w:hAnsi="Palatino Linotype"/>
          <w:sz w:val="22"/>
          <w:szCs w:val="22"/>
        </w:rPr>
        <w:t>d</w:t>
      </w:r>
      <w:r w:rsidRPr="00864FDE">
        <w:rPr>
          <w:rFonts w:ascii="Palatino Linotype" w:hAnsi="Palatino Linotype"/>
          <w:sz w:val="22"/>
          <w:szCs w:val="22"/>
        </w:rPr>
        <w:t xml:space="preserve">iciembre de 2015, en la Administración Zonal Eloy Alfaro, integrada por los representantes de los siguientes órganos y </w:t>
      </w:r>
      <w:r w:rsidRPr="00864FDE">
        <w:rPr>
          <w:rFonts w:ascii="Palatino Linotype" w:hAnsi="Palatino Linotype"/>
          <w:sz w:val="22"/>
          <w:szCs w:val="22"/>
        </w:rPr>
        <w:lastRenderedPageBreak/>
        <w:t xml:space="preserve">dependencias: Ing. Edwin </w:t>
      </w:r>
      <w:proofErr w:type="spellStart"/>
      <w:r w:rsidRPr="00864FDE">
        <w:rPr>
          <w:rFonts w:ascii="Palatino Linotype" w:hAnsi="Palatino Linotype"/>
          <w:sz w:val="22"/>
          <w:szCs w:val="22"/>
        </w:rPr>
        <w:t>Bosmediano</w:t>
      </w:r>
      <w:proofErr w:type="spellEnd"/>
      <w:r w:rsidRPr="00864FDE">
        <w:rPr>
          <w:rFonts w:ascii="Palatino Linotype" w:hAnsi="Palatino Linotype"/>
          <w:sz w:val="22"/>
          <w:szCs w:val="22"/>
        </w:rPr>
        <w:t xml:space="preserve">, Administrador Zonal Eloy Alfaro; Arq. Miguel Hidalgo, Coordinador UERB-Q (E); </w:t>
      </w:r>
      <w:r w:rsidRPr="00864FDE">
        <w:rPr>
          <w:rFonts w:ascii="Palatino Linotype" w:hAnsi="Palatino Linotype" w:cs="Arial"/>
          <w:sz w:val="22"/>
          <w:szCs w:val="22"/>
        </w:rPr>
        <w:t xml:space="preserve">Arq. Edgar Flores </w:t>
      </w:r>
      <w:r w:rsidRPr="00864FDE">
        <w:rPr>
          <w:rFonts w:ascii="Palatino Linotype" w:hAnsi="Palatino Linotype"/>
          <w:sz w:val="22"/>
          <w:szCs w:val="22"/>
        </w:rPr>
        <w:t xml:space="preserve"> Delegado de la Secretaría de Territorio, Hábitat y Vivienda;</w:t>
      </w:r>
      <w:r w:rsidRPr="00864FDE">
        <w:rPr>
          <w:rFonts w:ascii="Palatino Linotype" w:hAnsi="Palatino Linotype" w:cs="Arial"/>
          <w:sz w:val="22"/>
          <w:szCs w:val="22"/>
        </w:rPr>
        <w:t xml:space="preserve"> Sr. Miguel </w:t>
      </w:r>
      <w:proofErr w:type="spellStart"/>
      <w:r w:rsidRPr="00864FDE">
        <w:rPr>
          <w:rFonts w:ascii="Palatino Linotype" w:hAnsi="Palatino Linotype" w:cs="Arial"/>
          <w:sz w:val="22"/>
          <w:szCs w:val="22"/>
        </w:rPr>
        <w:t>Bosquez</w:t>
      </w:r>
      <w:proofErr w:type="spellEnd"/>
      <w:r w:rsidRPr="00864FDE">
        <w:rPr>
          <w:rFonts w:ascii="Palatino Linotype" w:hAnsi="Palatino Linotype" w:cs="Arial"/>
          <w:sz w:val="22"/>
          <w:szCs w:val="22"/>
        </w:rPr>
        <w:t xml:space="preserve"> </w:t>
      </w:r>
      <w:r w:rsidRPr="00864FDE">
        <w:rPr>
          <w:rFonts w:ascii="Palatino Linotype" w:hAnsi="Palatino Linotype"/>
          <w:sz w:val="22"/>
          <w:szCs w:val="22"/>
        </w:rPr>
        <w:t xml:space="preserve">Delegado de la  Dirección Metropolitana de Catastro; Ing. Marco </w:t>
      </w:r>
      <w:proofErr w:type="spellStart"/>
      <w:r w:rsidRPr="00864FDE">
        <w:rPr>
          <w:rFonts w:ascii="Palatino Linotype" w:hAnsi="Palatino Linotype"/>
          <w:sz w:val="22"/>
          <w:szCs w:val="22"/>
        </w:rPr>
        <w:t>Manobanda</w:t>
      </w:r>
      <w:proofErr w:type="spellEnd"/>
      <w:r w:rsidRPr="00864FDE">
        <w:rPr>
          <w:rFonts w:ascii="Palatino Linotype" w:hAnsi="Palatino Linotype"/>
          <w:sz w:val="22"/>
          <w:szCs w:val="22"/>
        </w:rPr>
        <w:t xml:space="preserve">, Delegado de la Secretaría de Gestión de Riesgos; Arq. Carlos Guerra, Dirección de Gestión del Territorio Zonal Eloy Alfaro, </w:t>
      </w:r>
      <w:r>
        <w:rPr>
          <w:rFonts w:ascii="Palatino Linotype" w:hAnsi="Palatino Linotype"/>
          <w:sz w:val="22"/>
          <w:szCs w:val="22"/>
        </w:rPr>
        <w:t xml:space="preserve">Abg. Patricia </w:t>
      </w:r>
      <w:proofErr w:type="spellStart"/>
      <w:r>
        <w:rPr>
          <w:rFonts w:ascii="Palatino Linotype" w:hAnsi="Palatino Linotype"/>
          <w:sz w:val="22"/>
          <w:szCs w:val="22"/>
        </w:rPr>
        <w:t>Pomboz</w:t>
      </w:r>
      <w:r w:rsidRPr="00864FDE">
        <w:rPr>
          <w:rFonts w:ascii="Palatino Linotype" w:hAnsi="Palatino Linotype"/>
          <w:sz w:val="22"/>
          <w:szCs w:val="22"/>
        </w:rPr>
        <w:t>a</w:t>
      </w:r>
      <w:proofErr w:type="spellEnd"/>
      <w:r w:rsidRPr="00864FDE">
        <w:rPr>
          <w:rFonts w:ascii="Palatino Linotype" w:hAnsi="Palatino Linotype"/>
          <w:sz w:val="22"/>
          <w:szCs w:val="22"/>
        </w:rPr>
        <w:t xml:space="preserve">, Dirección de Asesoría Jurídica Zonal Eloy Alfaro (E); Dr. Mario Guerra Responsable Legal, Lcda. </w:t>
      </w:r>
      <w:proofErr w:type="spellStart"/>
      <w:r w:rsidRPr="00864FDE">
        <w:rPr>
          <w:rFonts w:ascii="Palatino Linotype" w:hAnsi="Palatino Linotype"/>
          <w:sz w:val="22"/>
          <w:szCs w:val="22"/>
        </w:rPr>
        <w:t>Gianyna</w:t>
      </w:r>
      <w:proofErr w:type="spellEnd"/>
      <w:r w:rsidRPr="00864FDE">
        <w:rPr>
          <w:rFonts w:ascii="Palatino Linotype" w:hAnsi="Palatino Linotype"/>
          <w:sz w:val="22"/>
          <w:szCs w:val="22"/>
        </w:rPr>
        <w:t xml:space="preserve"> Rosero, Responsable Socio- Organizativo, de la Unidad Especial Regula Tu Barrio, </w:t>
      </w:r>
      <w:r w:rsidRPr="00864FDE">
        <w:rPr>
          <w:rFonts w:ascii="Palatino Linotype" w:hAnsi="Palatino Linotype"/>
          <w:iCs/>
          <w:sz w:val="22"/>
          <w:szCs w:val="22"/>
        </w:rPr>
        <w:t>emitió</w:t>
      </w:r>
      <w:r>
        <w:rPr>
          <w:rFonts w:ascii="Palatino Linotype" w:hAnsi="Palatino Linotype"/>
          <w:iCs/>
          <w:sz w:val="22"/>
          <w:szCs w:val="22"/>
        </w:rPr>
        <w:t xml:space="preserve"> </w:t>
      </w:r>
      <w:r w:rsidRPr="00864FDE">
        <w:rPr>
          <w:rFonts w:ascii="Palatino Linotype" w:hAnsi="Palatino Linotype"/>
          <w:iCs/>
          <w:sz w:val="22"/>
          <w:szCs w:val="22"/>
        </w:rPr>
        <w:t xml:space="preserve">el </w:t>
      </w:r>
      <w:r w:rsidRPr="00864FDE">
        <w:rPr>
          <w:rFonts w:ascii="Palatino Linotype" w:hAnsi="Palatino Linotype"/>
          <w:sz w:val="22"/>
          <w:szCs w:val="22"/>
        </w:rPr>
        <w:t xml:space="preserve">informe No. 005-UERB-E-SOLT-2015, para la aprobación del Asentamiento Humano de Hecho y Consolidado denominado </w:t>
      </w:r>
      <w:r w:rsidRPr="00864FDE">
        <w:rPr>
          <w:rFonts w:ascii="Palatino Linotype" w:hAnsi="Palatino Linotype" w:cstheme="minorHAnsi"/>
          <w:sz w:val="22"/>
          <w:szCs w:val="22"/>
        </w:rPr>
        <w:t>“El Carmen”</w:t>
      </w:r>
      <w:r>
        <w:rPr>
          <w:rFonts w:ascii="Palatino Linotype" w:hAnsi="Palatino Linotype" w:cstheme="minorHAnsi"/>
          <w:sz w:val="22"/>
          <w:szCs w:val="22"/>
        </w:rPr>
        <w:t>,</w:t>
      </w:r>
      <w:r w:rsidRPr="00864FDE">
        <w:rPr>
          <w:rFonts w:ascii="Palatino Linotype" w:hAnsi="Palatino Linotype" w:cstheme="minorHAnsi"/>
          <w:sz w:val="22"/>
          <w:szCs w:val="22"/>
        </w:rPr>
        <w:t xml:space="preserve"> a </w:t>
      </w:r>
      <w:r>
        <w:rPr>
          <w:rFonts w:ascii="Palatino Linotype" w:hAnsi="Palatino Linotype" w:cstheme="minorHAnsi"/>
          <w:sz w:val="22"/>
          <w:szCs w:val="22"/>
        </w:rPr>
        <w:t>f</w:t>
      </w:r>
      <w:r w:rsidRPr="00864FDE">
        <w:rPr>
          <w:rFonts w:ascii="Palatino Linotype" w:hAnsi="Palatino Linotype" w:cstheme="minorHAnsi"/>
          <w:sz w:val="22"/>
          <w:szCs w:val="22"/>
        </w:rPr>
        <w:t xml:space="preserve">avor de sus </w:t>
      </w:r>
      <w:r>
        <w:rPr>
          <w:rFonts w:ascii="Palatino Linotype" w:hAnsi="Palatino Linotype" w:cstheme="minorHAnsi"/>
          <w:sz w:val="22"/>
          <w:szCs w:val="22"/>
        </w:rPr>
        <w:t>c</w:t>
      </w:r>
      <w:r w:rsidRPr="00864FDE">
        <w:rPr>
          <w:rFonts w:ascii="Palatino Linotype" w:hAnsi="Palatino Linotype" w:cstheme="minorHAnsi"/>
          <w:sz w:val="22"/>
          <w:szCs w:val="22"/>
        </w:rPr>
        <w:t>opropietarios.</w:t>
      </w:r>
    </w:p>
    <w:p w:rsidR="008079C6" w:rsidRPr="00D23741" w:rsidRDefault="008079C6" w:rsidP="00D2374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D23741" w:rsidRDefault="00C52450" w:rsidP="00661E84">
      <w:pPr>
        <w:spacing w:after="240" w:line="276" w:lineRule="auto"/>
        <w:jc w:val="center"/>
        <w:rPr>
          <w:rFonts w:ascii="Palatino Linotype" w:hAnsi="Palatino Linotype"/>
          <w:b/>
          <w:sz w:val="22"/>
          <w:szCs w:val="22"/>
        </w:rPr>
      </w:pPr>
      <w:r w:rsidRPr="00D23741">
        <w:rPr>
          <w:rFonts w:ascii="Palatino Linotype" w:hAnsi="Palatino Linotype"/>
          <w:b/>
          <w:sz w:val="22"/>
          <w:szCs w:val="22"/>
        </w:rPr>
        <w:t>EXPIDE</w:t>
      </w:r>
      <w:r w:rsidR="00B452F1" w:rsidRPr="00D23741">
        <w:rPr>
          <w:rFonts w:ascii="Palatino Linotype" w:hAnsi="Palatino Linotype"/>
          <w:b/>
          <w:sz w:val="22"/>
          <w:szCs w:val="22"/>
        </w:rPr>
        <w:t xml:space="preserve"> LA SIGUIENTE</w:t>
      </w:r>
      <w:r w:rsidR="007863C1" w:rsidRPr="00D23741">
        <w:rPr>
          <w:rFonts w:ascii="Palatino Linotype" w:hAnsi="Palatino Linotype"/>
          <w:b/>
          <w:sz w:val="22"/>
          <w:szCs w:val="22"/>
        </w:rPr>
        <w:t>:</w:t>
      </w:r>
    </w:p>
    <w:p w:rsidR="00661E84" w:rsidRPr="00274C93" w:rsidRDefault="00661E84" w:rsidP="00661E84">
      <w:pPr>
        <w:pStyle w:val="Sinespaciado"/>
        <w:spacing w:after="240" w:line="276" w:lineRule="auto"/>
        <w:jc w:val="center"/>
        <w:outlineLvl w:val="0"/>
        <w:rPr>
          <w:rFonts w:ascii="Palatino Linotype" w:hAnsi="Palatino Linotype" w:cs="Arial"/>
          <w:b/>
        </w:rPr>
      </w:pPr>
      <w:r w:rsidRPr="00AA4753">
        <w:rPr>
          <w:rFonts w:ascii="Palatino Linotype" w:hAnsi="Palatino Linotype" w:cs="Arial"/>
          <w:b/>
        </w:rPr>
        <w:t>ORDENANZA QUE RECONOCE Y</w:t>
      </w:r>
      <w:r>
        <w:rPr>
          <w:rFonts w:ascii="Palatino Linotype" w:hAnsi="Palatino Linotype" w:cs="Arial"/>
          <w:b/>
        </w:rPr>
        <w:t xml:space="preserve"> APRUEBA EL ASENTAMIENTO HUMANO DE HECHO Y CONSOLIDADO DENOMINADO</w:t>
      </w:r>
      <w:r w:rsidRPr="00F42525">
        <w:rPr>
          <w:rFonts w:ascii="Palatino Linotype" w:hAnsi="Palatino Linotype"/>
        </w:rPr>
        <w:t xml:space="preserve"> </w:t>
      </w:r>
      <w:r>
        <w:rPr>
          <w:rFonts w:ascii="Palatino Linotype" w:hAnsi="Palatino Linotype" w:cs="Arial"/>
          <w:b/>
        </w:rPr>
        <w:t>“</w:t>
      </w:r>
      <w:r>
        <w:rPr>
          <w:rFonts w:ascii="Palatino Linotype" w:hAnsi="Palatino Linotype" w:cstheme="minorHAnsi"/>
          <w:b/>
        </w:rPr>
        <w:t>EL CARMEN</w:t>
      </w:r>
      <w:r>
        <w:rPr>
          <w:rFonts w:ascii="Palatino Linotype" w:hAnsi="Palatino Linotype" w:cs="Arial"/>
          <w:b/>
        </w:rPr>
        <w:t>”, A FAVOR DE SUS</w:t>
      </w:r>
      <w:r w:rsidRPr="00E90071">
        <w:rPr>
          <w:rFonts w:ascii="Palatino Linotype" w:hAnsi="Palatino Linotype" w:cs="Arial"/>
          <w:b/>
        </w:rPr>
        <w:t xml:space="preserve"> COPROPIETARIOS  </w:t>
      </w:r>
    </w:p>
    <w:p w:rsidR="00661E84" w:rsidRDefault="00661E84" w:rsidP="00661E84">
      <w:pPr>
        <w:spacing w:after="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proyectista, y dirigentes del predio donde se encuentra el Asentamiento Humano de Hecho y Consolidado denominado </w:t>
      </w:r>
      <w:r w:rsidRPr="00E90071">
        <w:rPr>
          <w:rFonts w:ascii="Palatino Linotype" w:hAnsi="Palatino Linotype"/>
          <w:sz w:val="22"/>
          <w:szCs w:val="22"/>
          <w:lang w:val="es-EC"/>
        </w:rPr>
        <w:t>“</w:t>
      </w:r>
      <w:r>
        <w:rPr>
          <w:rFonts w:ascii="Palatino Linotype" w:hAnsi="Palatino Linotype" w:cstheme="minorHAnsi"/>
          <w:sz w:val="22"/>
          <w:szCs w:val="22"/>
        </w:rPr>
        <w:t>El Carmen</w:t>
      </w:r>
      <w:r w:rsidRPr="00E90071">
        <w:rPr>
          <w:rFonts w:ascii="Palatino Linotype" w:eastAsia="Calibri" w:hAnsi="Palatino Linotype"/>
          <w:sz w:val="22"/>
          <w:szCs w:val="22"/>
          <w:lang w:val="es-EC" w:eastAsia="en-US"/>
        </w:rPr>
        <w:t>”</w:t>
      </w:r>
      <w:r>
        <w:rPr>
          <w:rFonts w:ascii="Palatino Linotype" w:eastAsia="Calibri" w:hAnsi="Palatino Linotype"/>
          <w:sz w:val="22"/>
          <w:szCs w:val="22"/>
          <w:lang w:val="es-EC" w:eastAsia="en-US"/>
        </w:rPr>
        <w:t xml:space="preserve"> a Favor de sus Copropietarios,</w:t>
      </w:r>
      <w:r w:rsidRPr="00AA4753">
        <w:rPr>
          <w:rFonts w:ascii="Palatino Linotype" w:hAnsi="Palatino Linotype"/>
          <w:sz w:val="22"/>
          <w:szCs w:val="22"/>
          <w:lang w:val="es-EC"/>
        </w:rPr>
        <w:t xml:space="preserve"> sin perjuicio de la responsabilidad de quienes revisaron los planos y los documentos legales, excepto en caso de que hayan sido inducidos a engaño.</w:t>
      </w:r>
    </w:p>
    <w:p w:rsidR="00661E84" w:rsidRPr="00F0318F" w:rsidRDefault="00661E84" w:rsidP="00661E84">
      <w:pPr>
        <w:spacing w:after="240" w:line="276" w:lineRule="auto"/>
        <w:jc w:val="both"/>
        <w:rPr>
          <w:rFonts w:ascii="Palatino Linotype" w:hAnsi="Palatino Linotype"/>
          <w:sz w:val="22"/>
          <w:szCs w:val="22"/>
          <w:lang w:val="es-EC"/>
        </w:rPr>
      </w:pPr>
      <w:r w:rsidRPr="00F0318F">
        <w:rPr>
          <w:rFonts w:ascii="Palatino Linotype" w:hAnsi="Palatino Linotype"/>
          <w:sz w:val="22"/>
          <w:szCs w:val="22"/>
          <w:lang w:val="es-EC"/>
        </w:rPr>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 xml:space="preserve">del técnico, de los dirigentes de </w:t>
      </w:r>
      <w:r w:rsidRPr="00E90071">
        <w:rPr>
          <w:rFonts w:ascii="Palatino Linotype" w:hAnsi="Palatino Linotype"/>
          <w:sz w:val="22"/>
          <w:szCs w:val="22"/>
          <w:lang w:val="es-EC"/>
        </w:rPr>
        <w:t>“</w:t>
      </w:r>
      <w:r>
        <w:rPr>
          <w:rFonts w:ascii="Palatino Linotype" w:hAnsi="Palatino Linotype" w:cstheme="minorHAnsi"/>
          <w:sz w:val="22"/>
          <w:szCs w:val="22"/>
        </w:rPr>
        <w:t>El Carmen</w:t>
      </w:r>
      <w:r w:rsidRPr="00E90071">
        <w:rPr>
          <w:rFonts w:ascii="Palatino Linotype" w:eastAsia="Calibri" w:hAnsi="Palatino Linotype"/>
          <w:sz w:val="22"/>
          <w:szCs w:val="22"/>
          <w:lang w:val="es-EC" w:eastAsia="en-US"/>
        </w:rPr>
        <w:t>”</w:t>
      </w:r>
      <w:r>
        <w:rPr>
          <w:rFonts w:ascii="Palatino Linotype" w:eastAsia="Calibri" w:hAnsi="Palatino Linotype"/>
          <w:sz w:val="22"/>
          <w:szCs w:val="22"/>
          <w:lang w:val="es-EC" w:eastAsia="en-US"/>
        </w:rPr>
        <w:t xml:space="preserve"> </w:t>
      </w:r>
      <w:r>
        <w:rPr>
          <w:rFonts w:ascii="Palatino Linotype" w:hAnsi="Palatino Linotype"/>
          <w:sz w:val="22"/>
          <w:szCs w:val="22"/>
          <w:lang w:val="es-EC"/>
        </w:rPr>
        <w:t xml:space="preserve"> </w:t>
      </w:r>
      <w:r>
        <w:rPr>
          <w:rFonts w:ascii="Palatino Linotype" w:eastAsia="Calibri" w:hAnsi="Palatino Linotype"/>
          <w:sz w:val="22"/>
          <w:szCs w:val="22"/>
          <w:lang w:val="es-EC" w:eastAsia="en-US"/>
        </w:rPr>
        <w:t>y sus copropietarios</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661E84" w:rsidRDefault="00661E84" w:rsidP="00661E84">
      <w:pPr>
        <w:spacing w:after="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661E84" w:rsidRDefault="00661E84" w:rsidP="00661E84">
      <w:pPr>
        <w:spacing w:after="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9C0D07" w:rsidRDefault="009C0D07" w:rsidP="00661E84">
      <w:pPr>
        <w:spacing w:after="240" w:line="276" w:lineRule="auto"/>
        <w:jc w:val="both"/>
        <w:rPr>
          <w:rFonts w:ascii="Palatino Linotype" w:hAnsi="Palatino Linotype"/>
          <w:b/>
          <w:bCs/>
          <w:sz w:val="22"/>
          <w:szCs w:val="22"/>
          <w:lang w:val="es-EC"/>
        </w:rPr>
      </w:pPr>
    </w:p>
    <w:p w:rsidR="00661E84" w:rsidRPr="00661E84" w:rsidRDefault="00661E84" w:rsidP="00661E84">
      <w:pPr>
        <w:spacing w:after="240" w:line="276" w:lineRule="auto"/>
        <w:jc w:val="both"/>
        <w:rPr>
          <w:rFonts w:ascii="Palatino Linotype" w:hAnsi="Palatino Linotype"/>
          <w:b/>
          <w:bCs/>
          <w:sz w:val="22"/>
          <w:szCs w:val="22"/>
          <w:lang w:val="es-EC"/>
        </w:rPr>
      </w:pPr>
      <w:r w:rsidRPr="00661E84">
        <w:rPr>
          <w:rFonts w:ascii="Palatino Linotype" w:hAnsi="Palatino Linotype"/>
          <w:b/>
          <w:bCs/>
          <w:sz w:val="22"/>
          <w:szCs w:val="22"/>
          <w:lang w:val="es-EC"/>
        </w:rPr>
        <w:lastRenderedPageBreak/>
        <w:t>Artículo 2.- Especificaciones técnicas.-</w:t>
      </w:r>
    </w:p>
    <w:p w:rsidR="00661E84" w:rsidRPr="00661E84" w:rsidRDefault="00661E84" w:rsidP="00661E84">
      <w:pPr>
        <w:spacing w:after="240" w:line="276" w:lineRule="auto"/>
        <w:jc w:val="both"/>
        <w:rPr>
          <w:rFonts w:ascii="Palatino Linotype" w:hAnsi="Palatino Linotype" w:cstheme="minorHAnsi"/>
          <w:sz w:val="22"/>
          <w:szCs w:val="22"/>
        </w:rPr>
      </w:pPr>
      <w:r w:rsidRPr="00661E84">
        <w:rPr>
          <w:rFonts w:ascii="Palatino Linotype" w:hAnsi="Palatino Linotype" w:cstheme="minorHAnsi"/>
          <w:b/>
          <w:sz w:val="22"/>
          <w:szCs w:val="22"/>
        </w:rPr>
        <w:t>Zonificación:</w:t>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0055677A">
        <w:rPr>
          <w:rFonts w:ascii="Palatino Linotype" w:hAnsi="Palatino Linotype" w:cstheme="minorHAnsi"/>
          <w:b/>
          <w:sz w:val="22"/>
          <w:szCs w:val="22"/>
        </w:rPr>
        <w:tab/>
      </w:r>
      <w:r w:rsidRPr="00661E84">
        <w:rPr>
          <w:rFonts w:ascii="Palatino Linotype" w:hAnsi="Palatino Linotype" w:cstheme="minorHAnsi"/>
          <w:sz w:val="22"/>
          <w:szCs w:val="22"/>
        </w:rPr>
        <w:t>D5 (D304-80)</w:t>
      </w:r>
    </w:p>
    <w:p w:rsidR="00661E84" w:rsidRPr="00661E84" w:rsidRDefault="00661E84" w:rsidP="00661E84">
      <w:pPr>
        <w:spacing w:after="240" w:line="276" w:lineRule="auto"/>
        <w:jc w:val="both"/>
        <w:rPr>
          <w:rFonts w:ascii="Palatino Linotype" w:hAnsi="Palatino Linotype" w:cstheme="minorHAnsi"/>
          <w:sz w:val="22"/>
          <w:szCs w:val="22"/>
        </w:rPr>
      </w:pPr>
      <w:r w:rsidRPr="00661E84">
        <w:rPr>
          <w:rFonts w:ascii="Palatino Linotype" w:hAnsi="Palatino Linotype" w:cstheme="minorHAnsi"/>
          <w:b/>
          <w:sz w:val="22"/>
          <w:szCs w:val="22"/>
        </w:rPr>
        <w:t>Lote mínimo:</w:t>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0055677A">
        <w:rPr>
          <w:rFonts w:ascii="Palatino Linotype" w:hAnsi="Palatino Linotype" w:cstheme="minorHAnsi"/>
          <w:b/>
          <w:sz w:val="22"/>
          <w:szCs w:val="22"/>
        </w:rPr>
        <w:tab/>
      </w:r>
      <w:r w:rsidRPr="00661E84">
        <w:rPr>
          <w:rFonts w:ascii="Palatino Linotype" w:hAnsi="Palatino Linotype" w:cstheme="minorHAnsi"/>
          <w:sz w:val="22"/>
          <w:szCs w:val="22"/>
        </w:rPr>
        <w:t>300 m</w:t>
      </w:r>
      <w:r w:rsidRPr="00661E84">
        <w:rPr>
          <w:rFonts w:ascii="Palatino Linotype" w:hAnsi="Palatino Linotype" w:cstheme="minorHAnsi"/>
          <w:sz w:val="22"/>
          <w:szCs w:val="22"/>
          <w:vertAlign w:val="superscript"/>
        </w:rPr>
        <w:t>2</w:t>
      </w:r>
    </w:p>
    <w:p w:rsidR="00661E84" w:rsidRPr="00661E84" w:rsidRDefault="00661E84" w:rsidP="00661E84">
      <w:pPr>
        <w:spacing w:after="240" w:line="276" w:lineRule="auto"/>
        <w:jc w:val="both"/>
        <w:rPr>
          <w:rFonts w:ascii="Palatino Linotype" w:hAnsi="Palatino Linotype" w:cstheme="minorHAnsi"/>
          <w:sz w:val="22"/>
          <w:szCs w:val="22"/>
        </w:rPr>
      </w:pPr>
      <w:r w:rsidRPr="00661E84">
        <w:rPr>
          <w:rFonts w:ascii="Palatino Linotype" w:hAnsi="Palatino Linotype" w:cstheme="minorHAnsi"/>
          <w:b/>
          <w:sz w:val="22"/>
          <w:szCs w:val="22"/>
        </w:rPr>
        <w:t>Forma de ocupación del suelo:</w:t>
      </w:r>
      <w:r w:rsidRPr="00661E84">
        <w:rPr>
          <w:rFonts w:ascii="Palatino Linotype" w:hAnsi="Palatino Linotype" w:cstheme="minorHAnsi"/>
          <w:b/>
          <w:sz w:val="22"/>
          <w:szCs w:val="22"/>
        </w:rPr>
        <w:tab/>
      </w:r>
      <w:r w:rsidR="0055677A">
        <w:rPr>
          <w:rFonts w:ascii="Palatino Linotype" w:hAnsi="Palatino Linotype" w:cstheme="minorHAnsi"/>
          <w:b/>
          <w:sz w:val="22"/>
          <w:szCs w:val="22"/>
        </w:rPr>
        <w:tab/>
      </w:r>
      <w:r w:rsidRPr="00661E84">
        <w:rPr>
          <w:rFonts w:ascii="Palatino Linotype" w:hAnsi="Palatino Linotype" w:cstheme="minorHAnsi"/>
          <w:sz w:val="22"/>
          <w:szCs w:val="22"/>
        </w:rPr>
        <w:t>(D) Sobre línea de fabrica</w:t>
      </w:r>
    </w:p>
    <w:p w:rsidR="00661E84" w:rsidRPr="00661E84" w:rsidRDefault="00661E84" w:rsidP="00661E84">
      <w:pPr>
        <w:spacing w:after="240" w:line="276" w:lineRule="auto"/>
        <w:jc w:val="both"/>
        <w:rPr>
          <w:rFonts w:ascii="Palatino Linotype" w:hAnsi="Palatino Linotype" w:cstheme="minorHAnsi"/>
          <w:sz w:val="22"/>
          <w:szCs w:val="22"/>
        </w:rPr>
      </w:pPr>
      <w:r w:rsidRPr="00661E84">
        <w:rPr>
          <w:rFonts w:ascii="Palatino Linotype" w:hAnsi="Palatino Linotype" w:cstheme="minorHAnsi"/>
          <w:b/>
          <w:sz w:val="22"/>
          <w:szCs w:val="22"/>
        </w:rPr>
        <w:t>Uso principal del suelo:</w:t>
      </w:r>
      <w:r w:rsidRPr="00661E84">
        <w:rPr>
          <w:rFonts w:ascii="Palatino Linotype" w:hAnsi="Palatino Linotype" w:cstheme="minorHAnsi"/>
          <w:b/>
          <w:sz w:val="22"/>
          <w:szCs w:val="22"/>
        </w:rPr>
        <w:tab/>
      </w:r>
      <w:r w:rsidRPr="00661E84">
        <w:rPr>
          <w:rFonts w:ascii="Palatino Linotype" w:hAnsi="Palatino Linotype" w:cstheme="minorHAnsi"/>
          <w:b/>
          <w:sz w:val="22"/>
          <w:szCs w:val="22"/>
        </w:rPr>
        <w:tab/>
      </w:r>
      <w:r w:rsidR="0055677A">
        <w:rPr>
          <w:rFonts w:ascii="Palatino Linotype" w:hAnsi="Palatino Linotype" w:cstheme="minorHAnsi"/>
          <w:b/>
          <w:sz w:val="22"/>
          <w:szCs w:val="22"/>
        </w:rPr>
        <w:tab/>
      </w:r>
      <w:r w:rsidRPr="00661E84">
        <w:rPr>
          <w:rFonts w:ascii="Palatino Linotype" w:hAnsi="Palatino Linotype" w:cstheme="minorHAnsi"/>
          <w:sz w:val="22"/>
          <w:szCs w:val="22"/>
        </w:rPr>
        <w:t xml:space="preserve">(R3) Residencia alta densidad   </w:t>
      </w:r>
    </w:p>
    <w:p w:rsidR="00661E84" w:rsidRPr="00661E84" w:rsidRDefault="00661E84" w:rsidP="00661E84">
      <w:pPr>
        <w:spacing w:after="240" w:line="276" w:lineRule="auto"/>
        <w:jc w:val="both"/>
        <w:rPr>
          <w:rFonts w:ascii="Palatino Linotype" w:hAnsi="Palatino Linotype"/>
          <w:b/>
          <w:bCs/>
          <w:sz w:val="22"/>
          <w:szCs w:val="22"/>
          <w:lang w:val="es-EC"/>
        </w:rPr>
      </w:pPr>
      <w:r w:rsidRPr="00661E84">
        <w:rPr>
          <w:rFonts w:ascii="Palatino Linotype" w:eastAsia="Calibri" w:hAnsi="Palatino Linotype"/>
          <w:b/>
          <w:bCs/>
          <w:color w:val="000000"/>
          <w:kern w:val="24"/>
          <w:sz w:val="22"/>
          <w:szCs w:val="22"/>
        </w:rPr>
        <w:t>Área útil de lotes:</w:t>
      </w:r>
      <w:r w:rsidRPr="00661E84">
        <w:rPr>
          <w:rFonts w:ascii="Palatino Linotype" w:eastAsia="Calibri" w:hAnsi="Palatino Linotype"/>
          <w:b/>
          <w:bCs/>
          <w:color w:val="000000"/>
          <w:kern w:val="24"/>
          <w:sz w:val="22"/>
          <w:szCs w:val="22"/>
        </w:rPr>
        <w:tab/>
      </w:r>
      <w:r w:rsidRPr="00661E84">
        <w:rPr>
          <w:rFonts w:ascii="Palatino Linotype" w:eastAsia="Calibri" w:hAnsi="Palatino Linotype"/>
          <w:b/>
          <w:bCs/>
          <w:color w:val="000000"/>
          <w:kern w:val="24"/>
          <w:sz w:val="22"/>
          <w:szCs w:val="22"/>
        </w:rPr>
        <w:tab/>
      </w:r>
      <w:r w:rsidRPr="00661E84">
        <w:rPr>
          <w:rFonts w:ascii="Palatino Linotype" w:eastAsia="Calibri" w:hAnsi="Palatino Linotype"/>
          <w:b/>
          <w:bCs/>
          <w:color w:val="000000"/>
          <w:kern w:val="24"/>
          <w:sz w:val="22"/>
          <w:szCs w:val="22"/>
        </w:rPr>
        <w:tab/>
      </w:r>
      <w:r w:rsidR="0055677A">
        <w:rPr>
          <w:rFonts w:ascii="Palatino Linotype" w:eastAsia="Calibri" w:hAnsi="Palatino Linotype"/>
          <w:b/>
          <w:bCs/>
          <w:color w:val="000000"/>
          <w:kern w:val="24"/>
          <w:sz w:val="22"/>
          <w:szCs w:val="22"/>
        </w:rPr>
        <w:tab/>
      </w:r>
      <w:r w:rsidRPr="00661E84">
        <w:rPr>
          <w:rFonts w:ascii="Palatino Linotype" w:eastAsia="Calibri" w:hAnsi="Palatino Linotype"/>
          <w:bCs/>
          <w:kern w:val="24"/>
          <w:sz w:val="22"/>
          <w:szCs w:val="22"/>
        </w:rPr>
        <w:t xml:space="preserve">2.082,40 </w:t>
      </w:r>
      <w:r w:rsidRPr="00661E84">
        <w:rPr>
          <w:rFonts w:ascii="Palatino Linotype" w:hAnsi="Palatino Linotype" w:cstheme="minorHAnsi"/>
          <w:bCs/>
          <w:sz w:val="22"/>
          <w:szCs w:val="22"/>
        </w:rPr>
        <w:t>m</w:t>
      </w:r>
      <w:r w:rsidRPr="00661E84">
        <w:rPr>
          <w:rFonts w:ascii="Palatino Linotype" w:hAnsi="Palatino Linotype" w:cstheme="minorHAnsi"/>
          <w:bCs/>
          <w:sz w:val="22"/>
          <w:szCs w:val="22"/>
          <w:vertAlign w:val="superscript"/>
        </w:rPr>
        <w:t xml:space="preserve">2 </w:t>
      </w:r>
      <w:r w:rsidRPr="00661E84">
        <w:rPr>
          <w:rFonts w:ascii="Palatino Linotype" w:hAnsi="Palatino Linotype" w:cstheme="minorHAnsi"/>
          <w:bCs/>
          <w:sz w:val="22"/>
          <w:szCs w:val="22"/>
          <w:vertAlign w:val="superscript"/>
        </w:rPr>
        <w:tab/>
      </w:r>
      <w:r w:rsidRPr="00661E84">
        <w:rPr>
          <w:rFonts w:ascii="Palatino Linotype" w:hAnsi="Palatino Linotype" w:cstheme="minorHAnsi"/>
          <w:bCs/>
          <w:sz w:val="22"/>
          <w:szCs w:val="22"/>
          <w:vertAlign w:val="superscript"/>
        </w:rPr>
        <w:tab/>
      </w:r>
      <w:r w:rsidRPr="00661E84">
        <w:rPr>
          <w:rFonts w:ascii="Palatino Linotype" w:hAnsi="Palatino Linotype" w:cstheme="minorHAnsi"/>
          <w:bCs/>
          <w:sz w:val="22"/>
          <w:szCs w:val="22"/>
          <w:vertAlign w:val="superscript"/>
        </w:rPr>
        <w:tab/>
      </w:r>
      <w:r w:rsidRPr="00661E84">
        <w:rPr>
          <w:rFonts w:ascii="Palatino Linotype" w:eastAsia="Calibri" w:hAnsi="Palatino Linotype"/>
          <w:bCs/>
          <w:kern w:val="24"/>
          <w:sz w:val="22"/>
          <w:szCs w:val="22"/>
        </w:rPr>
        <w:t>79,26%</w:t>
      </w:r>
    </w:p>
    <w:p w:rsidR="00661E84" w:rsidRPr="0055677A" w:rsidRDefault="00661E84" w:rsidP="00661E84">
      <w:pPr>
        <w:pStyle w:val="NormalWeb"/>
        <w:spacing w:before="0" w:beforeAutospacing="0" w:after="240" w:afterAutospacing="0" w:line="276" w:lineRule="auto"/>
        <w:jc w:val="both"/>
        <w:textAlignment w:val="center"/>
        <w:rPr>
          <w:rFonts w:ascii="Palatino Linotype" w:hAnsi="Palatino Linotype" w:cs="Arial"/>
          <w:sz w:val="22"/>
          <w:szCs w:val="22"/>
        </w:rPr>
      </w:pPr>
      <w:r w:rsidRPr="00661E84">
        <w:rPr>
          <w:rFonts w:ascii="Palatino Linotype" w:eastAsia="Calibri" w:hAnsi="Palatino Linotype"/>
          <w:b/>
          <w:bCs/>
          <w:color w:val="000000"/>
          <w:kern w:val="24"/>
          <w:sz w:val="22"/>
          <w:szCs w:val="22"/>
        </w:rPr>
        <w:t>Área de vías y pasajes:</w:t>
      </w:r>
      <w:r w:rsidRPr="00661E84">
        <w:rPr>
          <w:rFonts w:ascii="Palatino Linotype" w:eastAsia="Calibri" w:hAnsi="Palatino Linotype"/>
          <w:b/>
          <w:bCs/>
          <w:color w:val="000000"/>
          <w:kern w:val="24"/>
          <w:sz w:val="22"/>
          <w:szCs w:val="22"/>
        </w:rPr>
        <w:tab/>
      </w:r>
      <w:r w:rsidRPr="00661E84">
        <w:rPr>
          <w:rFonts w:ascii="Palatino Linotype" w:eastAsia="Calibri" w:hAnsi="Palatino Linotype"/>
          <w:b/>
          <w:bCs/>
          <w:color w:val="000000"/>
          <w:kern w:val="24"/>
          <w:sz w:val="22"/>
          <w:szCs w:val="22"/>
        </w:rPr>
        <w:tab/>
      </w:r>
      <w:r w:rsidR="0055677A">
        <w:rPr>
          <w:rFonts w:ascii="Palatino Linotype" w:eastAsia="Calibri" w:hAnsi="Palatino Linotype"/>
          <w:b/>
          <w:bCs/>
          <w:color w:val="000000"/>
          <w:kern w:val="24"/>
          <w:sz w:val="22"/>
          <w:szCs w:val="22"/>
        </w:rPr>
        <w:tab/>
      </w:r>
      <w:r w:rsidRPr="0055677A">
        <w:rPr>
          <w:rFonts w:ascii="Palatino Linotype" w:eastAsia="Calibri" w:hAnsi="Palatino Linotype"/>
          <w:bCs/>
          <w:kern w:val="24"/>
          <w:sz w:val="22"/>
          <w:szCs w:val="22"/>
        </w:rPr>
        <w:t xml:space="preserve">544,82 </w:t>
      </w:r>
      <w:r w:rsidRPr="0055677A">
        <w:rPr>
          <w:rFonts w:ascii="Palatino Linotype" w:hAnsi="Palatino Linotype" w:cstheme="minorHAnsi"/>
          <w:bCs/>
          <w:sz w:val="22"/>
          <w:szCs w:val="22"/>
        </w:rPr>
        <w:t>m</w:t>
      </w:r>
      <w:r w:rsidRPr="0055677A">
        <w:rPr>
          <w:rFonts w:ascii="Palatino Linotype" w:hAnsi="Palatino Linotype" w:cstheme="minorHAnsi"/>
          <w:bCs/>
          <w:sz w:val="22"/>
          <w:szCs w:val="22"/>
          <w:vertAlign w:val="superscript"/>
        </w:rPr>
        <w:t>2</w:t>
      </w:r>
      <w:r w:rsidRPr="0055677A">
        <w:rPr>
          <w:rFonts w:ascii="Palatino Linotype" w:hAnsi="Palatino Linotype" w:cstheme="minorHAnsi"/>
          <w:bCs/>
          <w:sz w:val="22"/>
          <w:szCs w:val="22"/>
          <w:vertAlign w:val="superscript"/>
        </w:rPr>
        <w:tab/>
      </w:r>
      <w:r w:rsidRPr="0055677A">
        <w:rPr>
          <w:rFonts w:ascii="Palatino Linotype" w:hAnsi="Palatino Linotype" w:cstheme="minorHAnsi"/>
          <w:bCs/>
          <w:sz w:val="22"/>
          <w:szCs w:val="22"/>
          <w:vertAlign w:val="superscript"/>
        </w:rPr>
        <w:tab/>
      </w:r>
      <w:r w:rsidRPr="0055677A">
        <w:rPr>
          <w:rFonts w:ascii="Palatino Linotype" w:hAnsi="Palatino Linotype" w:cstheme="minorHAnsi"/>
          <w:bCs/>
          <w:sz w:val="22"/>
          <w:szCs w:val="22"/>
          <w:vertAlign w:val="superscript"/>
        </w:rPr>
        <w:tab/>
      </w:r>
      <w:r w:rsidRPr="0055677A">
        <w:rPr>
          <w:rFonts w:ascii="Palatino Linotype" w:eastAsia="Calibri" w:hAnsi="Palatino Linotype"/>
          <w:bCs/>
          <w:kern w:val="24"/>
          <w:sz w:val="22"/>
          <w:szCs w:val="22"/>
        </w:rPr>
        <w:t>20,74%</w:t>
      </w:r>
    </w:p>
    <w:p w:rsidR="00661E84" w:rsidRPr="0055677A" w:rsidRDefault="00661E84" w:rsidP="00661E84">
      <w:pPr>
        <w:spacing w:after="240" w:line="276" w:lineRule="auto"/>
        <w:jc w:val="both"/>
        <w:rPr>
          <w:rFonts w:ascii="Palatino Linotype" w:hAnsi="Palatino Linotype"/>
          <w:bCs/>
          <w:sz w:val="22"/>
          <w:szCs w:val="22"/>
        </w:rPr>
      </w:pPr>
      <w:r w:rsidRPr="00661E84">
        <w:rPr>
          <w:rFonts w:ascii="Palatino Linotype" w:eastAsia="Calibri" w:hAnsi="Palatino Linotype"/>
          <w:b/>
          <w:bCs/>
          <w:color w:val="000000"/>
          <w:kern w:val="24"/>
          <w:sz w:val="22"/>
          <w:szCs w:val="22"/>
        </w:rPr>
        <w:t>Área bruta del terreno (</w:t>
      </w:r>
      <w:r w:rsidR="009C0D07">
        <w:rPr>
          <w:rFonts w:ascii="Palatino Linotype" w:eastAsia="Calibri" w:hAnsi="Palatino Linotype"/>
          <w:b/>
          <w:bCs/>
          <w:color w:val="000000"/>
          <w:kern w:val="24"/>
          <w:sz w:val="22"/>
          <w:szCs w:val="22"/>
        </w:rPr>
        <w:t>á</w:t>
      </w:r>
      <w:r w:rsidRPr="00661E84">
        <w:rPr>
          <w:rFonts w:ascii="Palatino Linotype" w:eastAsia="Calibri" w:hAnsi="Palatino Linotype"/>
          <w:b/>
          <w:bCs/>
          <w:color w:val="000000"/>
          <w:kern w:val="24"/>
          <w:sz w:val="22"/>
          <w:szCs w:val="22"/>
        </w:rPr>
        <w:t xml:space="preserve">rea </w:t>
      </w:r>
      <w:r w:rsidR="009C0D07">
        <w:rPr>
          <w:rFonts w:ascii="Palatino Linotype" w:eastAsia="Calibri" w:hAnsi="Palatino Linotype"/>
          <w:b/>
          <w:bCs/>
          <w:color w:val="000000"/>
          <w:kern w:val="24"/>
          <w:sz w:val="22"/>
          <w:szCs w:val="22"/>
        </w:rPr>
        <w:t>t</w:t>
      </w:r>
      <w:r w:rsidRPr="00661E84">
        <w:rPr>
          <w:rFonts w:ascii="Palatino Linotype" w:eastAsia="Calibri" w:hAnsi="Palatino Linotype"/>
          <w:b/>
          <w:bCs/>
          <w:color w:val="000000"/>
          <w:kern w:val="24"/>
          <w:sz w:val="22"/>
          <w:szCs w:val="22"/>
        </w:rPr>
        <w:t>otal):</w:t>
      </w:r>
      <w:r w:rsidRPr="00661E84">
        <w:rPr>
          <w:rFonts w:ascii="Palatino Linotype" w:eastAsia="Calibri" w:hAnsi="Palatino Linotype"/>
          <w:b/>
          <w:bCs/>
          <w:color w:val="000000"/>
          <w:kern w:val="24"/>
          <w:sz w:val="22"/>
          <w:szCs w:val="22"/>
        </w:rPr>
        <w:tab/>
      </w:r>
      <w:r w:rsidR="0055677A">
        <w:rPr>
          <w:rFonts w:ascii="Palatino Linotype" w:eastAsia="Calibri" w:hAnsi="Palatino Linotype"/>
          <w:b/>
          <w:bCs/>
          <w:color w:val="000000"/>
          <w:kern w:val="24"/>
          <w:sz w:val="22"/>
          <w:szCs w:val="22"/>
        </w:rPr>
        <w:tab/>
      </w:r>
      <w:r w:rsidRPr="0055677A">
        <w:rPr>
          <w:rFonts w:ascii="Palatino Linotype" w:eastAsia="Calibri" w:hAnsi="Palatino Linotype"/>
          <w:bCs/>
          <w:kern w:val="24"/>
          <w:sz w:val="22"/>
          <w:szCs w:val="22"/>
        </w:rPr>
        <w:t xml:space="preserve">2.627,22 </w:t>
      </w:r>
      <w:r w:rsidRPr="0055677A">
        <w:rPr>
          <w:rFonts w:ascii="Palatino Linotype" w:hAnsi="Palatino Linotype" w:cstheme="minorHAnsi"/>
          <w:bCs/>
          <w:sz w:val="22"/>
          <w:szCs w:val="22"/>
        </w:rPr>
        <w:t>m</w:t>
      </w:r>
      <w:r w:rsidRPr="0055677A">
        <w:rPr>
          <w:rFonts w:ascii="Palatino Linotype" w:hAnsi="Palatino Linotype" w:cstheme="minorHAnsi"/>
          <w:bCs/>
          <w:sz w:val="22"/>
          <w:szCs w:val="22"/>
          <w:vertAlign w:val="superscript"/>
        </w:rPr>
        <w:t>2</w:t>
      </w:r>
      <w:r w:rsidRPr="0055677A">
        <w:rPr>
          <w:rFonts w:ascii="Palatino Linotype" w:eastAsia="Calibri" w:hAnsi="Palatino Linotype"/>
          <w:bCs/>
          <w:kern w:val="24"/>
          <w:sz w:val="22"/>
          <w:szCs w:val="22"/>
        </w:rPr>
        <w:t xml:space="preserve"> </w:t>
      </w:r>
      <w:r w:rsidRPr="0055677A">
        <w:rPr>
          <w:rFonts w:ascii="Palatino Linotype" w:eastAsia="Calibri" w:hAnsi="Palatino Linotype"/>
          <w:bCs/>
          <w:color w:val="000000"/>
          <w:kern w:val="24"/>
          <w:sz w:val="22"/>
          <w:szCs w:val="22"/>
        </w:rPr>
        <w:t xml:space="preserve"> </w:t>
      </w:r>
      <w:r w:rsidRPr="0055677A">
        <w:rPr>
          <w:rFonts w:ascii="Palatino Linotype" w:hAnsi="Palatino Linotype"/>
          <w:bCs/>
          <w:sz w:val="22"/>
          <w:szCs w:val="22"/>
        </w:rPr>
        <w:t xml:space="preserve"> </w:t>
      </w:r>
      <w:r w:rsidRPr="0055677A">
        <w:rPr>
          <w:rFonts w:ascii="Palatino Linotype" w:hAnsi="Palatino Linotype"/>
          <w:bCs/>
          <w:sz w:val="22"/>
          <w:szCs w:val="22"/>
        </w:rPr>
        <w:tab/>
      </w:r>
      <w:r w:rsidRPr="0055677A">
        <w:rPr>
          <w:rFonts w:ascii="Palatino Linotype" w:hAnsi="Palatino Linotype"/>
          <w:bCs/>
          <w:sz w:val="22"/>
          <w:szCs w:val="22"/>
        </w:rPr>
        <w:tab/>
      </w:r>
      <w:r w:rsidRPr="0055677A">
        <w:rPr>
          <w:rFonts w:ascii="Palatino Linotype" w:hAnsi="Palatino Linotype"/>
          <w:bCs/>
          <w:sz w:val="22"/>
          <w:szCs w:val="22"/>
        </w:rPr>
        <w:tab/>
      </w:r>
      <w:r w:rsidRPr="0055677A">
        <w:rPr>
          <w:rFonts w:ascii="Palatino Linotype" w:eastAsia="Calibri" w:hAnsi="Palatino Linotype"/>
          <w:bCs/>
          <w:kern w:val="24"/>
          <w:sz w:val="22"/>
          <w:szCs w:val="22"/>
        </w:rPr>
        <w:t>100,00%</w:t>
      </w:r>
    </w:p>
    <w:p w:rsidR="00661E84" w:rsidRPr="00661E84" w:rsidRDefault="00661E84" w:rsidP="00661E84">
      <w:pPr>
        <w:spacing w:after="240" w:line="276" w:lineRule="auto"/>
        <w:jc w:val="both"/>
        <w:rPr>
          <w:rFonts w:ascii="Palatino Linotype" w:hAnsi="Palatino Linotype" w:cs="Arial"/>
          <w:sz w:val="22"/>
          <w:szCs w:val="22"/>
        </w:rPr>
      </w:pPr>
      <w:r w:rsidRPr="00661E84">
        <w:rPr>
          <w:rFonts w:ascii="Palatino Linotype" w:hAnsi="Palatino Linotype" w:cs="Arial"/>
          <w:b/>
          <w:sz w:val="22"/>
          <w:szCs w:val="22"/>
        </w:rPr>
        <w:t>Área de escritura:</w:t>
      </w:r>
      <w:r w:rsidRPr="00661E84">
        <w:rPr>
          <w:rFonts w:ascii="Palatino Linotype" w:hAnsi="Palatino Linotype" w:cs="Arial"/>
          <w:b/>
          <w:sz w:val="22"/>
          <w:szCs w:val="22"/>
        </w:rPr>
        <w:tab/>
      </w:r>
      <w:r w:rsidRPr="00661E84">
        <w:rPr>
          <w:rFonts w:ascii="Palatino Linotype" w:hAnsi="Palatino Linotype" w:cs="Arial"/>
          <w:b/>
          <w:sz w:val="22"/>
          <w:szCs w:val="22"/>
        </w:rPr>
        <w:tab/>
      </w:r>
      <w:r w:rsidRPr="00661E84">
        <w:rPr>
          <w:rFonts w:ascii="Palatino Linotype" w:hAnsi="Palatino Linotype" w:cs="Arial"/>
          <w:b/>
          <w:sz w:val="22"/>
          <w:szCs w:val="22"/>
        </w:rPr>
        <w:tab/>
      </w:r>
      <w:r w:rsidR="0055677A">
        <w:rPr>
          <w:rFonts w:ascii="Palatino Linotype" w:hAnsi="Palatino Linotype" w:cs="Arial"/>
          <w:b/>
          <w:sz w:val="22"/>
          <w:szCs w:val="22"/>
        </w:rPr>
        <w:tab/>
      </w:r>
      <w:r w:rsidRPr="00661E84">
        <w:rPr>
          <w:rFonts w:ascii="Palatino Linotype" w:hAnsi="Palatino Linotype" w:cs="Arial"/>
          <w:sz w:val="22"/>
          <w:szCs w:val="22"/>
        </w:rPr>
        <w:t>2.651,00 m</w:t>
      </w:r>
      <w:r w:rsidRPr="00661E84">
        <w:rPr>
          <w:rFonts w:ascii="Palatino Linotype" w:hAnsi="Palatino Linotype" w:cs="Arial"/>
          <w:sz w:val="22"/>
          <w:szCs w:val="22"/>
          <w:vertAlign w:val="superscript"/>
        </w:rPr>
        <w:t>2</w:t>
      </w:r>
    </w:p>
    <w:p w:rsidR="00661E84" w:rsidRDefault="00661E84" w:rsidP="00661E84">
      <w:pPr>
        <w:spacing w:after="240" w:line="276" w:lineRule="auto"/>
        <w:jc w:val="both"/>
        <w:rPr>
          <w:rFonts w:ascii="Palatino Linotype" w:hAnsi="Palatino Linotype"/>
          <w:bCs/>
          <w:sz w:val="22"/>
          <w:szCs w:val="22"/>
          <w:lang w:val="es-EC"/>
        </w:rPr>
      </w:pPr>
      <w:r w:rsidRPr="00936385">
        <w:rPr>
          <w:rFonts w:ascii="Palatino Linotype" w:hAnsi="Palatino Linotype"/>
          <w:sz w:val="22"/>
          <w:szCs w:val="22"/>
          <w:lang w:val="es-EC"/>
        </w:rPr>
        <w:t>El</w:t>
      </w:r>
      <w:r>
        <w:rPr>
          <w:rFonts w:ascii="Palatino Linotype" w:hAnsi="Palatino Linotype"/>
          <w:sz w:val="22"/>
          <w:szCs w:val="22"/>
          <w:lang w:val="es-EC"/>
        </w:rPr>
        <w:t xml:space="preserve"> número total de lotes es de 14</w:t>
      </w:r>
      <w:r w:rsidRPr="00936385">
        <w:rPr>
          <w:rFonts w:ascii="Palatino Linotype" w:hAnsi="Palatino Linotype" w:cs="Arial"/>
          <w:sz w:val="22"/>
          <w:szCs w:val="22"/>
        </w:rPr>
        <w:t>, signad</w:t>
      </w:r>
      <w:r>
        <w:rPr>
          <w:rFonts w:ascii="Palatino Linotype" w:hAnsi="Palatino Linotype" w:cs="Arial"/>
          <w:sz w:val="22"/>
          <w:szCs w:val="22"/>
        </w:rPr>
        <w:t>os del uno (1) al catorce (14</w:t>
      </w:r>
      <w:r w:rsidRPr="00936385">
        <w:rPr>
          <w:rFonts w:ascii="Palatino Linotype" w:hAnsi="Palatino Linotype" w:cs="Arial"/>
          <w:sz w:val="22"/>
          <w:szCs w:val="22"/>
        </w:rPr>
        <w:t>)</w:t>
      </w:r>
      <w:r>
        <w:rPr>
          <w:rFonts w:ascii="Palatino Linotype" w:hAnsi="Palatino Linotype"/>
          <w:sz w:val="22"/>
          <w:szCs w:val="22"/>
          <w:lang w:val="es-EC"/>
        </w:rPr>
        <w:t>,</w:t>
      </w:r>
      <w:r w:rsidRPr="006B2BDC">
        <w:rPr>
          <w:rFonts w:ascii="Calibri" w:eastAsia="Calibri" w:hAnsi="Calibri" w:cs="Calibri"/>
          <w:sz w:val="22"/>
          <w:szCs w:val="22"/>
          <w:lang w:eastAsia="en-US"/>
        </w:rPr>
        <w:t xml:space="preserve"> </w:t>
      </w:r>
      <w:r w:rsidRPr="00F0318F">
        <w:rPr>
          <w:rFonts w:ascii="Palatino Linotype" w:hAnsi="Palatino Linotype"/>
          <w:sz w:val="22"/>
          <w:szCs w:val="22"/>
          <w:lang w:val="es-EC"/>
        </w:rPr>
        <w:t>cuyo detalle</w:t>
      </w:r>
      <w:r w:rsidRPr="00573F9B">
        <w:rPr>
          <w:rFonts w:ascii="Palatino Linotype" w:hAnsi="Palatino Linotype"/>
          <w:sz w:val="22"/>
          <w:szCs w:val="22"/>
          <w:lang w:val="es-EC"/>
        </w:rPr>
        <w:t xml:space="preserve"> es el que consta </w:t>
      </w:r>
      <w:r>
        <w:rPr>
          <w:rFonts w:ascii="Palatino Linotype" w:hAnsi="Palatino Linotype"/>
          <w:bCs/>
          <w:sz w:val="22"/>
          <w:szCs w:val="22"/>
          <w:lang w:val="es-EC"/>
        </w:rPr>
        <w:t>adjunto al plano aprobatorio, plano que forma parte de la presente ordenanza.</w:t>
      </w:r>
    </w:p>
    <w:p w:rsidR="0055677A" w:rsidRDefault="00661E84" w:rsidP="00661E84">
      <w:pPr>
        <w:spacing w:after="240" w:line="276" w:lineRule="auto"/>
        <w:jc w:val="both"/>
        <w:rPr>
          <w:rFonts w:ascii="Palatino Linotype" w:hAnsi="Palatino Linotype" w:cstheme="minorHAnsi"/>
          <w:sz w:val="22"/>
          <w:szCs w:val="22"/>
        </w:rPr>
      </w:pPr>
      <w:r w:rsidRPr="0055677A">
        <w:rPr>
          <w:rFonts w:ascii="Palatino Linotype" w:hAnsi="Palatino Linotype" w:cs="Arial"/>
          <w:b/>
          <w:bCs/>
          <w:sz w:val="22"/>
          <w:szCs w:val="22"/>
        </w:rPr>
        <w:t xml:space="preserve">Artículo 3.- Zonificación de los lotes.- </w:t>
      </w:r>
      <w:r w:rsidR="0055677A" w:rsidRPr="0055677A">
        <w:rPr>
          <w:rFonts w:ascii="Palatino Linotype" w:hAnsi="Palatino Linotype" w:cs="Arial"/>
          <w:bCs/>
          <w:sz w:val="22"/>
          <w:szCs w:val="22"/>
        </w:rPr>
        <w:t>L</w:t>
      </w:r>
      <w:r w:rsidRPr="0055677A">
        <w:rPr>
          <w:rFonts w:ascii="Palatino Linotype" w:hAnsi="Palatino Linotype" w:cs="Arial"/>
          <w:bCs/>
          <w:sz w:val="22"/>
          <w:szCs w:val="22"/>
        </w:rPr>
        <w:t xml:space="preserve">os lotes fraccionados </w:t>
      </w:r>
      <w:r w:rsidR="0055677A" w:rsidRPr="0055677A">
        <w:rPr>
          <w:rFonts w:ascii="Palatino Linotype" w:hAnsi="Palatino Linotype" w:cs="Arial"/>
          <w:bCs/>
          <w:sz w:val="22"/>
          <w:szCs w:val="22"/>
        </w:rPr>
        <w:t xml:space="preserve">mantendrán </w:t>
      </w:r>
      <w:r w:rsidRPr="0055677A">
        <w:rPr>
          <w:rFonts w:ascii="Palatino Linotype" w:hAnsi="Palatino Linotype" w:cs="Arial"/>
          <w:bCs/>
          <w:sz w:val="22"/>
          <w:szCs w:val="22"/>
        </w:rPr>
        <w:t>la</w:t>
      </w:r>
      <w:r w:rsidRPr="0055677A">
        <w:rPr>
          <w:rFonts w:ascii="Palatino Linotype" w:hAnsi="Palatino Linotype"/>
          <w:sz w:val="22"/>
          <w:szCs w:val="22"/>
          <w:lang w:val="es-EC"/>
        </w:rPr>
        <w:t xml:space="preserve"> </w:t>
      </w:r>
      <w:r w:rsidR="0055677A" w:rsidRPr="0055677A">
        <w:rPr>
          <w:rFonts w:ascii="Palatino Linotype" w:hAnsi="Palatino Linotype"/>
          <w:sz w:val="22"/>
          <w:szCs w:val="22"/>
          <w:lang w:val="es-EC"/>
        </w:rPr>
        <w:t xml:space="preserve">siguiente </w:t>
      </w:r>
      <w:r w:rsidRPr="0055677A">
        <w:rPr>
          <w:rFonts w:ascii="Palatino Linotype" w:hAnsi="Palatino Linotype"/>
          <w:sz w:val="22"/>
          <w:szCs w:val="22"/>
          <w:lang w:val="es-EC"/>
        </w:rPr>
        <w:t>zonificación:</w:t>
      </w:r>
      <w:r w:rsidRPr="0055677A">
        <w:rPr>
          <w:rFonts w:ascii="Palatino Linotype" w:hAnsi="Palatino Linotype" w:cstheme="minorHAnsi"/>
          <w:sz w:val="22"/>
          <w:szCs w:val="22"/>
        </w:rPr>
        <w:t xml:space="preserve"> D5 (D304-80), con área de lote mínimo</w:t>
      </w:r>
      <w:r w:rsidR="0055677A">
        <w:rPr>
          <w:rFonts w:ascii="Palatino Linotype" w:hAnsi="Palatino Linotype" w:cstheme="minorHAnsi"/>
          <w:sz w:val="22"/>
          <w:szCs w:val="22"/>
        </w:rPr>
        <w:t>:</w:t>
      </w:r>
      <w:r w:rsidRPr="0055677A">
        <w:rPr>
          <w:rFonts w:ascii="Palatino Linotype" w:hAnsi="Palatino Linotype" w:cstheme="minorHAnsi"/>
          <w:sz w:val="22"/>
          <w:szCs w:val="22"/>
        </w:rPr>
        <w:t xml:space="preserve"> 300 m</w:t>
      </w:r>
      <w:r w:rsidRPr="0055677A">
        <w:rPr>
          <w:rFonts w:ascii="Palatino Linotype" w:hAnsi="Palatino Linotype" w:cstheme="minorHAnsi"/>
          <w:sz w:val="22"/>
          <w:szCs w:val="22"/>
          <w:vertAlign w:val="superscript"/>
        </w:rPr>
        <w:t>2</w:t>
      </w:r>
      <w:r w:rsidRPr="0055677A">
        <w:rPr>
          <w:rFonts w:ascii="Palatino Linotype" w:hAnsi="Palatino Linotype" w:cstheme="minorHAnsi"/>
          <w:sz w:val="22"/>
          <w:szCs w:val="22"/>
        </w:rPr>
        <w:t>, uso principal del suelo</w:t>
      </w:r>
      <w:r w:rsidR="0055677A">
        <w:rPr>
          <w:rFonts w:ascii="Palatino Linotype" w:hAnsi="Palatino Linotype" w:cstheme="minorHAnsi"/>
          <w:sz w:val="22"/>
          <w:szCs w:val="22"/>
        </w:rPr>
        <w:t>:</w:t>
      </w:r>
      <w:r w:rsidRPr="0055677A">
        <w:rPr>
          <w:rFonts w:ascii="Palatino Linotype" w:hAnsi="Palatino Linotype" w:cstheme="minorHAnsi"/>
          <w:sz w:val="22"/>
          <w:szCs w:val="22"/>
        </w:rPr>
        <w:t xml:space="preserve"> (R3) Residencia Alta Densidad</w:t>
      </w:r>
      <w:r w:rsidR="0055677A">
        <w:rPr>
          <w:rFonts w:ascii="Palatino Linotype" w:hAnsi="Palatino Linotype" w:cstheme="minorHAnsi"/>
          <w:sz w:val="22"/>
          <w:szCs w:val="22"/>
        </w:rPr>
        <w:t>;</w:t>
      </w:r>
      <w:r w:rsidRPr="0055677A">
        <w:rPr>
          <w:rFonts w:ascii="Palatino Linotype" w:hAnsi="Palatino Linotype" w:cstheme="minorHAnsi"/>
          <w:sz w:val="22"/>
          <w:szCs w:val="22"/>
        </w:rPr>
        <w:t xml:space="preserve"> y</w:t>
      </w:r>
      <w:r w:rsidR="0055677A">
        <w:rPr>
          <w:rFonts w:ascii="Palatino Linotype" w:hAnsi="Palatino Linotype" w:cstheme="minorHAnsi"/>
          <w:sz w:val="22"/>
          <w:szCs w:val="22"/>
        </w:rPr>
        <w:t>,</w:t>
      </w:r>
      <w:r w:rsidRPr="0055677A">
        <w:rPr>
          <w:rFonts w:ascii="Palatino Linotype" w:hAnsi="Palatino Linotype" w:cstheme="minorHAnsi"/>
          <w:sz w:val="22"/>
          <w:szCs w:val="22"/>
        </w:rPr>
        <w:t xml:space="preserve"> forma de ocupación del suelo</w:t>
      </w:r>
      <w:r w:rsidR="0055677A">
        <w:rPr>
          <w:rFonts w:ascii="Palatino Linotype" w:hAnsi="Palatino Linotype" w:cstheme="minorHAnsi"/>
          <w:sz w:val="22"/>
          <w:szCs w:val="22"/>
        </w:rPr>
        <w:t>:</w:t>
      </w:r>
      <w:r w:rsidRPr="0055677A">
        <w:rPr>
          <w:rFonts w:ascii="Palatino Linotype" w:hAnsi="Palatino Linotype" w:cstheme="minorHAnsi"/>
          <w:sz w:val="22"/>
          <w:szCs w:val="22"/>
        </w:rPr>
        <w:t xml:space="preserve"> (D) Sobre línea de fábrica.</w:t>
      </w:r>
    </w:p>
    <w:p w:rsidR="0055677A" w:rsidRPr="0055677A" w:rsidRDefault="00661E84" w:rsidP="00661E84">
      <w:pPr>
        <w:spacing w:after="240" w:line="276" w:lineRule="auto"/>
        <w:jc w:val="both"/>
        <w:rPr>
          <w:rFonts w:ascii="Palatino Linotype" w:hAnsi="Palatino Linotype" w:cstheme="minorHAnsi"/>
          <w:sz w:val="22"/>
          <w:szCs w:val="22"/>
        </w:rPr>
      </w:pPr>
      <w:r w:rsidRPr="00936385">
        <w:rPr>
          <w:rFonts w:ascii="Palatino Linotype" w:hAnsi="Palatino Linotype"/>
          <w:b/>
          <w:sz w:val="22"/>
          <w:szCs w:val="22"/>
          <w:lang w:val="es-EC"/>
        </w:rPr>
        <w:t xml:space="preserve">Artículo 4.- Lotes por excepción.- </w:t>
      </w:r>
      <w:r w:rsidRPr="00F33D0E">
        <w:rPr>
          <w:rFonts w:ascii="Palatino Linotype" w:hAnsi="Palatino Linotype" w:cs="Arial"/>
          <w:bCs/>
          <w:sz w:val="22"/>
          <w:szCs w:val="22"/>
        </w:rPr>
        <w:t>Por tratarse de un Asentamiento Humano de Hecho y Consolidado, se aprueba</w:t>
      </w:r>
      <w:r w:rsidR="0055677A">
        <w:rPr>
          <w:rFonts w:ascii="Palatino Linotype" w:hAnsi="Palatino Linotype" w:cs="Arial"/>
          <w:bCs/>
          <w:sz w:val="22"/>
          <w:szCs w:val="22"/>
        </w:rPr>
        <w:t>n</w:t>
      </w:r>
      <w:r w:rsidRPr="00F33D0E">
        <w:rPr>
          <w:rFonts w:ascii="Palatino Linotype" w:hAnsi="Palatino Linotype" w:cs="Arial"/>
          <w:bCs/>
          <w:sz w:val="22"/>
          <w:szCs w:val="22"/>
        </w:rPr>
        <w:t xml:space="preserve"> </w:t>
      </w:r>
      <w:r w:rsidR="0055677A" w:rsidRPr="00F33D0E">
        <w:rPr>
          <w:rFonts w:ascii="Palatino Linotype" w:hAnsi="Palatino Linotype" w:cs="Arial"/>
          <w:bCs/>
          <w:sz w:val="22"/>
          <w:szCs w:val="22"/>
        </w:rPr>
        <w:t xml:space="preserve">por excepción </w:t>
      </w:r>
      <w:r w:rsidRPr="00F33D0E">
        <w:rPr>
          <w:rFonts w:ascii="Palatino Linotype" w:hAnsi="Palatino Linotype" w:cs="Arial"/>
          <w:bCs/>
          <w:sz w:val="22"/>
          <w:szCs w:val="22"/>
        </w:rPr>
        <w:t>los siguientes lotes</w:t>
      </w:r>
      <w:r w:rsidR="0055677A">
        <w:rPr>
          <w:rFonts w:ascii="Palatino Linotype" w:hAnsi="Palatino Linotype" w:cs="Arial"/>
          <w:bCs/>
          <w:sz w:val="22"/>
          <w:szCs w:val="22"/>
        </w:rPr>
        <w:t xml:space="preserve"> de menor superficie conforme el plano adjunto</w:t>
      </w:r>
      <w:r w:rsidRPr="00F33D0E">
        <w:rPr>
          <w:rFonts w:ascii="Palatino Linotype" w:hAnsi="Palatino Linotype" w:cs="Arial"/>
          <w:bCs/>
          <w:sz w:val="22"/>
          <w:szCs w:val="22"/>
        </w:rPr>
        <w:t xml:space="preserve">: </w:t>
      </w:r>
      <w:r>
        <w:rPr>
          <w:rFonts w:ascii="Palatino Linotype" w:hAnsi="Palatino Linotype" w:cs="Arial"/>
          <w:bCs/>
          <w:sz w:val="22"/>
          <w:szCs w:val="22"/>
        </w:rPr>
        <w:t>1</w:t>
      </w:r>
      <w:r w:rsidRPr="00F33D0E">
        <w:rPr>
          <w:rFonts w:ascii="Palatino Linotype" w:hAnsi="Palatino Linotype" w:cs="Arial"/>
          <w:bCs/>
          <w:sz w:val="22"/>
          <w:szCs w:val="22"/>
        </w:rPr>
        <w:t>,</w:t>
      </w:r>
      <w:r>
        <w:rPr>
          <w:rFonts w:ascii="Palatino Linotype" w:hAnsi="Palatino Linotype" w:cs="Arial"/>
          <w:bCs/>
          <w:sz w:val="22"/>
          <w:szCs w:val="22"/>
        </w:rPr>
        <w:t xml:space="preserve"> 2</w:t>
      </w:r>
      <w:r w:rsidRPr="00F33D0E">
        <w:rPr>
          <w:rFonts w:ascii="Palatino Linotype" w:hAnsi="Palatino Linotype" w:cs="Arial"/>
          <w:bCs/>
          <w:sz w:val="22"/>
          <w:szCs w:val="22"/>
        </w:rPr>
        <w:t>,</w:t>
      </w:r>
      <w:r>
        <w:rPr>
          <w:rFonts w:ascii="Palatino Linotype" w:hAnsi="Palatino Linotype" w:cs="Arial"/>
          <w:bCs/>
          <w:sz w:val="22"/>
          <w:szCs w:val="22"/>
        </w:rPr>
        <w:t xml:space="preserve"> </w:t>
      </w:r>
      <w:r w:rsidRPr="00F33D0E">
        <w:rPr>
          <w:rFonts w:ascii="Palatino Linotype" w:hAnsi="Palatino Linotype" w:cs="Arial"/>
          <w:bCs/>
          <w:sz w:val="22"/>
          <w:szCs w:val="22"/>
        </w:rPr>
        <w:t xml:space="preserve">3,  4, 5, 6, 7, </w:t>
      </w:r>
      <w:r>
        <w:rPr>
          <w:rFonts w:ascii="Palatino Linotype" w:hAnsi="Palatino Linotype" w:cs="Arial"/>
          <w:bCs/>
          <w:sz w:val="22"/>
          <w:szCs w:val="22"/>
        </w:rPr>
        <w:t>8</w:t>
      </w:r>
      <w:r w:rsidRPr="00F33D0E">
        <w:rPr>
          <w:rFonts w:ascii="Palatino Linotype" w:hAnsi="Palatino Linotype" w:cs="Arial"/>
          <w:bCs/>
          <w:sz w:val="22"/>
          <w:szCs w:val="22"/>
        </w:rPr>
        <w:t>,</w:t>
      </w:r>
      <w:r>
        <w:rPr>
          <w:rFonts w:ascii="Palatino Linotype" w:hAnsi="Palatino Linotype" w:cs="Arial"/>
          <w:bCs/>
          <w:sz w:val="22"/>
          <w:szCs w:val="22"/>
        </w:rPr>
        <w:t xml:space="preserve"> </w:t>
      </w:r>
      <w:r w:rsidRPr="00F33D0E">
        <w:rPr>
          <w:rFonts w:ascii="Palatino Linotype" w:hAnsi="Palatino Linotype" w:cs="Arial"/>
          <w:bCs/>
          <w:sz w:val="22"/>
          <w:szCs w:val="22"/>
        </w:rPr>
        <w:t>9, 10, 11, 12, 13</w:t>
      </w:r>
      <w:r w:rsidR="0055677A">
        <w:rPr>
          <w:rFonts w:ascii="Palatino Linotype" w:hAnsi="Palatino Linotype" w:cs="Arial"/>
          <w:bCs/>
          <w:sz w:val="22"/>
          <w:szCs w:val="22"/>
        </w:rPr>
        <w:t xml:space="preserve"> y</w:t>
      </w:r>
      <w:r w:rsidRPr="00F33D0E">
        <w:rPr>
          <w:rFonts w:ascii="Palatino Linotype" w:hAnsi="Palatino Linotype" w:cs="Arial"/>
          <w:bCs/>
          <w:sz w:val="22"/>
          <w:szCs w:val="22"/>
        </w:rPr>
        <w:t xml:space="preserve"> 14.</w:t>
      </w:r>
    </w:p>
    <w:p w:rsidR="00661E84" w:rsidRPr="0055677A" w:rsidRDefault="00661E84" w:rsidP="00661E84">
      <w:pPr>
        <w:spacing w:after="240" w:line="276" w:lineRule="auto"/>
        <w:contextualSpacing/>
        <w:jc w:val="both"/>
        <w:rPr>
          <w:rFonts w:ascii="Palatino Linotype" w:hAnsi="Palatino Linotype" w:cs="Arial"/>
          <w:bCs/>
          <w:sz w:val="22"/>
          <w:szCs w:val="22"/>
        </w:rPr>
      </w:pPr>
      <w:r>
        <w:rPr>
          <w:rFonts w:ascii="Palatino Linotype" w:hAnsi="Palatino Linotype"/>
          <w:b/>
          <w:bCs/>
          <w:sz w:val="22"/>
          <w:szCs w:val="22"/>
          <w:lang w:val="es-EC"/>
        </w:rPr>
        <w:t xml:space="preserve">Artículo </w:t>
      </w:r>
      <w:r w:rsidR="002D0E3E">
        <w:rPr>
          <w:rFonts w:ascii="Palatino Linotype" w:hAnsi="Palatino Linotype"/>
          <w:b/>
          <w:bCs/>
          <w:sz w:val="22"/>
          <w:szCs w:val="22"/>
          <w:lang w:val="es-EC"/>
        </w:rPr>
        <w:t>5</w:t>
      </w:r>
      <w:r w:rsidRPr="00223768">
        <w:rPr>
          <w:rFonts w:ascii="Palatino Linotype" w:hAnsi="Palatino Linotype"/>
          <w:b/>
          <w:bCs/>
          <w:sz w:val="22"/>
          <w:szCs w:val="22"/>
          <w:lang w:val="es-EC"/>
        </w:rPr>
        <w:t xml:space="preserve">.- Excedentes o </w:t>
      </w:r>
      <w:r w:rsidR="0055677A">
        <w:rPr>
          <w:rFonts w:ascii="Palatino Linotype" w:hAnsi="Palatino Linotype"/>
          <w:b/>
          <w:bCs/>
          <w:sz w:val="22"/>
          <w:szCs w:val="22"/>
          <w:lang w:val="es-EC"/>
        </w:rPr>
        <w:t>d</w:t>
      </w:r>
      <w:r w:rsidRPr="00223768">
        <w:rPr>
          <w:rFonts w:ascii="Palatino Linotype" w:hAnsi="Palatino Linotype"/>
          <w:b/>
          <w:bCs/>
          <w:sz w:val="22"/>
          <w:szCs w:val="22"/>
          <w:lang w:val="es-EC"/>
        </w:rPr>
        <w:t>iferencias de áreas.-</w:t>
      </w:r>
      <w:r w:rsidRPr="00E3169E">
        <w:rPr>
          <w:rFonts w:ascii="Palatino Linotype" w:hAnsi="Palatino Linotype"/>
          <w:b/>
          <w:bCs/>
          <w:sz w:val="22"/>
          <w:szCs w:val="22"/>
          <w:lang w:val="es-EC"/>
        </w:rPr>
        <w:t xml:space="preserve"> </w:t>
      </w:r>
      <w:r w:rsidRPr="008C378E">
        <w:rPr>
          <w:rFonts w:ascii="Palatino Linotype" w:hAnsi="Palatino Linotype"/>
          <w:bCs/>
          <w:sz w:val="22"/>
          <w:szCs w:val="22"/>
          <w:lang w:val="es-EC"/>
        </w:rPr>
        <w:t>Por cuanto dentro del proceso</w:t>
      </w:r>
      <w:r>
        <w:rPr>
          <w:rFonts w:ascii="Palatino Linotype" w:hAnsi="Palatino Linotype"/>
          <w:bCs/>
          <w:sz w:val="22"/>
          <w:szCs w:val="22"/>
          <w:lang w:val="es-EC"/>
        </w:rPr>
        <w:t xml:space="preserve"> de regularización se </w:t>
      </w:r>
      <w:proofErr w:type="gramStart"/>
      <w:r>
        <w:rPr>
          <w:rFonts w:ascii="Palatino Linotype" w:hAnsi="Palatino Linotype"/>
          <w:bCs/>
          <w:sz w:val="22"/>
          <w:szCs w:val="22"/>
          <w:lang w:val="es-EC"/>
        </w:rPr>
        <w:t>detectó</w:t>
      </w:r>
      <w:proofErr w:type="gramEnd"/>
      <w:r>
        <w:rPr>
          <w:rFonts w:ascii="Palatino Linotype" w:hAnsi="Palatino Linotype"/>
          <w:bCs/>
          <w:sz w:val="22"/>
          <w:szCs w:val="22"/>
          <w:lang w:val="es-EC"/>
        </w:rPr>
        <w:t xml:space="preserve"> la existencia de una variación de área, previo a la protocolización e inscripción de la presente ordenanza se deberá regularizar el área, de conformidad con lo establecido en la </w:t>
      </w:r>
      <w:r w:rsidR="009C0D07">
        <w:rPr>
          <w:rFonts w:ascii="Palatino Linotype" w:hAnsi="Palatino Linotype"/>
          <w:bCs/>
          <w:sz w:val="22"/>
          <w:szCs w:val="22"/>
          <w:lang w:val="es-EC"/>
        </w:rPr>
        <w:t>normativa nacional y metropolitana vigente</w:t>
      </w:r>
      <w:r>
        <w:rPr>
          <w:rFonts w:ascii="Palatino Linotype" w:hAnsi="Palatino Linotype"/>
          <w:bCs/>
          <w:sz w:val="22"/>
          <w:szCs w:val="22"/>
          <w:lang w:val="es-EC"/>
        </w:rPr>
        <w:t>.</w:t>
      </w:r>
    </w:p>
    <w:p w:rsidR="0055677A" w:rsidRPr="007029A0" w:rsidRDefault="00661E84" w:rsidP="0055677A">
      <w:pPr>
        <w:pStyle w:val="Sinespaciado"/>
        <w:spacing w:after="240" w:line="276" w:lineRule="auto"/>
        <w:jc w:val="both"/>
        <w:rPr>
          <w:rFonts w:ascii="Palatino Linotype" w:hAnsi="Palatino Linotype"/>
          <w:iCs/>
        </w:rPr>
      </w:pPr>
      <w:r>
        <w:rPr>
          <w:rFonts w:ascii="Palatino Linotype" w:hAnsi="Palatino Linotype"/>
          <w:b/>
          <w:bCs/>
        </w:rPr>
        <w:t xml:space="preserve">Artículo </w:t>
      </w:r>
      <w:r w:rsidR="0007053F">
        <w:rPr>
          <w:rFonts w:ascii="Palatino Linotype" w:hAnsi="Palatino Linotype"/>
          <w:b/>
          <w:bCs/>
        </w:rPr>
        <w:t>6</w:t>
      </w:r>
      <w:r w:rsidRPr="002E70F1">
        <w:rPr>
          <w:rFonts w:ascii="Palatino Linotype" w:hAnsi="Palatino Linotype"/>
          <w:b/>
          <w:bCs/>
        </w:rPr>
        <w:t xml:space="preserve">.- De las vías.- </w:t>
      </w:r>
      <w:r w:rsidRPr="002E70F1">
        <w:rPr>
          <w:rFonts w:ascii="Palatino Linotype" w:hAnsi="Palatino Linotype"/>
          <w:bCs/>
          <w:iCs/>
        </w:rPr>
        <w:t xml:space="preserve">El Asentamiento Humano de Hecho y Consolidado </w:t>
      </w:r>
      <w:r w:rsidRPr="002E70F1">
        <w:rPr>
          <w:rFonts w:ascii="Palatino Linotype" w:hAnsi="Palatino Linotype"/>
          <w:iCs/>
        </w:rPr>
        <w:t xml:space="preserve">contempla un </w:t>
      </w:r>
      <w:r w:rsidRPr="007029A0">
        <w:rPr>
          <w:rFonts w:ascii="Palatino Linotype" w:hAnsi="Palatino Linotype"/>
          <w:iCs/>
        </w:rPr>
        <w:t>sistema vial de uso público, debido a que éste es un asentamiento humano de hecho y consolidado de 14 años de existencia, con un 85,71% de consolidación de viviendas, se aprueban los siguientes anchos de vías y pasajes:</w:t>
      </w:r>
    </w:p>
    <w:p w:rsidR="0055677A" w:rsidRPr="007029A0" w:rsidRDefault="0055677A" w:rsidP="0055677A">
      <w:pPr>
        <w:pStyle w:val="Sinespaciado"/>
        <w:spacing w:after="240" w:line="276" w:lineRule="auto"/>
        <w:jc w:val="both"/>
        <w:rPr>
          <w:rFonts w:ascii="Palatino Linotype" w:hAnsi="Palatino Linotype" w:cstheme="minorHAnsi"/>
        </w:rPr>
      </w:pPr>
      <w:r w:rsidRPr="007029A0">
        <w:rPr>
          <w:rFonts w:ascii="Palatino Linotype" w:hAnsi="Palatino Linotype" w:cstheme="minorHAnsi"/>
        </w:rPr>
        <w:t>Pasaje Oe1I</w:t>
      </w:r>
      <w:r w:rsidR="007029A0">
        <w:rPr>
          <w:rFonts w:ascii="Palatino Linotype" w:hAnsi="Palatino Linotype" w:cstheme="minorHAnsi"/>
        </w:rPr>
        <w:t>:</w:t>
      </w:r>
      <w:r w:rsidR="007029A0">
        <w:rPr>
          <w:rFonts w:ascii="Palatino Linotype" w:hAnsi="Palatino Linotype" w:cstheme="minorHAnsi"/>
        </w:rPr>
        <w:tab/>
      </w:r>
      <w:r w:rsidR="007029A0">
        <w:rPr>
          <w:rFonts w:ascii="Palatino Linotype" w:hAnsi="Palatino Linotype" w:cstheme="minorHAnsi"/>
        </w:rPr>
        <w:tab/>
      </w:r>
      <w:r w:rsidR="007029A0">
        <w:rPr>
          <w:rFonts w:ascii="Palatino Linotype" w:hAnsi="Palatino Linotype" w:cstheme="minorHAnsi"/>
        </w:rPr>
        <w:tab/>
      </w:r>
      <w:r w:rsidRPr="007029A0">
        <w:rPr>
          <w:rFonts w:ascii="Palatino Linotype" w:hAnsi="Palatino Linotype" w:cstheme="minorHAnsi"/>
        </w:rPr>
        <w:t>3,60</w:t>
      </w:r>
      <w:r w:rsidR="007029A0">
        <w:rPr>
          <w:rFonts w:ascii="Palatino Linotype" w:hAnsi="Palatino Linotype" w:cstheme="minorHAnsi"/>
        </w:rPr>
        <w:t xml:space="preserve"> </w:t>
      </w:r>
      <w:r w:rsidRPr="007029A0">
        <w:rPr>
          <w:rFonts w:ascii="Palatino Linotype" w:hAnsi="Palatino Linotype" w:cstheme="minorHAnsi"/>
        </w:rPr>
        <w:t>m</w:t>
      </w:r>
    </w:p>
    <w:p w:rsidR="00661E84" w:rsidRPr="007029A0" w:rsidRDefault="0055677A" w:rsidP="0055677A">
      <w:pPr>
        <w:pStyle w:val="Sinespaciado"/>
        <w:spacing w:after="240" w:line="276" w:lineRule="auto"/>
        <w:jc w:val="both"/>
        <w:rPr>
          <w:rFonts w:ascii="Palatino Linotype" w:hAnsi="Palatino Linotype"/>
          <w:iCs/>
        </w:rPr>
      </w:pPr>
      <w:r w:rsidRPr="007029A0">
        <w:rPr>
          <w:rFonts w:ascii="Palatino Linotype" w:hAnsi="Palatino Linotype" w:cstheme="minorHAnsi"/>
        </w:rPr>
        <w:t>Pasaje Oe1H</w:t>
      </w:r>
      <w:r w:rsidR="007029A0">
        <w:rPr>
          <w:rFonts w:ascii="Palatino Linotype" w:hAnsi="Palatino Linotype" w:cstheme="minorHAnsi"/>
        </w:rPr>
        <w:t>:</w:t>
      </w:r>
      <w:r w:rsidRPr="007029A0">
        <w:rPr>
          <w:rFonts w:ascii="Palatino Linotype" w:hAnsi="Palatino Linotype" w:cstheme="minorHAnsi"/>
        </w:rPr>
        <w:t xml:space="preserve">                             variable de 3,87</w:t>
      </w:r>
      <w:r w:rsidR="007029A0">
        <w:rPr>
          <w:rFonts w:ascii="Palatino Linotype" w:hAnsi="Palatino Linotype" w:cstheme="minorHAnsi"/>
        </w:rPr>
        <w:t xml:space="preserve"> </w:t>
      </w:r>
      <w:r w:rsidRPr="007029A0">
        <w:rPr>
          <w:rFonts w:ascii="Palatino Linotype" w:hAnsi="Palatino Linotype" w:cstheme="minorHAnsi"/>
        </w:rPr>
        <w:t>m a 5,92</w:t>
      </w:r>
      <w:r w:rsidR="007029A0">
        <w:rPr>
          <w:rFonts w:ascii="Palatino Linotype" w:hAnsi="Palatino Linotype" w:cstheme="minorHAnsi"/>
        </w:rPr>
        <w:t xml:space="preserve"> </w:t>
      </w:r>
      <w:r w:rsidRPr="007029A0">
        <w:rPr>
          <w:rFonts w:ascii="Palatino Linotype" w:hAnsi="Palatino Linotype" w:cstheme="minorHAnsi"/>
        </w:rPr>
        <w:t>m</w:t>
      </w:r>
    </w:p>
    <w:p w:rsidR="00661E84" w:rsidRPr="00EF40FF" w:rsidRDefault="00661E84" w:rsidP="00661E84">
      <w:pPr>
        <w:spacing w:after="240" w:line="276" w:lineRule="auto"/>
        <w:jc w:val="both"/>
        <w:rPr>
          <w:rFonts w:ascii="Palatino Linotype" w:hAnsi="Palatino Linotype"/>
          <w:bCs/>
          <w:sz w:val="22"/>
          <w:szCs w:val="22"/>
          <w:lang w:val="es-EC"/>
        </w:rPr>
      </w:pPr>
      <w:r>
        <w:rPr>
          <w:rFonts w:ascii="Palatino Linotype" w:hAnsi="Palatino Linotype"/>
          <w:b/>
          <w:bCs/>
          <w:sz w:val="22"/>
          <w:szCs w:val="22"/>
          <w:lang w:val="es-EC"/>
        </w:rPr>
        <w:lastRenderedPageBreak/>
        <w:t xml:space="preserve">Artículo </w:t>
      </w:r>
      <w:r w:rsidR="0007053F">
        <w:rPr>
          <w:rFonts w:ascii="Palatino Linotype" w:hAnsi="Palatino Linotype"/>
          <w:b/>
          <w:bCs/>
          <w:sz w:val="22"/>
          <w:szCs w:val="22"/>
          <w:lang w:val="es-EC"/>
        </w:rPr>
        <w:t>7</w:t>
      </w:r>
      <w:r w:rsidRPr="00EF40FF">
        <w:rPr>
          <w:rFonts w:ascii="Palatino Linotype" w:hAnsi="Palatino Linotype"/>
          <w:b/>
          <w:bCs/>
          <w:sz w:val="22"/>
          <w:szCs w:val="22"/>
          <w:lang w:val="es-EC"/>
        </w:rPr>
        <w:t xml:space="preserve">.- De las obras a ejecutarse.- </w:t>
      </w:r>
      <w:r w:rsidRPr="00EF40FF">
        <w:rPr>
          <w:rFonts w:ascii="Palatino Linotype" w:hAnsi="Palatino Linotype"/>
          <w:sz w:val="22"/>
          <w:szCs w:val="22"/>
          <w:lang w:val="es-EC"/>
        </w:rPr>
        <w:t xml:space="preserve">Las obras a ejecutarse en el asentamiento </w:t>
      </w:r>
      <w:r w:rsidR="007029A0">
        <w:rPr>
          <w:rFonts w:ascii="Palatino Linotype" w:hAnsi="Palatino Linotype"/>
          <w:sz w:val="22"/>
          <w:szCs w:val="22"/>
          <w:lang w:val="es-EC"/>
        </w:rPr>
        <w:t>humano de hecho y consolidado</w:t>
      </w:r>
      <w:r w:rsidR="009C0D07">
        <w:rPr>
          <w:rFonts w:ascii="Palatino Linotype" w:hAnsi="Palatino Linotype"/>
          <w:sz w:val="22"/>
          <w:szCs w:val="22"/>
          <w:lang w:val="es-EC"/>
        </w:rPr>
        <w:t>,</w:t>
      </w:r>
      <w:r w:rsidR="007029A0">
        <w:rPr>
          <w:rFonts w:ascii="Palatino Linotype" w:hAnsi="Palatino Linotype"/>
          <w:sz w:val="22"/>
          <w:szCs w:val="22"/>
          <w:lang w:val="es-EC"/>
        </w:rPr>
        <w:t xml:space="preserve"> </w:t>
      </w:r>
      <w:r w:rsidRPr="00EF40FF">
        <w:rPr>
          <w:rFonts w:ascii="Palatino Linotype" w:hAnsi="Palatino Linotype"/>
          <w:sz w:val="22"/>
          <w:szCs w:val="22"/>
          <w:lang w:val="es-EC"/>
        </w:rPr>
        <w:t>son las siguientes:</w:t>
      </w:r>
    </w:p>
    <w:p w:rsidR="00661E84" w:rsidRDefault="00661E84" w:rsidP="00661E84">
      <w:pPr>
        <w:spacing w:after="240" w:line="276" w:lineRule="auto"/>
        <w:jc w:val="both"/>
        <w:rPr>
          <w:rFonts w:ascii="Palatino Linotype" w:hAnsi="Palatino Linotype"/>
          <w:sz w:val="22"/>
          <w:szCs w:val="22"/>
          <w:lang w:val="es-EC"/>
        </w:rPr>
      </w:pPr>
      <w:r w:rsidRPr="00EF40FF">
        <w:rPr>
          <w:rFonts w:ascii="Palatino Linotype" w:hAnsi="Palatino Linotype"/>
          <w:sz w:val="22"/>
          <w:szCs w:val="22"/>
          <w:lang w:val="es-EC"/>
        </w:rPr>
        <w:t>Calzadas</w:t>
      </w:r>
      <w:r w:rsidR="007029A0">
        <w:rPr>
          <w:rFonts w:ascii="Palatino Linotype" w:hAnsi="Palatino Linotype"/>
          <w:sz w:val="22"/>
          <w:szCs w:val="22"/>
          <w:lang w:val="es-EC"/>
        </w:rPr>
        <w:t>:</w:t>
      </w:r>
      <w:r w:rsidRPr="00EF40FF">
        <w:rPr>
          <w:rFonts w:ascii="Palatino Linotype" w:hAnsi="Palatino Linotype"/>
          <w:sz w:val="22"/>
          <w:szCs w:val="22"/>
          <w:lang w:val="es-EC"/>
        </w:rPr>
        <w:t xml:space="preserve">                                               </w:t>
      </w:r>
      <w:r>
        <w:rPr>
          <w:rFonts w:ascii="Palatino Linotype" w:hAnsi="Palatino Linotype"/>
          <w:sz w:val="22"/>
          <w:szCs w:val="22"/>
          <w:lang w:val="es-EC"/>
        </w:rPr>
        <w:t>3</w:t>
      </w:r>
      <w:r w:rsidRPr="00EF40FF">
        <w:rPr>
          <w:rFonts w:ascii="Palatino Linotype" w:hAnsi="Palatino Linotype"/>
          <w:sz w:val="22"/>
          <w:szCs w:val="22"/>
          <w:lang w:val="es-EC"/>
        </w:rPr>
        <w:t>0%</w:t>
      </w:r>
    </w:p>
    <w:p w:rsidR="00661E84" w:rsidRDefault="00661E84" w:rsidP="00661E84">
      <w:pPr>
        <w:spacing w:after="240" w:line="276" w:lineRule="auto"/>
        <w:jc w:val="both"/>
        <w:rPr>
          <w:rFonts w:ascii="Palatino Linotype" w:hAnsi="Palatino Linotype" w:cstheme="minorHAnsi"/>
          <w:sz w:val="22"/>
          <w:szCs w:val="22"/>
        </w:rPr>
      </w:pPr>
      <w:r w:rsidRPr="00EF40FF">
        <w:rPr>
          <w:rFonts w:ascii="Palatino Linotype" w:hAnsi="Palatino Linotype"/>
          <w:b/>
          <w:bCs/>
          <w:sz w:val="22"/>
          <w:szCs w:val="22"/>
        </w:rPr>
        <w:t xml:space="preserve">Artículo </w:t>
      </w:r>
      <w:r w:rsidR="0007053F">
        <w:rPr>
          <w:rFonts w:ascii="Palatino Linotype" w:hAnsi="Palatino Linotype"/>
          <w:b/>
          <w:bCs/>
          <w:sz w:val="22"/>
          <w:szCs w:val="22"/>
        </w:rPr>
        <w:t>8</w:t>
      </w:r>
      <w:r w:rsidRPr="00EF40FF">
        <w:rPr>
          <w:rFonts w:ascii="Palatino Linotype" w:hAnsi="Palatino Linotype"/>
          <w:b/>
          <w:bCs/>
          <w:i/>
          <w:sz w:val="22"/>
          <w:szCs w:val="22"/>
        </w:rPr>
        <w:t>.-</w:t>
      </w:r>
      <w:r w:rsidRPr="00EF40FF">
        <w:rPr>
          <w:rFonts w:ascii="Palatino Linotype" w:hAnsi="Palatino Linotype"/>
          <w:b/>
          <w:bCs/>
          <w:sz w:val="22"/>
          <w:szCs w:val="22"/>
        </w:rPr>
        <w:t xml:space="preserve"> Informe </w:t>
      </w:r>
      <w:r w:rsidR="007029A0">
        <w:rPr>
          <w:rFonts w:ascii="Palatino Linotype" w:hAnsi="Palatino Linotype"/>
          <w:b/>
          <w:bCs/>
          <w:sz w:val="22"/>
          <w:szCs w:val="22"/>
        </w:rPr>
        <w:t>t</w:t>
      </w:r>
      <w:r w:rsidRPr="00EF40FF">
        <w:rPr>
          <w:rFonts w:ascii="Palatino Linotype" w:hAnsi="Palatino Linotype"/>
          <w:b/>
          <w:bCs/>
          <w:sz w:val="22"/>
          <w:szCs w:val="22"/>
        </w:rPr>
        <w:t>écnico de  </w:t>
      </w:r>
      <w:r w:rsidR="007029A0">
        <w:rPr>
          <w:rFonts w:ascii="Palatino Linotype" w:hAnsi="Palatino Linotype"/>
          <w:b/>
          <w:bCs/>
          <w:sz w:val="22"/>
          <w:szCs w:val="22"/>
        </w:rPr>
        <w:t>e</w:t>
      </w:r>
      <w:r w:rsidRPr="00EF40FF">
        <w:rPr>
          <w:rFonts w:ascii="Palatino Linotype" w:hAnsi="Palatino Linotype"/>
          <w:b/>
          <w:bCs/>
          <w:sz w:val="22"/>
          <w:szCs w:val="22"/>
        </w:rPr>
        <w:t xml:space="preserve">valuación de </w:t>
      </w:r>
      <w:r w:rsidR="007029A0">
        <w:rPr>
          <w:rFonts w:ascii="Palatino Linotype" w:hAnsi="Palatino Linotype"/>
          <w:b/>
          <w:bCs/>
          <w:sz w:val="22"/>
          <w:szCs w:val="22"/>
        </w:rPr>
        <w:t>r</w:t>
      </w:r>
      <w:r w:rsidRPr="00EF40FF">
        <w:rPr>
          <w:rFonts w:ascii="Palatino Linotype" w:hAnsi="Palatino Linotype"/>
          <w:b/>
          <w:bCs/>
          <w:sz w:val="22"/>
          <w:szCs w:val="22"/>
        </w:rPr>
        <w:t>iesgos de la Secretaría General de Seguridad y Gobernabilidad.-</w:t>
      </w:r>
      <w:r w:rsidRPr="00EF40FF">
        <w:rPr>
          <w:rFonts w:ascii="Palatino Linotype" w:hAnsi="Palatino Linotype"/>
          <w:b/>
          <w:bCs/>
          <w:sz w:val="22"/>
          <w:szCs w:val="22"/>
          <w:lang w:eastAsia="es-EC"/>
        </w:rPr>
        <w:t> </w:t>
      </w:r>
      <w:r w:rsidR="007029A0" w:rsidRPr="007029A0">
        <w:rPr>
          <w:rFonts w:ascii="Palatino Linotype" w:hAnsi="Palatino Linotype" w:cstheme="minorHAnsi"/>
          <w:color w:val="000000"/>
          <w:sz w:val="22"/>
          <w:szCs w:val="22"/>
        </w:rPr>
        <w:t xml:space="preserve">Los </w:t>
      </w:r>
      <w:r w:rsidR="007029A0">
        <w:rPr>
          <w:rFonts w:ascii="Palatino Linotype" w:hAnsi="Palatino Linotype" w:cstheme="minorHAnsi"/>
          <w:color w:val="000000"/>
          <w:sz w:val="22"/>
          <w:szCs w:val="22"/>
        </w:rPr>
        <w:t>c</w:t>
      </w:r>
      <w:r w:rsidR="007029A0" w:rsidRPr="007029A0">
        <w:rPr>
          <w:rFonts w:ascii="Palatino Linotype" w:hAnsi="Palatino Linotype" w:cstheme="minorHAnsi"/>
          <w:color w:val="000000"/>
          <w:sz w:val="22"/>
          <w:szCs w:val="22"/>
        </w:rPr>
        <w:t xml:space="preserve">opropietarios del Asentamiento Humano de Hecho y Consolidado </w:t>
      </w:r>
      <w:r w:rsidR="007029A0">
        <w:rPr>
          <w:rFonts w:ascii="Palatino Linotype" w:hAnsi="Palatino Linotype" w:cstheme="minorHAnsi"/>
          <w:bCs/>
          <w:sz w:val="22"/>
          <w:szCs w:val="22"/>
        </w:rPr>
        <w:t>denominado “El Carmen</w:t>
      </w:r>
      <w:r w:rsidR="007029A0" w:rsidRPr="007029A0">
        <w:rPr>
          <w:rFonts w:ascii="Palatino Linotype" w:hAnsi="Palatino Linotype" w:cstheme="minorHAnsi"/>
          <w:bCs/>
          <w:sz w:val="22"/>
          <w:szCs w:val="22"/>
        </w:rPr>
        <w:t>”,</w:t>
      </w:r>
      <w:r w:rsidR="007029A0" w:rsidRPr="007029A0">
        <w:rPr>
          <w:rFonts w:ascii="Palatino Linotype" w:hAnsi="Palatino Linotype" w:cstheme="minorHAnsi"/>
          <w:color w:val="000000"/>
          <w:sz w:val="22"/>
          <w:szCs w:val="22"/>
        </w:rPr>
        <w:t xml:space="preserve"> se comprometen a realizar las recomendaciones que se encuentran determinadas en el informe de la Dirección Metropolitana de Gestión de Riesgos</w:t>
      </w:r>
      <w:r w:rsidR="007029A0">
        <w:rPr>
          <w:rFonts w:ascii="Palatino Linotype" w:hAnsi="Palatino Linotype" w:cstheme="minorHAnsi"/>
          <w:sz w:val="22"/>
          <w:szCs w:val="22"/>
        </w:rPr>
        <w:t xml:space="preserve"> No.</w:t>
      </w:r>
      <w:r>
        <w:rPr>
          <w:rFonts w:ascii="Palatino Linotype" w:hAnsi="Palatino Linotype" w:cstheme="minorHAnsi"/>
          <w:sz w:val="22"/>
          <w:szCs w:val="22"/>
        </w:rPr>
        <w:t xml:space="preserve">155- AT-DMGR-2015, de 18 de </w:t>
      </w:r>
      <w:r w:rsidR="007029A0">
        <w:rPr>
          <w:rFonts w:ascii="Palatino Linotype" w:hAnsi="Palatino Linotype" w:cstheme="minorHAnsi"/>
          <w:sz w:val="22"/>
          <w:szCs w:val="22"/>
        </w:rPr>
        <w:t>n</w:t>
      </w:r>
      <w:r>
        <w:rPr>
          <w:rFonts w:ascii="Palatino Linotype" w:hAnsi="Palatino Linotype" w:cstheme="minorHAnsi"/>
          <w:sz w:val="22"/>
          <w:szCs w:val="22"/>
        </w:rPr>
        <w:t>oviembre</w:t>
      </w:r>
      <w:r w:rsidRPr="00D05974">
        <w:rPr>
          <w:rFonts w:ascii="Palatino Linotype" w:hAnsi="Palatino Linotype" w:cstheme="minorHAnsi"/>
          <w:sz w:val="22"/>
          <w:szCs w:val="22"/>
        </w:rPr>
        <w:t xml:space="preserve"> de 2015, en el mismo que determina:</w:t>
      </w:r>
      <w:r>
        <w:rPr>
          <w:rFonts w:ascii="Palatino Linotype" w:hAnsi="Palatino Linotype" w:cstheme="minorHAnsi"/>
          <w:sz w:val="22"/>
          <w:szCs w:val="22"/>
        </w:rPr>
        <w:t xml:space="preserve"> </w:t>
      </w:r>
    </w:p>
    <w:p w:rsidR="00661E84" w:rsidRPr="007029A0" w:rsidRDefault="00661E84" w:rsidP="007029A0">
      <w:pPr>
        <w:pStyle w:val="Prrafodelista"/>
        <w:numPr>
          <w:ilvl w:val="0"/>
          <w:numId w:val="39"/>
        </w:numPr>
        <w:spacing w:after="240" w:line="276" w:lineRule="auto"/>
        <w:contextualSpacing/>
        <w:jc w:val="both"/>
        <w:rPr>
          <w:rFonts w:ascii="Palatino Linotype" w:hAnsi="Palatino Linotype" w:cstheme="minorHAnsi"/>
          <w:sz w:val="22"/>
          <w:szCs w:val="22"/>
        </w:rPr>
      </w:pPr>
      <w:r w:rsidRPr="007029A0">
        <w:rPr>
          <w:rFonts w:ascii="Palatino Linotype" w:hAnsi="Palatino Linotype" w:cstheme="minorHAnsi"/>
          <w:sz w:val="22"/>
          <w:szCs w:val="22"/>
        </w:rPr>
        <w:t xml:space="preserve">“La zona de estudio, una vez realizada la inspección técnica al AHHYC en el barrio “El Carmen” de la Parroquia de </w:t>
      </w:r>
      <w:proofErr w:type="spellStart"/>
      <w:r w:rsidRPr="007029A0">
        <w:rPr>
          <w:rFonts w:ascii="Palatino Linotype" w:hAnsi="Palatino Linotype" w:cstheme="minorHAnsi"/>
          <w:sz w:val="22"/>
          <w:szCs w:val="22"/>
        </w:rPr>
        <w:t>Solanda</w:t>
      </w:r>
      <w:proofErr w:type="spellEnd"/>
      <w:r w:rsidRPr="007029A0">
        <w:rPr>
          <w:rFonts w:ascii="Palatino Linotype" w:hAnsi="Palatino Linotype" w:cstheme="minorHAnsi"/>
          <w:sz w:val="22"/>
          <w:szCs w:val="22"/>
        </w:rPr>
        <w:t>, considerando los elementos expuestos, viviendas construidas hasta la actualidad con elementos estructurales artesanales, condiciones socioeconómicas, la pendiente del terreno, susceptibilidad por fenómenos de inestabilidad de terrenos. Se manifiesta que presenta un Riesgo Bajo.”</w:t>
      </w:r>
    </w:p>
    <w:p w:rsidR="00661E84" w:rsidRPr="007029A0" w:rsidRDefault="00661E84" w:rsidP="007029A0">
      <w:pPr>
        <w:pStyle w:val="Prrafodelista"/>
        <w:numPr>
          <w:ilvl w:val="0"/>
          <w:numId w:val="39"/>
        </w:numPr>
        <w:spacing w:after="240" w:line="276" w:lineRule="auto"/>
        <w:contextualSpacing/>
        <w:jc w:val="both"/>
        <w:rPr>
          <w:rFonts w:ascii="Palatino Linotype" w:hAnsi="Palatino Linotype" w:cstheme="minorHAnsi"/>
          <w:sz w:val="22"/>
          <w:szCs w:val="22"/>
        </w:rPr>
      </w:pPr>
      <w:r w:rsidRPr="007029A0">
        <w:rPr>
          <w:rFonts w:ascii="Palatino Linotype" w:hAnsi="Palatino Linotype" w:cstheme="minorHAnsi"/>
          <w:sz w:val="22"/>
          <w:szCs w:val="22"/>
        </w:rPr>
        <w:t>“La calificación de la evaluación de la condición del riesgo está dada en base a la probabilidad de ocurrencia de eventos adversos y a las perdidas con su consecuente afectación. Por lo tanto, desde el análisis de la DMGR expresa que es factible continuar con el proceso de regularización y que se deberá cumplir con las siguientes recomendaciones.”</w:t>
      </w:r>
    </w:p>
    <w:p w:rsidR="00661E84" w:rsidRPr="007029A0" w:rsidRDefault="00661E84" w:rsidP="007029A0">
      <w:pPr>
        <w:pStyle w:val="Prrafodelista"/>
        <w:numPr>
          <w:ilvl w:val="0"/>
          <w:numId w:val="39"/>
        </w:numPr>
        <w:spacing w:after="240" w:line="276" w:lineRule="auto"/>
        <w:jc w:val="both"/>
        <w:rPr>
          <w:rFonts w:ascii="Palatino Linotype" w:hAnsi="Palatino Linotype" w:cstheme="minorHAnsi"/>
          <w:sz w:val="22"/>
          <w:szCs w:val="22"/>
        </w:rPr>
      </w:pPr>
      <w:r w:rsidRPr="007029A0">
        <w:rPr>
          <w:rFonts w:ascii="Palatino Linotype" w:hAnsi="Palatino Linotype" w:cstheme="minorHAns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661E84" w:rsidRPr="007029A0" w:rsidRDefault="00661E84" w:rsidP="007029A0">
      <w:pPr>
        <w:pStyle w:val="Prrafodelista"/>
        <w:numPr>
          <w:ilvl w:val="0"/>
          <w:numId w:val="39"/>
        </w:numPr>
        <w:spacing w:after="240" w:line="276" w:lineRule="auto"/>
        <w:jc w:val="both"/>
        <w:rPr>
          <w:rFonts w:ascii="Palatino Linotype" w:hAnsi="Palatino Linotype" w:cstheme="minorHAnsi"/>
          <w:sz w:val="22"/>
          <w:szCs w:val="22"/>
        </w:rPr>
      </w:pPr>
      <w:r w:rsidRPr="007029A0">
        <w:rPr>
          <w:rFonts w:ascii="Palatino Linotype" w:hAnsi="Palatino Linotype" w:cstheme="minorHAnsi"/>
          <w:sz w:val="22"/>
          <w:szCs w:val="22"/>
        </w:rPr>
        <w:t xml:space="preserve">“En el proyecto de regularización se debe respetar la normativa vigente de las Ordenanzas Metropolitanas de: aprobación de los Planes Metropolitanos de Ordenamiento Territorial, (PMOT), Uso y Ocupación del Suelo, (PUOS) y Régimen Administrativo del Suelo en el D.M.Q. (Ordenanzas Metropolitanas No. 171 y No.172, y sus Reformatorias No.447 y No.432). En el caso de afectaciones o cercanía a las quebradas, taludes, ríos; Cumplir con lo establecido en los artículos 116 Áreas de protección de taludes, 117 Áreas de Protección de Quebradas, 118 Áreas de protección de cuerpos de agua, ríos y el articulo 122 referente a construcciones Sismo Resistentes, Por lo tanto el AHHYC conjuntamente con el profesional técnico responsable del barrio deberá ordenar el territorio y reestructurar el proyecto en función de las condiciones de la normativa manteniendo lo dispuesto en el Levantamiento </w:t>
      </w:r>
      <w:proofErr w:type="spellStart"/>
      <w:r w:rsidRPr="007029A0">
        <w:rPr>
          <w:rFonts w:ascii="Palatino Linotype" w:hAnsi="Palatino Linotype" w:cstheme="minorHAnsi"/>
          <w:sz w:val="22"/>
          <w:szCs w:val="22"/>
        </w:rPr>
        <w:t>Planialtimétrico</w:t>
      </w:r>
      <w:proofErr w:type="spellEnd"/>
      <w:r w:rsidRPr="007029A0">
        <w:rPr>
          <w:rFonts w:ascii="Palatino Linotype" w:hAnsi="Palatino Linotype" w:cstheme="minorHAnsi"/>
          <w:sz w:val="22"/>
          <w:szCs w:val="22"/>
        </w:rPr>
        <w:t xml:space="preserve"> proporcionado por la UERB”.</w:t>
      </w:r>
    </w:p>
    <w:p w:rsidR="00661E84" w:rsidRPr="007029A0" w:rsidRDefault="00661E84" w:rsidP="007029A0">
      <w:pPr>
        <w:pStyle w:val="Prrafodelista"/>
        <w:numPr>
          <w:ilvl w:val="0"/>
          <w:numId w:val="39"/>
        </w:numPr>
        <w:spacing w:after="240" w:line="276" w:lineRule="auto"/>
        <w:jc w:val="both"/>
        <w:rPr>
          <w:rFonts w:ascii="Palatino Linotype" w:hAnsi="Palatino Linotype" w:cstheme="minorHAnsi"/>
          <w:sz w:val="22"/>
          <w:szCs w:val="22"/>
        </w:rPr>
      </w:pPr>
      <w:r w:rsidRPr="007029A0">
        <w:rPr>
          <w:rFonts w:ascii="Palatino Linotype" w:hAnsi="Palatino Linotype" w:cstheme="minorHAnsi"/>
          <w:sz w:val="22"/>
          <w:szCs w:val="22"/>
        </w:rPr>
        <w:lastRenderedPageBreak/>
        <w:t>“La Dirección Metropolitana de Gestión de Riesgos (DMGR) recomienda para  continuar la legalización de sus construcciones en el barrio “El Carmen”, que en la</w:t>
      </w:r>
      <w:r w:rsidR="00102C28">
        <w:rPr>
          <w:rFonts w:ascii="Palatino Linotype" w:hAnsi="Palatino Linotype" w:cstheme="minorHAnsi"/>
          <w:sz w:val="22"/>
          <w:szCs w:val="22"/>
        </w:rPr>
        <w:t>s</w:t>
      </w:r>
      <w:bookmarkStart w:id="0" w:name="_GoBack"/>
      <w:bookmarkEnd w:id="0"/>
      <w:r w:rsidRPr="007029A0">
        <w:rPr>
          <w:rFonts w:ascii="Palatino Linotype" w:hAnsi="Palatino Linotype" w:cstheme="minorHAnsi"/>
          <w:sz w:val="22"/>
          <w:szCs w:val="22"/>
        </w:rPr>
        <w:t xml:space="preserve"> edificaciones actuales, sus propietarios deberían contratar a un especialista (Ing. Civil </w:t>
      </w:r>
      <w:proofErr w:type="spellStart"/>
      <w:r w:rsidRPr="007029A0">
        <w:rPr>
          <w:rFonts w:ascii="Palatino Linotype" w:hAnsi="Palatino Linotype" w:cstheme="minorHAnsi"/>
          <w:sz w:val="22"/>
          <w:szCs w:val="22"/>
        </w:rPr>
        <w:t>Estructurista</w:t>
      </w:r>
      <w:proofErr w:type="spellEnd"/>
      <w:r w:rsidRPr="007029A0">
        <w:rPr>
          <w:rFonts w:ascii="Palatino Linotype" w:hAnsi="Palatino Linotype" w:cstheme="minorHAnsi"/>
          <w:sz w:val="22"/>
          <w:szCs w:val="22"/>
        </w:rPr>
        <w:t xml:space="preserve"> o Estructural) para que evalué su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 resistentes, para lo cual la Agencia Metropolitana de Control deberá hacer cumplir esta disposición”.</w:t>
      </w:r>
    </w:p>
    <w:p w:rsidR="00661E84" w:rsidRPr="007029A0" w:rsidRDefault="00661E84" w:rsidP="007029A0">
      <w:pPr>
        <w:pStyle w:val="Prrafodelista"/>
        <w:numPr>
          <w:ilvl w:val="0"/>
          <w:numId w:val="39"/>
        </w:numPr>
        <w:spacing w:after="240" w:line="276" w:lineRule="auto"/>
        <w:jc w:val="both"/>
        <w:rPr>
          <w:rFonts w:ascii="Palatino Linotype" w:hAnsi="Palatino Linotype" w:cstheme="minorHAnsi"/>
          <w:sz w:val="22"/>
          <w:szCs w:val="22"/>
        </w:rPr>
      </w:pPr>
      <w:r w:rsidRPr="007029A0">
        <w:rPr>
          <w:rFonts w:ascii="Palatino Linotype" w:hAnsi="Palatino Linotype" w:cstheme="minorHAnsi"/>
          <w:sz w:val="22"/>
          <w:szCs w:val="22"/>
        </w:rPr>
        <w:t>“Coordinar con la EPMMOP para mejorar el trazado vial interno de sus pasajes, asegurando su estabilidad, y considerar el criterio técnico de la EPMAPS para que implemente el sistema de alcantarillado pluvial que evite la erosión del suelo, por ser un espacio que está desprotegido de cobertura vegetal u otro material”.</w:t>
      </w:r>
    </w:p>
    <w:p w:rsidR="009C0D07" w:rsidRDefault="00661E84" w:rsidP="00661E84">
      <w:pPr>
        <w:spacing w:after="240" w:line="276" w:lineRule="auto"/>
        <w:jc w:val="both"/>
        <w:rPr>
          <w:rFonts w:ascii="Palatino Linotype" w:hAnsi="Palatino Linotype" w:cs="Arial"/>
          <w:iCs/>
          <w:sz w:val="22"/>
          <w:szCs w:val="22"/>
        </w:rPr>
      </w:pPr>
      <w:r w:rsidRPr="00EF40FF">
        <w:rPr>
          <w:rFonts w:ascii="Palatino Linotype" w:hAnsi="Palatino Linotype"/>
          <w:b/>
          <w:bCs/>
          <w:sz w:val="22"/>
          <w:szCs w:val="22"/>
          <w:lang w:val="es-EC"/>
        </w:rPr>
        <w:t xml:space="preserve">Artículo </w:t>
      </w:r>
      <w:r w:rsidR="0007053F">
        <w:rPr>
          <w:rFonts w:ascii="Palatino Linotype" w:hAnsi="Palatino Linotype"/>
          <w:b/>
          <w:bCs/>
          <w:sz w:val="22"/>
          <w:szCs w:val="22"/>
          <w:lang w:val="es-EC"/>
        </w:rPr>
        <w:t>9</w:t>
      </w:r>
      <w:r w:rsidRPr="00EF40FF">
        <w:rPr>
          <w:rFonts w:ascii="Palatino Linotype" w:hAnsi="Palatino Linotype"/>
          <w:b/>
          <w:bCs/>
          <w:sz w:val="22"/>
          <w:szCs w:val="22"/>
          <w:lang w:val="es-EC"/>
        </w:rPr>
        <w:t>.- Del plazo de ejecución de las obras.-</w:t>
      </w:r>
      <w:r w:rsidRPr="00EF40FF">
        <w:rPr>
          <w:rFonts w:ascii="Palatino Linotype" w:hAnsi="Palatino Linotype"/>
          <w:sz w:val="22"/>
          <w:szCs w:val="22"/>
          <w:lang w:val="es-EC"/>
        </w:rPr>
        <w:t xml:space="preserve"> El plazo de ejecución de la totalidad de las obras de urbanización, incluido el equipamie</w:t>
      </w:r>
      <w:r>
        <w:rPr>
          <w:rFonts w:ascii="Palatino Linotype" w:hAnsi="Palatino Linotype"/>
          <w:sz w:val="22"/>
          <w:szCs w:val="22"/>
          <w:lang w:val="es-EC"/>
        </w:rPr>
        <w:t>nto del área comunal, es de cuatro (4</w:t>
      </w:r>
      <w:r w:rsidRPr="00EF40FF">
        <w:rPr>
          <w:rFonts w:ascii="Palatino Linotype" w:hAnsi="Palatino Linotype"/>
          <w:sz w:val="22"/>
          <w:szCs w:val="22"/>
          <w:lang w:val="es-EC"/>
        </w:rPr>
        <w:t xml:space="preserve">) años, </w:t>
      </w:r>
      <w:r w:rsidRPr="00EF40FF">
        <w:rPr>
          <w:rFonts w:ascii="Palatino Linotype" w:hAnsi="Palatino Linotype"/>
          <w:iCs/>
          <w:sz w:val="22"/>
          <w:szCs w:val="22"/>
          <w:lang w:val="es-EC"/>
        </w:rPr>
        <w:t>de conformidad al cronograma de obras presentado</w:t>
      </w:r>
      <w:r w:rsidRPr="00AA4753">
        <w:rPr>
          <w:rFonts w:ascii="Palatino Linotype" w:hAnsi="Palatino Linotype"/>
          <w:iCs/>
          <w:sz w:val="22"/>
          <w:szCs w:val="22"/>
          <w:lang w:val="es-EC"/>
        </w:rPr>
        <w:t xml:space="preserve"> por</w:t>
      </w:r>
      <w:r>
        <w:rPr>
          <w:rFonts w:ascii="Palatino Linotype" w:hAnsi="Palatino Linotype"/>
          <w:iCs/>
          <w:sz w:val="22"/>
          <w:szCs w:val="22"/>
          <w:lang w:val="es-EC"/>
        </w:rPr>
        <w:t xml:space="preserve"> los dirigentes del Asentamiento Humano de Hecho y Consolidado denominado </w:t>
      </w:r>
      <w:r w:rsidRPr="00426C7D">
        <w:rPr>
          <w:rFonts w:ascii="Palatino Linotype" w:hAnsi="Palatino Linotype" w:cstheme="minorHAnsi"/>
          <w:sz w:val="22"/>
          <w:szCs w:val="22"/>
        </w:rPr>
        <w:t xml:space="preserve">“El </w:t>
      </w:r>
      <w:r w:rsidRPr="009C0D07">
        <w:rPr>
          <w:rFonts w:ascii="Palatino Linotype" w:hAnsi="Palatino Linotype" w:cstheme="minorHAnsi"/>
          <w:sz w:val="22"/>
          <w:szCs w:val="22"/>
        </w:rPr>
        <w:t xml:space="preserve">Carmen” y sus </w:t>
      </w:r>
      <w:r w:rsidR="007029A0" w:rsidRPr="009C0D07">
        <w:rPr>
          <w:rFonts w:ascii="Palatino Linotype" w:hAnsi="Palatino Linotype" w:cstheme="minorHAnsi"/>
          <w:sz w:val="22"/>
          <w:szCs w:val="22"/>
        </w:rPr>
        <w:t>c</w:t>
      </w:r>
      <w:r w:rsidRPr="009C0D07">
        <w:rPr>
          <w:rFonts w:ascii="Palatino Linotype" w:hAnsi="Palatino Linotype" w:cstheme="minorHAnsi"/>
          <w:sz w:val="22"/>
          <w:szCs w:val="22"/>
        </w:rPr>
        <w:t>opropietarios</w:t>
      </w:r>
      <w:r w:rsidRPr="009C0D07">
        <w:rPr>
          <w:rFonts w:ascii="Palatino Linotype" w:eastAsia="Calibri" w:hAnsi="Palatino Linotype"/>
          <w:sz w:val="22"/>
          <w:szCs w:val="22"/>
          <w:lang w:val="es-EC" w:eastAsia="en-US"/>
        </w:rPr>
        <w:t>,</w:t>
      </w:r>
      <w:r w:rsidRPr="00AA4753">
        <w:rPr>
          <w:rFonts w:ascii="Palatino Linotype" w:hAnsi="Palatino Linotype"/>
          <w:iCs/>
          <w:sz w:val="22"/>
          <w:szCs w:val="22"/>
          <w:lang w:val="es-EC"/>
        </w:rPr>
        <w:t xml:space="preserve"> plazo que se contará a partir de la fecha de </w:t>
      </w:r>
      <w:r w:rsidR="009C0D07">
        <w:rPr>
          <w:rFonts w:ascii="Palatino Linotype" w:hAnsi="Palatino Linotype"/>
          <w:iCs/>
          <w:sz w:val="22"/>
          <w:szCs w:val="22"/>
          <w:lang w:val="es-EC"/>
        </w:rPr>
        <w:t xml:space="preserve">inscripción </w:t>
      </w:r>
      <w:r w:rsidR="009C0D07" w:rsidRPr="00C94C65">
        <w:rPr>
          <w:rFonts w:ascii="Palatino Linotype" w:hAnsi="Palatino Linotype"/>
          <w:iCs/>
          <w:sz w:val="22"/>
          <w:szCs w:val="22"/>
          <w:lang w:val="es-EC"/>
        </w:rPr>
        <w:t>de la presente ordenanza</w:t>
      </w:r>
      <w:r w:rsidR="009C0D07">
        <w:rPr>
          <w:rFonts w:ascii="Palatino Linotype" w:hAnsi="Palatino Linotype"/>
          <w:iCs/>
          <w:sz w:val="22"/>
          <w:szCs w:val="22"/>
          <w:lang w:val="es-EC"/>
        </w:rPr>
        <w:t xml:space="preserve"> en el Registro de la Propiedad del Distrito Metropolitano de Quito</w:t>
      </w:r>
      <w:r w:rsidR="009C0D07" w:rsidRPr="00C94C65">
        <w:rPr>
          <w:rFonts w:ascii="Palatino Linotype" w:hAnsi="Palatino Linotype"/>
          <w:iCs/>
          <w:sz w:val="22"/>
          <w:szCs w:val="22"/>
          <w:lang w:val="es-EC"/>
        </w:rPr>
        <w:t xml:space="preserve">. </w:t>
      </w:r>
      <w:r w:rsidR="009C0D07">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661E84" w:rsidRDefault="009C0D07" w:rsidP="00661E84">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El</w:t>
      </w:r>
      <w:r w:rsidR="00661E84">
        <w:rPr>
          <w:rFonts w:ascii="Palatino Linotype" w:hAnsi="Palatino Linotype"/>
          <w:iCs/>
          <w:sz w:val="22"/>
          <w:szCs w:val="22"/>
          <w:lang w:val="es-EC"/>
        </w:rPr>
        <w:t xml:space="preserve"> plazo </w:t>
      </w:r>
      <w:r>
        <w:rPr>
          <w:rFonts w:ascii="Palatino Linotype" w:hAnsi="Palatino Linotype"/>
          <w:iCs/>
          <w:sz w:val="22"/>
          <w:szCs w:val="22"/>
          <w:lang w:val="es-EC"/>
        </w:rPr>
        <w:t xml:space="preserve">en referencia podrá </w:t>
      </w:r>
      <w:r w:rsidR="00661E84">
        <w:rPr>
          <w:rFonts w:ascii="Palatino Linotype" w:hAnsi="Palatino Linotype"/>
          <w:iCs/>
          <w:sz w:val="22"/>
          <w:szCs w:val="22"/>
          <w:lang w:val="es-EC"/>
        </w:rPr>
        <w:t>prorrogarse por un periodo más, siempre y cuando se haya justificado un avance de  la obra de por lo menos un 50% de las obras que debían ejecutarse.</w:t>
      </w:r>
    </w:p>
    <w:p w:rsidR="00661E84" w:rsidRPr="00C2179A" w:rsidRDefault="00661E84" w:rsidP="00661E84">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La solicitud de ampliación de plazo para la ejecución de las obras será resuelta por la  Administración  Zonal a  la que pertenece el asentamiento.</w:t>
      </w:r>
    </w:p>
    <w:p w:rsidR="00661E84" w:rsidRDefault="00661E84" w:rsidP="00661E84">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Pr>
          <w:rFonts w:ascii="Palatino Linotype" w:hAnsi="Palatino Linotype"/>
          <w:b/>
          <w:bCs/>
          <w:iCs/>
          <w:sz w:val="22"/>
          <w:szCs w:val="22"/>
          <w:lang w:val="es-EC"/>
        </w:rPr>
        <w:t xml:space="preserve"> </w:t>
      </w:r>
      <w:r w:rsidR="0007053F">
        <w:rPr>
          <w:rFonts w:ascii="Palatino Linotype" w:hAnsi="Palatino Linotype"/>
          <w:b/>
          <w:bCs/>
          <w:iCs/>
          <w:sz w:val="22"/>
          <w:szCs w:val="22"/>
          <w:lang w:val="es-EC"/>
        </w:rPr>
        <w:t>10</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La Administración Zonal </w:t>
      </w:r>
      <w:r>
        <w:rPr>
          <w:rFonts w:ascii="Palatino Linotype" w:hAnsi="Palatino Linotype"/>
          <w:iCs/>
          <w:sz w:val="22"/>
          <w:szCs w:val="22"/>
          <w:lang w:val="es-EC"/>
        </w:rPr>
        <w:t xml:space="preserve">Eloy Alfaro </w:t>
      </w:r>
      <w:r w:rsidR="007029A0" w:rsidRPr="00AA4753">
        <w:rPr>
          <w:rFonts w:ascii="Palatino Linotype" w:hAnsi="Palatino Linotype"/>
          <w:iCs/>
          <w:sz w:val="22"/>
          <w:szCs w:val="22"/>
          <w:lang w:val="es-EC"/>
        </w:rPr>
        <w:t>r</w:t>
      </w:r>
      <w:r w:rsidR="007029A0" w:rsidRPr="00AA4753">
        <w:rPr>
          <w:rFonts w:ascii="Palatino Linotype" w:hAnsi="Palatino Linotype"/>
          <w:sz w:val="22"/>
          <w:szCs w:val="22"/>
          <w:lang w:val="es-EC"/>
        </w:rPr>
        <w:t xml:space="preserve">ealizará el seguimiento en la ejecución y avance de las obras de urbanización hasta la terminación de las mismas, </w:t>
      </w:r>
      <w:r w:rsidR="007029A0"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7029A0" w:rsidRPr="00F71698">
        <w:rPr>
          <w:rFonts w:ascii="Palatino Linotype" w:hAnsi="Palatino Linotype" w:cs="Arial"/>
          <w:color w:val="2A2A2A"/>
          <w:sz w:val="22"/>
          <w:szCs w:val="22"/>
        </w:rPr>
        <w:t>.</w:t>
      </w:r>
    </w:p>
    <w:p w:rsidR="00661E84" w:rsidRPr="00AA4753" w:rsidRDefault="00661E84" w:rsidP="00661E84">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 1</w:t>
      </w:r>
      <w:r w:rsidR="009C0D07">
        <w:rPr>
          <w:rFonts w:ascii="Palatino Linotype" w:hAnsi="Palatino Linotype"/>
          <w:b/>
          <w:bCs/>
          <w:iCs/>
          <w:sz w:val="22"/>
          <w:szCs w:val="22"/>
          <w:lang w:val="es-EC"/>
        </w:rPr>
        <w:t>1</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Pr>
          <w:rFonts w:ascii="Palatino Linotype" w:hAnsi="Palatino Linotype"/>
          <w:sz w:val="22"/>
          <w:szCs w:val="22"/>
          <w:lang w:val="es-EC"/>
        </w:rPr>
        <w:t>del presente reconocimiento del Asentamiento Humano de Hecho y C</w:t>
      </w:r>
      <w:r w:rsidRPr="00AA4753">
        <w:rPr>
          <w:rFonts w:ascii="Palatino Linotype" w:hAnsi="Palatino Linotype"/>
          <w:sz w:val="22"/>
          <w:szCs w:val="22"/>
          <w:lang w:val="es-EC"/>
        </w:rPr>
        <w:t>onsolidado</w:t>
      </w:r>
      <w:r w:rsidRPr="00A85EDA">
        <w:rPr>
          <w:rFonts w:ascii="Palatino Linotype" w:hAnsi="Palatino Linotype"/>
          <w:sz w:val="22"/>
          <w:szCs w:val="22"/>
          <w:lang w:val="es-EC"/>
        </w:rPr>
        <w:t xml:space="preserve"> </w:t>
      </w:r>
      <w:r>
        <w:rPr>
          <w:rFonts w:ascii="Palatino Linotype" w:hAnsi="Palatino Linotype"/>
          <w:sz w:val="22"/>
          <w:szCs w:val="22"/>
          <w:lang w:val="es-EC"/>
        </w:rPr>
        <w:t>denominado</w:t>
      </w:r>
      <w:r>
        <w:rPr>
          <w:rFonts w:ascii="Palatino Linotype" w:eastAsia="Calibri" w:hAnsi="Palatino Linotype"/>
          <w:sz w:val="22"/>
          <w:szCs w:val="22"/>
          <w:lang w:val="es-EC" w:eastAsia="en-US"/>
        </w:rPr>
        <w:t xml:space="preserve"> </w:t>
      </w:r>
      <w:r w:rsidRPr="00D05974">
        <w:rPr>
          <w:rFonts w:ascii="Palatino Linotype" w:hAnsi="Palatino Linotype"/>
          <w:sz w:val="22"/>
          <w:szCs w:val="22"/>
          <w:lang w:val="es-EC"/>
        </w:rPr>
        <w:t>“El Carmen”</w:t>
      </w:r>
      <w:r>
        <w:rPr>
          <w:rFonts w:ascii="Palatino Linotype" w:hAnsi="Palatino Linotype"/>
          <w:sz w:val="22"/>
          <w:szCs w:val="22"/>
          <w:lang w:val="es-EC"/>
        </w:rPr>
        <w:t>,</w:t>
      </w:r>
      <w:r>
        <w:rPr>
          <w:rFonts w:ascii="Palatino Linotype" w:eastAsia="Calibri" w:hAnsi="Palatino Linotype"/>
          <w:sz w:val="22"/>
          <w:szCs w:val="22"/>
          <w:lang w:val="es-EC" w:eastAsia="en-US"/>
        </w:rPr>
        <w:t xml:space="preserve"> </w:t>
      </w:r>
      <w:r w:rsidRPr="00AA4753">
        <w:rPr>
          <w:rFonts w:ascii="Palatino Linotype" w:hAnsi="Palatino Linotype"/>
          <w:sz w:val="22"/>
          <w:szCs w:val="22"/>
          <w:lang w:val="es-EC"/>
        </w:rPr>
        <w:lastRenderedPageBreak/>
        <w:t>quedan gravados con primera, especial y preferente hipoteca a favor del Municipio del Distrito Metropolitano de Quito, y que subsistirá hasta la terminación de la ejecución de las obras de urbanización.</w:t>
      </w:r>
    </w:p>
    <w:p w:rsidR="00661E84" w:rsidRDefault="00661E84" w:rsidP="00661E84">
      <w:pPr>
        <w:spacing w:after="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sidR="009C0D07">
        <w:rPr>
          <w:rFonts w:ascii="Palatino Linotype" w:hAnsi="Palatino Linotype"/>
          <w:b/>
          <w:bCs/>
          <w:sz w:val="22"/>
          <w:szCs w:val="22"/>
          <w:lang w:val="es-ES_tradnl"/>
        </w:rPr>
        <w:t>2</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dirigentes del Asentamiento Humano de Hecho y Consolidado denominado</w:t>
      </w:r>
      <w:r w:rsidRPr="00F22630">
        <w:rPr>
          <w:rFonts w:ascii="Palatino Linotype" w:eastAsia="Calibri" w:hAnsi="Palatino Linotype"/>
          <w:sz w:val="22"/>
          <w:szCs w:val="22"/>
          <w:lang w:val="es-EC" w:eastAsia="en-US"/>
        </w:rPr>
        <w:t xml:space="preserve"> </w:t>
      </w:r>
      <w:r w:rsidRPr="00611756">
        <w:rPr>
          <w:rFonts w:ascii="Palatino Linotype" w:hAnsi="Palatino Linotype"/>
          <w:sz w:val="22"/>
          <w:szCs w:val="22"/>
          <w:lang w:val="es-EC"/>
        </w:rPr>
        <w:t>“El Carmen”</w:t>
      </w:r>
      <w:r>
        <w:rPr>
          <w:rFonts w:ascii="Palatino Linotype" w:hAnsi="Palatino Linotype"/>
          <w:sz w:val="22"/>
          <w:szCs w:val="22"/>
          <w:lang w:val="es-EC"/>
        </w:rPr>
        <w:t xml:space="preserve">, </w:t>
      </w:r>
      <w:r w:rsidRPr="00AA4753">
        <w:rPr>
          <w:rFonts w:ascii="Palatino Linotype" w:hAnsi="Palatino Linotype"/>
          <w:sz w:val="22"/>
          <w:szCs w:val="22"/>
          <w:lang w:val="es-ES_tradnl"/>
        </w:rPr>
        <w:t>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AA4753">
        <w:rPr>
          <w:rFonts w:ascii="Palatino Linotype" w:hAnsi="Palatino Linotype"/>
          <w:sz w:val="22"/>
          <w:szCs w:val="22"/>
          <w:lang w:val="es-EC"/>
        </w:rPr>
        <w:t xml:space="preserve">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661E84" w:rsidRPr="00AA4753" w:rsidRDefault="00661E84" w:rsidP="00661E84">
      <w:pPr>
        <w:spacing w:after="24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661E84" w:rsidRPr="00C41E72" w:rsidRDefault="00661E84" w:rsidP="00661E84">
      <w:pPr>
        <w:spacing w:after="240" w:line="276" w:lineRule="auto"/>
        <w:jc w:val="both"/>
        <w:rPr>
          <w:rFonts w:ascii="Palatino Linotype" w:hAnsi="Palatino Linotype" w:cs="Arial"/>
          <w:sz w:val="22"/>
          <w:szCs w:val="22"/>
          <w:lang w:val="es-ES_tradnl"/>
        </w:rPr>
      </w:pPr>
      <w:r>
        <w:rPr>
          <w:rFonts w:ascii="Palatino Linotype" w:hAnsi="Palatino Linotype" w:cs="Arial"/>
          <w:b/>
          <w:sz w:val="22"/>
          <w:szCs w:val="22"/>
          <w:lang w:val="es-ES_tradnl"/>
        </w:rPr>
        <w:t>Artículo 1</w:t>
      </w:r>
      <w:r w:rsidR="009C0D07">
        <w:rPr>
          <w:rFonts w:ascii="Palatino Linotype" w:hAnsi="Palatino Linotype" w:cs="Arial"/>
          <w:b/>
          <w:sz w:val="22"/>
          <w:szCs w:val="22"/>
          <w:lang w:val="es-ES_tradnl"/>
        </w:rPr>
        <w:t>3</w:t>
      </w:r>
      <w:r w:rsidRPr="00C41E72">
        <w:rPr>
          <w:rFonts w:ascii="Palatino Linotype" w:hAnsi="Palatino Linotype" w:cs="Arial"/>
          <w:b/>
          <w:sz w:val="22"/>
          <w:szCs w:val="22"/>
          <w:lang w:val="es-ES_tradnl"/>
        </w:rPr>
        <w:t xml:space="preserve">.- </w:t>
      </w:r>
      <w:r w:rsidRPr="008E0D52">
        <w:rPr>
          <w:rFonts w:ascii="Palatino Linotype" w:hAnsi="Palatino Linotype" w:cs="Arial"/>
          <w:b/>
          <w:sz w:val="22"/>
          <w:szCs w:val="22"/>
          <w:lang w:val="es-ES_tradnl"/>
        </w:rPr>
        <w:t>De la partición y adjudicación.-</w:t>
      </w:r>
      <w:r w:rsidRPr="00C41E72">
        <w:rPr>
          <w:rFonts w:ascii="Palatino Linotype" w:hAnsi="Palatino Linotype" w:cs="Arial"/>
          <w:sz w:val="22"/>
          <w:szCs w:val="22"/>
          <w:lang w:val="es-ES_tradnl"/>
        </w:rPr>
        <w:t xml:space="preserve"> 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2D6217">
        <w:rPr>
          <w:rFonts w:ascii="Palatino Linotype" w:hAnsi="Palatino Linotype" w:cs="Arial"/>
          <w:sz w:val="22"/>
          <w:szCs w:val="22"/>
          <w:lang w:val="es-ES_tradnl"/>
        </w:rPr>
        <w:t xml:space="preserve">  </w:t>
      </w:r>
    </w:p>
    <w:p w:rsidR="00661E84" w:rsidRPr="00AA4753" w:rsidRDefault="00661E84" w:rsidP="00661E84">
      <w:pPr>
        <w:spacing w:after="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sidR="009C0D07">
        <w:rPr>
          <w:rFonts w:ascii="Palatino Linotype" w:hAnsi="Palatino Linotype"/>
          <w:b/>
          <w:sz w:val="22"/>
          <w:szCs w:val="22"/>
          <w:lang w:val="es-EC"/>
        </w:rPr>
        <w:t>4</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61E84" w:rsidRPr="00AA4753" w:rsidRDefault="00661E84" w:rsidP="00661E84">
      <w:pPr>
        <w:spacing w:after="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t>Artículo 1</w:t>
      </w:r>
      <w:r w:rsidR="009C0D07">
        <w:rPr>
          <w:rFonts w:ascii="Palatino Linotype" w:hAnsi="Palatino Linotype"/>
          <w:b/>
          <w:bCs/>
          <w:sz w:val="22"/>
          <w:szCs w:val="22"/>
          <w:lang w:val="es-ES_tradnl"/>
        </w:rPr>
        <w:t>5</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C94C65" w:rsidRDefault="00BA5D17" w:rsidP="00661E84">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sz w:val="22"/>
          <w:szCs w:val="22"/>
          <w:lang w:val="es-ES_tradnl"/>
        </w:rPr>
        <w:lastRenderedPageBreak/>
        <w:t xml:space="preserve">Disposición Final.- </w:t>
      </w:r>
      <w:r w:rsidRPr="00D2374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9C0D07">
        <w:rPr>
          <w:rFonts w:ascii="Palatino Linotype" w:hAnsi="Palatino Linotype" w:cs="Arial"/>
          <w:sz w:val="22"/>
          <w:szCs w:val="22"/>
        </w:rPr>
        <w:t>24</w:t>
      </w:r>
      <w:r w:rsidRPr="006336FA">
        <w:rPr>
          <w:rFonts w:ascii="Palatino Linotype" w:hAnsi="Palatino Linotype" w:cs="Arial"/>
          <w:sz w:val="22"/>
          <w:szCs w:val="22"/>
        </w:rPr>
        <w:t xml:space="preserve"> de </w:t>
      </w:r>
      <w:r w:rsidR="009C0D07">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8D7F62" w:rsidTr="00A571E2">
        <w:trPr>
          <w:jc w:val="center"/>
        </w:trPr>
        <w:tc>
          <w:tcPr>
            <w:tcW w:w="5575" w:type="dxa"/>
            <w:hideMark/>
          </w:tcPr>
          <w:p w:rsidR="00302F52" w:rsidRPr="008D7F62" w:rsidRDefault="00302F52" w:rsidP="00A571E2">
            <w:pPr>
              <w:pStyle w:val="Textopredeterminado"/>
              <w:jc w:val="center"/>
              <w:rPr>
                <w:rFonts w:ascii="Palatino Linotype" w:hAnsi="Palatino Linotype" w:cs="Arial"/>
                <w:sz w:val="18"/>
                <w:szCs w:val="18"/>
              </w:rPr>
            </w:pPr>
            <w:r w:rsidRPr="008D7F62">
              <w:rPr>
                <w:rFonts w:ascii="Palatino Linotype" w:hAnsi="Palatino Linotype" w:cs="Arial"/>
                <w:sz w:val="18"/>
                <w:szCs w:val="18"/>
              </w:rPr>
              <w:t>Abg. Daniela Chacón Arias</w:t>
            </w:r>
          </w:p>
          <w:p w:rsidR="00302F52" w:rsidRPr="008D7F62" w:rsidRDefault="00302F52" w:rsidP="00A571E2">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Primera Vicepresidenta del Concejo Metropolitano de Quito</w:t>
            </w:r>
          </w:p>
        </w:tc>
        <w:tc>
          <w:tcPr>
            <w:tcW w:w="5324" w:type="dxa"/>
            <w:hideMark/>
          </w:tcPr>
          <w:p w:rsidR="00302F52" w:rsidRPr="008D7F62" w:rsidRDefault="008D7F62" w:rsidP="00A571E2">
            <w:pPr>
              <w:pStyle w:val="Textopredeterminado"/>
              <w:jc w:val="center"/>
              <w:rPr>
                <w:rFonts w:ascii="Palatino Linotype" w:hAnsi="Palatino Linotype" w:cs="Arial"/>
                <w:sz w:val="18"/>
                <w:szCs w:val="18"/>
              </w:rPr>
            </w:pPr>
            <w:r w:rsidRPr="008D7F62">
              <w:rPr>
                <w:rFonts w:ascii="Palatino Linotype" w:hAnsi="Palatino Linotype" w:cs="Arial"/>
                <w:sz w:val="18"/>
                <w:szCs w:val="18"/>
              </w:rPr>
              <w:t>Abg.</w:t>
            </w:r>
            <w:r w:rsidR="005A7785" w:rsidRPr="008D7F62">
              <w:rPr>
                <w:rFonts w:ascii="Palatino Linotype" w:hAnsi="Palatino Linotype" w:cs="Arial"/>
                <w:sz w:val="18"/>
                <w:szCs w:val="18"/>
              </w:rPr>
              <w:t xml:space="preserve"> María Elisa Holmes Roldós</w:t>
            </w:r>
          </w:p>
          <w:p w:rsidR="00302F52" w:rsidRPr="008D7F62" w:rsidRDefault="00302F52" w:rsidP="00A571E2">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sidR="005A7785" w:rsidRPr="008D7F62">
              <w:rPr>
                <w:rFonts w:ascii="Palatino Linotype" w:hAnsi="Palatino Linotype" w:cs="Arial"/>
                <w:b/>
                <w:sz w:val="18"/>
                <w:szCs w:val="18"/>
              </w:rPr>
              <w:t>a</w:t>
            </w:r>
            <w:r w:rsidRPr="008D7F62">
              <w:rPr>
                <w:rFonts w:ascii="Palatino Linotype" w:hAnsi="Palatino Linotype" w:cs="Arial"/>
                <w:b/>
                <w:sz w:val="18"/>
                <w:szCs w:val="18"/>
              </w:rPr>
              <w:t xml:space="preserve"> General del Concejo Metropolitano de Quito</w:t>
            </w:r>
          </w:p>
          <w:p w:rsidR="00A01024" w:rsidRPr="008D7F62" w:rsidRDefault="00A01024" w:rsidP="006336FA">
            <w:pPr>
              <w:pStyle w:val="Textopredeterminado"/>
              <w:rPr>
                <w:rFonts w:ascii="Palatino Linotype" w:hAnsi="Palatino Linotype" w:cs="Arial"/>
                <w:b/>
                <w:sz w:val="18"/>
                <w:szCs w:val="18"/>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5A778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8D7F62">
        <w:rPr>
          <w:rFonts w:ascii="Palatino Linotype" w:eastAsia="MS Mincho" w:hAnsi="Palatino Linotype" w:cs="Arial"/>
          <w:sz w:val="22"/>
          <w:szCs w:val="22"/>
        </w:rPr>
        <w:t xml:space="preserve"> Secretaria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9C0D07">
        <w:rPr>
          <w:rFonts w:ascii="Palatino Linotype" w:eastAsia="MS Mincho" w:hAnsi="Palatino Linotype" w:cs="Arial"/>
          <w:sz w:val="22"/>
          <w:szCs w:val="22"/>
        </w:rPr>
        <w:t>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9C0D07">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9C0D07">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Default="00302F52" w:rsidP="00302F52">
      <w:pPr>
        <w:pStyle w:val="Textosinformato"/>
        <w:jc w:val="both"/>
        <w:rPr>
          <w:rFonts w:ascii="Palatino Linotype" w:eastAsia="MS Mincho" w:hAnsi="Palatino Linotype" w:cs="Arial"/>
          <w:sz w:val="22"/>
          <w:szCs w:val="22"/>
        </w:rPr>
      </w:pPr>
    </w:p>
    <w:p w:rsidR="009C0D07" w:rsidRPr="006336FA" w:rsidRDefault="009C0D07" w:rsidP="00302F52">
      <w:pPr>
        <w:pStyle w:val="Textosinformato"/>
        <w:jc w:val="both"/>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5A778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5A7785" w:rsidRPr="006336FA" w:rsidRDefault="005A7785" w:rsidP="005A778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5A778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9C0D07" w:rsidRDefault="009C0D07" w:rsidP="009C0D07">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9C0D07" w:rsidSect="009C0D07">
      <w:headerReference w:type="even" r:id="rId11"/>
      <w:headerReference w:type="default" r:id="rId12"/>
      <w:footerReference w:type="default" r:id="rId13"/>
      <w:headerReference w:type="first" r:id="rId14"/>
      <w:pgSz w:w="11906" w:h="16838"/>
      <w:pgMar w:top="3402" w:right="1133" w:bottom="567" w:left="1418"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3E" w:rsidRDefault="002D0E3E" w:rsidP="00B14643">
      <w:r>
        <w:separator/>
      </w:r>
    </w:p>
  </w:endnote>
  <w:endnote w:type="continuationSeparator" w:id="0">
    <w:p w:rsidR="002D0E3E" w:rsidRDefault="002D0E3E"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E" w:rsidRPr="00723B61" w:rsidRDefault="002D0E3E">
    <w:pPr>
      <w:pStyle w:val="Piedepgina"/>
      <w:jc w:val="right"/>
      <w:rPr>
        <w:rFonts w:ascii="Palatino Linotype" w:hAnsi="Palatino Linotype"/>
      </w:rPr>
    </w:pPr>
  </w:p>
  <w:p w:rsidR="002D0E3E" w:rsidRDefault="002D0E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E" w:rsidRPr="00723B61" w:rsidRDefault="002D0E3E"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102C28">
      <w:rPr>
        <w:rFonts w:ascii="Palatino Linotype" w:hAnsi="Palatino Linotype"/>
        <w:b/>
        <w:noProof/>
      </w:rPr>
      <w:t>6</w:t>
    </w:r>
    <w:r w:rsidRPr="00723B61">
      <w:rPr>
        <w:rFonts w:ascii="Palatino Linotype" w:hAnsi="Palatino Linotype"/>
        <w:b/>
        <w:sz w:val="24"/>
        <w:szCs w:val="24"/>
      </w:rPr>
      <w:fldChar w:fldCharType="end"/>
    </w:r>
    <w:r w:rsidRPr="00723B61">
      <w:rPr>
        <w:rFonts w:ascii="Palatino Linotype" w:hAnsi="Palatino Linotype"/>
      </w:rPr>
      <w:t xml:space="preserve"> de </w:t>
    </w:r>
    <w:r w:rsidR="009C0D07">
      <w:rPr>
        <w:rFonts w:ascii="Palatino Linotype" w:hAnsi="Palatino Linotype"/>
        <w:b/>
      </w:rPr>
      <w:t>8</w:t>
    </w:r>
  </w:p>
  <w:p w:rsidR="002D0E3E" w:rsidRDefault="002D0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3E" w:rsidRDefault="002D0E3E" w:rsidP="00B14643">
      <w:r>
        <w:separator/>
      </w:r>
    </w:p>
  </w:footnote>
  <w:footnote w:type="continuationSeparator" w:id="0">
    <w:p w:rsidR="002D0E3E" w:rsidRDefault="002D0E3E"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E" w:rsidRDefault="002D0E3E">
    <w:pPr>
      <w:pStyle w:val="Encabezado"/>
      <w:rPr>
        <w:lang w:val="es-EC"/>
      </w:rPr>
    </w:pPr>
  </w:p>
  <w:p w:rsidR="002D0E3E" w:rsidRDefault="002D0E3E">
    <w:pPr>
      <w:pStyle w:val="Encabezado"/>
      <w:rPr>
        <w:lang w:val="es-EC"/>
      </w:rPr>
    </w:pPr>
  </w:p>
  <w:p w:rsidR="002D0E3E" w:rsidRDefault="002D0E3E">
    <w:pPr>
      <w:pStyle w:val="Encabezado"/>
      <w:rPr>
        <w:lang w:val="es-EC"/>
      </w:rPr>
    </w:pPr>
  </w:p>
  <w:p w:rsidR="002D0E3E" w:rsidRDefault="002D0E3E">
    <w:pPr>
      <w:pStyle w:val="Encabezado"/>
      <w:rPr>
        <w:lang w:val="es-EC"/>
      </w:rPr>
    </w:pPr>
  </w:p>
  <w:p w:rsidR="002D0E3E" w:rsidRDefault="002D0E3E" w:rsidP="00150606">
    <w:pPr>
      <w:pStyle w:val="Ttulo"/>
      <w:rPr>
        <w:rFonts w:ascii="Palatino Linotype" w:hAnsi="Palatino Linotype" w:cs="Arial"/>
        <w:sz w:val="22"/>
        <w:szCs w:val="22"/>
      </w:rPr>
    </w:pPr>
  </w:p>
  <w:p w:rsidR="002D0E3E" w:rsidRDefault="002D0E3E" w:rsidP="00150606">
    <w:pPr>
      <w:pStyle w:val="Ttulo"/>
      <w:rPr>
        <w:rFonts w:ascii="Palatino Linotype" w:hAnsi="Palatino Linotype" w:cs="Arial"/>
        <w:sz w:val="22"/>
        <w:szCs w:val="22"/>
      </w:rPr>
    </w:pPr>
  </w:p>
  <w:p w:rsidR="002D0E3E" w:rsidRDefault="002D0E3E" w:rsidP="00150606">
    <w:pPr>
      <w:pStyle w:val="Ttulo"/>
      <w:rPr>
        <w:rFonts w:ascii="Palatino Linotype" w:hAnsi="Palatino Linotype" w:cs="Arial"/>
        <w:sz w:val="22"/>
        <w:szCs w:val="22"/>
      </w:rPr>
    </w:pPr>
  </w:p>
  <w:p w:rsidR="009C0D07" w:rsidRDefault="009C0D07" w:rsidP="00150606">
    <w:pPr>
      <w:pStyle w:val="Ttulo"/>
      <w:rPr>
        <w:rFonts w:ascii="Palatino Linotype" w:hAnsi="Palatino Linotype" w:cs="Arial"/>
        <w:sz w:val="22"/>
        <w:szCs w:val="22"/>
      </w:rPr>
    </w:pPr>
  </w:p>
  <w:p w:rsidR="002D0E3E" w:rsidRPr="00476B21" w:rsidRDefault="002D0E3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D0E3E" w:rsidRPr="00150606" w:rsidRDefault="002D0E3E">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E" w:rsidRDefault="002D0E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E" w:rsidRDefault="002D0E3E" w:rsidP="002D3569">
    <w:pPr>
      <w:pStyle w:val="Ttulo"/>
      <w:rPr>
        <w:rFonts w:ascii="Palatino Linotype" w:hAnsi="Palatino Linotype" w:cs="Arial"/>
        <w:sz w:val="22"/>
        <w:szCs w:val="22"/>
      </w:rPr>
    </w:pPr>
  </w:p>
  <w:p w:rsidR="002D0E3E" w:rsidRDefault="002D0E3E" w:rsidP="002D3569">
    <w:pPr>
      <w:pStyle w:val="Ttulo"/>
      <w:rPr>
        <w:rFonts w:ascii="Palatino Linotype" w:hAnsi="Palatino Linotype" w:cs="Arial"/>
        <w:sz w:val="22"/>
        <w:szCs w:val="22"/>
      </w:rPr>
    </w:pPr>
  </w:p>
  <w:p w:rsidR="002D0E3E" w:rsidRDefault="002D0E3E" w:rsidP="002D3569">
    <w:pPr>
      <w:pStyle w:val="Ttulo"/>
      <w:rPr>
        <w:rFonts w:ascii="Palatino Linotype" w:hAnsi="Palatino Linotype" w:cs="Arial"/>
        <w:sz w:val="22"/>
        <w:szCs w:val="22"/>
      </w:rPr>
    </w:pPr>
  </w:p>
  <w:p w:rsidR="002D0E3E" w:rsidRDefault="002D0E3E" w:rsidP="002D3569">
    <w:pPr>
      <w:pStyle w:val="Ttulo"/>
      <w:rPr>
        <w:rFonts w:ascii="Palatino Linotype" w:hAnsi="Palatino Linotype" w:cs="Arial"/>
        <w:sz w:val="22"/>
        <w:szCs w:val="22"/>
      </w:rPr>
    </w:pPr>
  </w:p>
  <w:p w:rsidR="002D0E3E" w:rsidRDefault="002D0E3E" w:rsidP="002D3569">
    <w:pPr>
      <w:pStyle w:val="Ttulo"/>
      <w:rPr>
        <w:rFonts w:ascii="Palatino Linotype" w:hAnsi="Palatino Linotype" w:cs="Arial"/>
        <w:sz w:val="22"/>
        <w:szCs w:val="22"/>
      </w:rPr>
    </w:pPr>
  </w:p>
  <w:p w:rsidR="002D0E3E" w:rsidRDefault="002D0E3E" w:rsidP="002D3569">
    <w:pPr>
      <w:pStyle w:val="Ttulo"/>
      <w:rPr>
        <w:rFonts w:ascii="Palatino Linotype" w:hAnsi="Palatino Linotype" w:cs="Arial"/>
        <w:sz w:val="22"/>
        <w:szCs w:val="22"/>
      </w:rPr>
    </w:pPr>
  </w:p>
  <w:p w:rsidR="002D0E3E" w:rsidRDefault="002D0E3E" w:rsidP="002D3569">
    <w:pPr>
      <w:pStyle w:val="Ttulo"/>
      <w:rPr>
        <w:rFonts w:ascii="Palatino Linotype" w:hAnsi="Palatino Linotype" w:cs="Arial"/>
        <w:sz w:val="22"/>
        <w:szCs w:val="22"/>
      </w:rPr>
    </w:pPr>
  </w:p>
  <w:p w:rsidR="002D0E3E" w:rsidRPr="00476B21" w:rsidRDefault="002D0E3E"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D0E3E" w:rsidRDefault="002D0E3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E" w:rsidRDefault="002D0E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
  </w:num>
  <w:num w:numId="11">
    <w:abstractNumId w:val="33"/>
  </w:num>
  <w:num w:numId="12">
    <w:abstractNumId w:val="1"/>
  </w:num>
  <w:num w:numId="13">
    <w:abstractNumId w:val="34"/>
  </w:num>
  <w:num w:numId="14">
    <w:abstractNumId w:val="28"/>
  </w:num>
  <w:num w:numId="15">
    <w:abstractNumId w:val="13"/>
  </w:num>
  <w:num w:numId="16">
    <w:abstractNumId w:val="18"/>
  </w:num>
  <w:num w:numId="17">
    <w:abstractNumId w:val="12"/>
  </w:num>
  <w:num w:numId="18">
    <w:abstractNumId w:val="29"/>
  </w:num>
  <w:num w:numId="19">
    <w:abstractNumId w:val="8"/>
  </w:num>
  <w:num w:numId="20">
    <w:abstractNumId w:val="23"/>
  </w:num>
  <w:num w:numId="21">
    <w:abstractNumId w:val="31"/>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2"/>
  </w:num>
  <w:num w:numId="30">
    <w:abstractNumId w:val="11"/>
  </w:num>
  <w:num w:numId="31">
    <w:abstractNumId w:val="27"/>
  </w:num>
  <w:num w:numId="32">
    <w:abstractNumId w:val="14"/>
  </w:num>
  <w:num w:numId="33">
    <w:abstractNumId w:val="24"/>
  </w:num>
  <w:num w:numId="34">
    <w:abstractNumId w:val="6"/>
  </w:num>
  <w:num w:numId="35">
    <w:abstractNumId w:val="16"/>
  </w:num>
  <w:num w:numId="36">
    <w:abstractNumId w:val="15"/>
  </w:num>
  <w:num w:numId="37">
    <w:abstractNumId w:val="35"/>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C28"/>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3AC7"/>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D7F62"/>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1F33"/>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0D07"/>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A3A0-98BA-47EA-8EAB-CE92A7B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3122</Words>
  <Characters>17376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10</cp:revision>
  <cp:lastPrinted>2016-03-28T17:18:00Z</cp:lastPrinted>
  <dcterms:created xsi:type="dcterms:W3CDTF">2016-01-20T20:26:00Z</dcterms:created>
  <dcterms:modified xsi:type="dcterms:W3CDTF">2016-03-30T15:55:00Z</dcterms:modified>
</cp:coreProperties>
</file>