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Pr="001C788E" w:rsidRDefault="003078EC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Pr="001C788E" w:rsidRDefault="003078EC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 w:rsidRPr="001C788E"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Default="003078EC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</w:t>
      </w:r>
      <w:r w:rsidRPr="00BA196D">
        <w:rPr>
          <w:rFonts w:ascii="Palatino Linotype" w:hAnsi="Palatino Linotype" w:cs="Arial"/>
          <w:b w:val="0"/>
          <w:sz w:val="22"/>
          <w:szCs w:val="22"/>
        </w:rPr>
        <w:t xml:space="preserve">de regularización. </w:t>
      </w:r>
    </w:p>
    <w:p w:rsidR="0009638B" w:rsidRDefault="00153F7D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Asentamiento Humano de Hecho y Consolidado denominado </w:t>
      </w:r>
      <w:r w:rsidR="00B65296" w:rsidRPr="00B65296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B65296" w:rsidRPr="00B65296">
        <w:rPr>
          <w:rFonts w:ascii="Palatino Linotype" w:hAnsi="Palatino Linotype" w:cs="Arial"/>
          <w:b w:val="0"/>
          <w:sz w:val="22"/>
          <w:szCs w:val="22"/>
        </w:rPr>
        <w:t>Promejoras</w:t>
      </w:r>
      <w:proofErr w:type="spellEnd"/>
      <w:r w:rsidR="00B65296" w:rsidRPr="00B65296">
        <w:rPr>
          <w:rFonts w:ascii="Palatino Linotype" w:hAnsi="Palatino Linotype" w:cs="Arial"/>
          <w:b w:val="0"/>
          <w:sz w:val="22"/>
          <w:szCs w:val="22"/>
        </w:rPr>
        <w:t xml:space="preserve"> del Barrio “San Cristóbal”</w:t>
      </w:r>
      <w:r w:rsidR="000E7241" w:rsidRPr="000E7241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B65296">
        <w:rPr>
          <w:rFonts w:ascii="Palatino Linotype" w:hAnsi="Palatino Linotype" w:cs="Arial"/>
          <w:b w:val="0"/>
          <w:sz w:val="22"/>
          <w:szCs w:val="22"/>
        </w:rPr>
        <w:t>23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 años de asentamiento</w:t>
      </w:r>
      <w:r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="00B65296">
        <w:rPr>
          <w:rFonts w:ascii="Palatino Linotype" w:hAnsi="Palatino Linotype" w:cs="Arial"/>
          <w:b w:val="0"/>
          <w:sz w:val="22"/>
          <w:szCs w:val="22"/>
        </w:rPr>
        <w:t>52</w:t>
      </w:r>
      <w:r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B65296">
        <w:rPr>
          <w:rFonts w:ascii="Palatino Linotype" w:hAnsi="Palatino Linotype" w:cs="Arial"/>
          <w:b w:val="0"/>
          <w:sz w:val="22"/>
          <w:szCs w:val="22"/>
        </w:rPr>
        <w:t xml:space="preserve">copropietarios, 56 lotes </w:t>
      </w:r>
      <w:r w:rsidR="009A54E0"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B65296">
        <w:rPr>
          <w:rFonts w:ascii="Palatino Linotype" w:hAnsi="Palatino Linotype" w:cs="Arial"/>
          <w:b w:val="0"/>
          <w:sz w:val="22"/>
          <w:szCs w:val="22"/>
        </w:rPr>
        <w:t>220</w:t>
      </w:r>
      <w:r w:rsidR="009A54E0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E7241">
        <w:rPr>
          <w:rFonts w:ascii="Palatino Linotype" w:hAnsi="Palatino Linotype" w:cs="Arial"/>
          <w:b w:val="0"/>
          <w:sz w:val="22"/>
          <w:szCs w:val="22"/>
        </w:rPr>
        <w:t>habitantes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>.</w:t>
      </w:r>
      <w:r w:rsidR="000E7241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9638B">
        <w:rPr>
          <w:rFonts w:ascii="Palatino Linotype" w:hAnsi="Palatino Linotype" w:cs="Arial"/>
          <w:b w:val="0"/>
          <w:sz w:val="22"/>
          <w:szCs w:val="22"/>
        </w:rPr>
        <w:t xml:space="preserve">Dicho barrio fue reconocido mediante </w:t>
      </w:r>
      <w:r w:rsidR="000E7241" w:rsidRPr="000E7241">
        <w:rPr>
          <w:rFonts w:ascii="Palatino Linotype" w:hAnsi="Palatino Linotype" w:cs="Arial"/>
          <w:b w:val="0"/>
          <w:sz w:val="22"/>
          <w:szCs w:val="22"/>
        </w:rPr>
        <w:t xml:space="preserve">Ordenanza No. </w:t>
      </w:r>
      <w:r w:rsidR="004C08F6">
        <w:rPr>
          <w:rFonts w:ascii="Palatino Linotype" w:hAnsi="Palatino Linotype" w:cs="Arial"/>
          <w:b w:val="0"/>
          <w:sz w:val="22"/>
          <w:szCs w:val="22"/>
        </w:rPr>
        <w:t>00</w:t>
      </w:r>
      <w:r w:rsidR="00B65296">
        <w:rPr>
          <w:rFonts w:ascii="Palatino Linotype" w:hAnsi="Palatino Linotype" w:cs="Arial"/>
          <w:b w:val="0"/>
          <w:sz w:val="22"/>
          <w:szCs w:val="22"/>
        </w:rPr>
        <w:t>05,</w:t>
      </w:r>
      <w:r w:rsidR="0009638B">
        <w:rPr>
          <w:rFonts w:ascii="Palatino Linotype" w:hAnsi="Palatino Linotype" w:cs="Arial"/>
          <w:b w:val="0"/>
          <w:sz w:val="22"/>
          <w:szCs w:val="22"/>
        </w:rPr>
        <w:t xml:space="preserve"> sin embargo, debido a las especificaciones aprobadas en dicho acto no ha sido posible otorgar las escrituras individuales a sus posesionarios, por lo cual la Unidad Especial Regula Tu Barrio realizó el proceso tendiente a reformar dicha Ordenanza,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09638B" w:rsidRDefault="0009638B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Reformatoria contiene la normativa tendiente a la regularización del </w:t>
      </w:r>
      <w:r w:rsidR="00153F7D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B65296" w:rsidRPr="00B65296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B65296" w:rsidRPr="00B65296">
        <w:rPr>
          <w:rFonts w:ascii="Palatino Linotype" w:hAnsi="Palatino Linotype" w:cs="Arial"/>
          <w:b w:val="0"/>
          <w:sz w:val="22"/>
          <w:szCs w:val="22"/>
        </w:rPr>
        <w:t>Promejoras</w:t>
      </w:r>
      <w:proofErr w:type="spellEnd"/>
      <w:r w:rsidR="00B65296" w:rsidRPr="00B65296">
        <w:rPr>
          <w:rFonts w:ascii="Palatino Linotype" w:hAnsi="Palatino Linotype" w:cs="Arial"/>
          <w:b w:val="0"/>
          <w:sz w:val="22"/>
          <w:szCs w:val="22"/>
        </w:rPr>
        <w:t xml:space="preserve"> del Barrio “San Cristóbal”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09638B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09638B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09638B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09638B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09638B" w:rsidRPr="003843CA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09638B" w:rsidRPr="00870361" w:rsidRDefault="000E7241" w:rsidP="00455361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Visto el Informe No. IC-O-2015-1</w:t>
      </w:r>
      <w:r w:rsidR="00B65296">
        <w:rPr>
          <w:rFonts w:ascii="Palatino Linotype" w:hAnsi="Palatino Linotype" w:cs="Arial"/>
          <w:sz w:val="22"/>
          <w:szCs w:val="22"/>
        </w:rPr>
        <w:t>60</w:t>
      </w:r>
      <w:r w:rsidR="0009638B">
        <w:rPr>
          <w:rFonts w:ascii="Palatino Linotype" w:hAnsi="Palatino Linotype" w:cs="Arial"/>
          <w:sz w:val="22"/>
          <w:szCs w:val="22"/>
        </w:rPr>
        <w:t xml:space="preserve">, de </w:t>
      </w:r>
      <w:r>
        <w:rPr>
          <w:rFonts w:ascii="Palatino Linotype" w:hAnsi="Palatino Linotype" w:cs="Arial"/>
          <w:sz w:val="22"/>
          <w:szCs w:val="22"/>
        </w:rPr>
        <w:t>20</w:t>
      </w:r>
      <w:r w:rsidR="0009638B">
        <w:rPr>
          <w:rFonts w:ascii="Palatino Linotype" w:hAnsi="Palatino Linotype" w:cs="Arial"/>
          <w:sz w:val="22"/>
          <w:szCs w:val="22"/>
        </w:rPr>
        <w:t xml:space="preserve"> de </w:t>
      </w:r>
      <w:r>
        <w:rPr>
          <w:rFonts w:ascii="Palatino Linotype" w:hAnsi="Palatino Linotype" w:cs="Arial"/>
          <w:sz w:val="22"/>
          <w:szCs w:val="22"/>
        </w:rPr>
        <w:t xml:space="preserve">julio </w:t>
      </w:r>
      <w:r w:rsidR="0009638B">
        <w:rPr>
          <w:rFonts w:ascii="Palatino Linotype" w:hAnsi="Palatino Linotype" w:cs="Arial"/>
          <w:sz w:val="22"/>
          <w:szCs w:val="22"/>
        </w:rPr>
        <w:t>de 2015, expedido por la Comisión de Ordenamiento Territorial.</w:t>
      </w:r>
    </w:p>
    <w:p w:rsidR="0009638B" w:rsidRPr="001123C1" w:rsidRDefault="0009638B" w:rsidP="00455361">
      <w:pPr>
        <w:spacing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09638B" w:rsidRPr="001842A8" w:rsidRDefault="0009638B" w:rsidP="004C08F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</w:t>
      </w:r>
      <w:r w:rsidRPr="001842A8">
        <w:rPr>
          <w:rFonts w:ascii="Palatino Linotype" w:hAnsi="Palatino Linotype" w:cs="Arial"/>
          <w:i/>
          <w:iCs/>
        </w:rPr>
        <w:lastRenderedPageBreak/>
        <w:t xml:space="preserve">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>x) Regular y 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09638B" w:rsidRDefault="0009638B" w:rsidP="004C08F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4C08F6" w:rsidRDefault="004C08F6" w:rsidP="004C08F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486 del COOTAD establece que: “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>
        <w:rPr>
          <w:rFonts w:ascii="Palatino Linotype" w:hAnsi="Palatino Linotype" w:cs="Arial"/>
          <w:bCs/>
          <w:i/>
          <w:lang w:val="es-ES_tradnl"/>
        </w:rPr>
        <w:t xml:space="preserve">de </w:t>
      </w:r>
      <w:r w:rsidRPr="001842A8">
        <w:rPr>
          <w:rFonts w:ascii="Palatino Linotype" w:hAnsi="Palatino Linotype" w:cs="Arial"/>
          <w:bCs/>
          <w:i/>
          <w:lang w:val="es-ES_tradnl"/>
        </w:rPr>
        <w:t>legisla</w:t>
      </w:r>
      <w:r>
        <w:rPr>
          <w:rFonts w:ascii="Palatino Linotype" w:hAnsi="Palatino Linotype" w:cs="Arial"/>
          <w:bCs/>
          <w:i/>
          <w:lang w:val="es-ES_tradnl"/>
        </w:rPr>
        <w:t>ción y fiscalización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>
        <w:rPr>
          <w:rFonts w:ascii="Palatino Linotype" w:hAnsi="Palatino Linotype" w:cs="Arial"/>
          <w:bCs/>
          <w:i/>
          <w:lang w:val="es-ES_tradnl"/>
        </w:rPr>
        <w:t>G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>
        <w:rPr>
          <w:rFonts w:ascii="Palatino Linotype" w:hAnsi="Palatino Linotype" w:cs="Arial"/>
          <w:bCs/>
          <w:i/>
          <w:lang w:val="es-ES_tradnl"/>
        </w:rPr>
        <w:t>Autónomo D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Pr="001842A8">
        <w:rPr>
          <w:rFonts w:ascii="Palatino Linotype" w:hAnsi="Palatino Linotype" w:cs="Arial"/>
          <w:bCs/>
          <w:lang w:val="es-ES_tradnl"/>
        </w:rPr>
        <w:t>”</w:t>
      </w:r>
      <w:r w:rsidRPr="001842A8">
        <w:rPr>
          <w:rFonts w:ascii="Palatino Linotype" w:hAnsi="Palatino Linotype" w:cs="Arial"/>
          <w:b/>
          <w:bCs/>
        </w:rPr>
        <w:t>;</w:t>
      </w:r>
    </w:p>
    <w:p w:rsidR="004C08F6" w:rsidRDefault="004C08F6" w:rsidP="004C08F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>
        <w:rPr>
          <w:rFonts w:ascii="Palatino Linotype" w:hAnsi="Palatino Linotype" w:cs="Arial"/>
          <w:b/>
          <w:bCs/>
        </w:rPr>
        <w:t>Que,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>la Disposición Transitoria Décima Cuarta del COOTAD, señala: “</w:t>
      </w:r>
      <w:r>
        <w:rPr>
          <w:rFonts w:ascii="Palatino Linotype" w:hAnsi="Palatino Linotype" w:cs="Arial"/>
          <w:bCs/>
          <w:i/>
        </w:rPr>
        <w:t xml:space="preserve">(…) </w:t>
      </w:r>
      <w:r w:rsidRPr="003A616B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643B95">
        <w:rPr>
          <w:rFonts w:ascii="Palatino Linotype" w:hAnsi="Palatino Linotype" w:cs="Arial"/>
        </w:rPr>
        <w:t>.”</w:t>
      </w:r>
      <w:r>
        <w:rPr>
          <w:rFonts w:ascii="Palatino Linotype" w:hAnsi="Palatino Linotype" w:cs="Arial"/>
        </w:rPr>
        <w:t>;</w:t>
      </w:r>
    </w:p>
    <w:p w:rsidR="0009638B" w:rsidRPr="004C08F6" w:rsidRDefault="0009638B" w:rsidP="004C08F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09638B" w:rsidRPr="007A262F" w:rsidRDefault="0009638B" w:rsidP="007A262F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F24D4E">
        <w:rPr>
          <w:rFonts w:ascii="Palatino Linotype" w:hAnsi="Palatino Linotype" w:cs="Arial"/>
          <w:bCs/>
        </w:rPr>
        <w:t xml:space="preserve">el </w:t>
      </w:r>
      <w:r w:rsidRPr="001842A8">
        <w:rPr>
          <w:rFonts w:ascii="Palatino Linotype" w:hAnsi="Palatino Linotype" w:cs="Arial"/>
          <w:bCs/>
        </w:rPr>
        <w:t xml:space="preserve">numeral 1 del artículo 8 de la LORDMQ, establece que le corresponde al Concejo Metropolitano decidir mediante ordenanza, sobre los asuntos de interés general, </w:t>
      </w:r>
      <w:r w:rsidRPr="007A262F">
        <w:rPr>
          <w:rFonts w:ascii="Palatino Linotype" w:hAnsi="Palatino Linotype" w:cs="Arial"/>
          <w:bCs/>
        </w:rPr>
        <w:t>relativos al desarrollo integral y a la ordenación urbanística del Distrito;</w:t>
      </w:r>
    </w:p>
    <w:p w:rsidR="00B65296" w:rsidRDefault="00B65296" w:rsidP="007A262F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8843EA">
        <w:rPr>
          <w:rFonts w:ascii="Palatino Linotype" w:hAnsi="Palatino Linotype" w:cs="Arial"/>
          <w:b/>
          <w:bCs/>
        </w:rPr>
        <w:t>Que</w:t>
      </w:r>
      <w:r>
        <w:rPr>
          <w:rFonts w:ascii="Palatino Linotype" w:hAnsi="Palatino Linotype" w:cs="Arial"/>
          <w:bCs/>
        </w:rPr>
        <w:t xml:space="preserve">, </w:t>
      </w:r>
      <w:r>
        <w:rPr>
          <w:rFonts w:ascii="Palatino Linotype" w:hAnsi="Palatino Linotype" w:cs="Arial"/>
          <w:bCs/>
        </w:rPr>
        <w:tab/>
      </w:r>
      <w:r w:rsidRPr="008843EA">
        <w:rPr>
          <w:rFonts w:ascii="Palatino Linotype" w:hAnsi="Palatino Linotype" w:cs="Arial"/>
          <w:bCs/>
        </w:rPr>
        <w:t xml:space="preserve">mediante Ordenanza Municipal No. </w:t>
      </w:r>
      <w:r>
        <w:rPr>
          <w:rFonts w:ascii="Palatino Linotype" w:hAnsi="Palatino Linotype" w:cs="Arial"/>
        </w:rPr>
        <w:t>0</w:t>
      </w:r>
      <w:r w:rsidRPr="008843EA">
        <w:rPr>
          <w:rFonts w:ascii="Palatino Linotype" w:hAnsi="Palatino Linotype" w:cs="Arial"/>
        </w:rPr>
        <w:t>00</w:t>
      </w:r>
      <w:r>
        <w:rPr>
          <w:rFonts w:ascii="Palatino Linotype" w:hAnsi="Palatino Linotype" w:cs="Arial"/>
        </w:rPr>
        <w:t>5</w:t>
      </w:r>
      <w:r w:rsidRPr="008843EA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>sancionada el 8</w:t>
      </w:r>
      <w:r w:rsidRPr="008843EA">
        <w:rPr>
          <w:rFonts w:ascii="Palatino Linotype" w:hAnsi="Palatino Linotype" w:cs="Arial"/>
        </w:rPr>
        <w:t xml:space="preserve"> de </w:t>
      </w:r>
      <w:r>
        <w:rPr>
          <w:rFonts w:ascii="Palatino Linotype" w:hAnsi="Palatino Linotype" w:cs="Arial"/>
        </w:rPr>
        <w:t>enero</w:t>
      </w:r>
      <w:r w:rsidRPr="008843EA">
        <w:rPr>
          <w:rFonts w:ascii="Palatino Linotype" w:hAnsi="Palatino Linotype" w:cs="Arial"/>
        </w:rPr>
        <w:t xml:space="preserve"> de 201</w:t>
      </w:r>
      <w:r>
        <w:rPr>
          <w:rFonts w:ascii="Palatino Linotype" w:hAnsi="Palatino Linotype" w:cs="Arial"/>
        </w:rPr>
        <w:t>1</w:t>
      </w:r>
      <w:r w:rsidRPr="008843EA">
        <w:rPr>
          <w:rFonts w:ascii="Palatino Linotype" w:hAnsi="Palatino Linotype" w:cs="Arial"/>
          <w:bCs/>
        </w:rPr>
        <w:t>, se aprueba</w:t>
      </w:r>
      <w:r>
        <w:rPr>
          <w:rFonts w:ascii="Palatino Linotype" w:hAnsi="Palatino Linotype" w:cs="Arial"/>
        </w:rPr>
        <w:t xml:space="preserve"> </w:t>
      </w:r>
      <w:r w:rsidRPr="008843EA">
        <w:rPr>
          <w:rFonts w:ascii="Palatino Linotype" w:hAnsi="Palatino Linotype" w:cs="Arial"/>
        </w:rPr>
        <w:t>l</w:t>
      </w:r>
      <w:r>
        <w:rPr>
          <w:rFonts w:ascii="Palatino Linotype" w:hAnsi="Palatino Linotype" w:cs="Arial"/>
        </w:rPr>
        <w:t>a Urbanización de Interés Social de Desarrollo Progresivo</w:t>
      </w:r>
      <w:r w:rsidRPr="008843EA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a favor del Comité </w:t>
      </w:r>
      <w:proofErr w:type="spellStart"/>
      <w:r>
        <w:rPr>
          <w:rFonts w:ascii="Palatino Linotype" w:hAnsi="Palatino Linotype" w:cs="Arial"/>
        </w:rPr>
        <w:t>Promejoras</w:t>
      </w:r>
      <w:proofErr w:type="spellEnd"/>
      <w:r>
        <w:rPr>
          <w:rFonts w:ascii="Palatino Linotype" w:hAnsi="Palatino Linotype" w:cs="Arial"/>
        </w:rPr>
        <w:t xml:space="preserve"> del</w:t>
      </w:r>
      <w:r w:rsidRPr="008843EA">
        <w:rPr>
          <w:rFonts w:ascii="Palatino Linotype" w:hAnsi="Palatino Linotype" w:cs="Arial"/>
        </w:rPr>
        <w:t xml:space="preserve"> Barrio “</w:t>
      </w:r>
      <w:r>
        <w:rPr>
          <w:rFonts w:ascii="Palatino Linotype" w:hAnsi="Palatino Linotype" w:cs="Arial"/>
        </w:rPr>
        <w:t>San Cristóbal</w:t>
      </w:r>
      <w:r w:rsidRPr="008843EA">
        <w:rPr>
          <w:rFonts w:ascii="Palatino Linotype" w:hAnsi="Palatino Linotype" w:cs="Arial"/>
        </w:rPr>
        <w:t xml:space="preserve">”, </w:t>
      </w:r>
      <w:r>
        <w:rPr>
          <w:rFonts w:ascii="Palatino Linotype" w:hAnsi="Palatino Linotype" w:cs="Arial"/>
        </w:rPr>
        <w:t xml:space="preserve">y otros copropietarios; </w:t>
      </w:r>
    </w:p>
    <w:p w:rsidR="0009638B" w:rsidRPr="007A262F" w:rsidRDefault="0009638B" w:rsidP="007A262F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lastRenderedPageBreak/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</w:t>
      </w:r>
      <w:r w:rsidRPr="007A262F">
        <w:rPr>
          <w:rFonts w:ascii="Palatino Linotype" w:hAnsi="Palatino Linotype" w:cs="Arial"/>
        </w:rPr>
        <w:t>Administrativa No. A0010 de 19 de marzo de 2010; y,</w:t>
      </w:r>
    </w:p>
    <w:p w:rsidR="00B65296" w:rsidRPr="008C42FE" w:rsidRDefault="00B65296" w:rsidP="00B65296">
      <w:pPr>
        <w:spacing w:after="120" w:line="276" w:lineRule="auto"/>
        <w:ind w:left="708" w:hanging="957"/>
        <w:jc w:val="both"/>
        <w:rPr>
          <w:rFonts w:ascii="Palatino Linotype" w:eastAsia="Calibri" w:hAnsi="Palatino Linotype"/>
          <w:sz w:val="22"/>
          <w:szCs w:val="22"/>
          <w:lang w:val="es-EC" w:eastAsia="en-US"/>
        </w:rPr>
      </w:pPr>
      <w:r w:rsidRPr="00AA4753"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>Que</w:t>
      </w:r>
      <w:r w:rsidRPr="00540150"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>,</w:t>
      </w:r>
      <w:r w:rsidRPr="0054015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ab/>
      </w:r>
      <w:r w:rsidRPr="00540150">
        <w:rPr>
          <w:rFonts w:ascii="Palatino Linotype" w:eastAsia="Calibri" w:hAnsi="Palatino Linotype"/>
          <w:sz w:val="22"/>
          <w:szCs w:val="22"/>
          <w:lang w:val="es-EC" w:eastAsia="en-US"/>
        </w:rPr>
        <w:t>la Mesa Institucional de Trabajo, reunida el 25 de marzo de 2015 en la Administración Zonal Eloy Alfaro, integrada por los siguientes órganos y dependencias: Administración Zonal Eloy Alfaro; Dirección Zonal de Asesoría Jurídica; Dirección Metropolitana de Catastro; Secretaría de Territorio, Hábitat y Vivienda; Dirección Metropolitana de Gestión de Riesgos; Dirección de Gestión del Territorio Zona Eloy Alfaro;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 w:rsidRPr="00540150">
        <w:rPr>
          <w:rFonts w:ascii="Palatino Linotype" w:eastAsia="Calibri" w:hAnsi="Palatino Linotype"/>
          <w:sz w:val="22"/>
          <w:szCs w:val="22"/>
          <w:lang w:val="es-EC" w:eastAsia="en-US"/>
        </w:rPr>
        <w:t>y,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la</w:t>
      </w:r>
      <w:r w:rsidRPr="0054015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Unidad Especial Regula Tu Barrio, </w:t>
      </w:r>
      <w:r w:rsidRPr="00540150">
        <w:rPr>
          <w:rFonts w:ascii="Palatino Linotype" w:eastAsia="Calibri" w:hAnsi="Palatino Linotype"/>
          <w:iCs/>
          <w:sz w:val="22"/>
          <w:szCs w:val="22"/>
          <w:lang w:val="es-EC" w:eastAsia="en-US"/>
        </w:rPr>
        <w:t xml:space="preserve">emitió el </w:t>
      </w:r>
      <w:r w:rsidRPr="00540150">
        <w:rPr>
          <w:rFonts w:ascii="Palatino Linotype" w:hAnsi="Palatino Linotype" w:cs="Arial"/>
          <w:sz w:val="22"/>
          <w:szCs w:val="22"/>
        </w:rPr>
        <w:t>informe No. 001-</w:t>
      </w:r>
      <w:r w:rsidRPr="00540150">
        <w:rPr>
          <w:rFonts w:ascii="Palatino Linotype" w:hAnsi="Palatino Linotype" w:cs="Arial"/>
          <w:sz w:val="22"/>
          <w:szCs w:val="22"/>
          <w:lang w:val="es-EC"/>
        </w:rPr>
        <w:t>UERB-Q-SOLT-2015</w:t>
      </w:r>
      <w:r w:rsidRPr="00540150">
        <w:rPr>
          <w:rFonts w:ascii="Palatino Linotype" w:hAnsi="Palatino Linotype" w:cs="Arial"/>
          <w:sz w:val="22"/>
          <w:szCs w:val="22"/>
        </w:rPr>
        <w:t xml:space="preserve">, </w:t>
      </w:r>
      <w:r w:rsidRPr="00540150">
        <w:rPr>
          <w:rFonts w:ascii="Palatino Linotype" w:eastAsia="Calibri" w:hAnsi="Palatino Linotype"/>
          <w:sz w:val="22"/>
          <w:szCs w:val="22"/>
          <w:lang w:val="es-EC" w:eastAsia="en-US"/>
        </w:rPr>
        <w:t>para la aprobación del Asentamiento Humano de Hecho y Consolidado denominado “San Cristóbal”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a favor de sus copropietarios.</w:t>
      </w:r>
    </w:p>
    <w:p w:rsidR="003A616B" w:rsidRPr="00A837DE" w:rsidRDefault="003A616B" w:rsidP="007A262F">
      <w:pPr>
        <w:pStyle w:val="Sinespaciado"/>
        <w:spacing w:after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09638B" w:rsidRPr="003843CA" w:rsidRDefault="0009638B" w:rsidP="004C08F6">
      <w:pPr>
        <w:spacing w:after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3843CA">
        <w:rPr>
          <w:rFonts w:ascii="Palatino Linotype" w:hAnsi="Palatino Linotype"/>
          <w:b/>
          <w:sz w:val="22"/>
          <w:szCs w:val="22"/>
        </w:rPr>
        <w:t>EXPIDE</w:t>
      </w:r>
      <w:r>
        <w:rPr>
          <w:rFonts w:ascii="Palatino Linotype" w:hAnsi="Palatino Linotype"/>
          <w:b/>
          <w:sz w:val="22"/>
          <w:szCs w:val="22"/>
        </w:rPr>
        <w:t xml:space="preserve"> LA SIGUIENTE:</w:t>
      </w:r>
    </w:p>
    <w:p w:rsidR="00B65296" w:rsidRDefault="00B65296" w:rsidP="004C08F6">
      <w:pPr>
        <w:pStyle w:val="Sinespaciado"/>
        <w:spacing w:after="240" w:line="276" w:lineRule="auto"/>
        <w:jc w:val="center"/>
        <w:outlineLvl w:val="0"/>
        <w:rPr>
          <w:rFonts w:ascii="Palatino Linotype" w:hAnsi="Palatino Linotype" w:cs="Arial"/>
          <w:b/>
        </w:rPr>
      </w:pPr>
      <w:r w:rsidRPr="00AA4753">
        <w:rPr>
          <w:rFonts w:ascii="Palatino Linotype" w:hAnsi="Palatino Linotype" w:cs="Arial"/>
          <w:b/>
        </w:rPr>
        <w:t xml:space="preserve">ORDENANZA </w:t>
      </w:r>
      <w:r w:rsidRPr="003D6CE5">
        <w:rPr>
          <w:rFonts w:ascii="Palatino Linotype" w:hAnsi="Palatino Linotype" w:cs="Arial"/>
          <w:b/>
          <w:lang w:val="es-ES"/>
        </w:rPr>
        <w:t xml:space="preserve">REFORMATORIA DE LA ORDENANZA No. </w:t>
      </w:r>
      <w:r>
        <w:rPr>
          <w:rFonts w:ascii="Palatino Linotype" w:hAnsi="Palatino Linotype" w:cs="Arial"/>
          <w:b/>
          <w:lang w:val="es-ES"/>
        </w:rPr>
        <w:t>0005</w:t>
      </w:r>
      <w:r w:rsidRPr="003D6CE5">
        <w:rPr>
          <w:rFonts w:ascii="Palatino Linotype" w:hAnsi="Palatino Linotype" w:cs="Arial"/>
          <w:b/>
          <w:lang w:val="es-ES"/>
        </w:rPr>
        <w:t xml:space="preserve">, SANCIONADA EL </w:t>
      </w:r>
      <w:r>
        <w:rPr>
          <w:rFonts w:ascii="Palatino Linotype" w:hAnsi="Palatino Linotype" w:cs="Arial"/>
          <w:b/>
          <w:lang w:val="es-ES"/>
        </w:rPr>
        <w:t>8 DE ENERO DE</w:t>
      </w:r>
      <w:r w:rsidRPr="003D6CE5">
        <w:rPr>
          <w:rFonts w:ascii="Palatino Linotype" w:hAnsi="Palatino Linotype" w:cs="Arial"/>
          <w:b/>
          <w:lang w:val="es-ES"/>
        </w:rPr>
        <w:t xml:space="preserve"> 20</w:t>
      </w:r>
      <w:r>
        <w:rPr>
          <w:rFonts w:ascii="Palatino Linotype" w:hAnsi="Palatino Linotype" w:cs="Arial"/>
          <w:b/>
          <w:lang w:val="es-ES"/>
        </w:rPr>
        <w:t>11</w:t>
      </w:r>
      <w:r w:rsidRPr="003D6CE5">
        <w:rPr>
          <w:rFonts w:ascii="Palatino Linotype" w:hAnsi="Palatino Linotype" w:cs="Arial"/>
          <w:b/>
          <w:lang w:val="es-ES"/>
        </w:rPr>
        <w:t xml:space="preserve">, </w:t>
      </w:r>
      <w:r w:rsidRPr="00AA4753">
        <w:rPr>
          <w:rFonts w:ascii="Palatino Linotype" w:hAnsi="Palatino Linotype" w:cs="Arial"/>
          <w:b/>
        </w:rPr>
        <w:t>QUE RECONOCE Y</w:t>
      </w:r>
      <w:r>
        <w:rPr>
          <w:rFonts w:ascii="Palatino Linotype" w:hAnsi="Palatino Linotype" w:cs="Arial"/>
          <w:b/>
        </w:rPr>
        <w:t xml:space="preserve"> APRUEBA EL ASENTAMIENTO HUMANO DE HECHO Y CONSOLIDADO DENOMINADO COMITÉ PROMEJORAS DEL BARRIO “SAN CRISTÓBAL”, A FAVOR DE SUS COPROPIETARIOS</w:t>
      </w:r>
    </w:p>
    <w:p w:rsidR="003A616B" w:rsidRPr="003A616B" w:rsidRDefault="003A616B" w:rsidP="004C08F6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3A616B">
        <w:rPr>
          <w:rFonts w:ascii="Palatino Linotype" w:hAnsi="Palatino Linotype" w:cs="Arial"/>
          <w:b/>
          <w:bCs/>
          <w:sz w:val="22"/>
          <w:szCs w:val="22"/>
        </w:rPr>
        <w:t>A</w:t>
      </w:r>
      <w:r>
        <w:rPr>
          <w:rFonts w:ascii="Palatino Linotype" w:hAnsi="Palatino Linotype" w:cs="Arial"/>
          <w:b/>
          <w:bCs/>
          <w:sz w:val="22"/>
          <w:szCs w:val="22"/>
        </w:rPr>
        <w:t>rtículo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1.- </w:t>
      </w:r>
      <w:r w:rsidR="00084A62">
        <w:rPr>
          <w:rFonts w:ascii="Palatino Linotype" w:hAnsi="Palatino Linotype" w:cs="Arial"/>
          <w:bCs/>
          <w:sz w:val="22"/>
          <w:szCs w:val="22"/>
        </w:rPr>
        <w:t>Agréguese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84A62">
        <w:rPr>
          <w:rFonts w:ascii="Palatino Linotype" w:hAnsi="Palatino Linotype" w:cs="Arial"/>
          <w:bCs/>
          <w:sz w:val="22"/>
          <w:szCs w:val="22"/>
        </w:rPr>
        <w:t>a</w:t>
      </w:r>
      <w:r w:rsidRPr="003A616B">
        <w:rPr>
          <w:rFonts w:ascii="Palatino Linotype" w:hAnsi="Palatino Linotype" w:cs="Arial"/>
          <w:bCs/>
          <w:sz w:val="22"/>
          <w:szCs w:val="22"/>
        </w:rPr>
        <w:t xml:space="preserve">l artículo </w:t>
      </w:r>
      <w:r w:rsidR="00084A62">
        <w:rPr>
          <w:rFonts w:ascii="Palatino Linotype" w:hAnsi="Palatino Linotype" w:cs="Arial"/>
          <w:bCs/>
          <w:sz w:val="22"/>
          <w:szCs w:val="22"/>
        </w:rPr>
        <w:t xml:space="preserve">1 de la Ordenanza No. </w:t>
      </w:r>
      <w:r w:rsidR="00F66E58">
        <w:rPr>
          <w:rFonts w:ascii="Palatino Linotype" w:hAnsi="Palatino Linotype" w:cs="Arial"/>
          <w:bCs/>
          <w:sz w:val="22"/>
          <w:szCs w:val="22"/>
        </w:rPr>
        <w:t>0</w:t>
      </w:r>
      <w:r w:rsidR="007A262F">
        <w:rPr>
          <w:rFonts w:ascii="Palatino Linotype" w:hAnsi="Palatino Linotype" w:cs="Arial"/>
          <w:bCs/>
          <w:sz w:val="22"/>
          <w:szCs w:val="22"/>
        </w:rPr>
        <w:t>0</w:t>
      </w:r>
      <w:r w:rsidR="00B65296">
        <w:rPr>
          <w:rFonts w:ascii="Palatino Linotype" w:hAnsi="Palatino Linotype" w:cs="Arial"/>
          <w:bCs/>
          <w:sz w:val="22"/>
          <w:szCs w:val="22"/>
        </w:rPr>
        <w:t>05</w:t>
      </w:r>
      <w:r w:rsidR="00084A62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F66E58">
        <w:rPr>
          <w:rFonts w:ascii="Palatino Linotype" w:hAnsi="Palatino Linotype" w:cs="Arial"/>
          <w:bCs/>
          <w:sz w:val="22"/>
          <w:szCs w:val="22"/>
        </w:rPr>
        <w:t>un inciso final al tenor d</w:t>
      </w:r>
      <w:r w:rsidR="00B1006D">
        <w:rPr>
          <w:rFonts w:ascii="Palatino Linotype" w:hAnsi="Palatino Linotype" w:cs="Arial"/>
          <w:bCs/>
          <w:sz w:val="22"/>
          <w:szCs w:val="22"/>
        </w:rPr>
        <w:t>el siguiente</w:t>
      </w:r>
      <w:r w:rsidR="00084A62">
        <w:rPr>
          <w:rFonts w:ascii="Palatino Linotype" w:hAnsi="Palatino Linotype" w:cs="Arial"/>
          <w:bCs/>
          <w:sz w:val="22"/>
          <w:szCs w:val="22"/>
        </w:rPr>
        <w:t xml:space="preserve"> texto</w:t>
      </w:r>
      <w:r w:rsidRPr="003A616B">
        <w:rPr>
          <w:rFonts w:ascii="Palatino Linotype" w:hAnsi="Palatino Linotype" w:cs="Arial"/>
          <w:bCs/>
          <w:sz w:val="22"/>
          <w:szCs w:val="22"/>
        </w:rPr>
        <w:t>:</w:t>
      </w:r>
    </w:p>
    <w:p w:rsidR="00F66E58" w:rsidRPr="00F66E58" w:rsidRDefault="003A616B" w:rsidP="004C08F6">
      <w:pPr>
        <w:pStyle w:val="Ttulo7"/>
        <w:spacing w:before="0" w:after="240" w:line="276" w:lineRule="auto"/>
        <w:ind w:left="708"/>
        <w:jc w:val="both"/>
        <w:rPr>
          <w:rFonts w:ascii="Palatino Linotype" w:hAnsi="Palatino Linotype" w:cs="Arial"/>
          <w:b/>
          <w:i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“</w:t>
      </w:r>
      <w:r w:rsidR="00F66E58" w:rsidRPr="00F66E58">
        <w:rPr>
          <w:rFonts w:ascii="Palatino Linotype" w:hAnsi="Palatino Linotype"/>
          <w:i/>
          <w:sz w:val="22"/>
          <w:szCs w:val="22"/>
          <w:lang w:val="es-EC"/>
        </w:rPr>
        <w:t>Por las condiciones de asentamiento humano de hecho y consolidado, se lo aprueba considerándolo de interés social.</w:t>
      </w:r>
      <w:r w:rsidR="00F66E58">
        <w:rPr>
          <w:rFonts w:ascii="Palatino Linotype" w:hAnsi="Palatino Linotype"/>
          <w:i/>
          <w:sz w:val="22"/>
          <w:szCs w:val="22"/>
          <w:lang w:val="es-EC"/>
        </w:rPr>
        <w:t>”</w:t>
      </w:r>
    </w:p>
    <w:p w:rsidR="00F66E58" w:rsidRPr="003A616B" w:rsidRDefault="003A616B" w:rsidP="004C08F6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3A616B">
        <w:rPr>
          <w:rFonts w:ascii="Palatino Linotype" w:hAnsi="Palatino Linotype" w:cs="Arial"/>
          <w:b/>
          <w:bCs/>
          <w:sz w:val="22"/>
          <w:szCs w:val="22"/>
        </w:rPr>
        <w:t>Art</w:t>
      </w:r>
      <w:r>
        <w:rPr>
          <w:rFonts w:ascii="Palatino Linotype" w:hAnsi="Palatino Linotype" w:cs="Arial"/>
          <w:b/>
          <w:bCs/>
          <w:sz w:val="22"/>
          <w:szCs w:val="22"/>
        </w:rPr>
        <w:t>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2.- </w:t>
      </w:r>
      <w:r w:rsidR="00B65296">
        <w:rPr>
          <w:rFonts w:ascii="Palatino Linotype" w:hAnsi="Palatino Linotype" w:cs="Arial"/>
          <w:bCs/>
          <w:sz w:val="22"/>
          <w:szCs w:val="22"/>
        </w:rPr>
        <w:t>En</w:t>
      </w:r>
      <w:r w:rsidR="00F66E58">
        <w:rPr>
          <w:rFonts w:ascii="Palatino Linotype" w:hAnsi="Palatino Linotype" w:cs="Arial"/>
          <w:bCs/>
          <w:sz w:val="22"/>
          <w:szCs w:val="22"/>
        </w:rPr>
        <w:t xml:space="preserve"> e</w:t>
      </w:r>
      <w:r w:rsidR="00F66E58" w:rsidRPr="003A616B">
        <w:rPr>
          <w:rFonts w:ascii="Palatino Linotype" w:hAnsi="Palatino Linotype" w:cs="Arial"/>
          <w:bCs/>
          <w:sz w:val="22"/>
          <w:szCs w:val="22"/>
        </w:rPr>
        <w:t xml:space="preserve">l artículo </w:t>
      </w:r>
      <w:r w:rsidR="00F66E58">
        <w:rPr>
          <w:rFonts w:ascii="Palatino Linotype" w:hAnsi="Palatino Linotype" w:cs="Arial"/>
          <w:bCs/>
          <w:sz w:val="22"/>
          <w:szCs w:val="22"/>
        </w:rPr>
        <w:t>2 de la Ordenanza No. 0</w:t>
      </w:r>
      <w:r w:rsidR="007A262F">
        <w:rPr>
          <w:rFonts w:ascii="Palatino Linotype" w:hAnsi="Palatino Linotype" w:cs="Arial"/>
          <w:bCs/>
          <w:sz w:val="22"/>
          <w:szCs w:val="22"/>
        </w:rPr>
        <w:t>0</w:t>
      </w:r>
      <w:r w:rsidR="00B65296">
        <w:rPr>
          <w:rFonts w:ascii="Palatino Linotype" w:hAnsi="Palatino Linotype" w:cs="Arial"/>
          <w:bCs/>
          <w:sz w:val="22"/>
          <w:szCs w:val="22"/>
        </w:rPr>
        <w:t>05, elimínese la frase “</w:t>
      </w:r>
      <w:r w:rsidR="00B65296">
        <w:rPr>
          <w:rFonts w:ascii="Palatino Linotype" w:hAnsi="Palatino Linotype" w:cs="Arial"/>
          <w:bCs/>
          <w:i/>
          <w:sz w:val="22"/>
          <w:szCs w:val="22"/>
        </w:rPr>
        <w:t>en los planos y en el cuadro de beneficiarios”</w:t>
      </w:r>
      <w:r w:rsidR="00B65296">
        <w:rPr>
          <w:rFonts w:ascii="Palatino Linotype" w:hAnsi="Palatino Linotype" w:cs="Arial"/>
          <w:bCs/>
          <w:sz w:val="22"/>
          <w:szCs w:val="22"/>
        </w:rPr>
        <w:t>; y, sustitúyanse las especificaciones técnicas correspondientes al “</w:t>
      </w:r>
      <w:r w:rsidR="00B65296" w:rsidRPr="00B65296">
        <w:rPr>
          <w:rFonts w:ascii="Palatino Linotype" w:hAnsi="Palatino Linotype" w:cs="Arial"/>
          <w:bCs/>
          <w:i/>
          <w:sz w:val="22"/>
          <w:szCs w:val="22"/>
        </w:rPr>
        <w:t>Área útil de lotes</w:t>
      </w:r>
      <w:r w:rsidR="00B65296">
        <w:rPr>
          <w:rFonts w:ascii="Palatino Linotype" w:hAnsi="Palatino Linotype" w:cs="Arial"/>
          <w:bCs/>
          <w:sz w:val="22"/>
          <w:szCs w:val="22"/>
        </w:rPr>
        <w:t xml:space="preserve">”, en adelante, </w:t>
      </w:r>
      <w:r w:rsidR="00F66E58">
        <w:rPr>
          <w:rFonts w:ascii="Palatino Linotype" w:hAnsi="Palatino Linotype" w:cs="Arial"/>
          <w:bCs/>
          <w:sz w:val="22"/>
          <w:szCs w:val="22"/>
        </w:rPr>
        <w:t>por el siguiente</w:t>
      </w:r>
      <w:r w:rsidR="00B65296">
        <w:rPr>
          <w:rFonts w:ascii="Palatino Linotype" w:hAnsi="Palatino Linotype" w:cs="Arial"/>
          <w:bCs/>
          <w:sz w:val="22"/>
          <w:szCs w:val="22"/>
        </w:rPr>
        <w:t xml:space="preserve"> texto</w:t>
      </w:r>
      <w:r w:rsidR="00F66E58" w:rsidRPr="003A616B">
        <w:rPr>
          <w:rFonts w:ascii="Palatino Linotype" w:hAnsi="Palatino Linotype" w:cs="Arial"/>
          <w:bCs/>
          <w:sz w:val="22"/>
          <w:szCs w:val="22"/>
        </w:rPr>
        <w:t>:</w:t>
      </w:r>
    </w:p>
    <w:p w:rsidR="00B65296" w:rsidRPr="00B65296" w:rsidRDefault="00F66E58" w:rsidP="00B6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40" w:line="276" w:lineRule="auto"/>
        <w:ind w:left="709"/>
        <w:jc w:val="both"/>
        <w:rPr>
          <w:rFonts w:ascii="Palatino Linotype" w:hAnsi="Palatino Linotype"/>
          <w:b/>
          <w:bCs/>
          <w:i/>
          <w:sz w:val="22"/>
          <w:szCs w:val="22"/>
          <w:lang w:val="es-EC"/>
        </w:rPr>
      </w:pPr>
      <w:r>
        <w:rPr>
          <w:rFonts w:ascii="Palatino Linotype" w:hAnsi="Palatino Linotype" w:cs="Arial"/>
          <w:b/>
          <w:i/>
          <w:sz w:val="22"/>
          <w:szCs w:val="22"/>
        </w:rPr>
        <w:lastRenderedPageBreak/>
        <w:t>“</w:t>
      </w:r>
      <w:r w:rsidR="00B65296" w:rsidRPr="00B65296">
        <w:rPr>
          <w:rFonts w:ascii="Palatino Linotype" w:hAnsi="Palatino Linotype"/>
          <w:b/>
          <w:i/>
          <w:sz w:val="22"/>
          <w:szCs w:val="22"/>
        </w:rPr>
        <w:t xml:space="preserve">Área útil de lotes:                         </w:t>
      </w:r>
      <w:r w:rsidR="00B65296" w:rsidRPr="00B65296">
        <w:rPr>
          <w:rFonts w:ascii="Palatino Linotype" w:hAnsi="Palatino Linotype"/>
          <w:b/>
          <w:i/>
          <w:sz w:val="22"/>
          <w:szCs w:val="22"/>
        </w:rPr>
        <w:tab/>
      </w:r>
      <w:r w:rsidR="00B65296" w:rsidRPr="00B65296">
        <w:rPr>
          <w:rFonts w:ascii="Palatino Linotype" w:hAnsi="Palatino Linotype"/>
          <w:b/>
          <w:i/>
          <w:sz w:val="22"/>
          <w:szCs w:val="22"/>
        </w:rPr>
        <w:tab/>
      </w:r>
      <w:r w:rsidR="00B65296" w:rsidRPr="00B65296">
        <w:rPr>
          <w:rFonts w:ascii="Palatino Linotype" w:hAnsi="Palatino Linotype"/>
          <w:b/>
          <w:i/>
          <w:sz w:val="22"/>
          <w:szCs w:val="22"/>
        </w:rPr>
        <w:tab/>
      </w:r>
      <w:r w:rsidR="00B65296" w:rsidRPr="00B65296">
        <w:rPr>
          <w:rFonts w:ascii="Palatino Linotype" w:hAnsi="Palatino Linotype"/>
          <w:b/>
          <w:i/>
          <w:sz w:val="22"/>
          <w:szCs w:val="22"/>
        </w:rPr>
        <w:tab/>
      </w:r>
      <w:r w:rsidR="00B65296">
        <w:rPr>
          <w:rFonts w:ascii="Palatino Linotype" w:hAnsi="Palatino Linotype"/>
          <w:b/>
          <w:i/>
          <w:sz w:val="22"/>
          <w:szCs w:val="22"/>
        </w:rPr>
        <w:tab/>
      </w:r>
      <w:r w:rsidR="00B65296" w:rsidRPr="00B65296">
        <w:rPr>
          <w:rFonts w:ascii="Palatino Linotype" w:hAnsi="Palatino Linotype"/>
          <w:i/>
          <w:sz w:val="22"/>
          <w:szCs w:val="22"/>
        </w:rPr>
        <w:t>10.726,46</w:t>
      </w:r>
      <w:r w:rsidR="00B65296">
        <w:rPr>
          <w:rFonts w:ascii="Palatino Linotype" w:hAnsi="Palatino Linotype"/>
          <w:i/>
          <w:sz w:val="22"/>
          <w:szCs w:val="22"/>
        </w:rPr>
        <w:t xml:space="preserve"> </w:t>
      </w:r>
      <w:r w:rsidR="00B65296" w:rsidRPr="00B65296">
        <w:rPr>
          <w:rFonts w:ascii="Palatino Linotype" w:hAnsi="Palatino Linotype" w:cs="Calibri"/>
          <w:bCs/>
          <w:i/>
          <w:sz w:val="22"/>
          <w:szCs w:val="22"/>
        </w:rPr>
        <w:t>m</w:t>
      </w:r>
      <w:r w:rsidR="00B65296"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>2</w:t>
      </w:r>
      <w:r w:rsidR="00B65296" w:rsidRPr="00B65296">
        <w:rPr>
          <w:rFonts w:ascii="Palatino Linotype" w:hAnsi="Palatino Linotype" w:cs="Calibri"/>
          <w:bCs/>
          <w:i/>
          <w:sz w:val="22"/>
          <w:szCs w:val="22"/>
        </w:rPr>
        <w:t xml:space="preserve"> </w:t>
      </w:r>
    </w:p>
    <w:p w:rsidR="00B65296" w:rsidRPr="00B65296" w:rsidRDefault="00B65296" w:rsidP="00B65296">
      <w:pPr>
        <w:spacing w:after="240" w:line="276" w:lineRule="auto"/>
        <w:ind w:left="709"/>
        <w:jc w:val="both"/>
        <w:rPr>
          <w:rFonts w:ascii="Palatino Linotype" w:hAnsi="Palatino Linotype" w:cs="Calibri"/>
          <w:bCs/>
          <w:i/>
          <w:sz w:val="22"/>
          <w:szCs w:val="22"/>
        </w:rPr>
      </w:pPr>
      <w:r w:rsidRPr="00B65296">
        <w:rPr>
          <w:rFonts w:ascii="Palatino Linotype" w:hAnsi="Palatino Linotype"/>
          <w:b/>
          <w:i/>
          <w:sz w:val="22"/>
          <w:szCs w:val="22"/>
        </w:rPr>
        <w:t xml:space="preserve">Área de vías y pasajes:                    </w:t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  <w:t xml:space="preserve">   </w:t>
      </w:r>
      <w:r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i/>
          <w:sz w:val="22"/>
          <w:szCs w:val="22"/>
        </w:rPr>
        <w:t>4.950,65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B65296">
        <w:rPr>
          <w:rFonts w:ascii="Palatino Linotype" w:hAnsi="Palatino Linotype" w:cs="Calibri"/>
          <w:bCs/>
          <w:i/>
          <w:sz w:val="22"/>
          <w:szCs w:val="22"/>
        </w:rPr>
        <w:t>m</w:t>
      </w:r>
      <w:r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>2</w:t>
      </w:r>
    </w:p>
    <w:p w:rsidR="00B65296" w:rsidRPr="00B65296" w:rsidRDefault="00B65296" w:rsidP="00B65296">
      <w:pPr>
        <w:spacing w:after="240" w:line="276" w:lineRule="auto"/>
        <w:ind w:left="709"/>
        <w:jc w:val="both"/>
        <w:rPr>
          <w:rFonts w:ascii="Palatino Linotype" w:hAnsi="Palatino Linotype" w:cs="Calibri"/>
          <w:bCs/>
          <w:i/>
          <w:sz w:val="22"/>
          <w:szCs w:val="22"/>
        </w:rPr>
      </w:pPr>
      <w:r w:rsidRPr="00B65296">
        <w:rPr>
          <w:rFonts w:ascii="Palatino Linotype" w:hAnsi="Palatino Linotype"/>
          <w:b/>
          <w:i/>
          <w:sz w:val="22"/>
          <w:szCs w:val="22"/>
        </w:rPr>
        <w:t>Área verde y comunal:</w:t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  <w:t xml:space="preserve">                   </w:t>
      </w:r>
      <w:r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i/>
          <w:sz w:val="22"/>
          <w:szCs w:val="22"/>
        </w:rPr>
        <w:t>660,31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B65296">
        <w:rPr>
          <w:rFonts w:ascii="Palatino Linotype" w:hAnsi="Palatino Linotype" w:cs="Calibri"/>
          <w:bCs/>
          <w:i/>
          <w:sz w:val="22"/>
          <w:szCs w:val="22"/>
        </w:rPr>
        <w:t>m</w:t>
      </w:r>
      <w:r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>2</w:t>
      </w:r>
    </w:p>
    <w:p w:rsidR="00B65296" w:rsidRPr="00B65296" w:rsidRDefault="00B65296" w:rsidP="00B65296">
      <w:pPr>
        <w:spacing w:after="240" w:line="276" w:lineRule="auto"/>
        <w:ind w:left="709"/>
        <w:jc w:val="both"/>
        <w:rPr>
          <w:rFonts w:ascii="Palatino Linotype" w:hAnsi="Palatino Linotype"/>
          <w:b/>
          <w:i/>
          <w:sz w:val="22"/>
          <w:szCs w:val="22"/>
        </w:rPr>
      </w:pPr>
      <w:r w:rsidRPr="00B65296">
        <w:rPr>
          <w:rFonts w:ascii="Palatino Linotype" w:hAnsi="Palatino Linotype"/>
          <w:b/>
          <w:i/>
          <w:sz w:val="22"/>
          <w:szCs w:val="22"/>
        </w:rPr>
        <w:t xml:space="preserve">Faja </w:t>
      </w:r>
      <w:r>
        <w:rPr>
          <w:rFonts w:ascii="Palatino Linotype" w:hAnsi="Palatino Linotype"/>
          <w:b/>
          <w:i/>
          <w:sz w:val="22"/>
          <w:szCs w:val="22"/>
        </w:rPr>
        <w:t>p</w:t>
      </w:r>
      <w:r w:rsidRPr="00B65296">
        <w:rPr>
          <w:rFonts w:ascii="Palatino Linotype" w:hAnsi="Palatino Linotype"/>
          <w:b/>
          <w:i/>
          <w:sz w:val="22"/>
          <w:szCs w:val="22"/>
        </w:rPr>
        <w:t xml:space="preserve">rotección de </w:t>
      </w:r>
      <w:r>
        <w:rPr>
          <w:rFonts w:ascii="Palatino Linotype" w:hAnsi="Palatino Linotype"/>
          <w:b/>
          <w:i/>
          <w:sz w:val="22"/>
          <w:szCs w:val="22"/>
        </w:rPr>
        <w:t>q</w:t>
      </w:r>
      <w:r w:rsidRPr="00B65296">
        <w:rPr>
          <w:rFonts w:ascii="Palatino Linotype" w:hAnsi="Palatino Linotype"/>
          <w:b/>
          <w:i/>
          <w:sz w:val="22"/>
          <w:szCs w:val="22"/>
        </w:rPr>
        <w:t xml:space="preserve">uebrada en </w:t>
      </w:r>
      <w:r>
        <w:rPr>
          <w:rFonts w:ascii="Palatino Linotype" w:hAnsi="Palatino Linotype"/>
          <w:b/>
          <w:i/>
          <w:sz w:val="22"/>
          <w:szCs w:val="22"/>
        </w:rPr>
        <w:t>l</w:t>
      </w:r>
      <w:r w:rsidRPr="00B65296">
        <w:rPr>
          <w:rFonts w:ascii="Palatino Linotype" w:hAnsi="Palatino Linotype"/>
          <w:b/>
          <w:i/>
          <w:sz w:val="22"/>
          <w:szCs w:val="22"/>
        </w:rPr>
        <w:t xml:space="preserve">otes:                                        </w:t>
      </w:r>
      <w:r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i/>
          <w:sz w:val="22"/>
          <w:szCs w:val="22"/>
        </w:rPr>
        <w:t>420,04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B65296">
        <w:rPr>
          <w:rFonts w:ascii="Palatino Linotype" w:hAnsi="Palatino Linotype" w:cs="Calibri"/>
          <w:bCs/>
          <w:i/>
          <w:sz w:val="22"/>
          <w:szCs w:val="22"/>
        </w:rPr>
        <w:t>m</w:t>
      </w:r>
      <w:r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>2.</w:t>
      </w:r>
    </w:p>
    <w:p w:rsidR="00B65296" w:rsidRPr="00B65296" w:rsidRDefault="00B65296" w:rsidP="00B65296">
      <w:pPr>
        <w:spacing w:after="240" w:line="276" w:lineRule="auto"/>
        <w:ind w:left="709"/>
        <w:jc w:val="both"/>
        <w:rPr>
          <w:rFonts w:ascii="Palatino Linotype" w:hAnsi="Palatino Linotype"/>
          <w:b/>
          <w:i/>
          <w:sz w:val="22"/>
          <w:szCs w:val="22"/>
        </w:rPr>
      </w:pPr>
      <w:r w:rsidRPr="00B65296">
        <w:rPr>
          <w:rFonts w:ascii="Palatino Linotype" w:hAnsi="Palatino Linotype"/>
          <w:b/>
          <w:i/>
          <w:sz w:val="22"/>
          <w:szCs w:val="22"/>
        </w:rPr>
        <w:t xml:space="preserve">Faja </w:t>
      </w:r>
      <w:r>
        <w:rPr>
          <w:rFonts w:ascii="Palatino Linotype" w:hAnsi="Palatino Linotype"/>
          <w:b/>
          <w:i/>
          <w:sz w:val="22"/>
          <w:szCs w:val="22"/>
        </w:rPr>
        <w:t>p</w:t>
      </w:r>
      <w:r w:rsidRPr="00B65296">
        <w:rPr>
          <w:rFonts w:ascii="Palatino Linotype" w:hAnsi="Palatino Linotype"/>
          <w:b/>
          <w:i/>
          <w:sz w:val="22"/>
          <w:szCs w:val="22"/>
        </w:rPr>
        <w:t xml:space="preserve">rotección de </w:t>
      </w:r>
      <w:r>
        <w:rPr>
          <w:rFonts w:ascii="Palatino Linotype" w:hAnsi="Palatino Linotype"/>
          <w:b/>
          <w:i/>
          <w:sz w:val="22"/>
          <w:szCs w:val="22"/>
        </w:rPr>
        <w:t>q</w:t>
      </w:r>
      <w:r w:rsidRPr="00B65296">
        <w:rPr>
          <w:rFonts w:ascii="Palatino Linotype" w:hAnsi="Palatino Linotype"/>
          <w:b/>
          <w:i/>
          <w:sz w:val="22"/>
          <w:szCs w:val="22"/>
        </w:rPr>
        <w:t>uebrada (</w:t>
      </w:r>
      <w:r>
        <w:rPr>
          <w:rFonts w:ascii="Palatino Linotype" w:hAnsi="Palatino Linotype"/>
          <w:b/>
          <w:i/>
          <w:sz w:val="22"/>
          <w:szCs w:val="22"/>
        </w:rPr>
        <w:t>á</w:t>
      </w:r>
      <w:r w:rsidRPr="00B65296">
        <w:rPr>
          <w:rFonts w:ascii="Palatino Linotype" w:hAnsi="Palatino Linotype"/>
          <w:b/>
          <w:i/>
          <w:sz w:val="22"/>
          <w:szCs w:val="22"/>
        </w:rPr>
        <w:t xml:space="preserve">rea </w:t>
      </w:r>
      <w:r>
        <w:rPr>
          <w:rFonts w:ascii="Palatino Linotype" w:hAnsi="Palatino Linotype"/>
          <w:b/>
          <w:i/>
          <w:sz w:val="22"/>
          <w:szCs w:val="22"/>
        </w:rPr>
        <w:t>v</w:t>
      </w:r>
      <w:r w:rsidRPr="00B65296">
        <w:rPr>
          <w:rFonts w:ascii="Palatino Linotype" w:hAnsi="Palatino Linotype"/>
          <w:b/>
          <w:i/>
          <w:sz w:val="22"/>
          <w:szCs w:val="22"/>
        </w:rPr>
        <w:t xml:space="preserve">erde </w:t>
      </w:r>
      <w:r>
        <w:rPr>
          <w:rFonts w:ascii="Palatino Linotype" w:hAnsi="Palatino Linotype"/>
          <w:b/>
          <w:i/>
          <w:sz w:val="22"/>
          <w:szCs w:val="22"/>
        </w:rPr>
        <w:t>a</w:t>
      </w:r>
      <w:r w:rsidRPr="00B65296">
        <w:rPr>
          <w:rFonts w:ascii="Palatino Linotype" w:hAnsi="Palatino Linotype"/>
          <w:b/>
          <w:i/>
          <w:sz w:val="22"/>
          <w:szCs w:val="22"/>
        </w:rPr>
        <w:t>dicional)</w:t>
      </w:r>
      <w:r>
        <w:rPr>
          <w:rFonts w:ascii="Palatino Linotype" w:hAnsi="Palatino Linotype"/>
          <w:b/>
          <w:i/>
          <w:sz w:val="22"/>
          <w:szCs w:val="22"/>
        </w:rPr>
        <w:t>:</w:t>
      </w:r>
      <w:r w:rsidRPr="00B65296">
        <w:rPr>
          <w:rFonts w:ascii="Palatino Linotype" w:hAnsi="Palatino Linotype"/>
          <w:b/>
          <w:i/>
          <w:sz w:val="22"/>
          <w:szCs w:val="22"/>
        </w:rPr>
        <w:t xml:space="preserve">          </w:t>
      </w:r>
      <w:r w:rsidRPr="00B65296">
        <w:rPr>
          <w:rFonts w:ascii="Palatino Linotype" w:hAnsi="Palatino Linotype" w:cs="Calibri"/>
          <w:i/>
          <w:sz w:val="22"/>
          <w:szCs w:val="22"/>
        </w:rPr>
        <w:t xml:space="preserve"> </w:t>
      </w:r>
      <w:r>
        <w:rPr>
          <w:rFonts w:ascii="Palatino Linotype" w:hAnsi="Palatino Linotype" w:cs="Calibri"/>
          <w:i/>
          <w:sz w:val="22"/>
          <w:szCs w:val="22"/>
        </w:rPr>
        <w:tab/>
      </w:r>
      <w:r>
        <w:rPr>
          <w:rFonts w:ascii="Palatino Linotype" w:hAnsi="Palatino Linotype" w:cs="Calibri"/>
          <w:i/>
          <w:sz w:val="22"/>
          <w:szCs w:val="22"/>
        </w:rPr>
        <w:tab/>
      </w:r>
      <w:r w:rsidRPr="00B65296">
        <w:rPr>
          <w:rFonts w:ascii="Palatino Linotype" w:hAnsi="Palatino Linotype" w:cs="Calibri"/>
          <w:i/>
          <w:sz w:val="22"/>
          <w:szCs w:val="22"/>
        </w:rPr>
        <w:t>1.493,85</w:t>
      </w:r>
      <w:r>
        <w:rPr>
          <w:rFonts w:ascii="Palatino Linotype" w:hAnsi="Palatino Linotype" w:cs="Calibri"/>
          <w:i/>
          <w:sz w:val="22"/>
          <w:szCs w:val="22"/>
        </w:rPr>
        <w:t xml:space="preserve"> </w:t>
      </w:r>
      <w:r w:rsidRPr="00B65296">
        <w:rPr>
          <w:rFonts w:ascii="Palatino Linotype" w:hAnsi="Palatino Linotype" w:cs="Calibri"/>
          <w:bCs/>
          <w:i/>
          <w:sz w:val="22"/>
          <w:szCs w:val="22"/>
        </w:rPr>
        <w:t>m</w:t>
      </w:r>
      <w:r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>2</w:t>
      </w:r>
    </w:p>
    <w:p w:rsidR="00B65296" w:rsidRPr="00B65296" w:rsidRDefault="00B65296" w:rsidP="00B65296">
      <w:pPr>
        <w:spacing w:after="240" w:line="276" w:lineRule="auto"/>
        <w:ind w:left="709"/>
        <w:jc w:val="both"/>
        <w:rPr>
          <w:rFonts w:ascii="Palatino Linotype" w:hAnsi="Palatino Linotype"/>
          <w:i/>
          <w:sz w:val="22"/>
          <w:szCs w:val="22"/>
        </w:rPr>
      </w:pPr>
      <w:r w:rsidRPr="00B65296">
        <w:rPr>
          <w:rFonts w:ascii="Palatino Linotype" w:hAnsi="Palatino Linotype"/>
          <w:b/>
          <w:i/>
          <w:sz w:val="22"/>
          <w:szCs w:val="22"/>
        </w:rPr>
        <w:t>Área bruta del terreno (</w:t>
      </w:r>
      <w:proofErr w:type="spellStart"/>
      <w:r w:rsidRPr="00B65296">
        <w:rPr>
          <w:rFonts w:ascii="Palatino Linotype" w:hAnsi="Palatino Linotype"/>
          <w:b/>
          <w:i/>
          <w:sz w:val="22"/>
          <w:szCs w:val="22"/>
        </w:rPr>
        <w:t>lev</w:t>
      </w:r>
      <w:proofErr w:type="spellEnd"/>
      <w:r w:rsidRPr="00B65296">
        <w:rPr>
          <w:rFonts w:ascii="Palatino Linotype" w:hAnsi="Palatino Linotype"/>
          <w:b/>
          <w:i/>
          <w:sz w:val="22"/>
          <w:szCs w:val="22"/>
        </w:rPr>
        <w:t>. top.):</w:t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  <w:t xml:space="preserve">  </w:t>
      </w:r>
      <w:r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i/>
          <w:sz w:val="22"/>
          <w:szCs w:val="22"/>
        </w:rPr>
        <w:t>18.251,31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B65296">
        <w:rPr>
          <w:rFonts w:ascii="Palatino Linotype" w:hAnsi="Palatino Linotype" w:cs="Calibri"/>
          <w:bCs/>
          <w:i/>
          <w:sz w:val="22"/>
          <w:szCs w:val="22"/>
        </w:rPr>
        <w:t>m</w:t>
      </w:r>
      <w:r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>2</w:t>
      </w:r>
    </w:p>
    <w:p w:rsidR="008B39F5" w:rsidRPr="00563ECD" w:rsidRDefault="00B65296" w:rsidP="00563ECD">
      <w:pPr>
        <w:spacing w:after="240" w:line="276" w:lineRule="auto"/>
        <w:ind w:left="709"/>
        <w:jc w:val="both"/>
        <w:rPr>
          <w:rFonts w:ascii="Palatino Linotype" w:hAnsi="Palatino Linotype"/>
          <w:i/>
          <w:sz w:val="22"/>
          <w:szCs w:val="22"/>
        </w:rPr>
      </w:pPr>
      <w:r w:rsidRPr="00B65296">
        <w:rPr>
          <w:rFonts w:ascii="Palatino Linotype" w:hAnsi="Palatino Linotype"/>
          <w:b/>
          <w:i/>
          <w:sz w:val="22"/>
          <w:szCs w:val="22"/>
        </w:rPr>
        <w:t>Área total del terreno (</w:t>
      </w:r>
      <w:proofErr w:type="spellStart"/>
      <w:r w:rsidRPr="00B65296">
        <w:rPr>
          <w:rFonts w:ascii="Palatino Linotype" w:hAnsi="Palatino Linotype"/>
          <w:b/>
          <w:i/>
          <w:sz w:val="22"/>
          <w:szCs w:val="22"/>
        </w:rPr>
        <w:t>escrt</w:t>
      </w:r>
      <w:proofErr w:type="spellEnd"/>
      <w:r w:rsidRPr="00B65296">
        <w:rPr>
          <w:rFonts w:ascii="Palatino Linotype" w:hAnsi="Palatino Linotype"/>
          <w:b/>
          <w:i/>
          <w:sz w:val="22"/>
          <w:szCs w:val="22"/>
        </w:rPr>
        <w:t xml:space="preserve">):                    </w:t>
      </w:r>
      <w:r w:rsidRPr="00B65296"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b/>
          <w:i/>
          <w:sz w:val="22"/>
          <w:szCs w:val="22"/>
        </w:rPr>
        <w:tab/>
        <w:t xml:space="preserve">               </w:t>
      </w:r>
      <w:r>
        <w:rPr>
          <w:rFonts w:ascii="Palatino Linotype" w:hAnsi="Palatino Linotype"/>
          <w:b/>
          <w:i/>
          <w:sz w:val="22"/>
          <w:szCs w:val="22"/>
        </w:rPr>
        <w:tab/>
      </w:r>
      <w:r w:rsidRPr="00B65296">
        <w:rPr>
          <w:rFonts w:ascii="Palatino Linotype" w:hAnsi="Palatino Linotype"/>
          <w:i/>
          <w:sz w:val="22"/>
          <w:szCs w:val="22"/>
        </w:rPr>
        <w:t>16.218,20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B65296">
        <w:rPr>
          <w:rFonts w:ascii="Palatino Linotype" w:hAnsi="Palatino Linotype" w:cs="Calibri"/>
          <w:bCs/>
          <w:i/>
          <w:sz w:val="22"/>
          <w:szCs w:val="22"/>
        </w:rPr>
        <w:t>m</w:t>
      </w:r>
      <w:r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>2</w:t>
      </w:r>
      <w:r w:rsidR="008B39F5" w:rsidRPr="00B65296">
        <w:rPr>
          <w:rFonts w:ascii="Palatino Linotype" w:hAnsi="Palatino Linotype" w:cs="Arial"/>
          <w:bCs/>
          <w:i/>
          <w:sz w:val="22"/>
          <w:szCs w:val="22"/>
        </w:rPr>
        <w:t>”</w:t>
      </w:r>
    </w:p>
    <w:p w:rsidR="00E00CAC" w:rsidRDefault="003A616B" w:rsidP="004C08F6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E74C4">
        <w:rPr>
          <w:rFonts w:ascii="Palatino Linotype" w:hAnsi="Palatino Linotype" w:cs="Arial"/>
          <w:b/>
          <w:bCs/>
          <w:sz w:val="22"/>
          <w:szCs w:val="22"/>
        </w:rPr>
        <w:t xml:space="preserve">Artículo 3.- </w:t>
      </w:r>
      <w:r w:rsidR="00194EFD">
        <w:rPr>
          <w:rFonts w:ascii="Palatino Linotype" w:hAnsi="Palatino Linotype" w:cs="Arial"/>
          <w:bCs/>
          <w:sz w:val="22"/>
          <w:szCs w:val="22"/>
        </w:rPr>
        <w:t>Sustitúyase</w:t>
      </w:r>
      <w:r w:rsidR="00E00CA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 w:rsidR="00194EFD">
        <w:rPr>
          <w:rFonts w:ascii="Palatino Linotype" w:hAnsi="Palatino Linotype" w:cs="Arial"/>
          <w:bCs/>
          <w:sz w:val="22"/>
          <w:szCs w:val="22"/>
        </w:rPr>
        <w:t>4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00CAC">
        <w:rPr>
          <w:rFonts w:ascii="Palatino Linotype" w:hAnsi="Palatino Linotype" w:cs="Arial"/>
          <w:bCs/>
          <w:sz w:val="22"/>
          <w:szCs w:val="22"/>
        </w:rPr>
        <w:t xml:space="preserve">de la Ordenanza No. </w:t>
      </w:r>
      <w:r w:rsidR="00194EFD">
        <w:rPr>
          <w:rFonts w:ascii="Palatino Linotype" w:hAnsi="Palatino Linotype" w:cs="Arial"/>
          <w:bCs/>
          <w:sz w:val="22"/>
          <w:szCs w:val="22"/>
        </w:rPr>
        <w:t>0</w:t>
      </w:r>
      <w:r w:rsidR="00A775C1">
        <w:rPr>
          <w:rFonts w:ascii="Palatino Linotype" w:hAnsi="Palatino Linotype" w:cs="Arial"/>
          <w:bCs/>
          <w:sz w:val="22"/>
          <w:szCs w:val="22"/>
        </w:rPr>
        <w:t>0</w:t>
      </w:r>
      <w:r w:rsidR="00B65296">
        <w:rPr>
          <w:rFonts w:ascii="Palatino Linotype" w:hAnsi="Palatino Linotype" w:cs="Arial"/>
          <w:bCs/>
          <w:sz w:val="22"/>
          <w:szCs w:val="22"/>
        </w:rPr>
        <w:t>05</w:t>
      </w:r>
      <w:r w:rsidR="00E00CAC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194EFD">
        <w:rPr>
          <w:rFonts w:ascii="Palatino Linotype" w:hAnsi="Palatino Linotype" w:cs="Arial"/>
          <w:bCs/>
          <w:sz w:val="22"/>
          <w:szCs w:val="22"/>
        </w:rPr>
        <w:t>por el siguiente:</w:t>
      </w:r>
    </w:p>
    <w:p w:rsidR="00B65296" w:rsidRPr="00B65296" w:rsidRDefault="00194EFD" w:rsidP="00B65296">
      <w:pPr>
        <w:pStyle w:val="Ttulo7"/>
        <w:spacing w:before="0" w:after="240" w:line="276" w:lineRule="auto"/>
        <w:ind w:left="708"/>
        <w:jc w:val="both"/>
        <w:rPr>
          <w:rFonts w:ascii="Palatino Linotype" w:hAnsi="Palatino Linotype" w:cs="Arial"/>
          <w:i/>
          <w:sz w:val="22"/>
          <w:szCs w:val="22"/>
        </w:rPr>
      </w:pPr>
      <w:r w:rsidRPr="00A775C1">
        <w:rPr>
          <w:rFonts w:ascii="Palatino Linotype" w:hAnsi="Palatino Linotype" w:cs="Arial"/>
          <w:b/>
          <w:bCs/>
          <w:i/>
          <w:sz w:val="22"/>
          <w:szCs w:val="22"/>
        </w:rPr>
        <w:t>“</w:t>
      </w:r>
      <w:r w:rsidR="00A775C1" w:rsidRPr="00B65296">
        <w:rPr>
          <w:rFonts w:ascii="Palatino Linotype" w:hAnsi="Palatino Linotype" w:cs="Arial"/>
          <w:b/>
          <w:i/>
          <w:sz w:val="22"/>
          <w:szCs w:val="22"/>
        </w:rPr>
        <w:t xml:space="preserve">Artículo </w:t>
      </w:r>
      <w:r w:rsidR="00A775C1" w:rsidRPr="00B65296">
        <w:rPr>
          <w:rFonts w:ascii="Palatino Linotype" w:hAnsi="Palatino Linotype" w:cs="Arial"/>
          <w:b/>
          <w:bCs/>
          <w:i/>
          <w:sz w:val="22"/>
          <w:szCs w:val="22"/>
        </w:rPr>
        <w:t>4.-</w:t>
      </w:r>
      <w:r w:rsidR="00A775C1" w:rsidRPr="00B65296">
        <w:rPr>
          <w:rFonts w:ascii="Palatino Linotype" w:hAnsi="Palatino Linotype" w:cs="Arial"/>
          <w:bCs/>
          <w:i/>
          <w:sz w:val="22"/>
          <w:szCs w:val="22"/>
        </w:rPr>
        <w:t xml:space="preserve"> </w:t>
      </w:r>
      <w:r w:rsidR="00A775C1" w:rsidRPr="00B65296">
        <w:rPr>
          <w:rFonts w:ascii="Palatino Linotype" w:hAnsi="Palatino Linotype" w:cs="Arial"/>
          <w:b/>
          <w:bCs/>
          <w:i/>
          <w:sz w:val="22"/>
          <w:szCs w:val="22"/>
        </w:rPr>
        <w:t>Del área verde y área de equipamiento comunal</w:t>
      </w:r>
      <w:r w:rsidR="00A775C1" w:rsidRPr="00B65296">
        <w:rPr>
          <w:rFonts w:ascii="Palatino Linotype" w:hAnsi="Palatino Linotype" w:cs="Arial"/>
          <w:bCs/>
          <w:i/>
          <w:sz w:val="22"/>
          <w:szCs w:val="22"/>
        </w:rPr>
        <w:t xml:space="preserve">.- </w:t>
      </w:r>
      <w:r w:rsidR="00B65296" w:rsidRPr="00B65296">
        <w:rPr>
          <w:rFonts w:ascii="Palatino Linotype" w:hAnsi="Palatino Linotype"/>
          <w:bCs/>
          <w:i/>
          <w:sz w:val="22"/>
          <w:szCs w:val="22"/>
          <w:lang w:val="es-EC"/>
        </w:rPr>
        <w:t xml:space="preserve">Los copropietarios del predio que conforman el Asentamiento Humano de Hecho y Consolidado denominado “San Cristóbal”, </w:t>
      </w:r>
      <w:r w:rsidR="00B65296" w:rsidRPr="00B65296">
        <w:rPr>
          <w:rFonts w:ascii="Palatino Linotype" w:hAnsi="Palatino Linotype" w:cs="Arial"/>
          <w:i/>
          <w:sz w:val="22"/>
          <w:szCs w:val="22"/>
        </w:rPr>
        <w:t xml:space="preserve">transfieren al Municipio del Distrito Metropolitano de Quito, como contribución de áreas verdes, un área total de </w:t>
      </w:r>
      <w:r w:rsidR="00B65296" w:rsidRPr="00B65296">
        <w:rPr>
          <w:rFonts w:ascii="Palatino Linotype" w:hAnsi="Palatino Linotype"/>
          <w:i/>
          <w:sz w:val="22"/>
          <w:szCs w:val="22"/>
        </w:rPr>
        <w:t>660,31 m</w:t>
      </w:r>
      <w:r w:rsidR="00B65296" w:rsidRPr="00B65296">
        <w:rPr>
          <w:rFonts w:ascii="Palatino Linotype" w:hAnsi="Palatino Linotype" w:cs="Calibri"/>
          <w:bCs/>
          <w:i/>
          <w:sz w:val="22"/>
          <w:szCs w:val="22"/>
          <w:vertAlign w:val="superscript"/>
        </w:rPr>
        <w:t xml:space="preserve">2 </w:t>
      </w:r>
      <w:r w:rsidR="00B65296" w:rsidRPr="00B65296">
        <w:rPr>
          <w:rFonts w:ascii="Palatino Linotype" w:hAnsi="Palatino Linotype" w:cs="Arial"/>
          <w:i/>
          <w:sz w:val="22"/>
          <w:szCs w:val="22"/>
        </w:rPr>
        <w:t xml:space="preserve">que corresponde al </w:t>
      </w:r>
      <w:r w:rsidR="00B65296" w:rsidRPr="00B65296">
        <w:rPr>
          <w:rFonts w:ascii="Palatino Linotype" w:hAnsi="Palatino Linotype"/>
          <w:i/>
          <w:sz w:val="22"/>
          <w:szCs w:val="22"/>
        </w:rPr>
        <w:t xml:space="preserve">6,16% </w:t>
      </w:r>
      <w:r w:rsidR="00B65296" w:rsidRPr="00B65296">
        <w:rPr>
          <w:rFonts w:ascii="Palatino Linotype" w:hAnsi="Palatino Linotype" w:cs="Arial"/>
          <w:i/>
          <w:sz w:val="22"/>
          <w:szCs w:val="22"/>
        </w:rPr>
        <w:t>del área útil de los lotes, de conformidad al siguiente detalle: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2693"/>
        <w:gridCol w:w="1276"/>
        <w:gridCol w:w="1134"/>
        <w:gridCol w:w="1559"/>
      </w:tblGrid>
      <w:tr w:rsidR="00B65296" w:rsidRPr="00B65296" w:rsidTr="00563ECD">
        <w:trPr>
          <w:jc w:val="center"/>
        </w:trPr>
        <w:tc>
          <w:tcPr>
            <w:tcW w:w="8897" w:type="dxa"/>
            <w:gridSpan w:val="6"/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Área verde y comunal</w:t>
            </w:r>
          </w:p>
        </w:tc>
      </w:tr>
      <w:tr w:rsidR="00B65296" w:rsidRPr="00B65296" w:rsidTr="00563EC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 xml:space="preserve">Área </w:t>
            </w:r>
            <w:r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v</w:t>
            </w: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 xml:space="preserve">erde  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Lindero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Superficie</w:t>
            </w:r>
          </w:p>
        </w:tc>
      </w:tr>
      <w:tr w:rsidR="00B65296" w:rsidRPr="00B65296" w:rsidTr="00563ECD">
        <w:trPr>
          <w:trHeight w:val="293"/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Lote </w:t>
            </w:r>
            <w:r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No. 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5”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  <w:lang w:val="es-EC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  <w:lang w:val="es-EC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11,43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660,31 m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  <w:vertAlign w:val="superscript"/>
              </w:rPr>
              <w:t>2</w:t>
            </w:r>
          </w:p>
        </w:tc>
      </w:tr>
      <w:tr w:rsidR="00B65296" w:rsidRPr="00B65296" w:rsidTr="00563ECD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Lote </w:t>
            </w:r>
            <w:r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No. 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17,87 m.</w:t>
            </w:r>
          </w:p>
        </w:tc>
        <w:tc>
          <w:tcPr>
            <w:tcW w:w="1559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B65296" w:rsidRPr="00B65296" w:rsidTr="00563ECD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Vía Existente 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45,09 m.</w:t>
            </w:r>
          </w:p>
        </w:tc>
        <w:tc>
          <w:tcPr>
            <w:tcW w:w="1559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B65296" w:rsidRPr="00B65296" w:rsidTr="00563ECD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Propiedad Particular 1</w:t>
            </w:r>
          </w:p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Propiedad Particular 2</w:t>
            </w:r>
          </w:p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Propiedad Particular 2</w:t>
            </w:r>
          </w:p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Propiedad Particular 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16,78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4,27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11,45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13,69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46,19 m.</w:t>
            </w:r>
          </w:p>
        </w:tc>
        <w:tc>
          <w:tcPr>
            <w:tcW w:w="1559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</w:tbl>
    <w:p w:rsidR="00B65296" w:rsidRPr="00B65296" w:rsidRDefault="00B65296" w:rsidP="00B65296">
      <w:pPr>
        <w:contextualSpacing/>
        <w:rPr>
          <w:rFonts w:ascii="Palatino Linotype" w:hAnsi="Palatino Linotype" w:cs="Calibri"/>
          <w:i/>
          <w:sz w:val="22"/>
          <w:szCs w:val="22"/>
          <w:highlight w:val="yellow"/>
          <w:u w:val="single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2693"/>
        <w:gridCol w:w="1276"/>
        <w:gridCol w:w="1134"/>
        <w:gridCol w:w="1559"/>
      </w:tblGrid>
      <w:tr w:rsidR="00B65296" w:rsidRPr="00B65296" w:rsidTr="00563ECD">
        <w:trPr>
          <w:jc w:val="center"/>
        </w:trPr>
        <w:tc>
          <w:tcPr>
            <w:tcW w:w="8897" w:type="dxa"/>
            <w:gridSpan w:val="6"/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 xml:space="preserve">Faja de protección de quebrada 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(área verde adicional)</w:t>
            </w:r>
          </w:p>
        </w:tc>
      </w:tr>
      <w:tr w:rsidR="00B65296" w:rsidRPr="00B65296" w:rsidTr="00563EC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3144" w:rsidRDefault="00253144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253144" w:rsidRDefault="00253144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253144" w:rsidRDefault="00253144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253144" w:rsidRDefault="00253144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253144" w:rsidRDefault="00253144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 xml:space="preserve">Área verde adicional 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Lindero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Superficie</w:t>
            </w:r>
          </w:p>
        </w:tc>
      </w:tr>
      <w:tr w:rsidR="00B65296" w:rsidRPr="00B65296" w:rsidTr="00563ECD">
        <w:trPr>
          <w:trHeight w:val="953"/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5296" w:rsidRPr="00B65296" w:rsidRDefault="00B65296" w:rsidP="00B65296">
            <w:pPr>
              <w:spacing w:before="360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Vía </w:t>
            </w:r>
            <w:r>
              <w:rPr>
                <w:rFonts w:ascii="Palatino Linotype" w:hAnsi="Palatino Linotype" w:cs="Calibri"/>
                <w:i/>
                <w:sz w:val="22"/>
                <w:szCs w:val="22"/>
              </w:rPr>
              <w:t>e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xistente 5</w:t>
            </w:r>
          </w:p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>
              <w:rPr>
                <w:rFonts w:ascii="Palatino Linotype" w:hAnsi="Palatino Linotype" w:cs="Calibri"/>
                <w:i/>
                <w:sz w:val="22"/>
                <w:szCs w:val="22"/>
              </w:rPr>
              <w:t>Lote No. 51</w:t>
            </w:r>
          </w:p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Lote </w:t>
            </w:r>
            <w:r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No. 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50</w:t>
            </w:r>
          </w:p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Vía </w:t>
            </w:r>
            <w:r>
              <w:rPr>
                <w:rFonts w:ascii="Palatino Linotype" w:hAnsi="Palatino Linotype" w:cs="Calibri"/>
                <w:i/>
                <w:sz w:val="22"/>
                <w:szCs w:val="22"/>
              </w:rPr>
              <w:t>e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xistente 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9,66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28,05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16,15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4,70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58,56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144" w:rsidRDefault="00253144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253144" w:rsidRDefault="00253144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253144" w:rsidRDefault="00253144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253144" w:rsidRDefault="00253144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1.493,85 m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  <w:vertAlign w:val="superscript"/>
              </w:rPr>
              <w:t>2</w:t>
            </w:r>
          </w:p>
        </w:tc>
      </w:tr>
      <w:tr w:rsidR="00B65296" w:rsidRPr="00B65296" w:rsidTr="00563ECD">
        <w:trPr>
          <w:trHeight w:val="573"/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5296" w:rsidRPr="00B65296" w:rsidRDefault="00B65296" w:rsidP="00B65296">
            <w:pPr>
              <w:spacing w:before="240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253144">
            <w:pPr>
              <w:jc w:val="both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Quebrada “El Conde</w:t>
            </w:r>
            <w:r w:rsidR="00253144">
              <w:rPr>
                <w:rFonts w:ascii="Palatino Linotype" w:hAnsi="Palatino Linotype" w:cs="Calibri"/>
                <w:i/>
                <w:sz w:val="22"/>
                <w:szCs w:val="22"/>
              </w:rPr>
              <w:t>,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” en longitud desarrollada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60,38 m.</w:t>
            </w:r>
          </w:p>
        </w:tc>
        <w:tc>
          <w:tcPr>
            <w:tcW w:w="1559" w:type="dxa"/>
            <w:vMerge/>
            <w:shd w:val="clear" w:color="auto" w:fill="auto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B65296" w:rsidRPr="00B65296" w:rsidTr="00563ECD">
        <w:trPr>
          <w:trHeight w:val="555"/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 xml:space="preserve">Propiedad </w:t>
            </w:r>
            <w:r w:rsidR="00563ECD">
              <w:rPr>
                <w:rFonts w:ascii="Palatino Linotype" w:hAnsi="Palatino Linotype" w:cs="Calibri"/>
                <w:i/>
                <w:sz w:val="22"/>
                <w:szCs w:val="22"/>
              </w:rPr>
              <w:t>p</w:t>
            </w: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articular</w:t>
            </w:r>
          </w:p>
          <w:p w:rsidR="00B65296" w:rsidRPr="00B65296" w:rsidRDefault="00253144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>
              <w:rPr>
                <w:rFonts w:ascii="Palatino Linotype" w:hAnsi="Palatino Linotype" w:cs="Calibri"/>
                <w:i/>
                <w:sz w:val="22"/>
                <w:szCs w:val="22"/>
              </w:rPr>
              <w:t>Lote No. 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45,01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3,82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48,83 m.</w:t>
            </w:r>
          </w:p>
        </w:tc>
        <w:tc>
          <w:tcPr>
            <w:tcW w:w="1559" w:type="dxa"/>
            <w:vMerge/>
            <w:shd w:val="clear" w:color="auto" w:fill="auto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B65296" w:rsidRPr="00B65296" w:rsidTr="00563ECD">
        <w:trPr>
          <w:trHeight w:val="523"/>
          <w:jc w:val="center"/>
        </w:trPr>
        <w:tc>
          <w:tcPr>
            <w:tcW w:w="1384" w:type="dxa"/>
            <w:vMerge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5296" w:rsidRPr="00B65296" w:rsidRDefault="00B65296" w:rsidP="00B65296">
            <w:pPr>
              <w:spacing w:before="240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auto"/>
          </w:tcPr>
          <w:p w:rsidR="00B65296" w:rsidRPr="00B65296" w:rsidRDefault="00B65296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Terrenos de la AMAAP-Q</w:t>
            </w:r>
          </w:p>
          <w:p w:rsidR="00B65296" w:rsidRPr="00B65296" w:rsidRDefault="00253144" w:rsidP="00B65296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>
              <w:rPr>
                <w:rFonts w:ascii="Palatino Linotype" w:hAnsi="Palatino Linotype" w:cs="Calibri"/>
                <w:i/>
                <w:sz w:val="22"/>
                <w:szCs w:val="22"/>
              </w:rPr>
              <w:t>Lote No. 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41,50 m.</w:t>
            </w:r>
          </w:p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10,12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B65296">
              <w:rPr>
                <w:rFonts w:ascii="Palatino Linotype" w:hAnsi="Palatino Linotype" w:cs="Calibri"/>
                <w:i/>
                <w:sz w:val="22"/>
                <w:szCs w:val="22"/>
              </w:rPr>
              <w:t>51,62 m.</w:t>
            </w:r>
          </w:p>
        </w:tc>
        <w:tc>
          <w:tcPr>
            <w:tcW w:w="1559" w:type="dxa"/>
            <w:vMerge/>
            <w:shd w:val="clear" w:color="auto" w:fill="auto"/>
          </w:tcPr>
          <w:p w:rsidR="00B65296" w:rsidRPr="00B65296" w:rsidRDefault="00B65296" w:rsidP="00B65296">
            <w:pPr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</w:tbl>
    <w:p w:rsidR="00563ECD" w:rsidRDefault="00563ECD" w:rsidP="00A55BA8">
      <w:pPr>
        <w:spacing w:after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E00CAC" w:rsidRDefault="00E00CAC" w:rsidP="00A55BA8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Artículo 4.- </w:t>
      </w:r>
      <w:r w:rsidR="00253144">
        <w:rPr>
          <w:rFonts w:ascii="Palatino Linotype" w:hAnsi="Palatino Linotype" w:cs="Arial"/>
          <w:bCs/>
          <w:sz w:val="22"/>
          <w:szCs w:val="22"/>
        </w:rPr>
        <w:t xml:space="preserve">Elimínese </w:t>
      </w:r>
      <w:r w:rsidR="00A55BA8" w:rsidRPr="00A55BA8">
        <w:rPr>
          <w:rFonts w:ascii="Palatino Linotype" w:hAnsi="Palatino Linotype" w:cs="Arial"/>
          <w:bCs/>
          <w:sz w:val="22"/>
          <w:szCs w:val="22"/>
        </w:rPr>
        <w:t xml:space="preserve">el </w:t>
      </w:r>
      <w:r w:rsidR="00A51540" w:rsidRPr="00A55BA8">
        <w:rPr>
          <w:rFonts w:ascii="Palatino Linotype" w:hAnsi="Palatino Linotype" w:cs="Arial"/>
          <w:bCs/>
          <w:sz w:val="22"/>
          <w:szCs w:val="22"/>
        </w:rPr>
        <w:t xml:space="preserve">artículo </w:t>
      </w:r>
      <w:r w:rsidR="00A55BA8" w:rsidRPr="00A55BA8">
        <w:rPr>
          <w:rFonts w:ascii="Palatino Linotype" w:hAnsi="Palatino Linotype" w:cs="Arial"/>
          <w:bCs/>
          <w:sz w:val="22"/>
          <w:szCs w:val="22"/>
        </w:rPr>
        <w:t>5</w:t>
      </w:r>
      <w:r w:rsidR="00A51540" w:rsidRPr="00A55BA8">
        <w:rPr>
          <w:rFonts w:ascii="Palatino Linotype" w:hAnsi="Palatino Linotype" w:cs="Arial"/>
          <w:bCs/>
          <w:sz w:val="22"/>
          <w:szCs w:val="22"/>
        </w:rPr>
        <w:t xml:space="preserve"> de la Ordenanza No. </w:t>
      </w:r>
      <w:r w:rsidR="00A55BA8" w:rsidRPr="00A55BA8">
        <w:rPr>
          <w:rFonts w:ascii="Palatino Linotype" w:hAnsi="Palatino Linotype" w:cs="Arial"/>
          <w:bCs/>
          <w:sz w:val="22"/>
          <w:szCs w:val="22"/>
        </w:rPr>
        <w:t>00</w:t>
      </w:r>
      <w:r w:rsidR="00253144">
        <w:rPr>
          <w:rFonts w:ascii="Palatino Linotype" w:hAnsi="Palatino Linotype" w:cs="Arial"/>
          <w:bCs/>
          <w:sz w:val="22"/>
          <w:szCs w:val="22"/>
        </w:rPr>
        <w:t>05.</w:t>
      </w:r>
    </w:p>
    <w:p w:rsidR="00253144" w:rsidRDefault="00253144" w:rsidP="00253144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Artículo </w:t>
      </w:r>
      <w:r>
        <w:rPr>
          <w:rFonts w:ascii="Palatino Linotype" w:hAnsi="Palatino Linotype" w:cs="Arial"/>
          <w:b/>
          <w:bCs/>
          <w:sz w:val="22"/>
          <w:szCs w:val="22"/>
        </w:rPr>
        <w:t>5</w:t>
      </w: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 xml:space="preserve">Sustitúyase 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6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 de la Ordenanza No. 00</w:t>
      </w:r>
      <w:r>
        <w:rPr>
          <w:rFonts w:ascii="Palatino Linotype" w:hAnsi="Palatino Linotype" w:cs="Arial"/>
          <w:bCs/>
          <w:sz w:val="22"/>
          <w:szCs w:val="22"/>
        </w:rPr>
        <w:t>05, por el siguiente:</w:t>
      </w:r>
    </w:p>
    <w:p w:rsidR="00253144" w:rsidRP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“</w:t>
      </w:r>
      <w:r w:rsidRPr="007171D1">
        <w:rPr>
          <w:rFonts w:ascii="Palatino Linotype" w:hAnsi="Palatino Linotype"/>
          <w:b/>
          <w:i/>
          <w:sz w:val="22"/>
          <w:szCs w:val="22"/>
          <w:lang w:val="es-EC"/>
        </w:rPr>
        <w:t>Artículo</w:t>
      </w:r>
      <w:r>
        <w:rPr>
          <w:rFonts w:ascii="Palatino Linotype" w:hAnsi="Palatino Linotype"/>
          <w:b/>
          <w:i/>
          <w:sz w:val="22"/>
          <w:szCs w:val="22"/>
          <w:lang w:val="es-EC"/>
        </w:rPr>
        <w:t xml:space="preserve"> 6.-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C619E6">
        <w:rPr>
          <w:rFonts w:ascii="Palatino Linotype" w:hAnsi="Palatino Linotype"/>
          <w:b/>
          <w:bCs/>
          <w:i/>
          <w:sz w:val="22"/>
          <w:szCs w:val="22"/>
        </w:rPr>
        <w:t xml:space="preserve">De las vías.- </w:t>
      </w:r>
      <w:r w:rsidRPr="00C619E6">
        <w:rPr>
          <w:rFonts w:ascii="Palatino Linotype" w:hAnsi="Palatino Linotype"/>
          <w:bCs/>
          <w:i/>
          <w:iCs/>
          <w:sz w:val="22"/>
          <w:szCs w:val="22"/>
        </w:rPr>
        <w:t xml:space="preserve">El </w:t>
      </w:r>
      <w:r>
        <w:rPr>
          <w:rFonts w:ascii="Palatino Linotype" w:hAnsi="Palatino Linotype"/>
          <w:bCs/>
          <w:i/>
          <w:iCs/>
          <w:sz w:val="22"/>
          <w:szCs w:val="22"/>
        </w:rPr>
        <w:t>a</w:t>
      </w:r>
      <w:r w:rsidRPr="00C619E6">
        <w:rPr>
          <w:rFonts w:ascii="Palatino Linotype" w:hAnsi="Palatino Linotype"/>
          <w:bCs/>
          <w:i/>
          <w:iCs/>
          <w:sz w:val="22"/>
          <w:szCs w:val="22"/>
        </w:rPr>
        <w:t xml:space="preserve">sentamiento </w:t>
      </w:r>
      <w:r>
        <w:rPr>
          <w:rFonts w:ascii="Palatino Linotype" w:hAnsi="Palatino Linotype"/>
          <w:bCs/>
          <w:i/>
          <w:iCs/>
          <w:sz w:val="22"/>
          <w:szCs w:val="22"/>
        </w:rPr>
        <w:t>h</w:t>
      </w:r>
      <w:r w:rsidRPr="00C619E6">
        <w:rPr>
          <w:rFonts w:ascii="Palatino Linotype" w:hAnsi="Palatino Linotype"/>
          <w:bCs/>
          <w:i/>
          <w:iCs/>
          <w:sz w:val="22"/>
          <w:szCs w:val="22"/>
        </w:rPr>
        <w:t xml:space="preserve">umano de </w:t>
      </w:r>
      <w:r>
        <w:rPr>
          <w:rFonts w:ascii="Palatino Linotype" w:hAnsi="Palatino Linotype"/>
          <w:bCs/>
          <w:i/>
          <w:iCs/>
          <w:sz w:val="22"/>
          <w:szCs w:val="22"/>
        </w:rPr>
        <w:t>h</w:t>
      </w:r>
      <w:r w:rsidRPr="00C619E6">
        <w:rPr>
          <w:rFonts w:ascii="Palatino Linotype" w:hAnsi="Palatino Linotype"/>
          <w:bCs/>
          <w:i/>
          <w:iCs/>
          <w:sz w:val="22"/>
          <w:szCs w:val="22"/>
        </w:rPr>
        <w:t xml:space="preserve">echo y </w:t>
      </w:r>
      <w:r>
        <w:rPr>
          <w:rFonts w:ascii="Palatino Linotype" w:hAnsi="Palatino Linotype"/>
          <w:bCs/>
          <w:i/>
          <w:iCs/>
          <w:sz w:val="22"/>
          <w:szCs w:val="22"/>
        </w:rPr>
        <w:t>c</w:t>
      </w:r>
      <w:r w:rsidRPr="00C619E6">
        <w:rPr>
          <w:rFonts w:ascii="Palatino Linotype" w:hAnsi="Palatino Linotype"/>
          <w:bCs/>
          <w:i/>
          <w:iCs/>
          <w:sz w:val="22"/>
          <w:szCs w:val="22"/>
        </w:rPr>
        <w:t xml:space="preserve">onsolidado </w:t>
      </w:r>
      <w:r w:rsidRPr="00C619E6">
        <w:rPr>
          <w:rFonts w:ascii="Palatino Linotype" w:hAnsi="Palatino Linotype"/>
          <w:i/>
          <w:iCs/>
          <w:sz w:val="22"/>
          <w:szCs w:val="22"/>
        </w:rPr>
        <w:t xml:space="preserve">contempla un sistema vial de uso público, </w:t>
      </w:r>
      <w:r>
        <w:rPr>
          <w:rFonts w:ascii="Palatino Linotype" w:hAnsi="Palatino Linotype"/>
          <w:i/>
          <w:iCs/>
          <w:sz w:val="22"/>
          <w:szCs w:val="22"/>
        </w:rPr>
        <w:t xml:space="preserve">con 23 </w:t>
      </w:r>
      <w:r w:rsidRPr="00C619E6">
        <w:rPr>
          <w:rFonts w:ascii="Palatino Linotype" w:hAnsi="Palatino Linotype"/>
          <w:i/>
          <w:iCs/>
          <w:sz w:val="22"/>
          <w:szCs w:val="22"/>
        </w:rPr>
        <w:t>años de existencia</w:t>
      </w:r>
      <w:r>
        <w:rPr>
          <w:rFonts w:ascii="Palatino Linotype" w:hAnsi="Palatino Linotype"/>
          <w:i/>
          <w:iCs/>
          <w:sz w:val="22"/>
          <w:szCs w:val="22"/>
        </w:rPr>
        <w:t xml:space="preserve"> y</w:t>
      </w:r>
      <w:r w:rsidRPr="00C619E6">
        <w:rPr>
          <w:rFonts w:ascii="Palatino Linotype" w:hAnsi="Palatino Linotype"/>
          <w:i/>
          <w:iCs/>
          <w:sz w:val="22"/>
          <w:szCs w:val="22"/>
        </w:rPr>
        <w:t xml:space="preserve"> con un </w:t>
      </w:r>
      <w:r w:rsidRPr="00C23435">
        <w:rPr>
          <w:rFonts w:ascii="Palatino Linotype" w:hAnsi="Palatino Linotype"/>
          <w:i/>
          <w:iCs/>
          <w:sz w:val="22"/>
          <w:szCs w:val="22"/>
        </w:rPr>
        <w:t>52,73 %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C619E6">
        <w:rPr>
          <w:rFonts w:ascii="Palatino Linotype" w:hAnsi="Palatino Linotype"/>
          <w:i/>
          <w:iCs/>
          <w:sz w:val="22"/>
          <w:szCs w:val="22"/>
        </w:rPr>
        <w:t>de consolidación de viviendas,</w:t>
      </w:r>
      <w:r>
        <w:rPr>
          <w:rFonts w:ascii="Palatino Linotype" w:hAnsi="Palatino Linotype"/>
          <w:i/>
          <w:iCs/>
          <w:sz w:val="22"/>
          <w:szCs w:val="22"/>
        </w:rPr>
        <w:t xml:space="preserve"> por lo que</w:t>
      </w:r>
      <w:r w:rsidRPr="00253144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253144">
        <w:rPr>
          <w:rFonts w:ascii="Palatino Linotype" w:hAnsi="Palatino Linotype"/>
          <w:i/>
          <w:iCs/>
        </w:rPr>
        <w:t>los anchos de vías y pasajes se sujetarán al plano adjunto a la presente ordenanza.</w:t>
      </w:r>
    </w:p>
    <w:p w:rsid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 w:rsidRPr="00253144">
        <w:rPr>
          <w:rFonts w:ascii="Palatino Linotype" w:hAnsi="Palatino Linotype"/>
          <w:i/>
          <w:iCs/>
          <w:sz w:val="22"/>
          <w:szCs w:val="22"/>
          <w:lang w:val="es-EC"/>
        </w:rPr>
        <w:t>Los anchos de vías y pasajes que se aprueban son las siguientes:</w:t>
      </w:r>
    </w:p>
    <w:p w:rsid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 w:rsidRPr="00253144">
        <w:rPr>
          <w:rFonts w:ascii="Palatino Linotype" w:hAnsi="Palatino Linotype" w:cs="Calibri"/>
          <w:i/>
          <w:sz w:val="22"/>
          <w:szCs w:val="22"/>
        </w:rPr>
        <w:t>Vía Existente 1</w:t>
      </w:r>
      <w:r>
        <w:rPr>
          <w:rFonts w:ascii="Palatino Linotype" w:hAnsi="Palatino Linotype" w:cs="Calibri"/>
          <w:i/>
          <w:sz w:val="22"/>
          <w:szCs w:val="22"/>
        </w:rPr>
        <w:t>: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                   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variable de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8,21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m a 9,44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m  </w:t>
      </w:r>
    </w:p>
    <w:p w:rsid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Vía Existente 2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>: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                   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variable de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10,81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m a 11,33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m</w:t>
      </w:r>
    </w:p>
    <w:p w:rsid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Vía Existente 4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>: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                   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variable de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12,82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m a 13,00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m</w:t>
      </w:r>
    </w:p>
    <w:p w:rsid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Vía Existente 5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>: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                   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variable de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6,09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m a 6,18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m                                    </w:t>
      </w:r>
    </w:p>
    <w:p w:rsid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Calle Principal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>: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                    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variable de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11,11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 xml:space="preserve"> 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m a 11,35 m                   </w:t>
      </w:r>
    </w:p>
    <w:p w:rsidR="00253144" w:rsidRPr="00253144" w:rsidRDefault="00253144" w:rsidP="00253144">
      <w:pPr>
        <w:spacing w:after="240" w:line="276" w:lineRule="auto"/>
        <w:ind w:left="703"/>
        <w:jc w:val="both"/>
        <w:rPr>
          <w:rFonts w:ascii="Palatino Linotype" w:hAnsi="Palatino Linotype"/>
          <w:i/>
          <w:iCs/>
          <w:sz w:val="22"/>
          <w:szCs w:val="22"/>
        </w:rPr>
      </w:pP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Pasaje Existente 3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>:</w:t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               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 xml:space="preserve">variable de     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 w:cs="Calibri"/>
          <w:i/>
          <w:sz w:val="22"/>
          <w:szCs w:val="22"/>
          <w:lang w:val="es-EC"/>
        </w:rPr>
        <w:t>8,18 m a 8,42 m</w:t>
      </w:r>
      <w:r>
        <w:rPr>
          <w:rFonts w:ascii="Palatino Linotype" w:hAnsi="Palatino Linotype" w:cs="Calibri"/>
          <w:i/>
          <w:sz w:val="22"/>
          <w:szCs w:val="22"/>
          <w:lang w:val="es-EC"/>
        </w:rPr>
        <w:t>”</w:t>
      </w:r>
    </w:p>
    <w:p w:rsidR="00253144" w:rsidRDefault="00253144" w:rsidP="00253144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Artículo </w:t>
      </w:r>
      <w:r>
        <w:rPr>
          <w:rFonts w:ascii="Palatino Linotype" w:hAnsi="Palatino Linotype" w:cs="Arial"/>
          <w:b/>
          <w:bCs/>
          <w:sz w:val="22"/>
          <w:szCs w:val="22"/>
        </w:rPr>
        <w:t>6</w:t>
      </w: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 xml:space="preserve">Sustitúyase 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7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 de la Ordenanza No. 00</w:t>
      </w:r>
      <w:r>
        <w:rPr>
          <w:rFonts w:ascii="Palatino Linotype" w:hAnsi="Palatino Linotype" w:cs="Arial"/>
          <w:bCs/>
          <w:sz w:val="22"/>
          <w:szCs w:val="22"/>
        </w:rPr>
        <w:t>05, por el siguiente:</w:t>
      </w:r>
    </w:p>
    <w:p w:rsidR="00253144" w:rsidRPr="00253144" w:rsidRDefault="00253144" w:rsidP="00253144">
      <w:pPr>
        <w:spacing w:after="240" w:line="276" w:lineRule="auto"/>
        <w:ind w:left="709"/>
        <w:jc w:val="both"/>
        <w:rPr>
          <w:rFonts w:ascii="Palatino Linotype" w:hAnsi="Palatino Linotype"/>
          <w:i/>
          <w:sz w:val="22"/>
          <w:szCs w:val="22"/>
          <w:lang w:val="es-EC"/>
        </w:rPr>
      </w:pPr>
      <w:r>
        <w:rPr>
          <w:rFonts w:ascii="Palatino Linotype" w:hAnsi="Palatino Linotype"/>
          <w:b/>
          <w:bCs/>
          <w:i/>
          <w:sz w:val="22"/>
          <w:szCs w:val="22"/>
          <w:lang w:val="es-EC"/>
        </w:rPr>
        <w:t>“</w:t>
      </w:r>
      <w:r w:rsidRPr="00253144">
        <w:rPr>
          <w:rFonts w:ascii="Palatino Linotype" w:hAnsi="Palatino Linotype"/>
          <w:b/>
          <w:bCs/>
          <w:i/>
          <w:sz w:val="22"/>
          <w:szCs w:val="22"/>
          <w:lang w:val="es-EC"/>
        </w:rPr>
        <w:t>Artículo</w:t>
      </w:r>
      <w:r w:rsidRPr="00253144">
        <w:rPr>
          <w:rFonts w:ascii="Palatino Linotype" w:hAnsi="Palatino Linotype"/>
          <w:b/>
          <w:i/>
          <w:sz w:val="22"/>
          <w:szCs w:val="22"/>
          <w:lang w:val="es-EC"/>
        </w:rPr>
        <w:t xml:space="preserve"> 7.- </w:t>
      </w:r>
      <w:r w:rsidRPr="00253144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De las obras a ejecutarse.- </w:t>
      </w:r>
      <w:r w:rsidRPr="00253144">
        <w:rPr>
          <w:rFonts w:ascii="Palatino Linotype" w:hAnsi="Palatino Linotype"/>
          <w:i/>
          <w:sz w:val="22"/>
          <w:szCs w:val="22"/>
          <w:lang w:val="es-EC"/>
        </w:rPr>
        <w:t xml:space="preserve">Las obras a ejecutarse en el asentamiento </w:t>
      </w:r>
      <w:r>
        <w:rPr>
          <w:rFonts w:ascii="Palatino Linotype" w:hAnsi="Palatino Linotype"/>
          <w:i/>
          <w:sz w:val="22"/>
          <w:szCs w:val="22"/>
          <w:lang w:val="es-EC"/>
        </w:rPr>
        <w:t xml:space="preserve">humano de hecho y consolidado, </w:t>
      </w:r>
      <w:r w:rsidRPr="00253144">
        <w:rPr>
          <w:rFonts w:ascii="Palatino Linotype" w:hAnsi="Palatino Linotype"/>
          <w:i/>
          <w:sz w:val="22"/>
          <w:szCs w:val="22"/>
          <w:lang w:val="es-EC"/>
        </w:rPr>
        <w:t>son las siguientes:</w:t>
      </w:r>
    </w:p>
    <w:p w:rsidR="00253144" w:rsidRDefault="00253144" w:rsidP="00253144">
      <w:pPr>
        <w:spacing w:after="240" w:line="276" w:lineRule="auto"/>
        <w:ind w:left="709"/>
        <w:jc w:val="both"/>
        <w:rPr>
          <w:rFonts w:ascii="Palatino Linotype" w:hAnsi="Palatino Linotype"/>
          <w:i/>
          <w:sz w:val="22"/>
          <w:szCs w:val="22"/>
          <w:lang w:val="es-EC"/>
        </w:rPr>
      </w:pPr>
      <w:r w:rsidRPr="00253144">
        <w:rPr>
          <w:rFonts w:ascii="Palatino Linotype" w:hAnsi="Palatino Linotype"/>
          <w:i/>
          <w:sz w:val="22"/>
          <w:szCs w:val="22"/>
          <w:lang w:val="es-EC"/>
        </w:rPr>
        <w:t>Calzadas</w:t>
      </w:r>
      <w:r>
        <w:rPr>
          <w:rFonts w:ascii="Palatino Linotype" w:hAnsi="Palatino Linotype"/>
          <w:i/>
          <w:sz w:val="22"/>
          <w:szCs w:val="22"/>
          <w:lang w:val="es-EC"/>
        </w:rPr>
        <w:t>:</w:t>
      </w:r>
      <w:r w:rsidRPr="00253144">
        <w:rPr>
          <w:rFonts w:ascii="Palatino Linotype" w:hAnsi="Palatino Linotype"/>
          <w:i/>
          <w:sz w:val="22"/>
          <w:szCs w:val="22"/>
          <w:lang w:val="es-EC"/>
        </w:rPr>
        <w:t xml:space="preserve">  </w:t>
      </w:r>
      <w:r>
        <w:rPr>
          <w:rFonts w:ascii="Palatino Linotype" w:hAnsi="Palatino Linotype"/>
          <w:i/>
          <w:sz w:val="22"/>
          <w:szCs w:val="22"/>
          <w:lang w:val="es-EC"/>
        </w:rPr>
        <w:t xml:space="preserve">                              </w:t>
      </w:r>
      <w:r w:rsidRPr="00253144">
        <w:rPr>
          <w:rFonts w:ascii="Palatino Linotype" w:hAnsi="Palatino Linotype"/>
          <w:i/>
          <w:sz w:val="22"/>
          <w:szCs w:val="22"/>
          <w:lang w:val="es-EC"/>
        </w:rPr>
        <w:t>30%</w:t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/>
          <w:i/>
          <w:sz w:val="22"/>
          <w:szCs w:val="22"/>
          <w:lang w:val="es-EC"/>
        </w:rPr>
        <w:t>Aceras</w:t>
      </w:r>
      <w:r>
        <w:rPr>
          <w:rFonts w:ascii="Palatino Linotype" w:hAnsi="Palatino Linotype"/>
          <w:i/>
          <w:sz w:val="22"/>
          <w:szCs w:val="22"/>
          <w:lang w:val="es-EC"/>
        </w:rPr>
        <w:t>:</w:t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 w:rsidRPr="00253144">
        <w:rPr>
          <w:rFonts w:ascii="Palatino Linotype" w:hAnsi="Palatino Linotype"/>
          <w:i/>
          <w:sz w:val="22"/>
          <w:szCs w:val="22"/>
          <w:lang w:val="es-EC"/>
        </w:rPr>
        <w:t>30%</w:t>
      </w:r>
    </w:p>
    <w:p w:rsidR="00253144" w:rsidRPr="00253144" w:rsidRDefault="00253144" w:rsidP="00253144">
      <w:pPr>
        <w:spacing w:after="240" w:line="276" w:lineRule="auto"/>
        <w:ind w:left="709"/>
        <w:jc w:val="both"/>
        <w:rPr>
          <w:rFonts w:ascii="Palatino Linotype" w:hAnsi="Palatino Linotype"/>
          <w:i/>
          <w:sz w:val="22"/>
          <w:szCs w:val="22"/>
          <w:lang w:val="es-EC"/>
        </w:rPr>
      </w:pPr>
      <w:r w:rsidRPr="00253144">
        <w:rPr>
          <w:rFonts w:ascii="Palatino Linotype" w:hAnsi="Palatino Linotype"/>
          <w:i/>
          <w:sz w:val="22"/>
          <w:szCs w:val="22"/>
          <w:lang w:val="es-EC"/>
        </w:rPr>
        <w:t>Bordillos</w:t>
      </w:r>
      <w:r>
        <w:rPr>
          <w:rFonts w:ascii="Palatino Linotype" w:hAnsi="Palatino Linotype"/>
          <w:i/>
          <w:sz w:val="22"/>
          <w:szCs w:val="22"/>
          <w:lang w:val="es-EC"/>
        </w:rPr>
        <w:t>:</w:t>
      </w:r>
      <w:r w:rsidRPr="00253144">
        <w:rPr>
          <w:rFonts w:ascii="Palatino Linotype" w:hAnsi="Palatino Linotype"/>
          <w:i/>
          <w:sz w:val="22"/>
          <w:szCs w:val="22"/>
          <w:lang w:val="es-EC"/>
        </w:rPr>
        <w:t xml:space="preserve">                                30%”</w:t>
      </w:r>
    </w:p>
    <w:p w:rsidR="00253144" w:rsidRDefault="00253144" w:rsidP="00253144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Artículo </w:t>
      </w:r>
      <w:r>
        <w:rPr>
          <w:rFonts w:ascii="Palatino Linotype" w:hAnsi="Palatino Linotype" w:cs="Arial"/>
          <w:b/>
          <w:bCs/>
          <w:sz w:val="22"/>
          <w:szCs w:val="22"/>
        </w:rPr>
        <w:t>7</w:t>
      </w: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 xml:space="preserve">Sustitúyase 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8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 de la Ordenanza No. 00</w:t>
      </w:r>
      <w:r>
        <w:rPr>
          <w:rFonts w:ascii="Palatino Linotype" w:hAnsi="Palatino Linotype" w:cs="Arial"/>
          <w:bCs/>
          <w:sz w:val="22"/>
          <w:szCs w:val="22"/>
        </w:rPr>
        <w:t>05, por el siguiente:</w:t>
      </w:r>
    </w:p>
    <w:p w:rsidR="00253144" w:rsidRDefault="00253144" w:rsidP="00253144">
      <w:pPr>
        <w:spacing w:before="120" w:line="276" w:lineRule="auto"/>
        <w:ind w:left="708"/>
        <w:jc w:val="both"/>
        <w:rPr>
          <w:rFonts w:ascii="Palatino Linotype" w:hAnsi="Palatino Linotype"/>
          <w:b/>
          <w:bCs/>
          <w:i/>
          <w:sz w:val="22"/>
          <w:szCs w:val="22"/>
          <w:lang w:val="es-ES_tradnl"/>
        </w:rPr>
      </w:pPr>
      <w:r>
        <w:rPr>
          <w:rFonts w:ascii="Palatino Linotype" w:hAnsi="Palatino Linotype"/>
          <w:b/>
          <w:bCs/>
          <w:i/>
          <w:sz w:val="22"/>
          <w:szCs w:val="22"/>
          <w:lang w:val="es-ES_tradnl"/>
        </w:rPr>
        <w:t>“</w:t>
      </w:r>
      <w:r w:rsidRPr="004B4433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Artículo </w:t>
      </w:r>
      <w:r>
        <w:rPr>
          <w:rFonts w:ascii="Palatino Linotype" w:hAnsi="Palatino Linotype"/>
          <w:b/>
          <w:bCs/>
          <w:i/>
          <w:sz w:val="22"/>
          <w:szCs w:val="22"/>
          <w:lang w:val="es-ES_tradnl"/>
        </w:rPr>
        <w:t>8</w:t>
      </w:r>
      <w:r w:rsidRPr="004B4433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>.-</w:t>
      </w:r>
      <w:r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 Del plazo de ejecución de las obras.- </w:t>
      </w:r>
      <w:r w:rsidRPr="0006243C">
        <w:rPr>
          <w:rFonts w:ascii="Palatino Linotype" w:hAnsi="Palatino Linotype"/>
          <w:bCs/>
          <w:i/>
          <w:sz w:val="22"/>
          <w:szCs w:val="22"/>
          <w:lang w:val="es-ES_tradnl"/>
        </w:rPr>
        <w:t xml:space="preserve">El plazo de ejecución de la totalidad de las obras de urbanización, incluido el equipamiento comunal, es de </w:t>
      </w:r>
      <w:r>
        <w:rPr>
          <w:rFonts w:ascii="Palatino Linotype" w:hAnsi="Palatino Linotype"/>
          <w:bCs/>
          <w:i/>
          <w:sz w:val="22"/>
          <w:szCs w:val="22"/>
          <w:lang w:val="es-ES_tradnl"/>
        </w:rPr>
        <w:t>seis</w:t>
      </w:r>
      <w:r w:rsidRPr="0006243C">
        <w:rPr>
          <w:rFonts w:ascii="Palatino Linotype" w:hAnsi="Palatino Linotype"/>
          <w:bCs/>
          <w:i/>
          <w:sz w:val="22"/>
          <w:szCs w:val="22"/>
          <w:lang w:val="es-ES_tradnl"/>
        </w:rPr>
        <w:t xml:space="preserve"> años (</w:t>
      </w:r>
      <w:r>
        <w:rPr>
          <w:rFonts w:ascii="Palatino Linotype" w:hAnsi="Palatino Linotype"/>
          <w:bCs/>
          <w:i/>
          <w:sz w:val="22"/>
          <w:szCs w:val="22"/>
          <w:lang w:val="es-ES_tradnl"/>
        </w:rPr>
        <w:t>6)</w:t>
      </w:r>
      <w:r w:rsidRPr="0006243C">
        <w:rPr>
          <w:rFonts w:ascii="Palatino Linotype" w:hAnsi="Palatino Linotype"/>
          <w:bCs/>
          <w:i/>
          <w:sz w:val="22"/>
          <w:szCs w:val="22"/>
          <w:lang w:val="es-ES_tradnl"/>
        </w:rPr>
        <w:t xml:space="preserve">, de conformidad al cronograma de obras presentado por los copropietarios de los lotes que </w:t>
      </w:r>
      <w:r w:rsidRPr="0006243C">
        <w:rPr>
          <w:rFonts w:ascii="Palatino Linotype" w:hAnsi="Palatino Linotype"/>
          <w:bCs/>
          <w:i/>
          <w:sz w:val="22"/>
          <w:szCs w:val="22"/>
          <w:lang w:val="es-ES_tradnl"/>
        </w:rPr>
        <w:lastRenderedPageBreak/>
        <w:t xml:space="preserve">conforman el Asentamiento Humano de Hecho y Consolidado denominado </w:t>
      </w:r>
      <w:r>
        <w:rPr>
          <w:rFonts w:ascii="Palatino Linotype" w:hAnsi="Palatino Linotype"/>
          <w:bCs/>
          <w:i/>
          <w:sz w:val="22"/>
          <w:szCs w:val="22"/>
          <w:lang w:val="es-ES_tradnl"/>
        </w:rPr>
        <w:t>“San Cristóbal”</w:t>
      </w:r>
      <w:r w:rsidRPr="0006243C">
        <w:rPr>
          <w:rFonts w:ascii="Palatino Linotype" w:hAnsi="Palatino Linotype"/>
          <w:bCs/>
          <w:i/>
          <w:sz w:val="22"/>
          <w:szCs w:val="22"/>
          <w:lang w:val="es-ES_tradnl"/>
        </w:rPr>
        <w:t xml:space="preserve">, plazo que se contará a partir de la sanción de la presente Ordenanza. De  estas obras, los copropietarios de los lotes que conforman el Asentamiento Humano de Hecho y Consolidado denominado </w:t>
      </w:r>
      <w:r>
        <w:rPr>
          <w:rFonts w:ascii="Palatino Linotype" w:hAnsi="Palatino Linotype"/>
          <w:bCs/>
          <w:i/>
          <w:sz w:val="22"/>
          <w:szCs w:val="22"/>
          <w:lang w:val="es-ES_tradnl"/>
        </w:rPr>
        <w:t>“San Cristóbal”</w:t>
      </w:r>
      <w:r w:rsidRPr="0006243C">
        <w:rPr>
          <w:rFonts w:ascii="Palatino Linotype" w:hAnsi="Palatino Linotype"/>
          <w:bCs/>
          <w:i/>
          <w:sz w:val="22"/>
          <w:szCs w:val="22"/>
          <w:lang w:val="es-ES_tradnl"/>
        </w:rPr>
        <w:t>, pagarán las contribuciones especiales y mejoras de ley.</w:t>
      </w:r>
      <w:r>
        <w:rPr>
          <w:rFonts w:ascii="Palatino Linotype" w:hAnsi="Palatino Linotype"/>
          <w:b/>
          <w:bCs/>
          <w:i/>
          <w:sz w:val="22"/>
          <w:szCs w:val="22"/>
          <w:lang w:val="es-ES_tradnl"/>
        </w:rPr>
        <w:t>”</w:t>
      </w:r>
    </w:p>
    <w:p w:rsidR="00253144" w:rsidRDefault="00253144" w:rsidP="00253144">
      <w:pPr>
        <w:spacing w:before="12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Artículo </w:t>
      </w:r>
      <w:r>
        <w:rPr>
          <w:rFonts w:ascii="Palatino Linotype" w:hAnsi="Palatino Linotype" w:cs="Arial"/>
          <w:b/>
          <w:bCs/>
          <w:sz w:val="22"/>
          <w:szCs w:val="22"/>
        </w:rPr>
        <w:t>8</w:t>
      </w: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 xml:space="preserve">Elimínese 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12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 de la Ordenanza No. 00</w:t>
      </w:r>
      <w:r>
        <w:rPr>
          <w:rFonts w:ascii="Palatino Linotype" w:hAnsi="Palatino Linotype" w:cs="Arial"/>
          <w:bCs/>
          <w:sz w:val="22"/>
          <w:szCs w:val="22"/>
        </w:rPr>
        <w:t>05.</w:t>
      </w:r>
    </w:p>
    <w:p w:rsidR="00253144" w:rsidRDefault="00253144" w:rsidP="00253144">
      <w:pPr>
        <w:spacing w:before="12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Artículo </w:t>
      </w:r>
      <w:r>
        <w:rPr>
          <w:rFonts w:ascii="Palatino Linotype" w:hAnsi="Palatino Linotype" w:cs="Arial"/>
          <w:b/>
          <w:bCs/>
          <w:sz w:val="22"/>
          <w:szCs w:val="22"/>
        </w:rPr>
        <w:t>9</w:t>
      </w: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 xml:space="preserve">Sustitúyase 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14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 de la Ordenanza No. 00</w:t>
      </w:r>
      <w:r>
        <w:rPr>
          <w:rFonts w:ascii="Palatino Linotype" w:hAnsi="Palatino Linotype" w:cs="Arial"/>
          <w:bCs/>
          <w:sz w:val="22"/>
          <w:szCs w:val="22"/>
        </w:rPr>
        <w:t>05, por el siguiente:</w:t>
      </w:r>
    </w:p>
    <w:p w:rsidR="00BC4B6E" w:rsidRDefault="00253144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  <w:lang w:val="es-ES_tradnl"/>
        </w:rPr>
      </w:pPr>
      <w:r>
        <w:rPr>
          <w:rFonts w:ascii="Palatino Linotype" w:hAnsi="Palatino Linotype"/>
          <w:b/>
          <w:i/>
          <w:sz w:val="22"/>
          <w:szCs w:val="22"/>
          <w:lang w:val="es-ES_tradnl"/>
        </w:rPr>
        <w:t>“</w:t>
      </w:r>
      <w:r w:rsidRPr="001776A2">
        <w:rPr>
          <w:rFonts w:ascii="Palatino Linotype" w:hAnsi="Palatino Linotype"/>
          <w:b/>
          <w:i/>
          <w:sz w:val="22"/>
          <w:szCs w:val="22"/>
          <w:lang w:val="es-ES_tradnl"/>
        </w:rPr>
        <w:t xml:space="preserve">Artículo 14.- De la partición y adjudicación.- </w:t>
      </w:r>
      <w:r w:rsidRPr="001776A2">
        <w:rPr>
          <w:rFonts w:ascii="Palatino Linotype" w:hAnsi="Palatino Linotype"/>
          <w:i/>
          <w:sz w:val="22"/>
          <w:szCs w:val="22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</w:t>
      </w:r>
      <w:r>
        <w:rPr>
          <w:rFonts w:ascii="Palatino Linotype" w:hAnsi="Palatino Linotype"/>
          <w:i/>
          <w:sz w:val="22"/>
          <w:szCs w:val="22"/>
          <w:lang w:val="es-ES_tradnl"/>
        </w:rPr>
        <w:t>competente en juicio ordinario.”</w:t>
      </w:r>
      <w:r w:rsidRPr="001776A2">
        <w:rPr>
          <w:rFonts w:ascii="Palatino Linotype" w:hAnsi="Palatino Linotype"/>
          <w:b/>
          <w:i/>
          <w:sz w:val="22"/>
          <w:szCs w:val="22"/>
          <w:lang w:val="es-ES_tradnl"/>
        </w:rPr>
        <w:t xml:space="preserve"> </w:t>
      </w:r>
    </w:p>
    <w:p w:rsidR="00BC4B6E" w:rsidRDefault="00BC4B6E" w:rsidP="00BC4B6E">
      <w:pPr>
        <w:spacing w:before="120" w:line="276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Artículo </w:t>
      </w:r>
      <w:r>
        <w:rPr>
          <w:rFonts w:ascii="Palatino Linotype" w:hAnsi="Palatino Linotype" w:cs="Arial"/>
          <w:b/>
          <w:bCs/>
          <w:sz w:val="22"/>
          <w:szCs w:val="22"/>
        </w:rPr>
        <w:t>10</w:t>
      </w:r>
      <w:r w:rsidRPr="00A55BA8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>A continuación d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14</w:t>
      </w:r>
      <w:r w:rsidRPr="00A55BA8">
        <w:rPr>
          <w:rFonts w:ascii="Palatino Linotype" w:hAnsi="Palatino Linotype" w:cs="Arial"/>
          <w:bCs/>
          <w:sz w:val="22"/>
          <w:szCs w:val="22"/>
        </w:rPr>
        <w:t xml:space="preserve"> de la Ordenanza No. 00</w:t>
      </w:r>
      <w:r>
        <w:rPr>
          <w:rFonts w:ascii="Palatino Linotype" w:hAnsi="Palatino Linotype" w:cs="Arial"/>
          <w:bCs/>
          <w:sz w:val="22"/>
          <w:szCs w:val="22"/>
        </w:rPr>
        <w:t>05, incorpórense los siguientes artículos:</w:t>
      </w:r>
    </w:p>
    <w:p w:rsidR="00BC4B6E" w:rsidRDefault="00BC4B6E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</w:rPr>
      </w:pPr>
      <w:r w:rsidRPr="00BC4B6E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“Artículo 15.- </w:t>
      </w:r>
      <w:r w:rsidRPr="00BC4B6E">
        <w:rPr>
          <w:rFonts w:ascii="Palatino Linotype" w:hAnsi="Palatino Linotype"/>
          <w:b/>
          <w:i/>
          <w:sz w:val="22"/>
          <w:szCs w:val="22"/>
          <w:lang w:val="es-EC"/>
        </w:rPr>
        <w:t xml:space="preserve">Lotes por excepción.- </w:t>
      </w:r>
      <w:r w:rsidRPr="00BC4B6E">
        <w:rPr>
          <w:rFonts w:ascii="Palatino Linotype" w:hAnsi="Palatino Linotype"/>
          <w:i/>
          <w:sz w:val="22"/>
          <w:szCs w:val="22"/>
        </w:rPr>
        <w:t xml:space="preserve">Por tratarse de un asentamiento humano de hecho y consolidado, </w:t>
      </w:r>
      <w:r>
        <w:rPr>
          <w:rFonts w:ascii="Palatino Linotype" w:hAnsi="Palatino Linotype"/>
          <w:i/>
          <w:sz w:val="22"/>
          <w:szCs w:val="22"/>
        </w:rPr>
        <w:t>con</w:t>
      </w:r>
      <w:r w:rsidRPr="00BC4B6E">
        <w:rPr>
          <w:rFonts w:ascii="Palatino Linotype" w:hAnsi="Palatino Linotype"/>
          <w:i/>
          <w:sz w:val="22"/>
          <w:szCs w:val="22"/>
        </w:rPr>
        <w:t xml:space="preserve"> 23 años de existencia</w:t>
      </w:r>
      <w:r>
        <w:rPr>
          <w:rFonts w:ascii="Palatino Linotype" w:hAnsi="Palatino Linotype"/>
          <w:i/>
          <w:sz w:val="22"/>
          <w:szCs w:val="22"/>
        </w:rPr>
        <w:t xml:space="preserve"> y</w:t>
      </w:r>
      <w:r w:rsidRPr="00BC4B6E">
        <w:rPr>
          <w:rFonts w:ascii="Palatino Linotype" w:hAnsi="Palatino Linotype"/>
          <w:i/>
          <w:sz w:val="22"/>
          <w:szCs w:val="22"/>
        </w:rPr>
        <w:t xml:space="preserve"> con 52,73 % de consolidación, </w:t>
      </w:r>
      <w:r w:rsidRPr="00BC4B6E">
        <w:rPr>
          <w:rFonts w:ascii="Palatino Linotype" w:hAnsi="Palatino Linotype" w:cs="Arial"/>
          <w:bCs/>
          <w:i/>
          <w:sz w:val="22"/>
          <w:szCs w:val="22"/>
        </w:rPr>
        <w:t>se aprueba</w:t>
      </w:r>
      <w:r>
        <w:rPr>
          <w:rFonts w:ascii="Palatino Linotype" w:hAnsi="Palatino Linotype" w:cs="Arial"/>
          <w:bCs/>
          <w:i/>
          <w:sz w:val="22"/>
          <w:szCs w:val="22"/>
        </w:rPr>
        <w:t xml:space="preserve">n por excepción </w:t>
      </w:r>
      <w:r w:rsidRPr="00BC4B6E">
        <w:rPr>
          <w:rFonts w:ascii="Palatino Linotype" w:hAnsi="Palatino Linotype" w:cs="Arial"/>
          <w:bCs/>
          <w:i/>
          <w:sz w:val="22"/>
          <w:szCs w:val="22"/>
        </w:rPr>
        <w:t xml:space="preserve">los siguientes lotes </w:t>
      </w:r>
      <w:r>
        <w:rPr>
          <w:rFonts w:ascii="Palatino Linotype" w:hAnsi="Palatino Linotype" w:cs="Arial"/>
          <w:bCs/>
          <w:i/>
          <w:sz w:val="22"/>
          <w:szCs w:val="22"/>
        </w:rPr>
        <w:t>de menor superficie en relación  a la zonificación asignada</w:t>
      </w:r>
      <w:r w:rsidRPr="00BC4B6E">
        <w:rPr>
          <w:rFonts w:ascii="Palatino Linotype" w:hAnsi="Palatino Linotype" w:cs="Arial"/>
          <w:bCs/>
          <w:i/>
          <w:sz w:val="22"/>
          <w:szCs w:val="22"/>
        </w:rPr>
        <w:t>:</w:t>
      </w:r>
      <w:r w:rsidRPr="00BC4B6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BC4B6E">
        <w:rPr>
          <w:rFonts w:ascii="Palatino Linotype" w:hAnsi="Palatino Linotype"/>
          <w:i/>
          <w:sz w:val="22"/>
          <w:szCs w:val="22"/>
        </w:rPr>
        <w:t xml:space="preserve">4, 5, 6, 7, 8, 11, 12, 13, 14, </w:t>
      </w:r>
      <w:r>
        <w:rPr>
          <w:rFonts w:ascii="Palatino Linotype" w:hAnsi="Palatino Linotype"/>
          <w:i/>
          <w:sz w:val="22"/>
          <w:szCs w:val="22"/>
        </w:rPr>
        <w:t xml:space="preserve">15, </w:t>
      </w:r>
      <w:r w:rsidRPr="00BC4B6E">
        <w:rPr>
          <w:rFonts w:ascii="Palatino Linotype" w:hAnsi="Palatino Linotype"/>
          <w:i/>
          <w:sz w:val="22"/>
          <w:szCs w:val="22"/>
        </w:rPr>
        <w:t>16, 17, 18, 19, 20, 21, 22, 23, 24, 25, 26, 27, 28, 29, 32,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BC4B6E">
        <w:rPr>
          <w:rFonts w:ascii="Palatino Linotype" w:hAnsi="Palatino Linotype"/>
          <w:i/>
          <w:sz w:val="22"/>
          <w:szCs w:val="22"/>
        </w:rPr>
        <w:t>34, 37, 39, 45, 46, 47, 48 y 49</w:t>
      </w:r>
      <w:r>
        <w:rPr>
          <w:rFonts w:ascii="Palatino Linotype" w:hAnsi="Palatino Linotype"/>
          <w:i/>
          <w:sz w:val="22"/>
          <w:szCs w:val="22"/>
        </w:rPr>
        <w:t>.</w:t>
      </w:r>
    </w:p>
    <w:p w:rsidR="00BC4B6E" w:rsidRDefault="00BC4B6E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  <w:lang w:val="es-ES_tradnl"/>
        </w:rPr>
      </w:pPr>
      <w:r w:rsidRPr="00BC4B6E">
        <w:rPr>
          <w:rFonts w:ascii="Palatino Linotype" w:hAnsi="Palatino Linotype"/>
          <w:b/>
          <w:bCs/>
          <w:i/>
          <w:sz w:val="22"/>
          <w:szCs w:val="22"/>
          <w:lang w:val="es-EC"/>
        </w:rPr>
        <w:t>Artículo 16.- Informe de la Secretaria General de Seguridad y Gobernabilidad.-</w:t>
      </w:r>
      <w:r w:rsidRPr="00BC4B6E">
        <w:rPr>
          <w:rFonts w:ascii="Helvetica" w:hAnsi="Helvetica" w:cs="Helvetica"/>
          <w:i/>
          <w:color w:val="000000"/>
          <w:sz w:val="17"/>
          <w:szCs w:val="17"/>
          <w:shd w:val="clear" w:color="auto" w:fill="FFFFFF"/>
        </w:rPr>
        <w:t> </w:t>
      </w:r>
      <w:r w:rsidRPr="00BC4B6E">
        <w:rPr>
          <w:rFonts w:ascii="Palatino Linotype" w:hAnsi="Palatino Linotype" w:cs="Helvetica"/>
          <w:i/>
          <w:color w:val="000000"/>
          <w:sz w:val="22"/>
          <w:szCs w:val="22"/>
          <w:shd w:val="clear" w:color="auto" w:fill="FFFFFF"/>
        </w:rPr>
        <w:t xml:space="preserve">Los </w:t>
      </w:r>
      <w:r w:rsidRPr="00BC4B6E">
        <w:rPr>
          <w:rFonts w:ascii="Palatino Linotype" w:hAnsi="Palatino Linotype"/>
          <w:bCs/>
          <w:i/>
          <w:sz w:val="22"/>
          <w:szCs w:val="22"/>
          <w:lang w:val="es-EC"/>
        </w:rPr>
        <w:t>copropietarios</w:t>
      </w:r>
      <w:r w:rsidRPr="00BC4B6E">
        <w:rPr>
          <w:rFonts w:ascii="Palatino Linotype" w:hAnsi="Palatino Linotype" w:cs="Helvetica"/>
          <w:i/>
          <w:color w:val="000000"/>
          <w:sz w:val="22"/>
          <w:szCs w:val="22"/>
          <w:shd w:val="clear" w:color="auto" w:fill="FFFFFF"/>
        </w:rPr>
        <w:t xml:space="preserve"> del predio que se regulariza, deberán cumplir con las recomendaciones que se encuentran determinadas en el informe de la Dirección Metropolitana de Gestión de Riesgos </w:t>
      </w:r>
      <w:r w:rsidRPr="00BC4B6E">
        <w:rPr>
          <w:rFonts w:ascii="Palatino Linotype" w:hAnsi="Palatino Linotype"/>
          <w:bCs/>
          <w:i/>
          <w:sz w:val="22"/>
          <w:szCs w:val="22"/>
          <w:lang w:val="es-EC"/>
        </w:rPr>
        <w:t>N</w:t>
      </w:r>
      <w:r w:rsidR="0080551A">
        <w:rPr>
          <w:rFonts w:ascii="Palatino Linotype" w:hAnsi="Palatino Linotype"/>
          <w:bCs/>
          <w:i/>
          <w:sz w:val="22"/>
          <w:szCs w:val="22"/>
          <w:lang w:val="es-EC"/>
        </w:rPr>
        <w:t>o.</w:t>
      </w:r>
      <w:r w:rsidRPr="00BC4B6E">
        <w:rPr>
          <w:rFonts w:ascii="Palatino Linotype" w:hAnsi="Palatino Linotype"/>
          <w:bCs/>
          <w:i/>
          <w:sz w:val="22"/>
          <w:szCs w:val="22"/>
          <w:lang w:val="es-EC"/>
        </w:rPr>
        <w:t xml:space="preserve"> 14-AT-DMGR-2015, de </w:t>
      </w:r>
      <w:r w:rsidR="0080551A">
        <w:rPr>
          <w:rFonts w:ascii="Palatino Linotype" w:hAnsi="Palatino Linotype"/>
          <w:bCs/>
          <w:i/>
          <w:sz w:val="22"/>
          <w:szCs w:val="22"/>
          <w:lang w:val="es-EC"/>
        </w:rPr>
        <w:t>9</w:t>
      </w:r>
      <w:r w:rsidRPr="00BC4B6E">
        <w:rPr>
          <w:rFonts w:ascii="Palatino Linotype" w:hAnsi="Palatino Linotype"/>
          <w:bCs/>
          <w:i/>
          <w:sz w:val="22"/>
          <w:szCs w:val="22"/>
          <w:lang w:val="es-EC"/>
        </w:rPr>
        <w:t xml:space="preserve"> de febrero de </w:t>
      </w:r>
      <w:r w:rsidR="0080551A">
        <w:rPr>
          <w:rFonts w:ascii="Palatino Linotype" w:hAnsi="Palatino Linotype"/>
          <w:bCs/>
          <w:i/>
          <w:sz w:val="22"/>
          <w:szCs w:val="22"/>
          <w:lang w:val="es-EC"/>
        </w:rPr>
        <w:t>2015</w:t>
      </w:r>
      <w:r w:rsidRPr="00BC4B6E">
        <w:rPr>
          <w:rFonts w:ascii="Palatino Linotype" w:hAnsi="Palatino Linotype"/>
          <w:bCs/>
          <w:i/>
          <w:sz w:val="22"/>
          <w:szCs w:val="22"/>
          <w:lang w:val="es-EC"/>
        </w:rPr>
        <w:t xml:space="preserve">, que establece que: </w:t>
      </w:r>
    </w:p>
    <w:p w:rsidR="00BC4B6E" w:rsidRDefault="00BC4B6E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</w:rPr>
      </w:pPr>
      <w:r w:rsidRPr="00BC4B6E">
        <w:rPr>
          <w:rFonts w:ascii="Palatino Linotype" w:hAnsi="Palatino Linotype"/>
          <w:bCs/>
          <w:i/>
          <w:sz w:val="22"/>
          <w:szCs w:val="22"/>
        </w:rPr>
        <w:t>“Incluir en el Informe de Regulación Metropolitana (IRM), las observaciones de calificación de riesgo y recomendaciones para emisión de permisos y control de usos futuros y ocupación del suelo, en cumplimiento estricto con el cuerpo normativo que garantice el adecuado cuidado ambiental y protección de taludes y quebradas, en prevención de riesgos naturales y antrópicos que se podrían presentar.”</w:t>
      </w:r>
    </w:p>
    <w:p w:rsidR="00BC4B6E" w:rsidRDefault="00BC4B6E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</w:rPr>
      </w:pPr>
      <w:r w:rsidRPr="00BC4B6E">
        <w:rPr>
          <w:rFonts w:ascii="Palatino Linotype" w:hAnsi="Palatino Linotype"/>
          <w:bCs/>
          <w:i/>
          <w:sz w:val="22"/>
          <w:szCs w:val="22"/>
        </w:rPr>
        <w:lastRenderedPageBreak/>
        <w:t xml:space="preserve">“Para reducir el riesgo sísmico se tiene que tomar en cuenta la calidad constructiva de las viviendas y el tipo de suelo. Las futuras edificaciones deberán ser construidas siguiendo la guía técnica de la Norma Ecuatoriana de la Construcción (NEC-11), sobretodo, lo que se refiere a diseños estructurales sismo-resistentes, para lo cual la Agencia Metropolitana de Control deberá hacer cumplir esta disposición. Para las edificaciones actuales, sus propietarios deberían contratar a un especialista (Ing. Civil </w:t>
      </w:r>
      <w:proofErr w:type="spellStart"/>
      <w:r w:rsidRPr="00BC4B6E">
        <w:rPr>
          <w:rFonts w:ascii="Palatino Linotype" w:hAnsi="Palatino Linotype"/>
          <w:bCs/>
          <w:i/>
          <w:sz w:val="22"/>
          <w:szCs w:val="22"/>
        </w:rPr>
        <w:t>Estructurista</w:t>
      </w:r>
      <w:proofErr w:type="spellEnd"/>
      <w:r w:rsidRPr="00BC4B6E">
        <w:rPr>
          <w:rFonts w:ascii="Palatino Linotype" w:hAnsi="Palatino Linotype"/>
          <w:bCs/>
          <w:i/>
          <w:sz w:val="22"/>
          <w:szCs w:val="22"/>
        </w:rPr>
        <w:t xml:space="preserve"> o Estructural) para que evalué el estado actual de las construcciones y para que proponga un sistema de reforzamiento estructural en el caso de que alguna (s) vivienda (s) lo amerite (n).”</w:t>
      </w:r>
    </w:p>
    <w:p w:rsidR="00BC4B6E" w:rsidRDefault="00BC4B6E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</w:rPr>
      </w:pPr>
      <w:r w:rsidRPr="00BC4B6E">
        <w:rPr>
          <w:rFonts w:ascii="Palatino Linotype" w:hAnsi="Palatino Linotype"/>
          <w:bCs/>
          <w:i/>
          <w:sz w:val="22"/>
          <w:szCs w:val="22"/>
        </w:rPr>
        <w:t>“Respecto al riesgo por inestabilidad de terrenos y movimientos en masa, al igual que para el riesgo sísmico, para ejecutar futuras construcciones, sus propietarios deberán contratar un estudio geológico- geotécnico que determine la capacidad portante admisible del suelo (carga máxima que puede soportar el suelo sin que su estabilidad sea amenazada), y el factor de seguridad del mismo.”</w:t>
      </w:r>
    </w:p>
    <w:p w:rsidR="00BC4B6E" w:rsidRDefault="00BC4B6E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</w:rPr>
      </w:pPr>
      <w:r w:rsidRPr="00BC4B6E">
        <w:rPr>
          <w:rFonts w:ascii="Palatino Linotype" w:hAnsi="Palatino Linotype"/>
          <w:bCs/>
          <w:i/>
          <w:sz w:val="22"/>
          <w:szCs w:val="22"/>
        </w:rPr>
        <w:t>“Se tiene que coordinar con la</w:t>
      </w:r>
      <w:r w:rsidR="0080551A">
        <w:rPr>
          <w:rFonts w:ascii="Palatino Linotype" w:hAnsi="Palatino Linotype"/>
          <w:bCs/>
          <w:i/>
          <w:sz w:val="22"/>
          <w:szCs w:val="22"/>
        </w:rPr>
        <w:t xml:space="preserve"> Empresa Pública Metropolitana de Movilidad y Obras Públicas –</w:t>
      </w:r>
      <w:r w:rsidRPr="00BC4B6E">
        <w:rPr>
          <w:rFonts w:ascii="Palatino Linotype" w:hAnsi="Palatino Linotype"/>
          <w:bCs/>
          <w:i/>
          <w:sz w:val="22"/>
          <w:szCs w:val="22"/>
        </w:rPr>
        <w:t xml:space="preserve"> EPMMOP</w:t>
      </w:r>
      <w:r w:rsidR="0080551A">
        <w:rPr>
          <w:rFonts w:ascii="Palatino Linotype" w:hAnsi="Palatino Linotype"/>
          <w:bCs/>
          <w:i/>
          <w:sz w:val="22"/>
          <w:szCs w:val="22"/>
        </w:rPr>
        <w:t>,</w:t>
      </w:r>
      <w:r w:rsidRPr="00BC4B6E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="0080551A">
        <w:rPr>
          <w:rFonts w:ascii="Palatino Linotype" w:hAnsi="Palatino Linotype"/>
          <w:bCs/>
          <w:i/>
          <w:sz w:val="22"/>
          <w:szCs w:val="22"/>
        </w:rPr>
        <w:t>p</w:t>
      </w:r>
      <w:r w:rsidRPr="00BC4B6E">
        <w:rPr>
          <w:rFonts w:ascii="Palatino Linotype" w:hAnsi="Palatino Linotype"/>
          <w:bCs/>
          <w:i/>
          <w:sz w:val="22"/>
          <w:szCs w:val="22"/>
        </w:rPr>
        <w:t>ara mejorar el trazado de la red vial, asegurando su estabilidad, y de los taludes generados en los cortes efectuados para la apertura de las calles; y</w:t>
      </w:r>
      <w:r w:rsidR="0080551A">
        <w:rPr>
          <w:rFonts w:ascii="Palatino Linotype" w:hAnsi="Palatino Linotype"/>
          <w:bCs/>
          <w:i/>
          <w:sz w:val="22"/>
          <w:szCs w:val="22"/>
        </w:rPr>
        <w:t>,</w:t>
      </w:r>
      <w:r w:rsidRPr="00BC4B6E">
        <w:rPr>
          <w:rFonts w:ascii="Palatino Linotype" w:hAnsi="Palatino Linotype"/>
          <w:bCs/>
          <w:i/>
          <w:sz w:val="22"/>
          <w:szCs w:val="22"/>
        </w:rPr>
        <w:t xml:space="preserve"> con </w:t>
      </w:r>
      <w:r w:rsidR="0080551A">
        <w:rPr>
          <w:rFonts w:ascii="Palatino Linotype" w:hAnsi="Palatino Linotype"/>
          <w:bCs/>
          <w:i/>
          <w:sz w:val="22"/>
          <w:szCs w:val="22"/>
        </w:rPr>
        <w:t xml:space="preserve">la Empresa Pública Metropolitana de Agua Potable y Saneamiento – </w:t>
      </w:r>
      <w:r w:rsidRPr="00BC4B6E">
        <w:rPr>
          <w:rFonts w:ascii="Palatino Linotype" w:hAnsi="Palatino Linotype"/>
          <w:bCs/>
          <w:i/>
          <w:sz w:val="22"/>
          <w:szCs w:val="22"/>
        </w:rPr>
        <w:t>EPMAPS</w:t>
      </w:r>
      <w:r w:rsidR="0080551A">
        <w:rPr>
          <w:rFonts w:ascii="Palatino Linotype" w:hAnsi="Palatino Linotype"/>
          <w:bCs/>
          <w:i/>
          <w:sz w:val="22"/>
          <w:szCs w:val="22"/>
        </w:rPr>
        <w:t>,</w:t>
      </w:r>
      <w:r w:rsidRPr="00BC4B6E">
        <w:rPr>
          <w:rFonts w:ascii="Palatino Linotype" w:hAnsi="Palatino Linotype"/>
          <w:bCs/>
          <w:i/>
          <w:sz w:val="22"/>
          <w:szCs w:val="22"/>
        </w:rPr>
        <w:t xml:space="preserve"> para que implemente el sistema de alcantarillado pluvial y sanitario que evite la erosión del suelo, sobre todo en las zonas inclinadas (laderas).”</w:t>
      </w:r>
    </w:p>
    <w:p w:rsidR="00BC4B6E" w:rsidRDefault="00BC4B6E" w:rsidP="00BC4B6E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  <w:lang w:val="es-EC"/>
        </w:rPr>
      </w:pPr>
      <w:r w:rsidRPr="00BC4B6E">
        <w:rPr>
          <w:rFonts w:ascii="Palatino Linotype" w:hAnsi="Palatino Linotype"/>
          <w:b/>
          <w:bCs/>
          <w:i/>
          <w:sz w:val="22"/>
          <w:szCs w:val="22"/>
          <w:lang w:val="es-EC"/>
        </w:rPr>
        <w:t>Artículo</w:t>
      </w:r>
      <w:r w:rsidRPr="00BC4B6E">
        <w:rPr>
          <w:rFonts w:ascii="Palatino Linotype" w:hAnsi="Palatino Linotype"/>
          <w:b/>
          <w:i/>
          <w:sz w:val="22"/>
          <w:szCs w:val="22"/>
          <w:lang w:val="es-EC"/>
        </w:rPr>
        <w:t xml:space="preserve"> 17.- Potestad de ejecución.- </w:t>
      </w:r>
      <w:r w:rsidRPr="00BC4B6E">
        <w:rPr>
          <w:rFonts w:ascii="Palatino Linotype" w:hAnsi="Palatino Linotype"/>
          <w:i/>
          <w:sz w:val="22"/>
          <w:szCs w:val="22"/>
          <w:lang w:val="es-EC"/>
        </w:rPr>
        <w:t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80551A" w:rsidRDefault="00BC4B6E" w:rsidP="0080551A">
      <w:pPr>
        <w:spacing w:before="120" w:line="276" w:lineRule="auto"/>
        <w:ind w:left="708"/>
        <w:jc w:val="both"/>
        <w:rPr>
          <w:rFonts w:ascii="Palatino Linotype" w:hAnsi="Palatino Linotype"/>
          <w:b/>
          <w:i/>
          <w:sz w:val="22"/>
          <w:szCs w:val="22"/>
          <w:lang w:val="es-ES_tradnl"/>
        </w:rPr>
      </w:pPr>
      <w:r w:rsidRPr="00BC4B6E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Artículo 18.- Solicitudes de ampliación de plazo.- </w:t>
      </w:r>
      <w:r w:rsidRPr="00BC4B6E">
        <w:rPr>
          <w:rFonts w:ascii="Palatino Linotype" w:hAnsi="Palatino Linotype"/>
          <w:bCs/>
          <w:i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  <w:r>
        <w:rPr>
          <w:rFonts w:ascii="Palatino Linotype" w:hAnsi="Palatino Linotype"/>
          <w:bCs/>
          <w:i/>
          <w:sz w:val="22"/>
          <w:szCs w:val="22"/>
          <w:lang w:val="es-ES_tradnl"/>
        </w:rPr>
        <w:t>”</w:t>
      </w:r>
    </w:p>
    <w:p w:rsidR="001D42BA" w:rsidRPr="0080551A" w:rsidRDefault="0009638B" w:rsidP="0080551A">
      <w:pPr>
        <w:spacing w:before="120" w:line="276" w:lineRule="auto"/>
        <w:jc w:val="both"/>
        <w:rPr>
          <w:rFonts w:ascii="Palatino Linotype" w:hAnsi="Palatino Linotype"/>
          <w:b/>
          <w:i/>
          <w:sz w:val="22"/>
          <w:szCs w:val="22"/>
          <w:lang w:val="es-ES_tradnl"/>
        </w:rPr>
      </w:pPr>
      <w:r w:rsidRPr="00B452F1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452F1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</w:t>
      </w:r>
      <w:r>
        <w:rPr>
          <w:rFonts w:ascii="Palatino Linotype" w:hAnsi="Palatino Linotype" w:cs="Arial"/>
          <w:bCs/>
          <w:sz w:val="22"/>
          <w:szCs w:val="22"/>
          <w:lang w:val="es-ES_tradnl"/>
        </w:rPr>
        <w:t>, sin perjuicio de su publicación en la página web institucional de la Municipalidad</w:t>
      </w:r>
      <w:r w:rsidRPr="00B452F1">
        <w:rPr>
          <w:rFonts w:ascii="Palatino Linotype" w:hAnsi="Palatino Linotype" w:cs="Arial"/>
          <w:bCs/>
          <w:sz w:val="22"/>
          <w:szCs w:val="22"/>
          <w:lang w:val="es-ES_tradnl"/>
        </w:rPr>
        <w:t>.</w:t>
      </w:r>
    </w:p>
    <w:p w:rsidR="001D42BA" w:rsidRDefault="001D42BA" w:rsidP="004C08F6">
      <w:pPr>
        <w:spacing w:after="240" w:line="276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:rsidR="0080551A" w:rsidRDefault="0080551A" w:rsidP="004C08F6">
      <w:pPr>
        <w:spacing w:after="240" w:line="276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:rsidR="0080551A" w:rsidRDefault="0080551A" w:rsidP="004C08F6">
      <w:pPr>
        <w:spacing w:after="240" w:line="276" w:lineRule="auto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:rsidR="0009638B" w:rsidRPr="001D42BA" w:rsidRDefault="0009638B" w:rsidP="004C08F6">
      <w:pPr>
        <w:spacing w:after="240" w:line="276" w:lineRule="auto"/>
        <w:contextualSpacing/>
        <w:jc w:val="both"/>
        <w:rPr>
          <w:rFonts w:ascii="Palatino Linotype" w:hAnsi="Palatino Linotype" w:cs="Calibri"/>
          <w:i/>
          <w:sz w:val="22"/>
          <w:szCs w:val="22"/>
          <w:lang w:val="es-ES_tradnl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 xml:space="preserve">Dada, en la Sala de Sesiones del Concejo Metropolitano de Quito, el </w:t>
      </w:r>
      <w:r w:rsidR="00F126BE">
        <w:rPr>
          <w:rFonts w:ascii="Palatino Linotype" w:hAnsi="Palatino Linotype" w:cs="Arial"/>
          <w:sz w:val="22"/>
          <w:szCs w:val="22"/>
        </w:rPr>
        <w:t>27</w:t>
      </w:r>
      <w:r w:rsidRPr="003843CA">
        <w:rPr>
          <w:rFonts w:ascii="Palatino Linotype" w:hAnsi="Palatino Linotype" w:cs="Arial"/>
          <w:sz w:val="22"/>
          <w:szCs w:val="22"/>
        </w:rPr>
        <w:t xml:space="preserve"> de </w:t>
      </w:r>
      <w:r w:rsidR="00F126BE">
        <w:rPr>
          <w:rFonts w:ascii="Palatino Linotype" w:hAnsi="Palatino Linotype" w:cs="Arial"/>
          <w:sz w:val="22"/>
          <w:szCs w:val="22"/>
        </w:rPr>
        <w:t xml:space="preserve">agosto </w:t>
      </w:r>
      <w:r w:rsidRPr="003843CA">
        <w:rPr>
          <w:rFonts w:ascii="Palatino Linotype" w:hAnsi="Palatino Linotype" w:cs="Arial"/>
          <w:sz w:val="22"/>
          <w:szCs w:val="22"/>
        </w:rPr>
        <w:t>de 201</w:t>
      </w:r>
      <w:r>
        <w:rPr>
          <w:rFonts w:ascii="Palatino Linotype" w:hAnsi="Palatino Linotype" w:cs="Arial"/>
          <w:sz w:val="22"/>
          <w:szCs w:val="22"/>
        </w:rPr>
        <w:t>5</w:t>
      </w:r>
      <w:r w:rsidRPr="003843CA">
        <w:rPr>
          <w:rFonts w:ascii="Palatino Linotype" w:hAnsi="Palatino Linotype" w:cs="Arial"/>
          <w:sz w:val="22"/>
          <w:szCs w:val="22"/>
        </w:rPr>
        <w:t>.</w:t>
      </w:r>
    </w:p>
    <w:p w:rsidR="0009638B" w:rsidRDefault="0009638B" w:rsidP="0009638B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B12228" w:rsidRPr="003843CA" w:rsidRDefault="00B12228" w:rsidP="0009638B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09638B" w:rsidRPr="00680EAC" w:rsidTr="0009638B">
        <w:trPr>
          <w:jc w:val="center"/>
        </w:trPr>
        <w:tc>
          <w:tcPr>
            <w:tcW w:w="5575" w:type="dxa"/>
            <w:hideMark/>
          </w:tcPr>
          <w:p w:rsidR="0009638B" w:rsidRPr="00680EAC" w:rsidRDefault="00F126BE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Ing. Anabel Hermosa Acosta</w:t>
            </w:r>
          </w:p>
          <w:p w:rsidR="0009638B" w:rsidRPr="00680EAC" w:rsidRDefault="00F126BE" w:rsidP="0009638B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>
              <w:rPr>
                <w:rFonts w:ascii="Palatino Linotype" w:hAnsi="Palatino Linotype" w:cs="Arial"/>
                <w:b/>
                <w:sz w:val="19"/>
                <w:szCs w:val="19"/>
              </w:rPr>
              <w:t xml:space="preserve">Segunda </w:t>
            </w:r>
            <w:r w:rsidR="0009638B" w:rsidRPr="00680EAC">
              <w:rPr>
                <w:rFonts w:ascii="Palatino Linotype" w:hAnsi="Palatino Linotype" w:cs="Arial"/>
                <w:b/>
                <w:sz w:val="19"/>
                <w:szCs w:val="19"/>
              </w:rPr>
              <w:t>Vicepresident</w:t>
            </w:r>
            <w:r w:rsidR="0009638B"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="0009638B"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09638B" w:rsidRPr="00680EAC" w:rsidRDefault="00AB5D0C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09638B" w:rsidRDefault="0009638B" w:rsidP="0009638B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</w:t>
            </w:r>
            <w:r w:rsidR="00AB5D0C">
              <w:rPr>
                <w:rFonts w:ascii="Palatino Linotype" w:hAnsi="Palatino Linotype" w:cs="Arial"/>
                <w:b/>
                <w:sz w:val="19"/>
                <w:szCs w:val="19"/>
              </w:rPr>
              <w:t>io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D82D01" w:rsidRPr="00680EAC" w:rsidRDefault="00D82D01" w:rsidP="00D82D01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  <w:tr w:rsidR="0009638B" w:rsidRPr="00680EAC" w:rsidTr="0009638B">
        <w:trPr>
          <w:jc w:val="center"/>
        </w:trPr>
        <w:tc>
          <w:tcPr>
            <w:tcW w:w="5575" w:type="dxa"/>
            <w:hideMark/>
          </w:tcPr>
          <w:p w:rsidR="0009638B" w:rsidRDefault="0009638B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  <w:tc>
          <w:tcPr>
            <w:tcW w:w="5324" w:type="dxa"/>
            <w:hideMark/>
          </w:tcPr>
          <w:p w:rsidR="0009638B" w:rsidRDefault="0009638B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</w:tr>
    </w:tbl>
    <w:p w:rsidR="0009638B" w:rsidRPr="003843CA" w:rsidRDefault="0009638B" w:rsidP="0009638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09638B" w:rsidRPr="003843CA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F126BE">
        <w:rPr>
          <w:rFonts w:ascii="Palatino Linotype" w:eastAsia="MS Mincho" w:hAnsi="Palatino Linotype" w:cs="Arial"/>
          <w:sz w:val="22"/>
          <w:szCs w:val="22"/>
        </w:rPr>
        <w:t>13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F126BE">
        <w:rPr>
          <w:rFonts w:ascii="Palatino Linotype" w:eastAsia="MS Mincho" w:hAnsi="Palatino Linotype" w:cs="Arial"/>
          <w:sz w:val="22"/>
          <w:szCs w:val="22"/>
        </w:rPr>
        <w:t>27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F126BE">
        <w:rPr>
          <w:rFonts w:ascii="Palatino Linotype" w:eastAsia="MS Mincho" w:hAnsi="Palatino Linotype" w:cs="Arial"/>
          <w:sz w:val="22"/>
          <w:szCs w:val="22"/>
        </w:rPr>
        <w:t xml:space="preserve">agosto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09638B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D82D01" w:rsidRPr="003843CA" w:rsidRDefault="00D82D01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D82D01" w:rsidRPr="003843CA" w:rsidRDefault="00D82D01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09638B" w:rsidRPr="003843CA" w:rsidRDefault="0009638B" w:rsidP="0009638B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CA554A" w:rsidRPr="00F126BE" w:rsidRDefault="00F126BE" w:rsidP="0009638B">
      <w:pPr>
        <w:pStyle w:val="Ttulo"/>
        <w:spacing w:after="240" w:line="276" w:lineRule="auto"/>
        <w:jc w:val="both"/>
        <w:rPr>
          <w:rFonts w:ascii="Palatino Linotype" w:eastAsia="MS Mincho" w:hAnsi="Palatino Linotype" w:cs="Arial"/>
          <w:bCs w:val="0"/>
          <w:sz w:val="12"/>
          <w:szCs w:val="12"/>
        </w:rPr>
      </w:pPr>
      <w:r>
        <w:rPr>
          <w:rFonts w:ascii="Palatino Linotype" w:eastAsia="MS Mincho" w:hAnsi="Palatino Linotype" w:cs="Arial"/>
          <w:bCs w:val="0"/>
          <w:sz w:val="12"/>
          <w:szCs w:val="12"/>
        </w:rPr>
        <w:t>DSCS</w:t>
      </w:r>
    </w:p>
    <w:sectPr w:rsidR="00CA554A" w:rsidRPr="00F126BE" w:rsidSect="008D5B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416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CD" w:rsidRDefault="00563ECD" w:rsidP="00B14643">
      <w:r>
        <w:separator/>
      </w:r>
    </w:p>
  </w:endnote>
  <w:endnote w:type="continuationSeparator" w:id="1">
    <w:p w:rsidR="00563ECD" w:rsidRDefault="00563ECD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D" w:rsidRPr="00723B61" w:rsidRDefault="00563ECD">
    <w:pPr>
      <w:pStyle w:val="Piedepgina"/>
      <w:jc w:val="right"/>
      <w:rPr>
        <w:rFonts w:ascii="Palatino Linotype" w:hAnsi="Palatino Linotype"/>
      </w:rPr>
    </w:pPr>
  </w:p>
  <w:p w:rsidR="00563ECD" w:rsidRDefault="00563E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D" w:rsidRPr="00FF2426" w:rsidRDefault="00563ECD" w:rsidP="003078EC">
    <w:pPr>
      <w:pStyle w:val="Piedepgina"/>
      <w:jc w:val="right"/>
      <w:rPr>
        <w:rFonts w:ascii="Palatino Linotype" w:hAnsi="Palatino Linotype"/>
        <w:sz w:val="22"/>
        <w:szCs w:val="22"/>
      </w:rPr>
    </w:pPr>
    <w:r w:rsidRPr="00FF2426">
      <w:rPr>
        <w:rFonts w:ascii="Palatino Linotype" w:hAnsi="Palatino Linotype"/>
        <w:sz w:val="22"/>
        <w:szCs w:val="22"/>
      </w:rPr>
      <w:t xml:space="preserve">Página </w:t>
    </w:r>
    <w:r w:rsidRPr="00FF2426">
      <w:rPr>
        <w:rFonts w:ascii="Palatino Linotype" w:hAnsi="Palatino Linotype"/>
        <w:b/>
        <w:sz w:val="22"/>
        <w:szCs w:val="22"/>
      </w:rPr>
      <w:fldChar w:fldCharType="begin"/>
    </w:r>
    <w:r w:rsidRPr="00FF2426">
      <w:rPr>
        <w:rFonts w:ascii="Palatino Linotype" w:hAnsi="Palatino Linotype"/>
        <w:b/>
        <w:sz w:val="22"/>
        <w:szCs w:val="22"/>
      </w:rPr>
      <w:instrText>PAGE</w:instrText>
    </w:r>
    <w:r w:rsidRPr="00FF2426">
      <w:rPr>
        <w:rFonts w:ascii="Palatino Linotype" w:hAnsi="Palatino Linotype"/>
        <w:b/>
        <w:sz w:val="22"/>
        <w:szCs w:val="22"/>
      </w:rPr>
      <w:fldChar w:fldCharType="separate"/>
    </w:r>
    <w:r w:rsidR="00F126BE">
      <w:rPr>
        <w:rFonts w:ascii="Palatino Linotype" w:hAnsi="Palatino Linotype"/>
        <w:b/>
        <w:noProof/>
        <w:sz w:val="22"/>
        <w:szCs w:val="22"/>
      </w:rPr>
      <w:t>8</w:t>
    </w:r>
    <w:r w:rsidRPr="00FF2426">
      <w:rPr>
        <w:rFonts w:ascii="Palatino Linotype" w:hAnsi="Palatino Linotype"/>
        <w:b/>
        <w:sz w:val="22"/>
        <w:szCs w:val="22"/>
      </w:rPr>
      <w:fldChar w:fldCharType="end"/>
    </w:r>
    <w:r w:rsidRPr="00FF2426">
      <w:rPr>
        <w:rFonts w:ascii="Palatino Linotype" w:hAnsi="Palatino Linotype"/>
        <w:sz w:val="22"/>
        <w:szCs w:val="22"/>
      </w:rPr>
      <w:t xml:space="preserve"> de </w:t>
    </w:r>
    <w:r>
      <w:rPr>
        <w:rFonts w:ascii="Palatino Linotype" w:hAnsi="Palatino Linotype"/>
        <w:b/>
        <w:sz w:val="22"/>
        <w:szCs w:val="22"/>
      </w:rPr>
      <w:t>8</w:t>
    </w:r>
  </w:p>
  <w:p w:rsidR="00563ECD" w:rsidRDefault="00563E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CD" w:rsidRDefault="00563ECD" w:rsidP="00B14643">
      <w:r>
        <w:separator/>
      </w:r>
    </w:p>
  </w:footnote>
  <w:footnote w:type="continuationSeparator" w:id="1">
    <w:p w:rsidR="00563ECD" w:rsidRDefault="00563ECD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D" w:rsidRDefault="00563ECD">
    <w:pPr>
      <w:pStyle w:val="Encabezado"/>
      <w:rPr>
        <w:lang w:val="es-EC"/>
      </w:rPr>
    </w:pPr>
  </w:p>
  <w:p w:rsidR="00563ECD" w:rsidRDefault="00563ECD">
    <w:pPr>
      <w:pStyle w:val="Encabezado"/>
      <w:rPr>
        <w:lang w:val="es-EC"/>
      </w:rPr>
    </w:pPr>
  </w:p>
  <w:p w:rsidR="00563ECD" w:rsidRDefault="00563ECD">
    <w:pPr>
      <w:pStyle w:val="Encabezado"/>
      <w:rPr>
        <w:lang w:val="es-EC"/>
      </w:rPr>
    </w:pPr>
  </w:p>
  <w:p w:rsidR="00563ECD" w:rsidRDefault="00563ECD">
    <w:pPr>
      <w:pStyle w:val="Encabezado"/>
      <w:rPr>
        <w:lang w:val="es-EC"/>
      </w:rPr>
    </w:pPr>
  </w:p>
  <w:p w:rsidR="00563ECD" w:rsidRDefault="00563ECD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563ECD" w:rsidRPr="00476B21" w:rsidRDefault="00563ECD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563ECD" w:rsidRPr="00150606" w:rsidRDefault="00563ECD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D" w:rsidRDefault="00563EC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D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63ECD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563ECD" w:rsidRPr="00476B21" w:rsidRDefault="00563ECD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563ECD" w:rsidRDefault="00563ECD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D" w:rsidRDefault="00563E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D655FD"/>
    <w:multiLevelType w:val="hybridMultilevel"/>
    <w:tmpl w:val="4DAC1C9A"/>
    <w:lvl w:ilvl="0" w:tplc="F8EE608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4D2CBA"/>
    <w:multiLevelType w:val="hybridMultilevel"/>
    <w:tmpl w:val="1BB8B20A"/>
    <w:lvl w:ilvl="0" w:tplc="300A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83C2C"/>
    <w:multiLevelType w:val="hybridMultilevel"/>
    <w:tmpl w:val="44B087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30F63"/>
    <w:multiLevelType w:val="hybridMultilevel"/>
    <w:tmpl w:val="FDDA3240"/>
    <w:lvl w:ilvl="0" w:tplc="B39600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3526B"/>
    <w:multiLevelType w:val="hybridMultilevel"/>
    <w:tmpl w:val="300E0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5"/>
  </w:num>
  <w:num w:numId="12">
    <w:abstractNumId w:val="1"/>
  </w:num>
  <w:num w:numId="13">
    <w:abstractNumId w:val="26"/>
  </w:num>
  <w:num w:numId="14">
    <w:abstractNumId w:val="20"/>
  </w:num>
  <w:num w:numId="15">
    <w:abstractNumId w:val="10"/>
  </w:num>
  <w:num w:numId="16">
    <w:abstractNumId w:val="13"/>
  </w:num>
  <w:num w:numId="17">
    <w:abstractNumId w:val="9"/>
  </w:num>
  <w:num w:numId="18">
    <w:abstractNumId w:val="21"/>
  </w:num>
  <w:num w:numId="19">
    <w:abstractNumId w:val="6"/>
  </w:num>
  <w:num w:numId="20">
    <w:abstractNumId w:val="18"/>
  </w:num>
  <w:num w:numId="21">
    <w:abstractNumId w:val="24"/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4"/>
  </w:num>
  <w:num w:numId="28">
    <w:abstractNumId w:val="23"/>
  </w:num>
  <w:num w:numId="29">
    <w:abstractNumId w:val="1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1073E"/>
    <w:rsid w:val="00012F1B"/>
    <w:rsid w:val="000136D6"/>
    <w:rsid w:val="00013A2A"/>
    <w:rsid w:val="0001402B"/>
    <w:rsid w:val="00017279"/>
    <w:rsid w:val="00021C1B"/>
    <w:rsid w:val="000268A4"/>
    <w:rsid w:val="00027CF0"/>
    <w:rsid w:val="00031646"/>
    <w:rsid w:val="00035326"/>
    <w:rsid w:val="00035CA2"/>
    <w:rsid w:val="00037387"/>
    <w:rsid w:val="000401C2"/>
    <w:rsid w:val="000401D6"/>
    <w:rsid w:val="0004594B"/>
    <w:rsid w:val="000526F7"/>
    <w:rsid w:val="00052BA7"/>
    <w:rsid w:val="000535A7"/>
    <w:rsid w:val="00061AF6"/>
    <w:rsid w:val="00064C9D"/>
    <w:rsid w:val="00070E32"/>
    <w:rsid w:val="00074B5F"/>
    <w:rsid w:val="0008239D"/>
    <w:rsid w:val="00084A62"/>
    <w:rsid w:val="00090566"/>
    <w:rsid w:val="00090C24"/>
    <w:rsid w:val="000926DD"/>
    <w:rsid w:val="000950B5"/>
    <w:rsid w:val="0009638B"/>
    <w:rsid w:val="00097181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0679"/>
    <w:rsid w:val="000E2281"/>
    <w:rsid w:val="000E2E99"/>
    <w:rsid w:val="000E54E1"/>
    <w:rsid w:val="000E7241"/>
    <w:rsid w:val="000E7480"/>
    <w:rsid w:val="000F35C3"/>
    <w:rsid w:val="000F4323"/>
    <w:rsid w:val="000F577D"/>
    <w:rsid w:val="00102DA6"/>
    <w:rsid w:val="001039D9"/>
    <w:rsid w:val="001077B2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4048D"/>
    <w:rsid w:val="00140520"/>
    <w:rsid w:val="00142B47"/>
    <w:rsid w:val="001439B8"/>
    <w:rsid w:val="00145416"/>
    <w:rsid w:val="00150606"/>
    <w:rsid w:val="00151EA5"/>
    <w:rsid w:val="001532F0"/>
    <w:rsid w:val="00153F7D"/>
    <w:rsid w:val="00156D5D"/>
    <w:rsid w:val="00164973"/>
    <w:rsid w:val="001673CA"/>
    <w:rsid w:val="001708B8"/>
    <w:rsid w:val="00175CD2"/>
    <w:rsid w:val="00175DFA"/>
    <w:rsid w:val="00185FA7"/>
    <w:rsid w:val="00187214"/>
    <w:rsid w:val="0018731A"/>
    <w:rsid w:val="00190B61"/>
    <w:rsid w:val="0019102C"/>
    <w:rsid w:val="00194EFD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370A"/>
    <w:rsid w:val="001C4043"/>
    <w:rsid w:val="001C5676"/>
    <w:rsid w:val="001C5B7C"/>
    <w:rsid w:val="001C788E"/>
    <w:rsid w:val="001D2138"/>
    <w:rsid w:val="001D2853"/>
    <w:rsid w:val="001D2DBF"/>
    <w:rsid w:val="001D42BA"/>
    <w:rsid w:val="001D44CB"/>
    <w:rsid w:val="001D55AF"/>
    <w:rsid w:val="001E0584"/>
    <w:rsid w:val="001E1441"/>
    <w:rsid w:val="001E156B"/>
    <w:rsid w:val="001E2419"/>
    <w:rsid w:val="001E3A15"/>
    <w:rsid w:val="001E74C4"/>
    <w:rsid w:val="001F49BC"/>
    <w:rsid w:val="00200A5C"/>
    <w:rsid w:val="00201A13"/>
    <w:rsid w:val="0020264C"/>
    <w:rsid w:val="002035E9"/>
    <w:rsid w:val="00203A7C"/>
    <w:rsid w:val="00203D43"/>
    <w:rsid w:val="002076F1"/>
    <w:rsid w:val="00210EC5"/>
    <w:rsid w:val="002149A1"/>
    <w:rsid w:val="002151EE"/>
    <w:rsid w:val="00220E90"/>
    <w:rsid w:val="002216D7"/>
    <w:rsid w:val="00221CC1"/>
    <w:rsid w:val="002224A1"/>
    <w:rsid w:val="0022742E"/>
    <w:rsid w:val="00230B0D"/>
    <w:rsid w:val="0023157E"/>
    <w:rsid w:val="00231E7F"/>
    <w:rsid w:val="002342B1"/>
    <w:rsid w:val="00235290"/>
    <w:rsid w:val="00235A34"/>
    <w:rsid w:val="00235D33"/>
    <w:rsid w:val="002400BF"/>
    <w:rsid w:val="00241BC9"/>
    <w:rsid w:val="00250682"/>
    <w:rsid w:val="002507D3"/>
    <w:rsid w:val="00253144"/>
    <w:rsid w:val="0025315F"/>
    <w:rsid w:val="00254C55"/>
    <w:rsid w:val="002554A1"/>
    <w:rsid w:val="00256CC0"/>
    <w:rsid w:val="00260246"/>
    <w:rsid w:val="002603C6"/>
    <w:rsid w:val="0026615B"/>
    <w:rsid w:val="0027616E"/>
    <w:rsid w:val="00280339"/>
    <w:rsid w:val="00280717"/>
    <w:rsid w:val="00285D7F"/>
    <w:rsid w:val="00287155"/>
    <w:rsid w:val="00291C0F"/>
    <w:rsid w:val="00292811"/>
    <w:rsid w:val="00292FD6"/>
    <w:rsid w:val="002938EA"/>
    <w:rsid w:val="002939C3"/>
    <w:rsid w:val="00293F7D"/>
    <w:rsid w:val="002953DF"/>
    <w:rsid w:val="00295609"/>
    <w:rsid w:val="002A0FD3"/>
    <w:rsid w:val="002A300E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4C42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3986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3CAD"/>
    <w:rsid w:val="003654EA"/>
    <w:rsid w:val="003664D5"/>
    <w:rsid w:val="003667C0"/>
    <w:rsid w:val="00372E2D"/>
    <w:rsid w:val="003759CD"/>
    <w:rsid w:val="003834FF"/>
    <w:rsid w:val="00383E00"/>
    <w:rsid w:val="003843CA"/>
    <w:rsid w:val="003843DB"/>
    <w:rsid w:val="003870B9"/>
    <w:rsid w:val="003946FB"/>
    <w:rsid w:val="0039693E"/>
    <w:rsid w:val="003A0D5E"/>
    <w:rsid w:val="003A129C"/>
    <w:rsid w:val="003A4365"/>
    <w:rsid w:val="003A54E4"/>
    <w:rsid w:val="003A569E"/>
    <w:rsid w:val="003A616B"/>
    <w:rsid w:val="003B1021"/>
    <w:rsid w:val="003B2299"/>
    <w:rsid w:val="003B2354"/>
    <w:rsid w:val="003B2C55"/>
    <w:rsid w:val="003B7293"/>
    <w:rsid w:val="003B75C9"/>
    <w:rsid w:val="003C43F4"/>
    <w:rsid w:val="003C77BE"/>
    <w:rsid w:val="003C7B78"/>
    <w:rsid w:val="003D3737"/>
    <w:rsid w:val="003D3E2C"/>
    <w:rsid w:val="003D5BEF"/>
    <w:rsid w:val="003D6DAD"/>
    <w:rsid w:val="003D73D9"/>
    <w:rsid w:val="003E6DFE"/>
    <w:rsid w:val="003F0E2B"/>
    <w:rsid w:val="003F177C"/>
    <w:rsid w:val="003F2208"/>
    <w:rsid w:val="003F6342"/>
    <w:rsid w:val="003F6C73"/>
    <w:rsid w:val="003F74D6"/>
    <w:rsid w:val="004024F7"/>
    <w:rsid w:val="00403CA1"/>
    <w:rsid w:val="004047DA"/>
    <w:rsid w:val="00410359"/>
    <w:rsid w:val="004108C2"/>
    <w:rsid w:val="0041311B"/>
    <w:rsid w:val="00415843"/>
    <w:rsid w:val="00417DFE"/>
    <w:rsid w:val="0042289A"/>
    <w:rsid w:val="0042664C"/>
    <w:rsid w:val="00426E5A"/>
    <w:rsid w:val="004334C1"/>
    <w:rsid w:val="00453A3B"/>
    <w:rsid w:val="00453BC2"/>
    <w:rsid w:val="00455361"/>
    <w:rsid w:val="00460147"/>
    <w:rsid w:val="00461AE0"/>
    <w:rsid w:val="00462E51"/>
    <w:rsid w:val="00466235"/>
    <w:rsid w:val="004678BC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9576F"/>
    <w:rsid w:val="004A00A6"/>
    <w:rsid w:val="004A4C76"/>
    <w:rsid w:val="004B052C"/>
    <w:rsid w:val="004C08F6"/>
    <w:rsid w:val="004C15AD"/>
    <w:rsid w:val="004C24A3"/>
    <w:rsid w:val="004C2E58"/>
    <w:rsid w:val="004C3380"/>
    <w:rsid w:val="004C418B"/>
    <w:rsid w:val="004C5073"/>
    <w:rsid w:val="004C58C7"/>
    <w:rsid w:val="004C6E38"/>
    <w:rsid w:val="004D3164"/>
    <w:rsid w:val="004E12F6"/>
    <w:rsid w:val="004E413D"/>
    <w:rsid w:val="004E5EE5"/>
    <w:rsid w:val="004F0A6D"/>
    <w:rsid w:val="004F0DF2"/>
    <w:rsid w:val="004F2312"/>
    <w:rsid w:val="004F2EE4"/>
    <w:rsid w:val="004F40E5"/>
    <w:rsid w:val="004F6AB2"/>
    <w:rsid w:val="004F727F"/>
    <w:rsid w:val="00500590"/>
    <w:rsid w:val="00510372"/>
    <w:rsid w:val="00511176"/>
    <w:rsid w:val="00516E13"/>
    <w:rsid w:val="00516FFD"/>
    <w:rsid w:val="00523121"/>
    <w:rsid w:val="005231E7"/>
    <w:rsid w:val="005256AA"/>
    <w:rsid w:val="00527301"/>
    <w:rsid w:val="0053123C"/>
    <w:rsid w:val="00532FDF"/>
    <w:rsid w:val="005332FB"/>
    <w:rsid w:val="00533481"/>
    <w:rsid w:val="00535B31"/>
    <w:rsid w:val="0053751B"/>
    <w:rsid w:val="005402D2"/>
    <w:rsid w:val="0054036D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3A05"/>
    <w:rsid w:val="00563ECD"/>
    <w:rsid w:val="0056510A"/>
    <w:rsid w:val="00567405"/>
    <w:rsid w:val="005709A8"/>
    <w:rsid w:val="00573F9B"/>
    <w:rsid w:val="0057409F"/>
    <w:rsid w:val="00574311"/>
    <w:rsid w:val="00580137"/>
    <w:rsid w:val="00581B8B"/>
    <w:rsid w:val="005831C5"/>
    <w:rsid w:val="00584B04"/>
    <w:rsid w:val="00587621"/>
    <w:rsid w:val="005878A2"/>
    <w:rsid w:val="00590CEC"/>
    <w:rsid w:val="005925D4"/>
    <w:rsid w:val="005A556F"/>
    <w:rsid w:val="005A5EB9"/>
    <w:rsid w:val="005B126F"/>
    <w:rsid w:val="005B2C64"/>
    <w:rsid w:val="005B34EF"/>
    <w:rsid w:val="005B40BD"/>
    <w:rsid w:val="005B5A38"/>
    <w:rsid w:val="005B78FD"/>
    <w:rsid w:val="005C01D0"/>
    <w:rsid w:val="005C0836"/>
    <w:rsid w:val="005C15D2"/>
    <w:rsid w:val="005C68FC"/>
    <w:rsid w:val="005D2616"/>
    <w:rsid w:val="005D43CA"/>
    <w:rsid w:val="005E0184"/>
    <w:rsid w:val="005E4085"/>
    <w:rsid w:val="005E7CBA"/>
    <w:rsid w:val="005F1A76"/>
    <w:rsid w:val="005F2841"/>
    <w:rsid w:val="005F5F81"/>
    <w:rsid w:val="00602EA3"/>
    <w:rsid w:val="006043DB"/>
    <w:rsid w:val="00611984"/>
    <w:rsid w:val="00611CE1"/>
    <w:rsid w:val="0061591D"/>
    <w:rsid w:val="0061664E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A15"/>
    <w:rsid w:val="00641D37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4D23"/>
    <w:rsid w:val="006974FF"/>
    <w:rsid w:val="006A186D"/>
    <w:rsid w:val="006A2248"/>
    <w:rsid w:val="006A2572"/>
    <w:rsid w:val="006A596D"/>
    <w:rsid w:val="006B357E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D54"/>
    <w:rsid w:val="00757823"/>
    <w:rsid w:val="007603D3"/>
    <w:rsid w:val="00773042"/>
    <w:rsid w:val="0077379E"/>
    <w:rsid w:val="00773E17"/>
    <w:rsid w:val="00781256"/>
    <w:rsid w:val="00785173"/>
    <w:rsid w:val="007863C1"/>
    <w:rsid w:val="00786458"/>
    <w:rsid w:val="00796803"/>
    <w:rsid w:val="0079736E"/>
    <w:rsid w:val="007A0447"/>
    <w:rsid w:val="007A0765"/>
    <w:rsid w:val="007A262F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44D9"/>
    <w:rsid w:val="007F69CD"/>
    <w:rsid w:val="007F7470"/>
    <w:rsid w:val="00800224"/>
    <w:rsid w:val="00801DD7"/>
    <w:rsid w:val="008053AC"/>
    <w:rsid w:val="0080551A"/>
    <w:rsid w:val="0081056B"/>
    <w:rsid w:val="00813CBA"/>
    <w:rsid w:val="0081441B"/>
    <w:rsid w:val="00815428"/>
    <w:rsid w:val="00816E9E"/>
    <w:rsid w:val="00817FE4"/>
    <w:rsid w:val="00822A59"/>
    <w:rsid w:val="00833268"/>
    <w:rsid w:val="0083612B"/>
    <w:rsid w:val="00840609"/>
    <w:rsid w:val="00841633"/>
    <w:rsid w:val="0084430E"/>
    <w:rsid w:val="00844B9B"/>
    <w:rsid w:val="0084725F"/>
    <w:rsid w:val="0084773C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490B"/>
    <w:rsid w:val="008764DE"/>
    <w:rsid w:val="0087723A"/>
    <w:rsid w:val="00877520"/>
    <w:rsid w:val="00880553"/>
    <w:rsid w:val="008805E9"/>
    <w:rsid w:val="00880C43"/>
    <w:rsid w:val="00882035"/>
    <w:rsid w:val="008859D2"/>
    <w:rsid w:val="0088712B"/>
    <w:rsid w:val="00890B09"/>
    <w:rsid w:val="00890FE6"/>
    <w:rsid w:val="008923F5"/>
    <w:rsid w:val="00893F6A"/>
    <w:rsid w:val="008A2C4E"/>
    <w:rsid w:val="008A54E0"/>
    <w:rsid w:val="008A621A"/>
    <w:rsid w:val="008A625B"/>
    <w:rsid w:val="008B0FD4"/>
    <w:rsid w:val="008B13A5"/>
    <w:rsid w:val="008B39F5"/>
    <w:rsid w:val="008B5E5A"/>
    <w:rsid w:val="008C0056"/>
    <w:rsid w:val="008C13AA"/>
    <w:rsid w:val="008C3C5A"/>
    <w:rsid w:val="008C4129"/>
    <w:rsid w:val="008C5A77"/>
    <w:rsid w:val="008D173A"/>
    <w:rsid w:val="008D5B15"/>
    <w:rsid w:val="008D6E3B"/>
    <w:rsid w:val="008D7529"/>
    <w:rsid w:val="008E0885"/>
    <w:rsid w:val="008E3010"/>
    <w:rsid w:val="008E4C5D"/>
    <w:rsid w:val="008E4FDC"/>
    <w:rsid w:val="008E6C7E"/>
    <w:rsid w:val="008F0BD5"/>
    <w:rsid w:val="008F1777"/>
    <w:rsid w:val="008F1FFF"/>
    <w:rsid w:val="008F27D0"/>
    <w:rsid w:val="008F56D5"/>
    <w:rsid w:val="008F6E18"/>
    <w:rsid w:val="00900480"/>
    <w:rsid w:val="00902CD9"/>
    <w:rsid w:val="00902D76"/>
    <w:rsid w:val="00903379"/>
    <w:rsid w:val="00905E7E"/>
    <w:rsid w:val="00907FE8"/>
    <w:rsid w:val="00910052"/>
    <w:rsid w:val="0091455D"/>
    <w:rsid w:val="00922D45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3461"/>
    <w:rsid w:val="009561C5"/>
    <w:rsid w:val="00956A82"/>
    <w:rsid w:val="0095730A"/>
    <w:rsid w:val="0096281D"/>
    <w:rsid w:val="00966F7B"/>
    <w:rsid w:val="00967720"/>
    <w:rsid w:val="00970B1F"/>
    <w:rsid w:val="009733D3"/>
    <w:rsid w:val="00974161"/>
    <w:rsid w:val="00974163"/>
    <w:rsid w:val="00980DCE"/>
    <w:rsid w:val="00981FAF"/>
    <w:rsid w:val="009908B4"/>
    <w:rsid w:val="00993328"/>
    <w:rsid w:val="009A54E0"/>
    <w:rsid w:val="009A5C59"/>
    <w:rsid w:val="009A6895"/>
    <w:rsid w:val="009A7C1B"/>
    <w:rsid w:val="009B0837"/>
    <w:rsid w:val="009B4666"/>
    <w:rsid w:val="009C2D28"/>
    <w:rsid w:val="009C3ECA"/>
    <w:rsid w:val="009C416E"/>
    <w:rsid w:val="009C43D6"/>
    <w:rsid w:val="009C59DF"/>
    <w:rsid w:val="009C6B20"/>
    <w:rsid w:val="009D0B94"/>
    <w:rsid w:val="009D1285"/>
    <w:rsid w:val="009D1ED8"/>
    <w:rsid w:val="009D6D62"/>
    <w:rsid w:val="009D6F28"/>
    <w:rsid w:val="009E0A7B"/>
    <w:rsid w:val="009E451D"/>
    <w:rsid w:val="009E6DC7"/>
    <w:rsid w:val="009F0091"/>
    <w:rsid w:val="009F1B3D"/>
    <w:rsid w:val="009F315F"/>
    <w:rsid w:val="009F3E71"/>
    <w:rsid w:val="009F504C"/>
    <w:rsid w:val="009F711A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52E0"/>
    <w:rsid w:val="00A453EC"/>
    <w:rsid w:val="00A462FC"/>
    <w:rsid w:val="00A4759B"/>
    <w:rsid w:val="00A51540"/>
    <w:rsid w:val="00A51A1E"/>
    <w:rsid w:val="00A5219A"/>
    <w:rsid w:val="00A52DF1"/>
    <w:rsid w:val="00A55BA8"/>
    <w:rsid w:val="00A5608D"/>
    <w:rsid w:val="00A571E2"/>
    <w:rsid w:val="00A63552"/>
    <w:rsid w:val="00A64003"/>
    <w:rsid w:val="00A70ABB"/>
    <w:rsid w:val="00A71C61"/>
    <w:rsid w:val="00A731E8"/>
    <w:rsid w:val="00A73E4F"/>
    <w:rsid w:val="00A775C1"/>
    <w:rsid w:val="00A80160"/>
    <w:rsid w:val="00A83FE7"/>
    <w:rsid w:val="00A8453F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B89"/>
    <w:rsid w:val="00AB2C61"/>
    <w:rsid w:val="00AB4A45"/>
    <w:rsid w:val="00AB52A1"/>
    <w:rsid w:val="00AB5D0C"/>
    <w:rsid w:val="00AC041C"/>
    <w:rsid w:val="00AC18D2"/>
    <w:rsid w:val="00AC643B"/>
    <w:rsid w:val="00AC7244"/>
    <w:rsid w:val="00AD6C36"/>
    <w:rsid w:val="00AD7E9B"/>
    <w:rsid w:val="00AE401C"/>
    <w:rsid w:val="00AE6513"/>
    <w:rsid w:val="00AF1475"/>
    <w:rsid w:val="00AF3FA6"/>
    <w:rsid w:val="00AF57EC"/>
    <w:rsid w:val="00AF7530"/>
    <w:rsid w:val="00B00707"/>
    <w:rsid w:val="00B030DB"/>
    <w:rsid w:val="00B03F29"/>
    <w:rsid w:val="00B064EA"/>
    <w:rsid w:val="00B1006D"/>
    <w:rsid w:val="00B12228"/>
    <w:rsid w:val="00B125FD"/>
    <w:rsid w:val="00B12E92"/>
    <w:rsid w:val="00B13ABD"/>
    <w:rsid w:val="00B14643"/>
    <w:rsid w:val="00B20086"/>
    <w:rsid w:val="00B207A5"/>
    <w:rsid w:val="00B21789"/>
    <w:rsid w:val="00B2220D"/>
    <w:rsid w:val="00B23502"/>
    <w:rsid w:val="00B26E55"/>
    <w:rsid w:val="00B317F8"/>
    <w:rsid w:val="00B322AC"/>
    <w:rsid w:val="00B35D54"/>
    <w:rsid w:val="00B42B46"/>
    <w:rsid w:val="00B43CA6"/>
    <w:rsid w:val="00B4440F"/>
    <w:rsid w:val="00B45D5B"/>
    <w:rsid w:val="00B45D88"/>
    <w:rsid w:val="00B474A0"/>
    <w:rsid w:val="00B50DFB"/>
    <w:rsid w:val="00B50EEB"/>
    <w:rsid w:val="00B5212F"/>
    <w:rsid w:val="00B575DB"/>
    <w:rsid w:val="00B60FAC"/>
    <w:rsid w:val="00B65296"/>
    <w:rsid w:val="00B65443"/>
    <w:rsid w:val="00B65EBD"/>
    <w:rsid w:val="00B6630F"/>
    <w:rsid w:val="00B742EF"/>
    <w:rsid w:val="00B74318"/>
    <w:rsid w:val="00B7468B"/>
    <w:rsid w:val="00B747F5"/>
    <w:rsid w:val="00B81472"/>
    <w:rsid w:val="00B81BAF"/>
    <w:rsid w:val="00B84D5C"/>
    <w:rsid w:val="00B875BC"/>
    <w:rsid w:val="00B9169E"/>
    <w:rsid w:val="00B92361"/>
    <w:rsid w:val="00B96145"/>
    <w:rsid w:val="00B96341"/>
    <w:rsid w:val="00BA0C00"/>
    <w:rsid w:val="00BA196D"/>
    <w:rsid w:val="00BA1C4F"/>
    <w:rsid w:val="00BA250C"/>
    <w:rsid w:val="00BA4D42"/>
    <w:rsid w:val="00BA74F6"/>
    <w:rsid w:val="00BA7F93"/>
    <w:rsid w:val="00BB0974"/>
    <w:rsid w:val="00BB0DB6"/>
    <w:rsid w:val="00BB1211"/>
    <w:rsid w:val="00BB16E7"/>
    <w:rsid w:val="00BB3C81"/>
    <w:rsid w:val="00BB482B"/>
    <w:rsid w:val="00BB695A"/>
    <w:rsid w:val="00BB7F91"/>
    <w:rsid w:val="00BC4B6E"/>
    <w:rsid w:val="00BC5C84"/>
    <w:rsid w:val="00BC6487"/>
    <w:rsid w:val="00BC6EE5"/>
    <w:rsid w:val="00BD5A41"/>
    <w:rsid w:val="00BD5A99"/>
    <w:rsid w:val="00BD617B"/>
    <w:rsid w:val="00BE06BA"/>
    <w:rsid w:val="00BE28DF"/>
    <w:rsid w:val="00BE6BAC"/>
    <w:rsid w:val="00BF5971"/>
    <w:rsid w:val="00C05343"/>
    <w:rsid w:val="00C05754"/>
    <w:rsid w:val="00C05911"/>
    <w:rsid w:val="00C06591"/>
    <w:rsid w:val="00C1176C"/>
    <w:rsid w:val="00C16B2C"/>
    <w:rsid w:val="00C173C6"/>
    <w:rsid w:val="00C17CCD"/>
    <w:rsid w:val="00C2221B"/>
    <w:rsid w:val="00C222AD"/>
    <w:rsid w:val="00C236F8"/>
    <w:rsid w:val="00C242AD"/>
    <w:rsid w:val="00C251A6"/>
    <w:rsid w:val="00C269A3"/>
    <w:rsid w:val="00C27958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CEF"/>
    <w:rsid w:val="00C60F4B"/>
    <w:rsid w:val="00C63342"/>
    <w:rsid w:val="00C66F0D"/>
    <w:rsid w:val="00C7033E"/>
    <w:rsid w:val="00C760E1"/>
    <w:rsid w:val="00C8321D"/>
    <w:rsid w:val="00C83D49"/>
    <w:rsid w:val="00C85FED"/>
    <w:rsid w:val="00C87902"/>
    <w:rsid w:val="00C87916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407F2"/>
    <w:rsid w:val="00D40B49"/>
    <w:rsid w:val="00D40E2B"/>
    <w:rsid w:val="00D40F76"/>
    <w:rsid w:val="00D44738"/>
    <w:rsid w:val="00D458F1"/>
    <w:rsid w:val="00D503B8"/>
    <w:rsid w:val="00D50C10"/>
    <w:rsid w:val="00D50EE9"/>
    <w:rsid w:val="00D6298B"/>
    <w:rsid w:val="00D65291"/>
    <w:rsid w:val="00D7039D"/>
    <w:rsid w:val="00D73F39"/>
    <w:rsid w:val="00D76A72"/>
    <w:rsid w:val="00D8101D"/>
    <w:rsid w:val="00D82CFE"/>
    <w:rsid w:val="00D82D01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74FA"/>
    <w:rsid w:val="00DE1786"/>
    <w:rsid w:val="00DE2952"/>
    <w:rsid w:val="00DE2E81"/>
    <w:rsid w:val="00DE35B0"/>
    <w:rsid w:val="00DF0B3D"/>
    <w:rsid w:val="00DF1C55"/>
    <w:rsid w:val="00DF696C"/>
    <w:rsid w:val="00E00CAC"/>
    <w:rsid w:val="00E02445"/>
    <w:rsid w:val="00E025D5"/>
    <w:rsid w:val="00E02B5F"/>
    <w:rsid w:val="00E06ACC"/>
    <w:rsid w:val="00E07811"/>
    <w:rsid w:val="00E123FB"/>
    <w:rsid w:val="00E130CF"/>
    <w:rsid w:val="00E1530D"/>
    <w:rsid w:val="00E15E2D"/>
    <w:rsid w:val="00E16E4D"/>
    <w:rsid w:val="00E23B34"/>
    <w:rsid w:val="00E2474D"/>
    <w:rsid w:val="00E3168E"/>
    <w:rsid w:val="00E3169E"/>
    <w:rsid w:val="00E32D82"/>
    <w:rsid w:val="00E35FC9"/>
    <w:rsid w:val="00E3662B"/>
    <w:rsid w:val="00E40127"/>
    <w:rsid w:val="00E42468"/>
    <w:rsid w:val="00E43914"/>
    <w:rsid w:val="00E46257"/>
    <w:rsid w:val="00E515DC"/>
    <w:rsid w:val="00E51A77"/>
    <w:rsid w:val="00E552C1"/>
    <w:rsid w:val="00E60674"/>
    <w:rsid w:val="00E6439B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4A93"/>
    <w:rsid w:val="00EA5D11"/>
    <w:rsid w:val="00EA682F"/>
    <w:rsid w:val="00EA7DD9"/>
    <w:rsid w:val="00EB2F5E"/>
    <w:rsid w:val="00EB32DC"/>
    <w:rsid w:val="00EC03E6"/>
    <w:rsid w:val="00EC0C55"/>
    <w:rsid w:val="00EC2102"/>
    <w:rsid w:val="00EC46FB"/>
    <w:rsid w:val="00EC5763"/>
    <w:rsid w:val="00EC5CE4"/>
    <w:rsid w:val="00EC6EC9"/>
    <w:rsid w:val="00ED0C3A"/>
    <w:rsid w:val="00ED189D"/>
    <w:rsid w:val="00ED5073"/>
    <w:rsid w:val="00ED7449"/>
    <w:rsid w:val="00ED77A6"/>
    <w:rsid w:val="00EE0199"/>
    <w:rsid w:val="00EE7381"/>
    <w:rsid w:val="00EF6824"/>
    <w:rsid w:val="00EF7C1D"/>
    <w:rsid w:val="00F0318F"/>
    <w:rsid w:val="00F109BB"/>
    <w:rsid w:val="00F11B08"/>
    <w:rsid w:val="00F126BE"/>
    <w:rsid w:val="00F13F38"/>
    <w:rsid w:val="00F16741"/>
    <w:rsid w:val="00F20B50"/>
    <w:rsid w:val="00F21931"/>
    <w:rsid w:val="00F23026"/>
    <w:rsid w:val="00F24D4E"/>
    <w:rsid w:val="00F26E8C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66E58"/>
    <w:rsid w:val="00F71F55"/>
    <w:rsid w:val="00F7338E"/>
    <w:rsid w:val="00F761CF"/>
    <w:rsid w:val="00F82258"/>
    <w:rsid w:val="00F82FA9"/>
    <w:rsid w:val="00F87577"/>
    <w:rsid w:val="00F93948"/>
    <w:rsid w:val="00F93F5B"/>
    <w:rsid w:val="00F965A2"/>
    <w:rsid w:val="00FA47C5"/>
    <w:rsid w:val="00FA5013"/>
    <w:rsid w:val="00FA63B3"/>
    <w:rsid w:val="00FA67AE"/>
    <w:rsid w:val="00FA69E4"/>
    <w:rsid w:val="00FB06E8"/>
    <w:rsid w:val="00FB1976"/>
    <w:rsid w:val="00FB3159"/>
    <w:rsid w:val="00FB4475"/>
    <w:rsid w:val="00FB4E3B"/>
    <w:rsid w:val="00FB588A"/>
    <w:rsid w:val="00FB6BF3"/>
    <w:rsid w:val="00FC0B57"/>
    <w:rsid w:val="00FC113F"/>
    <w:rsid w:val="00FC60D5"/>
    <w:rsid w:val="00FD3929"/>
    <w:rsid w:val="00FD3D61"/>
    <w:rsid w:val="00FD472B"/>
    <w:rsid w:val="00FD4C73"/>
    <w:rsid w:val="00FD4FD7"/>
    <w:rsid w:val="00FD6040"/>
    <w:rsid w:val="00FE057C"/>
    <w:rsid w:val="00FE501C"/>
    <w:rsid w:val="00FF1F5D"/>
    <w:rsid w:val="00FF2426"/>
    <w:rsid w:val="00FF2912"/>
    <w:rsid w:val="00FF3BD9"/>
    <w:rsid w:val="00FF4DE1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9638B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B3F1-326B-40F7-9713-3E49CA8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2813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5</cp:revision>
  <cp:lastPrinted>2015-07-28T19:40:00Z</cp:lastPrinted>
  <dcterms:created xsi:type="dcterms:W3CDTF">2015-07-28T20:56:00Z</dcterms:created>
  <dcterms:modified xsi:type="dcterms:W3CDTF">2015-08-28T20:24:00Z</dcterms:modified>
</cp:coreProperties>
</file>