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288" w:rsidRDefault="00034288" w:rsidP="00963EA4">
      <w:pPr>
        <w:jc w:val="center"/>
        <w:rPr>
          <w:rFonts w:asciiTheme="minorHAnsi" w:hAnsiTheme="minorHAnsi"/>
          <w:b/>
          <w:color w:val="000000" w:themeColor="text1"/>
          <w:sz w:val="22"/>
          <w:szCs w:val="22"/>
          <w:lang w:val="es-ES_tradnl"/>
        </w:rPr>
      </w:pPr>
      <w:r w:rsidRPr="00963EA4">
        <w:rPr>
          <w:rFonts w:asciiTheme="minorHAnsi" w:hAnsiTheme="minorHAnsi"/>
          <w:b/>
          <w:color w:val="000000" w:themeColor="text1"/>
          <w:sz w:val="22"/>
          <w:szCs w:val="22"/>
          <w:lang w:val="es-ES_tradnl"/>
        </w:rPr>
        <w:t>EXPOSICIÓN DE MOTIVOS</w:t>
      </w:r>
      <w:r w:rsidR="00963EA4">
        <w:rPr>
          <w:rFonts w:asciiTheme="minorHAnsi" w:hAnsiTheme="minorHAnsi"/>
          <w:b/>
          <w:color w:val="000000" w:themeColor="text1"/>
          <w:sz w:val="22"/>
          <w:szCs w:val="22"/>
          <w:lang w:val="es-ES_tradnl"/>
        </w:rPr>
        <w:t xml:space="preserve">  </w:t>
      </w:r>
    </w:p>
    <w:p w:rsidR="00963EA4" w:rsidRPr="00963EA4" w:rsidRDefault="00963EA4" w:rsidP="00963EA4">
      <w:pPr>
        <w:jc w:val="center"/>
        <w:rPr>
          <w:rFonts w:asciiTheme="minorHAnsi" w:hAnsiTheme="minorHAnsi"/>
          <w:b/>
          <w:color w:val="000000" w:themeColor="text1"/>
          <w:sz w:val="22"/>
          <w:szCs w:val="22"/>
          <w:lang w:val="es-ES_tradnl"/>
        </w:rPr>
      </w:pPr>
    </w:p>
    <w:p w:rsidR="00034288" w:rsidRPr="00963EA4" w:rsidRDefault="00034288" w:rsidP="00963EA4">
      <w:pPr>
        <w:jc w:val="both"/>
        <w:rPr>
          <w:rFonts w:asciiTheme="minorHAnsi" w:hAnsiTheme="minorHAnsi"/>
          <w:color w:val="000000" w:themeColor="text1"/>
          <w:sz w:val="22"/>
          <w:szCs w:val="22"/>
          <w:lang w:val="es-ES_tradnl"/>
        </w:rPr>
      </w:pPr>
      <w:r w:rsidRPr="00963EA4">
        <w:rPr>
          <w:rFonts w:asciiTheme="minorHAnsi" w:hAnsiTheme="minorHAnsi"/>
          <w:color w:val="000000" w:themeColor="text1"/>
          <w:sz w:val="22"/>
          <w:szCs w:val="22"/>
          <w:lang w:val="es-ES_tradnl"/>
        </w:rPr>
        <w:t xml:space="preserve">El barrio Quito Tenis, ubicado en el noroccidente del Distrito Metropolitano de Quito, en la parroquia </w:t>
      </w:r>
      <w:proofErr w:type="spellStart"/>
      <w:r w:rsidRPr="00963EA4">
        <w:rPr>
          <w:rFonts w:asciiTheme="minorHAnsi" w:hAnsiTheme="minorHAnsi"/>
          <w:color w:val="000000" w:themeColor="text1"/>
          <w:sz w:val="22"/>
          <w:szCs w:val="22"/>
          <w:lang w:val="es-ES_tradnl"/>
        </w:rPr>
        <w:t>Chaupicruz</w:t>
      </w:r>
      <w:proofErr w:type="spellEnd"/>
      <w:r w:rsidRPr="00963EA4">
        <w:rPr>
          <w:rFonts w:asciiTheme="minorHAnsi" w:hAnsiTheme="minorHAnsi"/>
          <w:color w:val="000000" w:themeColor="text1"/>
          <w:sz w:val="22"/>
          <w:szCs w:val="22"/>
          <w:lang w:val="es-ES_tradnl"/>
        </w:rPr>
        <w:t>, se organizó desde el año 2007 por la necesidad de contribuir a un funcionamiento adecuado de</w:t>
      </w:r>
      <w:r w:rsidR="003414F4">
        <w:rPr>
          <w:rFonts w:asciiTheme="minorHAnsi" w:hAnsiTheme="minorHAnsi"/>
          <w:color w:val="000000" w:themeColor="text1"/>
          <w:sz w:val="22"/>
          <w:szCs w:val="22"/>
          <w:lang w:val="es-ES_tradnl"/>
        </w:rPr>
        <w:t>l</w:t>
      </w:r>
      <w:r w:rsidRPr="00963EA4">
        <w:rPr>
          <w:rFonts w:asciiTheme="minorHAnsi" w:hAnsiTheme="minorHAnsi"/>
          <w:color w:val="000000" w:themeColor="text1"/>
          <w:sz w:val="22"/>
          <w:szCs w:val="22"/>
          <w:lang w:val="es-ES_tradnl"/>
        </w:rPr>
        <w:t xml:space="preserve"> sector y al mejoramiento de la calidad de vida de sus habitantes.</w:t>
      </w:r>
    </w:p>
    <w:p w:rsidR="00034288" w:rsidRPr="00963EA4" w:rsidRDefault="00034288" w:rsidP="00963EA4">
      <w:pPr>
        <w:jc w:val="both"/>
        <w:rPr>
          <w:rFonts w:asciiTheme="minorHAnsi" w:hAnsiTheme="minorHAnsi"/>
          <w:color w:val="000000" w:themeColor="text1"/>
          <w:sz w:val="22"/>
          <w:szCs w:val="22"/>
          <w:lang w:val="es-ES_tradnl"/>
        </w:rPr>
      </w:pPr>
    </w:p>
    <w:p w:rsidR="00034288" w:rsidRPr="00963EA4" w:rsidRDefault="00034288" w:rsidP="00963EA4">
      <w:pPr>
        <w:jc w:val="both"/>
        <w:rPr>
          <w:rFonts w:asciiTheme="minorHAnsi" w:hAnsiTheme="minorHAnsi"/>
          <w:color w:val="000000" w:themeColor="text1"/>
          <w:sz w:val="22"/>
          <w:szCs w:val="22"/>
          <w:lang w:val="es-ES_tradnl"/>
        </w:rPr>
      </w:pPr>
      <w:r w:rsidRPr="00963EA4">
        <w:rPr>
          <w:rFonts w:asciiTheme="minorHAnsi" w:hAnsiTheme="minorHAnsi"/>
          <w:color w:val="000000" w:themeColor="text1"/>
          <w:sz w:val="22"/>
          <w:szCs w:val="22"/>
          <w:lang w:val="es-ES_tradnl"/>
        </w:rPr>
        <w:t xml:space="preserve">Este proceso participativo de los vecinos </w:t>
      </w:r>
      <w:r w:rsidR="00D96447">
        <w:rPr>
          <w:rFonts w:asciiTheme="minorHAnsi" w:hAnsiTheme="minorHAnsi"/>
          <w:color w:val="000000" w:themeColor="text1"/>
          <w:sz w:val="22"/>
          <w:szCs w:val="22"/>
          <w:lang w:val="es-ES_tradnl"/>
        </w:rPr>
        <w:t xml:space="preserve">conllevó a la promulgación de un  instrumento </w:t>
      </w:r>
      <w:r w:rsidR="008D4A38">
        <w:rPr>
          <w:rFonts w:asciiTheme="minorHAnsi" w:hAnsiTheme="minorHAnsi"/>
          <w:color w:val="000000" w:themeColor="text1"/>
          <w:sz w:val="22"/>
          <w:szCs w:val="22"/>
          <w:lang w:val="es-ES_tradnl"/>
        </w:rPr>
        <w:t xml:space="preserve">de planificación a escala barrial presentado para que </w:t>
      </w:r>
      <w:r w:rsidR="00F6624E">
        <w:rPr>
          <w:rFonts w:asciiTheme="minorHAnsi" w:hAnsiTheme="minorHAnsi"/>
          <w:color w:val="000000" w:themeColor="text1"/>
          <w:sz w:val="22"/>
          <w:szCs w:val="22"/>
          <w:lang w:val="es-ES_tradnl"/>
        </w:rPr>
        <w:t>el C</w:t>
      </w:r>
      <w:r w:rsidRPr="00963EA4">
        <w:rPr>
          <w:rFonts w:asciiTheme="minorHAnsi" w:hAnsiTheme="minorHAnsi"/>
          <w:color w:val="000000" w:themeColor="text1"/>
          <w:sz w:val="22"/>
          <w:szCs w:val="22"/>
          <w:lang w:val="es-ES_tradnl"/>
        </w:rPr>
        <w:t>oncejo Metropolitano cono</w:t>
      </w:r>
      <w:r w:rsidR="00F6624E">
        <w:rPr>
          <w:rFonts w:asciiTheme="minorHAnsi" w:hAnsiTheme="minorHAnsi"/>
          <w:color w:val="000000" w:themeColor="text1"/>
          <w:sz w:val="22"/>
          <w:szCs w:val="22"/>
          <w:lang w:val="es-ES_tradnl"/>
        </w:rPr>
        <w:t xml:space="preserve">zca y apruebe </w:t>
      </w:r>
      <w:r w:rsidRPr="00963EA4">
        <w:rPr>
          <w:rFonts w:asciiTheme="minorHAnsi" w:hAnsiTheme="minorHAnsi"/>
          <w:color w:val="000000" w:themeColor="text1"/>
          <w:sz w:val="22"/>
          <w:szCs w:val="22"/>
          <w:lang w:val="es-ES_tradnl"/>
        </w:rPr>
        <w:t xml:space="preserve">la Ordenanza Metropolitana No. 041 de “Zonificación Especial que aprueba el </w:t>
      </w:r>
      <w:r w:rsidR="00F6624E">
        <w:rPr>
          <w:rFonts w:asciiTheme="minorHAnsi" w:hAnsiTheme="minorHAnsi"/>
          <w:color w:val="000000" w:themeColor="text1"/>
          <w:sz w:val="22"/>
          <w:szCs w:val="22"/>
          <w:lang w:val="es-ES_tradnl"/>
        </w:rPr>
        <w:t>Plan E</w:t>
      </w:r>
      <w:r w:rsidRPr="00963EA4">
        <w:rPr>
          <w:rFonts w:asciiTheme="minorHAnsi" w:hAnsiTheme="minorHAnsi"/>
          <w:color w:val="000000" w:themeColor="text1"/>
          <w:sz w:val="22"/>
          <w:szCs w:val="22"/>
          <w:lang w:val="es-ES_tradnl"/>
        </w:rPr>
        <w:t>special del Barrio Quito Tenis, ubicado al Noroccidente del Distrito, Modificatoria de la Ordenanza de Zonificación No. 31 que contiene el Plan de Uso y Ocupación del Suelo”, sancionada el 27 de julio del 2009. Este cuerpo normativo tuvo como finalidad el mejoramiento urbanístico y ambiental del barrio así como la definición de regulaciones específicas que posibiliten su concreción.</w:t>
      </w:r>
    </w:p>
    <w:p w:rsidR="00034288" w:rsidRPr="00963EA4" w:rsidRDefault="00034288" w:rsidP="00963EA4">
      <w:pPr>
        <w:jc w:val="both"/>
        <w:rPr>
          <w:rFonts w:asciiTheme="minorHAnsi" w:hAnsiTheme="minorHAnsi"/>
          <w:color w:val="000000" w:themeColor="text1"/>
          <w:sz w:val="22"/>
          <w:szCs w:val="22"/>
          <w:lang w:val="es-ES_tradnl"/>
        </w:rPr>
      </w:pPr>
    </w:p>
    <w:p w:rsidR="00034288" w:rsidRPr="00963EA4" w:rsidRDefault="00034288" w:rsidP="00963EA4">
      <w:pPr>
        <w:jc w:val="both"/>
        <w:rPr>
          <w:rFonts w:asciiTheme="minorHAnsi" w:hAnsiTheme="minorHAnsi"/>
          <w:color w:val="000000" w:themeColor="text1"/>
          <w:sz w:val="22"/>
          <w:szCs w:val="22"/>
          <w:lang w:val="es-ES_tradnl"/>
        </w:rPr>
      </w:pPr>
      <w:r w:rsidRPr="00963EA4">
        <w:rPr>
          <w:rFonts w:asciiTheme="minorHAnsi" w:hAnsiTheme="minorHAnsi"/>
          <w:color w:val="000000" w:themeColor="text1"/>
          <w:sz w:val="22"/>
          <w:szCs w:val="22"/>
          <w:lang w:val="es-ES_tradnl"/>
        </w:rPr>
        <w:t xml:space="preserve">La Ordenanza Metropolitana No. 172 que establece el </w:t>
      </w:r>
      <w:r w:rsidR="00D35FF7">
        <w:rPr>
          <w:rFonts w:asciiTheme="minorHAnsi" w:hAnsiTheme="minorHAnsi"/>
          <w:color w:val="000000" w:themeColor="text1"/>
          <w:sz w:val="22"/>
          <w:szCs w:val="22"/>
          <w:lang w:val="es-ES_tradnl"/>
        </w:rPr>
        <w:t>R</w:t>
      </w:r>
      <w:r w:rsidRPr="00963EA4">
        <w:rPr>
          <w:rFonts w:asciiTheme="minorHAnsi" w:hAnsiTheme="minorHAnsi"/>
          <w:color w:val="000000" w:themeColor="text1"/>
          <w:sz w:val="22"/>
          <w:szCs w:val="22"/>
          <w:lang w:val="es-ES_tradnl"/>
        </w:rPr>
        <w:t xml:space="preserve">égimen </w:t>
      </w:r>
      <w:r w:rsidR="00D35FF7">
        <w:rPr>
          <w:rFonts w:asciiTheme="minorHAnsi" w:hAnsiTheme="minorHAnsi"/>
          <w:color w:val="000000" w:themeColor="text1"/>
          <w:sz w:val="22"/>
          <w:szCs w:val="22"/>
          <w:lang w:val="es-ES_tradnl"/>
        </w:rPr>
        <w:t>A</w:t>
      </w:r>
      <w:r w:rsidRPr="00963EA4">
        <w:rPr>
          <w:rFonts w:asciiTheme="minorHAnsi" w:hAnsiTheme="minorHAnsi"/>
          <w:color w:val="000000" w:themeColor="text1"/>
          <w:sz w:val="22"/>
          <w:szCs w:val="22"/>
          <w:lang w:val="es-ES_tradnl"/>
        </w:rPr>
        <w:t xml:space="preserve">dministrativo del </w:t>
      </w:r>
      <w:r w:rsidR="00D35FF7">
        <w:rPr>
          <w:rFonts w:asciiTheme="minorHAnsi" w:hAnsiTheme="minorHAnsi"/>
          <w:color w:val="000000" w:themeColor="text1"/>
          <w:sz w:val="22"/>
          <w:szCs w:val="22"/>
          <w:lang w:val="es-ES_tradnl"/>
        </w:rPr>
        <w:t>S</w:t>
      </w:r>
      <w:r w:rsidRPr="00963EA4">
        <w:rPr>
          <w:rFonts w:asciiTheme="minorHAnsi" w:hAnsiTheme="minorHAnsi"/>
          <w:color w:val="000000" w:themeColor="text1"/>
          <w:sz w:val="22"/>
          <w:szCs w:val="22"/>
          <w:lang w:val="es-ES_tradnl"/>
        </w:rPr>
        <w:t>uelo en el Distrito Metropolitano de Quito</w:t>
      </w:r>
      <w:r w:rsidR="00D35FF7">
        <w:rPr>
          <w:rFonts w:asciiTheme="minorHAnsi" w:hAnsiTheme="minorHAnsi"/>
          <w:color w:val="000000" w:themeColor="text1"/>
          <w:sz w:val="22"/>
          <w:szCs w:val="22"/>
          <w:lang w:val="es-ES_tradnl"/>
        </w:rPr>
        <w:t>, sancionada el 30 de diciembre de 2011,</w:t>
      </w:r>
      <w:r w:rsidRPr="00963EA4">
        <w:rPr>
          <w:rFonts w:asciiTheme="minorHAnsi" w:hAnsiTheme="minorHAnsi"/>
          <w:color w:val="000000" w:themeColor="text1"/>
          <w:sz w:val="22"/>
          <w:szCs w:val="22"/>
          <w:lang w:val="es-ES_tradnl"/>
        </w:rPr>
        <w:t xml:space="preserve"> en su artículo 25 define de manera clara lo que son los Planes Especiales e indica que son los instrumentos de planeamiento de la administración urbanística de las parroquias, barrios o manzanas, o de sectores de planificación específicos, urbanos o rurales, que por su dinámica entren en contradicción con la normativa vigente.</w:t>
      </w:r>
    </w:p>
    <w:p w:rsidR="00034288" w:rsidRPr="00963EA4" w:rsidRDefault="00034288" w:rsidP="00963EA4">
      <w:pPr>
        <w:jc w:val="both"/>
        <w:rPr>
          <w:rFonts w:asciiTheme="minorHAnsi" w:hAnsiTheme="minorHAnsi"/>
          <w:color w:val="000000" w:themeColor="text1"/>
          <w:sz w:val="22"/>
          <w:szCs w:val="22"/>
          <w:lang w:val="es-ES_tradnl"/>
        </w:rPr>
      </w:pPr>
    </w:p>
    <w:p w:rsidR="00034288" w:rsidRDefault="00034288" w:rsidP="00963EA4">
      <w:pPr>
        <w:jc w:val="both"/>
        <w:rPr>
          <w:rFonts w:asciiTheme="minorHAnsi" w:hAnsiTheme="minorHAnsi"/>
          <w:color w:val="000000" w:themeColor="text1"/>
          <w:sz w:val="22"/>
          <w:szCs w:val="22"/>
          <w:lang w:val="es-ES_tradnl"/>
        </w:rPr>
      </w:pPr>
      <w:r w:rsidRPr="00963EA4">
        <w:rPr>
          <w:rFonts w:asciiTheme="minorHAnsi" w:hAnsiTheme="minorHAnsi"/>
          <w:color w:val="000000" w:themeColor="text1"/>
          <w:sz w:val="22"/>
          <w:szCs w:val="22"/>
          <w:lang w:val="es-ES_tradnl"/>
        </w:rPr>
        <w:t>El proceso de desarrollo urbano de la ciudad trae como consecuencia que exista nuevas necesidades y además que cada uno de sus habitantes requier</w:t>
      </w:r>
      <w:r w:rsidR="00D35FF7">
        <w:rPr>
          <w:rFonts w:asciiTheme="minorHAnsi" w:hAnsiTheme="minorHAnsi"/>
          <w:color w:val="000000" w:themeColor="text1"/>
          <w:sz w:val="22"/>
          <w:szCs w:val="22"/>
          <w:lang w:val="es-ES_tradnl"/>
        </w:rPr>
        <w:t>an de una mayor participación en la toma de decisiones que afecten su entorno de vida.</w:t>
      </w:r>
    </w:p>
    <w:p w:rsidR="00D35FF7" w:rsidRPr="00963EA4" w:rsidRDefault="00D35FF7" w:rsidP="00963EA4">
      <w:pPr>
        <w:jc w:val="both"/>
        <w:rPr>
          <w:rFonts w:asciiTheme="minorHAnsi" w:hAnsiTheme="minorHAnsi"/>
          <w:color w:val="000000" w:themeColor="text1"/>
          <w:sz w:val="22"/>
          <w:szCs w:val="22"/>
          <w:lang w:val="es-ES_tradnl"/>
        </w:rPr>
      </w:pPr>
    </w:p>
    <w:p w:rsidR="00034288" w:rsidRPr="00963EA4" w:rsidRDefault="00034288" w:rsidP="00963EA4">
      <w:pPr>
        <w:jc w:val="both"/>
        <w:rPr>
          <w:rFonts w:asciiTheme="minorHAnsi" w:hAnsiTheme="minorHAnsi"/>
          <w:color w:val="000000" w:themeColor="text1"/>
          <w:sz w:val="22"/>
          <w:szCs w:val="22"/>
          <w:lang w:val="es-ES_tradnl"/>
        </w:rPr>
      </w:pPr>
      <w:r w:rsidRPr="00963EA4">
        <w:rPr>
          <w:rFonts w:asciiTheme="minorHAnsi" w:hAnsiTheme="minorHAnsi"/>
          <w:color w:val="000000" w:themeColor="text1"/>
          <w:sz w:val="22"/>
          <w:szCs w:val="22"/>
          <w:lang w:val="es-ES_tradnl"/>
        </w:rPr>
        <w:t>La ciudad determinada como un espacio</w:t>
      </w:r>
      <w:r w:rsidR="00D35FF7">
        <w:rPr>
          <w:rFonts w:asciiTheme="minorHAnsi" w:hAnsiTheme="minorHAnsi"/>
          <w:color w:val="000000" w:themeColor="text1"/>
          <w:sz w:val="22"/>
          <w:szCs w:val="22"/>
          <w:lang w:val="es-ES_tradnl"/>
        </w:rPr>
        <w:t xml:space="preserve"> colectivo</w:t>
      </w:r>
      <w:r w:rsidRPr="00963EA4">
        <w:rPr>
          <w:rFonts w:asciiTheme="minorHAnsi" w:hAnsiTheme="minorHAnsi"/>
          <w:color w:val="000000" w:themeColor="text1"/>
          <w:sz w:val="22"/>
          <w:szCs w:val="22"/>
          <w:lang w:val="es-ES_tradnl"/>
        </w:rPr>
        <w:t>, cambia y se adapta a las necesidades de intereses comunes; por ello, es necesario que exista una planificación adecuada en donde se determinen objetivos, se analice la situación actual, se definan estrategias y se ejecuten planes en beneficio de la comunidad. El derecho  a la ciudad busca ciudades amigables, inclusivas, accesibles, sostenibles hecho que se promueve con una activa participación ciudadana que involucra diferentes actores públicos y  privados que tienen como fin el mejoramiento de la calidad de vida de sus habitantes.</w:t>
      </w:r>
    </w:p>
    <w:p w:rsidR="00034288" w:rsidRPr="00963EA4" w:rsidRDefault="00034288" w:rsidP="00963EA4">
      <w:pPr>
        <w:jc w:val="both"/>
        <w:rPr>
          <w:spacing w:val="-3"/>
          <w:sz w:val="22"/>
          <w:szCs w:val="22"/>
          <w:lang w:val="es-ES"/>
        </w:rPr>
      </w:pPr>
    </w:p>
    <w:p w:rsidR="00034288" w:rsidRPr="00963EA4" w:rsidRDefault="00034288" w:rsidP="00963EA4">
      <w:pPr>
        <w:jc w:val="both"/>
        <w:rPr>
          <w:rFonts w:asciiTheme="minorHAnsi" w:hAnsiTheme="minorHAnsi"/>
          <w:sz w:val="22"/>
          <w:szCs w:val="22"/>
          <w:lang w:val="es-ES_tradnl"/>
        </w:rPr>
      </w:pPr>
      <w:r w:rsidRPr="00963EA4">
        <w:rPr>
          <w:rFonts w:asciiTheme="minorHAnsi" w:hAnsiTheme="minorHAnsi"/>
          <w:color w:val="000000" w:themeColor="text1"/>
          <w:sz w:val="22"/>
          <w:szCs w:val="22"/>
          <w:lang w:val="es-ES_tradnl"/>
        </w:rPr>
        <w:t xml:space="preserve">En ese sentido, es necesario </w:t>
      </w:r>
      <w:r w:rsidRPr="00D35FF7">
        <w:rPr>
          <w:rFonts w:asciiTheme="minorHAnsi" w:hAnsiTheme="minorHAnsi"/>
          <w:sz w:val="22"/>
          <w:szCs w:val="22"/>
          <w:lang w:val="es-ES_tradnl"/>
        </w:rPr>
        <w:t xml:space="preserve">revisar el </w:t>
      </w:r>
      <w:r w:rsidRPr="00963EA4">
        <w:rPr>
          <w:rFonts w:asciiTheme="minorHAnsi" w:hAnsiTheme="minorHAnsi"/>
          <w:color w:val="000000" w:themeColor="text1"/>
          <w:sz w:val="22"/>
          <w:szCs w:val="22"/>
          <w:lang w:val="es-ES_tradnl"/>
        </w:rPr>
        <w:t xml:space="preserve">marco normativo de acuerdo a lo establecido en el Plan Metropolitano de </w:t>
      </w:r>
      <w:r w:rsidR="00D35FF7">
        <w:rPr>
          <w:rFonts w:asciiTheme="minorHAnsi" w:hAnsiTheme="minorHAnsi"/>
          <w:color w:val="000000" w:themeColor="text1"/>
          <w:sz w:val="22"/>
          <w:szCs w:val="22"/>
          <w:lang w:val="es-ES_tradnl"/>
        </w:rPr>
        <w:t xml:space="preserve">Desarrollo y Ordenamiento </w:t>
      </w:r>
      <w:r w:rsidRPr="00963EA4">
        <w:rPr>
          <w:rFonts w:asciiTheme="minorHAnsi" w:hAnsiTheme="minorHAnsi"/>
          <w:color w:val="000000" w:themeColor="text1"/>
          <w:sz w:val="22"/>
          <w:szCs w:val="22"/>
          <w:lang w:val="es-ES_tradnl"/>
        </w:rPr>
        <w:t>Territorial</w:t>
      </w:r>
      <w:r w:rsidR="00D35FF7">
        <w:rPr>
          <w:rFonts w:asciiTheme="minorHAnsi" w:hAnsiTheme="minorHAnsi"/>
          <w:color w:val="000000" w:themeColor="text1"/>
          <w:sz w:val="22"/>
          <w:szCs w:val="22"/>
          <w:lang w:val="es-ES_tradnl"/>
        </w:rPr>
        <w:t xml:space="preserve"> (PMDOT), </w:t>
      </w:r>
      <w:r w:rsidRPr="00963EA4">
        <w:rPr>
          <w:rFonts w:asciiTheme="minorHAnsi" w:hAnsiTheme="minorHAnsi"/>
          <w:color w:val="000000" w:themeColor="text1"/>
          <w:sz w:val="22"/>
          <w:szCs w:val="22"/>
          <w:lang w:val="es-ES_tradnl"/>
        </w:rPr>
        <w:t xml:space="preserve"> y la normativa vigente, que afiance la transformación y desarrollo, que recoja y </w:t>
      </w:r>
      <w:r w:rsidRPr="00D35FF7">
        <w:rPr>
          <w:rFonts w:asciiTheme="minorHAnsi" w:hAnsiTheme="minorHAnsi"/>
          <w:sz w:val="22"/>
          <w:szCs w:val="22"/>
          <w:lang w:val="es-ES_tradnl"/>
        </w:rPr>
        <w:t>fortalezca</w:t>
      </w:r>
      <w:r w:rsidRPr="00963EA4">
        <w:rPr>
          <w:rFonts w:asciiTheme="minorHAnsi" w:hAnsiTheme="minorHAnsi"/>
          <w:color w:val="FF0000"/>
          <w:sz w:val="22"/>
          <w:szCs w:val="22"/>
          <w:lang w:val="es-ES_tradnl"/>
        </w:rPr>
        <w:t xml:space="preserve"> </w:t>
      </w:r>
      <w:r w:rsidRPr="00963EA4">
        <w:rPr>
          <w:rFonts w:asciiTheme="minorHAnsi" w:hAnsiTheme="minorHAnsi"/>
          <w:sz w:val="22"/>
          <w:szCs w:val="22"/>
          <w:lang w:val="es-ES_tradnl"/>
        </w:rPr>
        <w:t xml:space="preserve">los mecanismos de participación ciudadana y de colaboración con los distintos actores, cuyo objetivo sea la armonización de la ordenanza 041 </w:t>
      </w:r>
      <w:r w:rsidR="00D35FF7">
        <w:rPr>
          <w:rFonts w:asciiTheme="minorHAnsi" w:hAnsiTheme="minorHAnsi"/>
          <w:sz w:val="22"/>
          <w:szCs w:val="22"/>
          <w:lang w:val="es-ES_tradnl"/>
        </w:rPr>
        <w:t>mediante la cual</w:t>
      </w:r>
      <w:r w:rsidRPr="00963EA4">
        <w:rPr>
          <w:rFonts w:asciiTheme="minorHAnsi" w:hAnsiTheme="minorHAnsi"/>
          <w:sz w:val="22"/>
          <w:szCs w:val="22"/>
          <w:lang w:val="es-ES_tradnl"/>
        </w:rPr>
        <w:t xml:space="preserve"> se aprobó el Plan Especial del Barrio Quito Tenis</w:t>
      </w:r>
      <w:r w:rsidR="00D35FF7">
        <w:rPr>
          <w:rFonts w:asciiTheme="minorHAnsi" w:hAnsiTheme="minorHAnsi"/>
          <w:sz w:val="22"/>
          <w:szCs w:val="22"/>
          <w:lang w:val="es-ES_tradnl"/>
        </w:rPr>
        <w:t xml:space="preserve">. </w:t>
      </w:r>
    </w:p>
    <w:p w:rsidR="00034288" w:rsidRPr="00963EA4" w:rsidRDefault="00034288" w:rsidP="00963EA4">
      <w:pPr>
        <w:jc w:val="both"/>
        <w:rPr>
          <w:rFonts w:asciiTheme="minorHAnsi" w:hAnsiTheme="minorHAnsi"/>
          <w:sz w:val="22"/>
          <w:szCs w:val="22"/>
          <w:lang w:val="es-ES_tradnl"/>
        </w:rPr>
      </w:pPr>
    </w:p>
    <w:p w:rsidR="00034288" w:rsidRPr="000B5FCA" w:rsidRDefault="00034288" w:rsidP="00963EA4">
      <w:pPr>
        <w:jc w:val="both"/>
        <w:rPr>
          <w:rFonts w:asciiTheme="minorHAnsi" w:hAnsiTheme="minorHAnsi"/>
          <w:sz w:val="22"/>
          <w:szCs w:val="22"/>
          <w:lang w:val="es-ES_tradnl"/>
        </w:rPr>
      </w:pPr>
      <w:r w:rsidRPr="000B5FCA">
        <w:rPr>
          <w:rFonts w:asciiTheme="minorHAnsi" w:hAnsiTheme="minorHAnsi"/>
          <w:sz w:val="22"/>
          <w:szCs w:val="22"/>
          <w:lang w:val="es-ES_tradnl"/>
        </w:rPr>
        <w:t xml:space="preserve">La Ordenanza 0041 del barrio  Quito Tenis en su artículo 5 </w:t>
      </w:r>
      <w:r w:rsidRPr="000B5FCA">
        <w:rPr>
          <w:rFonts w:asciiTheme="minorHAnsi" w:hAnsiTheme="minorHAnsi"/>
          <w:i/>
          <w:sz w:val="22"/>
          <w:szCs w:val="22"/>
          <w:lang w:val="es-ES_tradnl"/>
        </w:rPr>
        <w:t>Vigencia y Revisión</w:t>
      </w:r>
      <w:r w:rsidRPr="000B5FCA">
        <w:rPr>
          <w:rFonts w:asciiTheme="minorHAnsi" w:hAnsiTheme="minorHAnsi"/>
          <w:sz w:val="22"/>
          <w:szCs w:val="22"/>
          <w:lang w:val="es-ES_tradnl"/>
        </w:rPr>
        <w:t>, establece que el Plan  tendrá vigencia hasta que se alcancen los objetivos y resultados buscados, y su revisión se realizará cada cinco años por la Dirección Metropolitana de Planificación Territorial en coordinación con la Administración Zonal Eugenio Espejo y el Comité Barrial del barrio legalmente constituido y con informe  de la  Comisión de Suelo y Ordenamiento Territorial se someterá a aprobación del Concejo Metropolitano.</w:t>
      </w:r>
    </w:p>
    <w:p w:rsidR="00034288" w:rsidRPr="000B5FCA" w:rsidRDefault="00034288" w:rsidP="00963EA4">
      <w:pPr>
        <w:tabs>
          <w:tab w:val="left" w:pos="4483"/>
        </w:tabs>
        <w:jc w:val="both"/>
        <w:rPr>
          <w:rFonts w:asciiTheme="minorHAnsi" w:hAnsiTheme="minorHAnsi"/>
          <w:sz w:val="22"/>
          <w:szCs w:val="22"/>
          <w:lang w:val="es-ES_tradnl"/>
        </w:rPr>
      </w:pPr>
      <w:r w:rsidRPr="000B5FCA">
        <w:rPr>
          <w:rFonts w:asciiTheme="minorHAnsi" w:hAnsiTheme="minorHAnsi"/>
          <w:sz w:val="22"/>
          <w:szCs w:val="22"/>
          <w:lang w:val="es-ES_tradnl"/>
        </w:rPr>
        <w:tab/>
      </w:r>
    </w:p>
    <w:p w:rsidR="00034288" w:rsidRPr="000B5FCA" w:rsidRDefault="00034288" w:rsidP="00963EA4">
      <w:pPr>
        <w:jc w:val="both"/>
        <w:rPr>
          <w:rFonts w:asciiTheme="minorHAnsi" w:hAnsiTheme="minorHAnsi"/>
          <w:sz w:val="22"/>
          <w:szCs w:val="22"/>
          <w:lang w:val="es-ES_tradnl"/>
        </w:rPr>
      </w:pPr>
      <w:r w:rsidRPr="000B5FCA">
        <w:rPr>
          <w:rFonts w:asciiTheme="minorHAnsi" w:hAnsiTheme="minorHAnsi"/>
          <w:sz w:val="22"/>
          <w:szCs w:val="22"/>
          <w:lang w:val="es-ES_tradnl"/>
        </w:rPr>
        <w:t xml:space="preserve">Luego de las reuniones realizadas entre los representantes barriales y las entidades municipales para evaluar los contenidos de la ordenanza 041, se concluyó que a la  fecha,  era necesario introducir  algunos ajustes y la actualización del instrumento reglamentario de acuerdo a los contenidos de la Ordenanza Metropolitana No. 210 Modificatoria de las </w:t>
      </w:r>
      <w:r w:rsidRPr="000B5FCA">
        <w:rPr>
          <w:rFonts w:asciiTheme="minorHAnsi" w:hAnsiTheme="minorHAnsi"/>
          <w:sz w:val="22"/>
          <w:szCs w:val="22"/>
          <w:lang w:val="es-ES_tradnl"/>
        </w:rPr>
        <w:lastRenderedPageBreak/>
        <w:t>O</w:t>
      </w:r>
      <w:r w:rsidR="000B5FCA">
        <w:rPr>
          <w:rFonts w:asciiTheme="minorHAnsi" w:hAnsiTheme="minorHAnsi"/>
          <w:sz w:val="22"/>
          <w:szCs w:val="22"/>
          <w:lang w:val="es-ES_tradnl"/>
        </w:rPr>
        <w:t>rdenanzas Metropolitanas  Nos.</w:t>
      </w:r>
      <w:r w:rsidRPr="000B5FCA">
        <w:rPr>
          <w:rFonts w:asciiTheme="minorHAnsi" w:hAnsiTheme="minorHAnsi"/>
          <w:sz w:val="22"/>
          <w:szCs w:val="22"/>
          <w:lang w:val="es-ES_tradnl"/>
        </w:rPr>
        <w:t xml:space="preserve"> 127,192, 172, 432 y 060, sancionada el 12 de abril de 2018, entre los que se priorizan los siguientes: </w:t>
      </w:r>
    </w:p>
    <w:p w:rsidR="00C20527" w:rsidRPr="000B5FCA" w:rsidRDefault="00C20527" w:rsidP="00963EA4">
      <w:pPr>
        <w:jc w:val="both"/>
        <w:rPr>
          <w:rFonts w:asciiTheme="minorHAnsi" w:hAnsiTheme="minorHAnsi"/>
          <w:sz w:val="22"/>
          <w:szCs w:val="22"/>
          <w:lang w:val="es-ES_tradnl"/>
        </w:rPr>
      </w:pPr>
    </w:p>
    <w:p w:rsidR="00034288" w:rsidRPr="000B5FCA" w:rsidRDefault="00034288" w:rsidP="00034288">
      <w:pPr>
        <w:pStyle w:val="Prrafodelista"/>
        <w:ind w:left="0"/>
        <w:jc w:val="both"/>
        <w:rPr>
          <w:rFonts w:ascii="Calibri" w:hAnsi="Calibri" w:cstheme="minorHAnsi"/>
          <w:sz w:val="22"/>
          <w:szCs w:val="22"/>
          <w:lang w:val="es-MX"/>
        </w:rPr>
      </w:pPr>
      <w:r w:rsidRPr="000B5FCA">
        <w:rPr>
          <w:rFonts w:ascii="Calibri" w:hAnsi="Calibri" w:cstheme="minorHAnsi"/>
          <w:sz w:val="22"/>
          <w:szCs w:val="22"/>
          <w:lang w:val="es-MX"/>
        </w:rPr>
        <w:t xml:space="preserve">En el Cuadro No. 1  del artículo 8 </w:t>
      </w:r>
      <w:r w:rsidRPr="000B5FCA">
        <w:rPr>
          <w:rFonts w:ascii="Calibri" w:hAnsi="Calibri" w:cstheme="minorHAnsi"/>
          <w:i/>
          <w:sz w:val="22"/>
          <w:szCs w:val="22"/>
          <w:lang w:val="es-MX"/>
        </w:rPr>
        <w:t>de Compatibilidad de Usos de Suelo</w:t>
      </w:r>
      <w:r w:rsidRPr="000B5FCA">
        <w:rPr>
          <w:rFonts w:ascii="Calibri" w:hAnsi="Calibri" w:cstheme="minorHAnsi"/>
          <w:sz w:val="22"/>
          <w:szCs w:val="22"/>
          <w:lang w:val="es-MX"/>
        </w:rPr>
        <w:t xml:space="preserve">, se actualizan  los textos de las categorías descritas, así como el </w:t>
      </w:r>
      <w:r w:rsidR="00C20527" w:rsidRPr="000B5FCA">
        <w:rPr>
          <w:rFonts w:ascii="Calibri" w:hAnsi="Calibri" w:cstheme="minorHAnsi"/>
          <w:sz w:val="22"/>
          <w:szCs w:val="22"/>
          <w:lang w:val="es-MX"/>
        </w:rPr>
        <w:t xml:space="preserve">contenido del cuadro de acuerdo con </w:t>
      </w:r>
      <w:r w:rsidRPr="000B5FCA">
        <w:rPr>
          <w:rFonts w:ascii="Calibri" w:hAnsi="Calibri" w:cstheme="minorHAnsi"/>
          <w:sz w:val="22"/>
          <w:szCs w:val="22"/>
          <w:lang w:val="es-MX"/>
        </w:rPr>
        <w:t xml:space="preserve">la </w:t>
      </w:r>
      <w:r w:rsidR="00C20527" w:rsidRPr="000B5FCA">
        <w:rPr>
          <w:rFonts w:ascii="Calibri" w:hAnsi="Calibri" w:cstheme="minorHAnsi"/>
          <w:sz w:val="22"/>
          <w:szCs w:val="22"/>
          <w:lang w:val="es-MX"/>
        </w:rPr>
        <w:t xml:space="preserve">referida </w:t>
      </w:r>
      <w:r w:rsidRPr="000B5FCA">
        <w:rPr>
          <w:rFonts w:ascii="Calibri" w:hAnsi="Calibri" w:cstheme="minorHAnsi"/>
          <w:sz w:val="22"/>
          <w:szCs w:val="22"/>
          <w:lang w:val="es-MX"/>
        </w:rPr>
        <w:t>Ordenanza Metropolitana No. 210</w:t>
      </w:r>
      <w:r w:rsidR="00C20527" w:rsidRPr="000B5FCA">
        <w:rPr>
          <w:rFonts w:ascii="Calibri" w:hAnsi="Calibri" w:cstheme="minorHAnsi"/>
          <w:sz w:val="22"/>
          <w:szCs w:val="22"/>
          <w:lang w:val="es-MX"/>
        </w:rPr>
        <w:t xml:space="preserve">, </w:t>
      </w:r>
      <w:r w:rsidRPr="000B5FCA">
        <w:rPr>
          <w:rFonts w:ascii="Calibri" w:hAnsi="Calibri" w:cstheme="minorHAnsi"/>
          <w:sz w:val="22"/>
          <w:szCs w:val="22"/>
          <w:lang w:val="es-MX"/>
        </w:rPr>
        <w:t>que cumplió con el proceso de homologación dispuesto en la Ordenanza Metropolitana No. 127 del Plan de Uso y Ocupación del Suelo (PUOS), para que la Secretaría de Territorio</w:t>
      </w:r>
      <w:r w:rsidR="00C20527" w:rsidRPr="000B5FCA">
        <w:rPr>
          <w:rFonts w:ascii="Calibri" w:hAnsi="Calibri" w:cstheme="minorHAnsi"/>
          <w:sz w:val="22"/>
          <w:szCs w:val="22"/>
          <w:lang w:val="es-MX"/>
        </w:rPr>
        <w:t>, Hábitat y Vivienda</w:t>
      </w:r>
      <w:r w:rsidRPr="000B5FCA">
        <w:rPr>
          <w:rFonts w:ascii="Calibri" w:hAnsi="Calibri" w:cstheme="minorHAnsi"/>
          <w:sz w:val="22"/>
          <w:szCs w:val="22"/>
          <w:lang w:val="es-MX"/>
        </w:rPr>
        <w:t xml:space="preserve"> ajuste el clasificador internacional industrial uniforme CIIU INEC, para la emisión de las licencias LUAE. </w:t>
      </w:r>
    </w:p>
    <w:p w:rsidR="00963EA4" w:rsidRPr="000B5FCA" w:rsidRDefault="00963EA4" w:rsidP="00034288">
      <w:pPr>
        <w:pStyle w:val="Prrafodelista"/>
        <w:ind w:left="0"/>
        <w:jc w:val="both"/>
        <w:rPr>
          <w:rFonts w:ascii="Calibri" w:hAnsi="Calibri" w:cstheme="minorHAnsi"/>
          <w:sz w:val="22"/>
          <w:szCs w:val="22"/>
          <w:lang w:val="es-MX"/>
        </w:rPr>
      </w:pPr>
    </w:p>
    <w:p w:rsidR="00034288" w:rsidRPr="000B5FCA" w:rsidRDefault="00034288" w:rsidP="00034288">
      <w:pPr>
        <w:pStyle w:val="Prrafodelista"/>
        <w:ind w:left="0"/>
        <w:jc w:val="both"/>
        <w:rPr>
          <w:rFonts w:ascii="Calibri" w:hAnsi="Calibri" w:cstheme="minorHAnsi"/>
          <w:sz w:val="22"/>
          <w:szCs w:val="22"/>
          <w:lang w:val="es-MX"/>
        </w:rPr>
      </w:pPr>
      <w:r w:rsidRPr="000B5FCA">
        <w:rPr>
          <w:rFonts w:ascii="Calibri" w:hAnsi="Calibri" w:cstheme="minorHAnsi"/>
          <w:sz w:val="22"/>
          <w:szCs w:val="22"/>
          <w:lang w:val="es-MX"/>
        </w:rPr>
        <w:t xml:space="preserve">En el cuadro No. 2 del artículo 9 de la Forma de Ocupación y edificabilidad del Suelo,  en atención al  cambio  general  normativo del PUOS en que se pasó de tres (3) a cuatro (4) metros la altura de entrepisos, se modifican los valores de altura máxima de la siguiente manera: </w:t>
      </w:r>
      <w:r w:rsidR="00963EA4" w:rsidRPr="000B5FCA">
        <w:rPr>
          <w:rFonts w:ascii="Calibri" w:hAnsi="Calibri" w:cstheme="minorHAnsi"/>
          <w:sz w:val="22"/>
          <w:szCs w:val="22"/>
          <w:lang w:val="es-MX"/>
        </w:rPr>
        <w:t>En</w:t>
      </w:r>
      <w:r w:rsidRPr="000B5FCA">
        <w:rPr>
          <w:rFonts w:ascii="Calibri" w:hAnsi="Calibri" w:cstheme="minorHAnsi"/>
          <w:sz w:val="22"/>
          <w:szCs w:val="22"/>
          <w:lang w:val="es-MX"/>
        </w:rPr>
        <w:t xml:space="preserve">  A10 de 12,0 m a 16,0 m; en  A19 de 18,0 m a 24,0 m; y en  A21 de 24,0 m. a 32,0 m.</w:t>
      </w:r>
    </w:p>
    <w:p w:rsidR="00034288" w:rsidRPr="000B5FCA" w:rsidRDefault="00034288" w:rsidP="00034288">
      <w:pPr>
        <w:pStyle w:val="Prrafodelista"/>
        <w:ind w:left="0"/>
        <w:jc w:val="both"/>
        <w:rPr>
          <w:rFonts w:ascii="Calibri" w:hAnsi="Calibri" w:cstheme="minorHAnsi"/>
          <w:sz w:val="22"/>
          <w:szCs w:val="22"/>
          <w:lang w:val="es-MX"/>
        </w:rPr>
      </w:pPr>
      <w:r w:rsidRPr="000B5FCA">
        <w:rPr>
          <w:rFonts w:ascii="Calibri" w:hAnsi="Calibri" w:cstheme="minorHAnsi"/>
          <w:sz w:val="22"/>
          <w:szCs w:val="22"/>
          <w:lang w:val="es-MX"/>
        </w:rPr>
        <w:t xml:space="preserve">Se incluye a través del artículo 12 la prohibición expresa para la compra de edificabilidad. </w:t>
      </w:r>
    </w:p>
    <w:p w:rsidR="00963EA4" w:rsidRPr="000B5FCA" w:rsidRDefault="00963EA4" w:rsidP="00034288">
      <w:pPr>
        <w:pStyle w:val="Prrafodelista"/>
        <w:ind w:left="0"/>
        <w:jc w:val="both"/>
        <w:rPr>
          <w:rFonts w:ascii="Calibri" w:hAnsi="Calibri" w:cstheme="minorHAnsi"/>
          <w:sz w:val="22"/>
          <w:szCs w:val="22"/>
          <w:lang w:val="es-MX"/>
        </w:rPr>
      </w:pPr>
    </w:p>
    <w:p w:rsidR="00034288" w:rsidRPr="000B5FCA" w:rsidRDefault="00034288" w:rsidP="00034288">
      <w:pPr>
        <w:pStyle w:val="Prrafodelista"/>
        <w:ind w:left="0"/>
        <w:jc w:val="both"/>
        <w:rPr>
          <w:rFonts w:ascii="Calibri" w:hAnsi="Calibri" w:cstheme="minorHAnsi"/>
          <w:sz w:val="22"/>
          <w:szCs w:val="22"/>
          <w:lang w:val="es-MX"/>
        </w:rPr>
      </w:pPr>
      <w:r w:rsidRPr="000B5FCA">
        <w:rPr>
          <w:rFonts w:ascii="Calibri" w:hAnsi="Calibri" w:cstheme="minorHAnsi"/>
          <w:sz w:val="22"/>
          <w:szCs w:val="22"/>
          <w:lang w:val="es-MX"/>
        </w:rPr>
        <w:t>La prioridad de atención a los peatones y vehículos no motorizados se incorpora en el artículo 1</w:t>
      </w:r>
      <w:r w:rsidR="00963EA4" w:rsidRPr="000B5FCA">
        <w:rPr>
          <w:rFonts w:ascii="Calibri" w:hAnsi="Calibri" w:cstheme="minorHAnsi"/>
          <w:sz w:val="22"/>
          <w:szCs w:val="22"/>
          <w:lang w:val="es-MX"/>
        </w:rPr>
        <w:t>3</w:t>
      </w:r>
      <w:r w:rsidRPr="000B5FCA">
        <w:rPr>
          <w:rFonts w:ascii="Calibri" w:hAnsi="Calibri" w:cstheme="minorHAnsi"/>
          <w:sz w:val="22"/>
          <w:szCs w:val="22"/>
          <w:lang w:val="es-MX"/>
        </w:rPr>
        <w:t xml:space="preserve"> del que elimina el cuadro No. 3 de Categorización y Dimensionamiento vial del  PEQT.</w:t>
      </w:r>
    </w:p>
    <w:p w:rsidR="00164775" w:rsidRPr="000B5FCA" w:rsidRDefault="00164775" w:rsidP="00034288">
      <w:pPr>
        <w:pStyle w:val="Prrafodelista"/>
        <w:ind w:left="0"/>
        <w:jc w:val="both"/>
        <w:rPr>
          <w:rFonts w:ascii="Calibri" w:hAnsi="Calibri" w:cstheme="minorHAnsi"/>
          <w:sz w:val="22"/>
          <w:szCs w:val="22"/>
          <w:lang w:val="es-MX"/>
        </w:rPr>
      </w:pPr>
    </w:p>
    <w:p w:rsidR="00034288" w:rsidRPr="000B5FCA" w:rsidRDefault="00034288" w:rsidP="00034288">
      <w:pPr>
        <w:pStyle w:val="Prrafodelista"/>
        <w:ind w:left="0"/>
        <w:jc w:val="both"/>
        <w:rPr>
          <w:rFonts w:ascii="Calibri" w:hAnsi="Calibri" w:cstheme="minorHAnsi"/>
          <w:sz w:val="22"/>
          <w:szCs w:val="22"/>
          <w:lang w:val="es-MX"/>
        </w:rPr>
      </w:pPr>
      <w:r w:rsidRPr="000B5FCA">
        <w:rPr>
          <w:rFonts w:ascii="Calibri" w:hAnsi="Calibri" w:cstheme="minorHAnsi"/>
          <w:sz w:val="22"/>
          <w:szCs w:val="22"/>
          <w:lang w:val="es-MX"/>
        </w:rPr>
        <w:t xml:space="preserve">En los artículos 16, 17 y 18 se establecen las condiciones para que, sin que medie reforma alguna a los programas y proyectos contenidos en el Plan, se puedan desarrollar convenios entre el Comité Barrial con la Administración Zonal </w:t>
      </w:r>
      <w:r w:rsidR="00164775" w:rsidRPr="000B5FCA">
        <w:rPr>
          <w:rFonts w:ascii="Calibri" w:hAnsi="Calibri" w:cstheme="minorHAnsi"/>
          <w:sz w:val="22"/>
          <w:szCs w:val="22"/>
          <w:lang w:val="es-MX"/>
        </w:rPr>
        <w:t xml:space="preserve">Eugenio Espejo </w:t>
      </w:r>
      <w:r w:rsidRPr="000B5FCA">
        <w:rPr>
          <w:rFonts w:ascii="Calibri" w:hAnsi="Calibri" w:cstheme="minorHAnsi"/>
          <w:sz w:val="22"/>
          <w:szCs w:val="22"/>
          <w:lang w:val="es-MX"/>
        </w:rPr>
        <w:t>para la implementación de obras y mejoras en el barrio.</w:t>
      </w:r>
    </w:p>
    <w:p w:rsidR="00034288" w:rsidRPr="000B5FCA" w:rsidRDefault="00034288" w:rsidP="00034288">
      <w:pPr>
        <w:tabs>
          <w:tab w:val="left" w:pos="1428"/>
        </w:tabs>
        <w:rPr>
          <w:lang w:val="es-MX"/>
        </w:rPr>
      </w:pPr>
      <w:r w:rsidRPr="000B5FCA">
        <w:rPr>
          <w:lang w:val="es-MX"/>
        </w:rPr>
        <w:tab/>
      </w:r>
    </w:p>
    <w:p w:rsidR="00034288" w:rsidRPr="000B5FCA" w:rsidRDefault="00034288" w:rsidP="00034288">
      <w:pPr>
        <w:pStyle w:val="Prrafodelista"/>
        <w:ind w:left="0"/>
        <w:jc w:val="both"/>
        <w:rPr>
          <w:rFonts w:ascii="Calibri" w:hAnsi="Calibri" w:cstheme="minorHAnsi"/>
          <w:sz w:val="22"/>
          <w:szCs w:val="22"/>
          <w:lang w:val="es-MX"/>
        </w:rPr>
      </w:pPr>
      <w:r w:rsidRPr="000B5FCA">
        <w:rPr>
          <w:rFonts w:ascii="Calibri" w:hAnsi="Calibri" w:cstheme="minorHAnsi"/>
          <w:sz w:val="22"/>
          <w:szCs w:val="22"/>
          <w:lang w:val="es-MX"/>
        </w:rPr>
        <w:t>Mediante la Disposición Transitoria Tercera se establece que la Administración Zonal Eugenio Espejo, en coordinación con las entidades especializadas de la Municipalidad del Distrito Metropolitano de Quito, y con el Comité del barrio Quito Tenis, elabore los estudios y regulaciones para el cumplimiento del Art 13, respecto de la categorización, dimensiones y afectaciones del sistema vial, en un plazo máximo de 180 días contados a partir de la fecha de vigencia de la Ordenanza Sustitutiva.</w:t>
      </w:r>
    </w:p>
    <w:p w:rsidR="00034288" w:rsidRPr="000B5FCA" w:rsidRDefault="00034288" w:rsidP="00034288">
      <w:pPr>
        <w:pStyle w:val="Prrafodelista"/>
        <w:ind w:left="0"/>
        <w:jc w:val="both"/>
        <w:rPr>
          <w:rFonts w:ascii="Calibri" w:hAnsi="Calibri" w:cstheme="minorHAnsi"/>
          <w:sz w:val="22"/>
          <w:szCs w:val="22"/>
          <w:lang w:val="es-MX"/>
        </w:rPr>
      </w:pPr>
    </w:p>
    <w:p w:rsidR="00034288" w:rsidRPr="000B5FCA" w:rsidRDefault="00034288" w:rsidP="00034288">
      <w:pPr>
        <w:jc w:val="both"/>
        <w:rPr>
          <w:rFonts w:asciiTheme="minorHAnsi" w:hAnsiTheme="minorHAnsi"/>
          <w:bCs/>
          <w:sz w:val="22"/>
          <w:szCs w:val="22"/>
          <w:lang w:val="es-ES_tradnl" w:eastAsia="es-ES"/>
        </w:rPr>
      </w:pPr>
      <w:r w:rsidRPr="000B5FCA">
        <w:rPr>
          <w:rFonts w:asciiTheme="minorHAnsi" w:hAnsiTheme="minorHAnsi"/>
          <w:bCs/>
          <w:sz w:val="22"/>
          <w:szCs w:val="22"/>
          <w:lang w:val="es-ES_tradnl" w:eastAsia="es-ES"/>
        </w:rPr>
        <w:t>Finalmente, ha sido la voluntad de los residentes el mantener y hacer prevalecer las condiciones propuestas en la  ordenanza sustitutiva que mantiene los mismos criterios de la Ordenanza 041, para conservar y preservar las características de entorno y el ámbito adecuado para la participación comunitaria y la buena convivencia ciudadana.</w:t>
      </w:r>
    </w:p>
    <w:p w:rsidR="00034288" w:rsidRPr="000B5FCA" w:rsidRDefault="00034288" w:rsidP="00034288">
      <w:pPr>
        <w:rPr>
          <w:rFonts w:asciiTheme="minorHAnsi" w:hAnsiTheme="minorHAnsi"/>
          <w:sz w:val="22"/>
          <w:szCs w:val="22"/>
          <w:lang w:val="es-ES_tradnl" w:eastAsia="es-ES"/>
        </w:rPr>
      </w:pPr>
    </w:p>
    <w:p w:rsidR="00963EA4" w:rsidRPr="000B5FCA" w:rsidRDefault="00963EA4" w:rsidP="00963EA4">
      <w:pPr>
        <w:tabs>
          <w:tab w:val="left" w:pos="2062"/>
          <w:tab w:val="center" w:pos="4252"/>
        </w:tabs>
        <w:rPr>
          <w:rFonts w:asciiTheme="minorHAnsi" w:hAnsiTheme="minorHAnsi"/>
          <w:b/>
          <w:sz w:val="22"/>
          <w:szCs w:val="22"/>
          <w:lang w:val="es-ES_tradnl"/>
        </w:rPr>
      </w:pPr>
      <w:r w:rsidRPr="000B5FCA">
        <w:rPr>
          <w:rFonts w:asciiTheme="minorHAnsi" w:hAnsiTheme="minorHAnsi"/>
          <w:b/>
          <w:sz w:val="22"/>
          <w:szCs w:val="22"/>
          <w:lang w:val="es-ES_tradnl"/>
        </w:rPr>
        <w:tab/>
      </w:r>
    </w:p>
    <w:p w:rsidR="00963EA4" w:rsidRPr="000B5FCA" w:rsidRDefault="00963EA4" w:rsidP="00963EA4">
      <w:pPr>
        <w:tabs>
          <w:tab w:val="left" w:pos="2062"/>
          <w:tab w:val="center" w:pos="4252"/>
        </w:tabs>
        <w:rPr>
          <w:rFonts w:asciiTheme="minorHAnsi" w:hAnsiTheme="minorHAnsi"/>
          <w:b/>
          <w:sz w:val="22"/>
          <w:szCs w:val="22"/>
          <w:lang w:val="es-ES_tradnl"/>
        </w:rPr>
      </w:pPr>
    </w:p>
    <w:p w:rsidR="00963EA4" w:rsidRPr="000B5FCA" w:rsidRDefault="00963EA4" w:rsidP="00963EA4">
      <w:pPr>
        <w:tabs>
          <w:tab w:val="left" w:pos="2062"/>
          <w:tab w:val="center" w:pos="4252"/>
        </w:tabs>
        <w:rPr>
          <w:rFonts w:asciiTheme="minorHAnsi" w:hAnsiTheme="minorHAnsi"/>
          <w:b/>
          <w:sz w:val="22"/>
          <w:szCs w:val="22"/>
          <w:lang w:val="es-ES_tradnl"/>
        </w:rPr>
      </w:pPr>
    </w:p>
    <w:p w:rsidR="00963EA4" w:rsidRPr="000B5FCA" w:rsidRDefault="00963EA4" w:rsidP="00963EA4">
      <w:pPr>
        <w:tabs>
          <w:tab w:val="left" w:pos="2062"/>
          <w:tab w:val="center" w:pos="4252"/>
        </w:tabs>
        <w:rPr>
          <w:rFonts w:asciiTheme="minorHAnsi" w:hAnsiTheme="minorHAnsi"/>
          <w:b/>
          <w:sz w:val="22"/>
          <w:szCs w:val="22"/>
          <w:lang w:val="es-ES_tradnl"/>
        </w:rPr>
      </w:pPr>
    </w:p>
    <w:p w:rsidR="00963EA4" w:rsidRPr="000B5FCA" w:rsidRDefault="00963EA4" w:rsidP="00963EA4">
      <w:pPr>
        <w:tabs>
          <w:tab w:val="left" w:pos="2062"/>
          <w:tab w:val="center" w:pos="4252"/>
        </w:tabs>
        <w:rPr>
          <w:rFonts w:asciiTheme="minorHAnsi" w:hAnsiTheme="minorHAnsi"/>
          <w:b/>
          <w:sz w:val="22"/>
          <w:szCs w:val="22"/>
          <w:lang w:val="es-ES_tradnl"/>
        </w:rPr>
      </w:pPr>
    </w:p>
    <w:p w:rsidR="00963EA4" w:rsidRPr="000B5FCA" w:rsidRDefault="00963EA4" w:rsidP="00963EA4">
      <w:pPr>
        <w:tabs>
          <w:tab w:val="left" w:pos="2062"/>
          <w:tab w:val="center" w:pos="4252"/>
        </w:tabs>
        <w:rPr>
          <w:rFonts w:asciiTheme="minorHAnsi" w:hAnsiTheme="minorHAnsi"/>
          <w:b/>
          <w:sz w:val="22"/>
          <w:szCs w:val="22"/>
          <w:lang w:val="es-ES_tradnl"/>
        </w:rPr>
      </w:pPr>
    </w:p>
    <w:p w:rsidR="00963EA4" w:rsidRPr="000B5FCA" w:rsidRDefault="00963EA4" w:rsidP="00963EA4">
      <w:pPr>
        <w:tabs>
          <w:tab w:val="left" w:pos="2062"/>
          <w:tab w:val="center" w:pos="4252"/>
        </w:tabs>
        <w:rPr>
          <w:rFonts w:asciiTheme="minorHAnsi" w:hAnsiTheme="minorHAnsi"/>
          <w:b/>
          <w:sz w:val="22"/>
          <w:szCs w:val="22"/>
          <w:lang w:val="es-ES_tradnl"/>
        </w:rPr>
      </w:pPr>
    </w:p>
    <w:p w:rsidR="00963EA4" w:rsidRPr="000B5FCA" w:rsidRDefault="00963EA4" w:rsidP="00963EA4">
      <w:pPr>
        <w:tabs>
          <w:tab w:val="left" w:pos="2062"/>
          <w:tab w:val="center" w:pos="4252"/>
        </w:tabs>
        <w:rPr>
          <w:rFonts w:asciiTheme="minorHAnsi" w:hAnsiTheme="minorHAnsi"/>
          <w:b/>
          <w:sz w:val="22"/>
          <w:szCs w:val="22"/>
          <w:lang w:val="es-ES_tradnl"/>
        </w:rPr>
      </w:pPr>
    </w:p>
    <w:p w:rsidR="00963EA4" w:rsidRPr="000B5FCA" w:rsidRDefault="00963EA4" w:rsidP="00963EA4">
      <w:pPr>
        <w:tabs>
          <w:tab w:val="left" w:pos="2062"/>
          <w:tab w:val="center" w:pos="4252"/>
        </w:tabs>
        <w:rPr>
          <w:rFonts w:asciiTheme="minorHAnsi" w:hAnsiTheme="minorHAnsi"/>
          <w:b/>
          <w:sz w:val="22"/>
          <w:szCs w:val="22"/>
          <w:lang w:val="es-ES_tradnl"/>
        </w:rPr>
      </w:pPr>
    </w:p>
    <w:p w:rsidR="00963EA4" w:rsidRPr="000B5FCA" w:rsidRDefault="00963EA4" w:rsidP="00963EA4">
      <w:pPr>
        <w:tabs>
          <w:tab w:val="left" w:pos="2062"/>
          <w:tab w:val="center" w:pos="4252"/>
        </w:tabs>
        <w:rPr>
          <w:rFonts w:asciiTheme="minorHAnsi" w:hAnsiTheme="minorHAnsi"/>
          <w:b/>
          <w:sz w:val="22"/>
          <w:szCs w:val="22"/>
          <w:lang w:val="es-ES_tradnl"/>
        </w:rPr>
      </w:pPr>
    </w:p>
    <w:p w:rsidR="00963EA4" w:rsidRPr="000B5FCA" w:rsidRDefault="00963EA4" w:rsidP="00963EA4">
      <w:pPr>
        <w:tabs>
          <w:tab w:val="left" w:pos="2062"/>
          <w:tab w:val="center" w:pos="4252"/>
        </w:tabs>
        <w:rPr>
          <w:rFonts w:asciiTheme="minorHAnsi" w:hAnsiTheme="minorHAnsi"/>
          <w:b/>
          <w:sz w:val="22"/>
          <w:szCs w:val="22"/>
          <w:lang w:val="es-ES_tradnl"/>
        </w:rPr>
      </w:pPr>
    </w:p>
    <w:p w:rsidR="00963EA4" w:rsidRPr="000B5FCA" w:rsidRDefault="00963EA4" w:rsidP="00963EA4">
      <w:pPr>
        <w:tabs>
          <w:tab w:val="left" w:pos="2062"/>
          <w:tab w:val="center" w:pos="4252"/>
        </w:tabs>
        <w:rPr>
          <w:rFonts w:asciiTheme="minorHAnsi" w:hAnsiTheme="minorHAnsi"/>
          <w:b/>
          <w:sz w:val="22"/>
          <w:szCs w:val="22"/>
          <w:lang w:val="es-ES_tradnl"/>
        </w:rPr>
      </w:pPr>
    </w:p>
    <w:p w:rsidR="00963EA4" w:rsidRDefault="00963EA4" w:rsidP="00963EA4">
      <w:pPr>
        <w:tabs>
          <w:tab w:val="left" w:pos="2062"/>
          <w:tab w:val="center" w:pos="4252"/>
        </w:tabs>
        <w:rPr>
          <w:rFonts w:asciiTheme="minorHAnsi" w:hAnsiTheme="minorHAnsi"/>
          <w:b/>
          <w:sz w:val="22"/>
          <w:szCs w:val="22"/>
          <w:lang w:val="es-ES_tradnl"/>
        </w:rPr>
      </w:pPr>
    </w:p>
    <w:p w:rsidR="00963EA4" w:rsidRDefault="00963EA4" w:rsidP="00963EA4">
      <w:pPr>
        <w:tabs>
          <w:tab w:val="left" w:pos="2062"/>
          <w:tab w:val="center" w:pos="4252"/>
        </w:tabs>
        <w:rPr>
          <w:rFonts w:asciiTheme="minorHAnsi" w:hAnsiTheme="minorHAnsi"/>
          <w:b/>
          <w:sz w:val="22"/>
          <w:szCs w:val="22"/>
          <w:lang w:val="es-ES_tradnl"/>
        </w:rPr>
      </w:pPr>
    </w:p>
    <w:p w:rsidR="00963EA4" w:rsidRDefault="00963EA4" w:rsidP="00963EA4">
      <w:pPr>
        <w:tabs>
          <w:tab w:val="left" w:pos="2062"/>
          <w:tab w:val="center" w:pos="4252"/>
        </w:tabs>
        <w:rPr>
          <w:rFonts w:asciiTheme="minorHAnsi" w:hAnsiTheme="minorHAnsi"/>
          <w:b/>
          <w:sz w:val="22"/>
          <w:szCs w:val="22"/>
          <w:lang w:val="es-ES_tradnl"/>
        </w:rPr>
      </w:pPr>
    </w:p>
    <w:p w:rsidR="00034288" w:rsidRPr="00963EA4" w:rsidRDefault="00034288" w:rsidP="00263730">
      <w:pPr>
        <w:tabs>
          <w:tab w:val="left" w:pos="2062"/>
          <w:tab w:val="center" w:pos="4252"/>
        </w:tabs>
        <w:jc w:val="center"/>
        <w:rPr>
          <w:rFonts w:asciiTheme="minorHAnsi" w:hAnsiTheme="minorHAnsi"/>
          <w:b/>
          <w:sz w:val="22"/>
          <w:szCs w:val="22"/>
          <w:lang w:val="es-ES_tradnl"/>
        </w:rPr>
      </w:pPr>
      <w:r w:rsidRPr="00963EA4">
        <w:rPr>
          <w:rFonts w:asciiTheme="minorHAnsi" w:hAnsiTheme="minorHAnsi"/>
          <w:b/>
          <w:sz w:val="22"/>
          <w:szCs w:val="22"/>
          <w:lang w:val="es-ES_tradnl"/>
        </w:rPr>
        <w:lastRenderedPageBreak/>
        <w:t>EL CONCEJO METROPOLITANO DE QUITO</w:t>
      </w:r>
    </w:p>
    <w:p w:rsidR="00034288" w:rsidRPr="00963EA4" w:rsidRDefault="00034288" w:rsidP="00034288">
      <w:pPr>
        <w:jc w:val="center"/>
        <w:rPr>
          <w:rFonts w:asciiTheme="minorHAnsi" w:hAnsiTheme="minorHAnsi"/>
          <w:b/>
          <w:sz w:val="22"/>
          <w:szCs w:val="22"/>
          <w:lang w:val="es-ES_tradnl"/>
        </w:rPr>
      </w:pPr>
    </w:p>
    <w:p w:rsidR="00034288" w:rsidRPr="00963EA4" w:rsidRDefault="00034288" w:rsidP="00034288">
      <w:pPr>
        <w:ind w:left="596" w:hanging="596"/>
        <w:jc w:val="both"/>
        <w:rPr>
          <w:rFonts w:asciiTheme="minorHAnsi" w:hAnsiTheme="minorHAnsi"/>
          <w:color w:val="0070C0"/>
          <w:sz w:val="22"/>
          <w:szCs w:val="22"/>
          <w:lang w:val="es-ES_tradnl"/>
        </w:rPr>
      </w:pPr>
      <w:r w:rsidRPr="000B5FCA">
        <w:rPr>
          <w:rFonts w:asciiTheme="minorHAnsi" w:hAnsiTheme="minorHAnsi"/>
          <w:sz w:val="22"/>
          <w:szCs w:val="22"/>
          <w:lang w:val="es-ES_tradnl"/>
        </w:rPr>
        <w:t xml:space="preserve">Visto </w:t>
      </w:r>
      <w:r w:rsidRPr="00730557">
        <w:rPr>
          <w:rFonts w:asciiTheme="minorHAnsi" w:hAnsiTheme="minorHAnsi"/>
          <w:sz w:val="22"/>
          <w:szCs w:val="22"/>
          <w:lang w:val="es-ES_tradnl"/>
        </w:rPr>
        <w:t>el informe xx d</w:t>
      </w:r>
      <w:r w:rsidRPr="000B5FCA">
        <w:rPr>
          <w:rFonts w:asciiTheme="minorHAnsi" w:hAnsiTheme="minorHAnsi"/>
          <w:sz w:val="22"/>
          <w:szCs w:val="22"/>
          <w:lang w:val="es-ES_tradnl"/>
        </w:rPr>
        <w:t xml:space="preserve">e la Comisión de Uso de Suelo; y, </w:t>
      </w:r>
    </w:p>
    <w:p w:rsidR="00034288" w:rsidRPr="00963EA4" w:rsidRDefault="00034288" w:rsidP="00034288">
      <w:pPr>
        <w:jc w:val="both"/>
        <w:rPr>
          <w:rFonts w:asciiTheme="minorHAnsi" w:hAnsiTheme="minorHAnsi"/>
          <w:sz w:val="22"/>
          <w:szCs w:val="22"/>
          <w:lang w:val="es-ES_tradnl"/>
        </w:rPr>
      </w:pPr>
    </w:p>
    <w:p w:rsidR="00034288" w:rsidRPr="00963EA4" w:rsidRDefault="00034288" w:rsidP="00034288">
      <w:pPr>
        <w:jc w:val="center"/>
        <w:rPr>
          <w:rFonts w:asciiTheme="minorHAnsi" w:hAnsiTheme="minorHAnsi"/>
          <w:b/>
          <w:sz w:val="22"/>
          <w:szCs w:val="22"/>
          <w:lang w:val="es-ES_tradnl"/>
        </w:rPr>
      </w:pPr>
      <w:r w:rsidRPr="00963EA4">
        <w:rPr>
          <w:rFonts w:asciiTheme="minorHAnsi" w:hAnsiTheme="minorHAnsi"/>
          <w:b/>
          <w:sz w:val="22"/>
          <w:szCs w:val="22"/>
          <w:lang w:val="es-ES_tradnl"/>
        </w:rPr>
        <w:t>Considerando:</w:t>
      </w:r>
    </w:p>
    <w:p w:rsidR="00034288" w:rsidRPr="00963EA4" w:rsidRDefault="00034288" w:rsidP="00034288">
      <w:pPr>
        <w:jc w:val="center"/>
        <w:rPr>
          <w:rFonts w:asciiTheme="minorHAnsi" w:hAnsiTheme="minorHAnsi"/>
          <w:b/>
          <w:sz w:val="22"/>
          <w:szCs w:val="22"/>
          <w:lang w:val="es-ES_tradnl"/>
        </w:rPr>
      </w:pPr>
    </w:p>
    <w:p w:rsidR="00034288" w:rsidRPr="00963EA4" w:rsidRDefault="00034288" w:rsidP="00034288">
      <w:pPr>
        <w:ind w:left="596" w:hanging="596"/>
        <w:jc w:val="both"/>
        <w:rPr>
          <w:rFonts w:asciiTheme="minorHAnsi" w:hAnsiTheme="minorHAnsi"/>
          <w:sz w:val="22"/>
          <w:szCs w:val="22"/>
          <w:lang w:val="es-ES_tradnl"/>
        </w:rPr>
      </w:pPr>
      <w:r w:rsidRPr="00963EA4">
        <w:rPr>
          <w:rFonts w:asciiTheme="minorHAnsi" w:hAnsiTheme="minorHAnsi"/>
          <w:sz w:val="22"/>
          <w:szCs w:val="22"/>
          <w:lang w:val="es-ES_tradnl"/>
        </w:rPr>
        <w:t xml:space="preserve">Que, el </w:t>
      </w:r>
      <w:r w:rsidRPr="000B5FCA">
        <w:rPr>
          <w:rFonts w:asciiTheme="minorHAnsi" w:hAnsiTheme="minorHAnsi"/>
          <w:sz w:val="22"/>
          <w:szCs w:val="22"/>
          <w:lang w:val="es-ES_tradnl"/>
        </w:rPr>
        <w:t xml:space="preserve">numeral 2 </w:t>
      </w:r>
      <w:r w:rsidRPr="00963EA4">
        <w:rPr>
          <w:rFonts w:asciiTheme="minorHAnsi" w:hAnsiTheme="minorHAnsi"/>
          <w:sz w:val="22"/>
          <w:szCs w:val="22"/>
          <w:lang w:val="es-ES_tradnl"/>
        </w:rPr>
        <w:t>del artículo 264 de la Constitución de la República del Ecuador, establece que, es competencia exclusiva de los gobiernos autónomos descentralizados municipales ejercer el control sobre el uso y la ocupación del suelo;</w:t>
      </w:r>
    </w:p>
    <w:p w:rsidR="00034288" w:rsidRPr="00963EA4" w:rsidRDefault="00034288" w:rsidP="00034288">
      <w:pPr>
        <w:jc w:val="both"/>
        <w:rPr>
          <w:rFonts w:asciiTheme="minorHAnsi" w:hAnsiTheme="minorHAnsi"/>
          <w:sz w:val="22"/>
          <w:szCs w:val="22"/>
          <w:lang w:val="es-ES_tradnl"/>
        </w:rPr>
      </w:pPr>
    </w:p>
    <w:p w:rsidR="00034288" w:rsidRPr="00730557" w:rsidRDefault="00034288" w:rsidP="00034288">
      <w:pPr>
        <w:ind w:left="596" w:hanging="596"/>
        <w:jc w:val="both"/>
        <w:rPr>
          <w:rFonts w:asciiTheme="minorHAnsi" w:hAnsiTheme="minorHAnsi"/>
          <w:sz w:val="22"/>
          <w:szCs w:val="22"/>
          <w:lang w:val="es-ES_tradnl"/>
        </w:rPr>
      </w:pPr>
      <w:r w:rsidRPr="00730557">
        <w:rPr>
          <w:rFonts w:asciiTheme="minorHAnsi" w:hAnsiTheme="minorHAnsi"/>
          <w:sz w:val="22"/>
          <w:szCs w:val="22"/>
          <w:lang w:val="es-ES_tradnl"/>
        </w:rPr>
        <w:t>Que, el artículo 266</w:t>
      </w:r>
      <w:r w:rsidR="008D6549" w:rsidRPr="00730557">
        <w:rPr>
          <w:rFonts w:asciiTheme="minorHAnsi" w:hAnsiTheme="minorHAnsi"/>
          <w:sz w:val="22"/>
          <w:szCs w:val="22"/>
          <w:lang w:val="es-ES_tradnl"/>
        </w:rPr>
        <w:t xml:space="preserve"> </w:t>
      </w:r>
      <w:r w:rsidRPr="00730557">
        <w:rPr>
          <w:rFonts w:asciiTheme="minorHAnsi" w:hAnsiTheme="minorHAnsi"/>
          <w:sz w:val="22"/>
          <w:szCs w:val="22"/>
          <w:lang w:val="es-ES_tradnl"/>
        </w:rPr>
        <w:t xml:space="preserve"> de la Constitución de la Re</w:t>
      </w:r>
      <w:r w:rsidR="008D6549" w:rsidRPr="00730557">
        <w:rPr>
          <w:rFonts w:asciiTheme="minorHAnsi" w:hAnsiTheme="minorHAnsi"/>
          <w:sz w:val="22"/>
          <w:szCs w:val="22"/>
          <w:lang w:val="es-ES_tradnl"/>
        </w:rPr>
        <w:t xml:space="preserve">pública del Ecuador indica que: “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w:t>
      </w:r>
    </w:p>
    <w:p w:rsidR="008D6549" w:rsidRPr="00730557" w:rsidRDefault="008D6549" w:rsidP="00034288">
      <w:pPr>
        <w:ind w:left="596" w:hanging="596"/>
        <w:jc w:val="both"/>
        <w:rPr>
          <w:rFonts w:asciiTheme="minorHAnsi" w:hAnsiTheme="minorHAnsi"/>
          <w:sz w:val="22"/>
          <w:szCs w:val="22"/>
          <w:lang w:val="es-ES_tradnl"/>
        </w:rPr>
      </w:pPr>
    </w:p>
    <w:p w:rsidR="00034288" w:rsidRDefault="00034288" w:rsidP="00034288">
      <w:pPr>
        <w:ind w:left="596" w:hanging="596"/>
        <w:jc w:val="both"/>
        <w:rPr>
          <w:rFonts w:asciiTheme="minorHAnsi" w:hAnsiTheme="minorHAnsi"/>
          <w:sz w:val="22"/>
          <w:szCs w:val="22"/>
          <w:lang w:val="es-ES_tradnl"/>
        </w:rPr>
      </w:pPr>
      <w:r w:rsidRPr="00963EA4">
        <w:rPr>
          <w:rFonts w:asciiTheme="minorHAnsi" w:hAnsiTheme="minorHAnsi"/>
          <w:sz w:val="22"/>
          <w:szCs w:val="22"/>
          <w:lang w:val="es-ES_tradnl"/>
        </w:rPr>
        <w:t xml:space="preserve">Que, conforme la letra e) del artículo 87 del Código Orgánico de Organización Territorial, Autonomía y Descentralización </w:t>
      </w:r>
      <w:r w:rsidRPr="000B5FCA">
        <w:rPr>
          <w:rFonts w:asciiTheme="minorHAnsi" w:hAnsiTheme="minorHAnsi"/>
          <w:sz w:val="22"/>
          <w:szCs w:val="22"/>
          <w:lang w:val="es-ES_tradnl"/>
        </w:rPr>
        <w:t xml:space="preserve">(COOTAD), </w:t>
      </w:r>
      <w:r w:rsidRPr="00963EA4">
        <w:rPr>
          <w:rFonts w:asciiTheme="minorHAnsi" w:hAnsiTheme="minorHAnsi"/>
          <w:sz w:val="22"/>
          <w:szCs w:val="22"/>
          <w:lang w:val="es-ES_tradnl"/>
        </w:rPr>
        <w:t>el Concejo Metropolitano tiene competencia para aprobar los planes de Ordenamiento Territorial del Distrito;</w:t>
      </w:r>
    </w:p>
    <w:p w:rsidR="00327F9B" w:rsidRDefault="00327F9B" w:rsidP="00034288">
      <w:pPr>
        <w:ind w:left="596" w:hanging="596"/>
        <w:jc w:val="both"/>
        <w:rPr>
          <w:rFonts w:asciiTheme="minorHAnsi" w:hAnsiTheme="minorHAnsi"/>
          <w:sz w:val="22"/>
          <w:szCs w:val="22"/>
          <w:lang w:val="es-ES_tradnl"/>
        </w:rPr>
      </w:pPr>
    </w:p>
    <w:p w:rsidR="00327F9B" w:rsidRPr="00730557" w:rsidRDefault="00327F9B" w:rsidP="00327F9B">
      <w:pPr>
        <w:widowControl w:val="0"/>
        <w:autoSpaceDE w:val="0"/>
        <w:autoSpaceDN w:val="0"/>
        <w:adjustRightInd w:val="0"/>
        <w:ind w:left="567" w:right="100" w:hanging="567"/>
        <w:jc w:val="both"/>
        <w:rPr>
          <w:rFonts w:asciiTheme="minorHAnsi" w:hAnsiTheme="minorHAnsi"/>
          <w:sz w:val="22"/>
          <w:szCs w:val="22"/>
          <w:lang w:val="es-ES_tradnl"/>
        </w:rPr>
      </w:pPr>
      <w:r w:rsidRPr="00730557">
        <w:rPr>
          <w:rFonts w:asciiTheme="minorHAnsi" w:hAnsiTheme="minorHAnsi"/>
          <w:sz w:val="22"/>
          <w:szCs w:val="22"/>
          <w:lang w:val="es-ES_tradnl"/>
        </w:rPr>
        <w:t xml:space="preserve">Que, de acuerdo con el artículo 90 </w:t>
      </w:r>
      <w:r w:rsidRPr="00730557">
        <w:rPr>
          <w:rFonts w:asciiTheme="minorHAnsi" w:hAnsiTheme="minorHAnsi"/>
          <w:i/>
          <w:sz w:val="22"/>
          <w:szCs w:val="22"/>
          <w:lang w:val="es-ES_tradnl"/>
        </w:rPr>
        <w:t>Atribuciones del Alcalde Metropolitano</w:t>
      </w:r>
      <w:r w:rsidR="003277E8" w:rsidRPr="00730557">
        <w:rPr>
          <w:rFonts w:asciiTheme="minorHAnsi" w:hAnsiTheme="minorHAnsi"/>
          <w:sz w:val="22"/>
          <w:szCs w:val="22"/>
          <w:lang w:val="es-ES_tradnl"/>
        </w:rPr>
        <w:t xml:space="preserve"> del Código Orgánico de Organización Territorial, Autonomía y Descentralización (COOTAD), </w:t>
      </w:r>
      <w:r w:rsidRPr="00730557">
        <w:rPr>
          <w:rFonts w:asciiTheme="minorHAnsi" w:hAnsiTheme="minorHAnsi"/>
          <w:sz w:val="22"/>
          <w:szCs w:val="22"/>
          <w:lang w:val="es-ES_tradnl"/>
        </w:rPr>
        <w:t xml:space="preserve"> le corresponde al Alcalde: literal n).-  “</w:t>
      </w:r>
      <w:r w:rsidRPr="00730557">
        <w:rPr>
          <w:rFonts w:asciiTheme="minorHAnsi" w:hAnsiTheme="minorHAnsi"/>
          <w:i/>
          <w:sz w:val="22"/>
          <w:szCs w:val="22"/>
          <w:lang w:val="es-ES_tradnl"/>
        </w:rPr>
        <w:t>Suscribir   contratos,   convenios   e   instrumentos   que comprometan al  gobierno  autónomo metropolitano, de acuerdo con la ley. Los convenios de crédito o aquellos que comprometan el patrimonio institucional requerirán de  la  autorización  del  concejo  metropolitano,  en  los montos  y  casos previstos en las ordenanzas  distritales que se dicten en la materia”</w:t>
      </w:r>
      <w:r w:rsidRPr="00730557">
        <w:rPr>
          <w:rFonts w:asciiTheme="minorHAnsi" w:hAnsiTheme="minorHAnsi"/>
          <w:sz w:val="22"/>
          <w:szCs w:val="22"/>
          <w:lang w:val="es-ES_tradnl"/>
        </w:rPr>
        <w:t>;</w:t>
      </w:r>
    </w:p>
    <w:p w:rsidR="00327F9B" w:rsidRPr="003F7E63" w:rsidRDefault="00327F9B" w:rsidP="00327F9B">
      <w:pPr>
        <w:widowControl w:val="0"/>
        <w:autoSpaceDE w:val="0"/>
        <w:autoSpaceDN w:val="0"/>
        <w:adjustRightInd w:val="0"/>
        <w:spacing w:before="5"/>
        <w:ind w:left="567" w:hanging="567"/>
        <w:rPr>
          <w:rFonts w:asciiTheme="minorHAnsi" w:hAnsiTheme="minorHAnsi"/>
          <w:color w:val="FF0000"/>
          <w:sz w:val="22"/>
          <w:szCs w:val="22"/>
          <w:lang w:val="es-ES_tradnl"/>
        </w:rPr>
      </w:pPr>
    </w:p>
    <w:p w:rsidR="003F14AA" w:rsidRPr="00730557" w:rsidRDefault="00327F9B" w:rsidP="00327F9B">
      <w:pPr>
        <w:ind w:left="567" w:hanging="567"/>
        <w:jc w:val="both"/>
        <w:rPr>
          <w:lang w:val="es-EC"/>
        </w:rPr>
      </w:pPr>
      <w:r w:rsidRPr="00730557">
        <w:rPr>
          <w:lang w:val="es-EC"/>
        </w:rPr>
        <w:t xml:space="preserve"> </w:t>
      </w:r>
      <w:r w:rsidR="003F14AA" w:rsidRPr="00730557">
        <w:rPr>
          <w:rFonts w:asciiTheme="minorHAnsi" w:hAnsiTheme="minorHAnsi"/>
          <w:sz w:val="22"/>
          <w:szCs w:val="22"/>
          <w:lang w:val="es-ES_tradnl"/>
        </w:rPr>
        <w:t>Que, la Ley Orgánica del Régimen para el Distrito Metropolitano de Quito</w:t>
      </w:r>
      <w:r w:rsidR="00A074BD" w:rsidRPr="00730557">
        <w:rPr>
          <w:rFonts w:asciiTheme="minorHAnsi" w:hAnsiTheme="minorHAnsi"/>
          <w:sz w:val="22"/>
          <w:szCs w:val="22"/>
          <w:lang w:val="es-ES_tradnl"/>
        </w:rPr>
        <w:t xml:space="preserve">, en el artículo 2 </w:t>
      </w:r>
      <w:r w:rsidR="00A074BD" w:rsidRPr="00730557">
        <w:rPr>
          <w:rFonts w:asciiTheme="minorHAnsi" w:hAnsiTheme="minorHAnsi"/>
          <w:i/>
          <w:sz w:val="22"/>
          <w:szCs w:val="22"/>
          <w:lang w:val="es-ES_tradnl"/>
        </w:rPr>
        <w:t>Finalidad</w:t>
      </w:r>
      <w:r w:rsidR="00A074BD" w:rsidRPr="00730557">
        <w:rPr>
          <w:rFonts w:asciiTheme="minorHAnsi" w:hAnsiTheme="minorHAnsi"/>
          <w:sz w:val="22"/>
          <w:szCs w:val="22"/>
          <w:lang w:val="es-ES_tradnl"/>
        </w:rPr>
        <w:t>, numeral 1</w:t>
      </w:r>
      <w:r w:rsidR="00730557" w:rsidRPr="00730557">
        <w:rPr>
          <w:rFonts w:asciiTheme="minorHAnsi" w:hAnsiTheme="minorHAnsi"/>
          <w:sz w:val="22"/>
          <w:szCs w:val="22"/>
          <w:lang w:val="es-ES_tradnl"/>
        </w:rPr>
        <w:t>)</w:t>
      </w:r>
      <w:r w:rsidR="00A074BD" w:rsidRPr="00730557">
        <w:rPr>
          <w:rFonts w:asciiTheme="minorHAnsi" w:hAnsiTheme="minorHAnsi"/>
          <w:sz w:val="22"/>
          <w:szCs w:val="22"/>
          <w:lang w:val="es-ES_tradnl"/>
        </w:rPr>
        <w:t xml:space="preserve">  establece que </w:t>
      </w:r>
      <w:r w:rsidR="00E1541E" w:rsidRPr="00730557">
        <w:rPr>
          <w:rFonts w:asciiTheme="minorHAnsi" w:hAnsiTheme="minorHAnsi"/>
          <w:sz w:val="22"/>
          <w:szCs w:val="22"/>
          <w:lang w:val="es-ES_tradnl"/>
        </w:rPr>
        <w:t xml:space="preserve"> el Municipio del Distrito Metropolitano de Quito “</w:t>
      </w:r>
      <w:r w:rsidR="00E1541E" w:rsidRPr="00730557">
        <w:rPr>
          <w:rFonts w:asciiTheme="minorHAnsi" w:hAnsiTheme="minorHAnsi"/>
          <w:i/>
          <w:sz w:val="22"/>
          <w:szCs w:val="22"/>
          <w:lang w:val="es-ES_tradnl"/>
        </w:rPr>
        <w:t>regulará el uso y la adecuada ocupación del suelo y ejercerá control sobre el mismo con competencia exclusiva y privativa.”</w:t>
      </w:r>
    </w:p>
    <w:p w:rsidR="00034288" w:rsidRPr="00730557" w:rsidRDefault="00034288" w:rsidP="00034288">
      <w:pPr>
        <w:ind w:left="596" w:hanging="596"/>
        <w:jc w:val="both"/>
        <w:rPr>
          <w:rFonts w:asciiTheme="minorHAnsi" w:hAnsiTheme="minorHAnsi"/>
          <w:i/>
          <w:sz w:val="22"/>
          <w:szCs w:val="22"/>
          <w:lang w:val="es-ES_tradnl"/>
        </w:rPr>
      </w:pPr>
    </w:p>
    <w:p w:rsidR="00034288" w:rsidRPr="00963EA4" w:rsidRDefault="00034288" w:rsidP="00034288">
      <w:pPr>
        <w:ind w:left="596" w:hanging="596"/>
        <w:jc w:val="both"/>
        <w:rPr>
          <w:rFonts w:asciiTheme="minorHAnsi" w:hAnsiTheme="minorHAnsi"/>
          <w:sz w:val="22"/>
          <w:szCs w:val="22"/>
          <w:lang w:val="es-ES_tradnl"/>
        </w:rPr>
      </w:pPr>
      <w:r w:rsidRPr="00963EA4">
        <w:rPr>
          <w:rFonts w:asciiTheme="minorHAnsi" w:hAnsiTheme="minorHAnsi"/>
          <w:sz w:val="22"/>
          <w:szCs w:val="22"/>
          <w:lang w:val="es-ES_tradnl"/>
        </w:rPr>
        <w:t xml:space="preserve">Que, la Ordenanza de Zonificación Especial </w:t>
      </w:r>
      <w:r w:rsidRPr="000B5FCA">
        <w:rPr>
          <w:rFonts w:asciiTheme="minorHAnsi" w:hAnsiTheme="minorHAnsi"/>
          <w:sz w:val="22"/>
          <w:szCs w:val="22"/>
          <w:lang w:val="es-ES_tradnl"/>
        </w:rPr>
        <w:t xml:space="preserve">No. </w:t>
      </w:r>
      <w:r w:rsidRPr="00963EA4">
        <w:rPr>
          <w:rFonts w:asciiTheme="minorHAnsi" w:hAnsiTheme="minorHAnsi"/>
          <w:sz w:val="22"/>
          <w:szCs w:val="22"/>
          <w:lang w:val="es-ES_tradnl"/>
        </w:rPr>
        <w:t>0041, sancionada el 27 de julio del 2009 publicada en el Registro Oficial 78, de 1 de diciembre de 2009, contiene el Plan Especial del Barrio Quito Tenis, ubicado en el noroccidente del Distrito Metropolitano de Quito, que modificó la Ordenanza de Zonificación 031 en la que constaba el Plan de Uso y Ocupación del Suelo;</w:t>
      </w:r>
    </w:p>
    <w:p w:rsidR="00034288" w:rsidRPr="00963EA4" w:rsidRDefault="00034288" w:rsidP="00034288">
      <w:pPr>
        <w:ind w:left="596" w:hanging="596"/>
        <w:jc w:val="both"/>
        <w:rPr>
          <w:rFonts w:asciiTheme="minorHAnsi" w:hAnsiTheme="minorHAnsi"/>
          <w:sz w:val="22"/>
          <w:szCs w:val="22"/>
          <w:lang w:val="es-ES_tradnl"/>
        </w:rPr>
      </w:pPr>
    </w:p>
    <w:p w:rsidR="00034288" w:rsidRPr="00963EA4" w:rsidRDefault="00034288" w:rsidP="00034288">
      <w:pPr>
        <w:ind w:left="596" w:hanging="596"/>
        <w:jc w:val="both"/>
        <w:rPr>
          <w:rFonts w:asciiTheme="minorHAnsi" w:hAnsiTheme="minorHAnsi"/>
          <w:sz w:val="22"/>
          <w:szCs w:val="22"/>
          <w:lang w:val="es-ES_tradnl"/>
        </w:rPr>
      </w:pPr>
      <w:r w:rsidRPr="00963EA4">
        <w:rPr>
          <w:rFonts w:asciiTheme="minorHAnsi" w:hAnsiTheme="minorHAnsi"/>
          <w:sz w:val="22"/>
          <w:szCs w:val="22"/>
          <w:lang w:val="es-ES_tradnl"/>
        </w:rPr>
        <w:t>Que por mandato del artículo 5 de la referida Ordenanza de Zonificación 0041, el Plan que en ella consta debe revisarse cada cinco años;</w:t>
      </w:r>
    </w:p>
    <w:p w:rsidR="00034288" w:rsidRPr="00963EA4" w:rsidRDefault="00034288" w:rsidP="00034288">
      <w:pPr>
        <w:ind w:left="596" w:hanging="596"/>
        <w:jc w:val="both"/>
        <w:rPr>
          <w:rFonts w:asciiTheme="minorHAnsi" w:hAnsiTheme="minorHAnsi"/>
          <w:sz w:val="22"/>
          <w:szCs w:val="22"/>
          <w:lang w:val="es-ES_tradnl"/>
        </w:rPr>
      </w:pPr>
    </w:p>
    <w:p w:rsidR="00034288" w:rsidRPr="00A81186" w:rsidRDefault="00034288" w:rsidP="00034288">
      <w:pPr>
        <w:ind w:left="596" w:hanging="596"/>
        <w:jc w:val="both"/>
        <w:rPr>
          <w:rFonts w:asciiTheme="minorHAnsi" w:hAnsiTheme="minorHAnsi"/>
          <w:sz w:val="22"/>
          <w:szCs w:val="22"/>
          <w:lang w:val="es-ES_tradnl"/>
        </w:rPr>
      </w:pPr>
      <w:r w:rsidRPr="00963EA4">
        <w:rPr>
          <w:rFonts w:asciiTheme="minorHAnsi" w:hAnsiTheme="minorHAnsi"/>
          <w:sz w:val="22"/>
          <w:szCs w:val="22"/>
          <w:lang w:val="es-ES_tradnl"/>
        </w:rPr>
        <w:t xml:space="preserve">Que, la Ordenanza 172,  sancionada el 30 de diciembre de 2011, </w:t>
      </w:r>
      <w:r w:rsidRPr="00A074BD">
        <w:rPr>
          <w:rFonts w:asciiTheme="minorHAnsi" w:hAnsiTheme="minorHAnsi"/>
          <w:sz w:val="22"/>
          <w:szCs w:val="22"/>
          <w:lang w:val="es-ES_tradnl"/>
        </w:rPr>
        <w:t>publicada en el suplemento del Registro Oficial 328, de 11 de septiembre de 2012,</w:t>
      </w:r>
      <w:r w:rsidRPr="00963EA4">
        <w:rPr>
          <w:rFonts w:asciiTheme="minorHAnsi" w:hAnsiTheme="minorHAnsi"/>
          <w:sz w:val="22"/>
          <w:szCs w:val="22"/>
          <w:lang w:val="es-ES_tradnl"/>
        </w:rPr>
        <w:t xml:space="preserve"> </w:t>
      </w:r>
      <w:r w:rsidR="00B83899">
        <w:rPr>
          <w:rFonts w:asciiTheme="minorHAnsi" w:hAnsiTheme="minorHAnsi"/>
          <w:sz w:val="22"/>
          <w:szCs w:val="22"/>
          <w:lang w:val="es-ES_tradnl"/>
        </w:rPr>
        <w:t xml:space="preserve">Modificada por la Ordenanza Metropolitana No. 432 de 20 de septiembre de </w:t>
      </w:r>
      <w:r w:rsidR="00B83899" w:rsidRPr="00A81186">
        <w:rPr>
          <w:rFonts w:asciiTheme="minorHAnsi" w:hAnsiTheme="minorHAnsi"/>
          <w:sz w:val="22"/>
          <w:szCs w:val="22"/>
          <w:lang w:val="es-ES_tradnl"/>
        </w:rPr>
        <w:t>2013; es</w:t>
      </w:r>
      <w:r w:rsidRPr="00A81186">
        <w:rPr>
          <w:rFonts w:asciiTheme="minorHAnsi" w:hAnsiTheme="minorHAnsi"/>
          <w:sz w:val="22"/>
          <w:szCs w:val="22"/>
          <w:lang w:val="es-ES_tradnl"/>
        </w:rPr>
        <w:t xml:space="preserve">tablece </w:t>
      </w:r>
      <w:r w:rsidR="00A074BD" w:rsidRPr="00A81186">
        <w:rPr>
          <w:rFonts w:asciiTheme="minorHAnsi" w:hAnsiTheme="minorHAnsi"/>
          <w:sz w:val="22"/>
          <w:szCs w:val="22"/>
          <w:lang w:val="es-ES_tradnl"/>
        </w:rPr>
        <w:t xml:space="preserve">en el artículo 25 que </w:t>
      </w:r>
      <w:r w:rsidRPr="00A81186">
        <w:rPr>
          <w:rFonts w:asciiTheme="minorHAnsi" w:hAnsiTheme="minorHAnsi"/>
          <w:sz w:val="22"/>
          <w:szCs w:val="22"/>
          <w:lang w:val="es-ES_tradnl"/>
        </w:rPr>
        <w:t xml:space="preserve">los planes especiales </w:t>
      </w:r>
      <w:r w:rsidR="00A074BD" w:rsidRPr="00A81186">
        <w:rPr>
          <w:rFonts w:asciiTheme="minorHAnsi" w:hAnsiTheme="minorHAnsi"/>
          <w:sz w:val="22"/>
          <w:szCs w:val="22"/>
          <w:lang w:val="es-ES_tradnl"/>
        </w:rPr>
        <w:t xml:space="preserve"> son </w:t>
      </w:r>
      <w:r w:rsidRPr="00A81186">
        <w:rPr>
          <w:rFonts w:asciiTheme="minorHAnsi" w:hAnsiTheme="minorHAnsi"/>
          <w:sz w:val="22"/>
          <w:szCs w:val="22"/>
          <w:lang w:val="es-ES_tradnl"/>
        </w:rPr>
        <w:t xml:space="preserve"> “</w:t>
      </w:r>
      <w:r w:rsidRPr="00A81186">
        <w:rPr>
          <w:rFonts w:asciiTheme="minorHAnsi" w:hAnsiTheme="minorHAnsi"/>
          <w:i/>
          <w:sz w:val="22"/>
          <w:szCs w:val="22"/>
          <w:lang w:val="es-ES_tradnl"/>
        </w:rPr>
        <w:t>instrumentos de planeamiento de la administración metropolitana</w:t>
      </w:r>
      <w:r w:rsidR="00A074BD" w:rsidRPr="00A81186">
        <w:rPr>
          <w:rFonts w:asciiTheme="minorHAnsi" w:hAnsiTheme="minorHAnsi"/>
          <w:i/>
          <w:sz w:val="22"/>
          <w:szCs w:val="22"/>
          <w:lang w:val="es-ES_tradnl"/>
        </w:rPr>
        <w:t xml:space="preserve">, cuyo objetivo es la planificación urbanística de las parroquias, barrios o manzanas, </w:t>
      </w:r>
      <w:r w:rsidR="0084673E" w:rsidRPr="00A81186">
        <w:rPr>
          <w:rFonts w:asciiTheme="minorHAnsi" w:hAnsiTheme="minorHAnsi"/>
          <w:i/>
          <w:sz w:val="22"/>
          <w:szCs w:val="22"/>
          <w:lang w:val="es-ES_tradnl"/>
        </w:rPr>
        <w:t xml:space="preserve">o de sectores de planificación  específicos, urbanos o rurales, que  por </w:t>
      </w:r>
      <w:r w:rsidRPr="00A81186">
        <w:rPr>
          <w:rFonts w:asciiTheme="minorHAnsi" w:hAnsiTheme="minorHAnsi"/>
          <w:i/>
          <w:sz w:val="22"/>
          <w:szCs w:val="22"/>
          <w:lang w:val="es-ES_tradnl"/>
        </w:rPr>
        <w:t>su dinámica entren en contradicción con la normativa vigente</w:t>
      </w:r>
      <w:r w:rsidRPr="00A81186">
        <w:rPr>
          <w:rFonts w:asciiTheme="minorHAnsi" w:hAnsiTheme="minorHAnsi"/>
          <w:sz w:val="22"/>
          <w:szCs w:val="22"/>
          <w:lang w:val="es-ES_tradnl"/>
        </w:rPr>
        <w:t>”;</w:t>
      </w:r>
    </w:p>
    <w:p w:rsidR="00034288" w:rsidRPr="00A81186" w:rsidRDefault="00034288" w:rsidP="00034288">
      <w:pPr>
        <w:ind w:left="596" w:hanging="596"/>
        <w:jc w:val="both"/>
        <w:rPr>
          <w:rFonts w:asciiTheme="minorHAnsi" w:hAnsiTheme="minorHAnsi"/>
          <w:sz w:val="22"/>
          <w:szCs w:val="22"/>
          <w:lang w:val="es-ES_tradnl"/>
        </w:rPr>
      </w:pPr>
    </w:p>
    <w:p w:rsidR="00034288" w:rsidRPr="004E4BCA" w:rsidRDefault="00034288" w:rsidP="00034288">
      <w:pPr>
        <w:ind w:left="619" w:hanging="619"/>
        <w:jc w:val="both"/>
        <w:rPr>
          <w:rFonts w:ascii="Calibri" w:hAnsi="Calibri" w:cstheme="minorHAnsi"/>
          <w:color w:val="000000" w:themeColor="text1"/>
          <w:sz w:val="20"/>
          <w:szCs w:val="20"/>
          <w:lang w:val="es-MX"/>
        </w:rPr>
      </w:pPr>
      <w:r w:rsidRPr="004E4BCA">
        <w:rPr>
          <w:rFonts w:asciiTheme="minorHAnsi" w:hAnsiTheme="minorHAnsi"/>
          <w:color w:val="000000" w:themeColor="text1"/>
          <w:sz w:val="22"/>
          <w:szCs w:val="22"/>
          <w:lang w:val="es-ES_tradnl"/>
        </w:rPr>
        <w:t xml:space="preserve">Que, mediante Ordenanza Metropolitana No. 210, sancionada el 12 de abril de 2018, se realizaron algunas modificaciones a la OM 127 del PUOS, actualizando los contenidos </w:t>
      </w:r>
      <w:r w:rsidRPr="004E4BCA">
        <w:rPr>
          <w:rFonts w:asciiTheme="minorHAnsi" w:hAnsiTheme="minorHAnsi"/>
          <w:color w:val="000000" w:themeColor="text1"/>
          <w:sz w:val="22"/>
          <w:szCs w:val="22"/>
          <w:lang w:val="es-ES_tradnl"/>
        </w:rPr>
        <w:lastRenderedPageBreak/>
        <w:t>del Cuadro de Compatibilidades ajustado al  clasificador internacional industrial uniforme CIIU con las actividades que se desarrollan en el territorio distrital para la emisión de licencias LUAE, lo que ha sido acogido por esta ordenanza sustitutiva del barrio Quito Tenis.</w:t>
      </w:r>
      <w:r w:rsidRPr="004E4BCA">
        <w:rPr>
          <w:rFonts w:ascii="Calibri" w:hAnsi="Calibri" w:cstheme="minorHAnsi"/>
          <w:color w:val="000000" w:themeColor="text1"/>
          <w:sz w:val="20"/>
          <w:szCs w:val="20"/>
          <w:lang w:val="es-MX"/>
        </w:rPr>
        <w:t xml:space="preserve"> </w:t>
      </w:r>
    </w:p>
    <w:p w:rsidR="00034288" w:rsidRPr="00963EA4" w:rsidRDefault="00034288" w:rsidP="00034288">
      <w:pPr>
        <w:ind w:left="596" w:hanging="596"/>
        <w:jc w:val="both"/>
        <w:rPr>
          <w:rFonts w:asciiTheme="minorHAnsi" w:hAnsiTheme="minorHAnsi"/>
          <w:sz w:val="22"/>
          <w:szCs w:val="22"/>
          <w:lang w:val="es-ES_tradnl"/>
        </w:rPr>
      </w:pPr>
    </w:p>
    <w:p w:rsidR="00034288" w:rsidRPr="00963EA4" w:rsidRDefault="00034288" w:rsidP="00034288">
      <w:pPr>
        <w:ind w:left="596" w:hanging="596"/>
        <w:jc w:val="both"/>
        <w:rPr>
          <w:rFonts w:asciiTheme="minorHAnsi" w:hAnsiTheme="minorHAnsi"/>
          <w:sz w:val="22"/>
          <w:szCs w:val="22"/>
          <w:lang w:val="es-ES_tradnl"/>
        </w:rPr>
      </w:pPr>
      <w:r w:rsidRPr="00963EA4">
        <w:rPr>
          <w:rFonts w:asciiTheme="minorHAnsi" w:hAnsiTheme="minorHAnsi"/>
          <w:sz w:val="22"/>
          <w:szCs w:val="22"/>
          <w:lang w:val="es-ES_tradnl"/>
        </w:rPr>
        <w:t>Que es necesario fortalecer el existente Plan Especial del Barrio Quito Tenis, a fin de mejorar sus condiciones urbanísticas y ambientales, evitar su deterioro y contribuir a un funcionamiento adecuado del sector y al mejoramiento de la calidad de vida para sus habitantes;</w:t>
      </w:r>
    </w:p>
    <w:p w:rsidR="00034288" w:rsidRPr="00963EA4" w:rsidRDefault="00034288" w:rsidP="00034288">
      <w:pPr>
        <w:ind w:left="596" w:hanging="596"/>
        <w:jc w:val="both"/>
        <w:rPr>
          <w:rFonts w:asciiTheme="minorHAnsi" w:hAnsiTheme="minorHAnsi"/>
          <w:sz w:val="22"/>
          <w:szCs w:val="22"/>
          <w:lang w:val="es-ES_tradnl"/>
        </w:rPr>
      </w:pPr>
    </w:p>
    <w:p w:rsidR="00034288" w:rsidRPr="00963EA4" w:rsidRDefault="00034288" w:rsidP="00034288">
      <w:pPr>
        <w:ind w:left="596" w:hanging="596"/>
        <w:jc w:val="both"/>
        <w:rPr>
          <w:rFonts w:asciiTheme="minorHAnsi" w:hAnsiTheme="minorHAnsi"/>
          <w:sz w:val="22"/>
          <w:szCs w:val="22"/>
          <w:lang w:val="es-ES_tradnl"/>
        </w:rPr>
      </w:pPr>
      <w:r w:rsidRPr="00963EA4">
        <w:rPr>
          <w:rFonts w:asciiTheme="minorHAnsi" w:hAnsiTheme="minorHAnsi"/>
          <w:sz w:val="22"/>
          <w:szCs w:val="22"/>
          <w:lang w:val="es-ES_tradnl"/>
        </w:rPr>
        <w:t>Que es deber de la Municipalidad del Distrito Metropolitano de Quito apoyar todos los proyectos e iniciativas de los ciudadanos que viven en su territorio y que contribuyan a una óptima convivencia ciudadana;</w:t>
      </w:r>
    </w:p>
    <w:p w:rsidR="00034288" w:rsidRPr="00963EA4" w:rsidRDefault="00034288" w:rsidP="00034288">
      <w:pPr>
        <w:ind w:left="596" w:hanging="596"/>
        <w:jc w:val="both"/>
        <w:rPr>
          <w:rFonts w:asciiTheme="minorHAnsi" w:hAnsiTheme="minorHAnsi"/>
          <w:sz w:val="22"/>
          <w:szCs w:val="22"/>
          <w:lang w:val="es-ES_tradnl"/>
        </w:rPr>
      </w:pPr>
    </w:p>
    <w:p w:rsidR="00034288" w:rsidRPr="00963EA4" w:rsidRDefault="00034288" w:rsidP="00034288">
      <w:pPr>
        <w:ind w:left="596" w:hanging="596"/>
        <w:jc w:val="both"/>
        <w:rPr>
          <w:rFonts w:asciiTheme="minorHAnsi" w:hAnsiTheme="minorHAnsi"/>
          <w:sz w:val="22"/>
          <w:szCs w:val="22"/>
          <w:lang w:val="es-ES_tradnl"/>
        </w:rPr>
      </w:pPr>
      <w:r w:rsidRPr="00963EA4">
        <w:rPr>
          <w:rFonts w:asciiTheme="minorHAnsi" w:hAnsiTheme="minorHAnsi"/>
          <w:sz w:val="22"/>
          <w:szCs w:val="22"/>
          <w:lang w:val="es-ES_tradnl"/>
        </w:rPr>
        <w:t>Que, El Plan Especial del Barrio Quito Tenis, es el resultado de un proceso participativo, de planificación y consensuado por sus vecinos; y,</w:t>
      </w:r>
    </w:p>
    <w:p w:rsidR="00034288" w:rsidRPr="00963EA4" w:rsidRDefault="00034288" w:rsidP="00034288">
      <w:pPr>
        <w:ind w:left="596" w:hanging="596"/>
        <w:jc w:val="both"/>
        <w:rPr>
          <w:rFonts w:asciiTheme="minorHAnsi" w:hAnsiTheme="minorHAnsi"/>
          <w:sz w:val="22"/>
          <w:szCs w:val="22"/>
          <w:lang w:val="es-ES_tradnl"/>
        </w:rPr>
      </w:pPr>
    </w:p>
    <w:p w:rsidR="00034288" w:rsidRPr="00B133A1" w:rsidRDefault="00034288" w:rsidP="00034288">
      <w:pPr>
        <w:ind w:left="596" w:hanging="596"/>
        <w:jc w:val="both"/>
        <w:rPr>
          <w:rFonts w:asciiTheme="minorHAnsi" w:hAnsiTheme="minorHAnsi"/>
          <w:color w:val="000000" w:themeColor="text1"/>
          <w:sz w:val="22"/>
          <w:szCs w:val="22"/>
          <w:lang w:val="es-ES_tradnl"/>
        </w:rPr>
      </w:pPr>
      <w:r w:rsidRPr="00B133A1">
        <w:rPr>
          <w:rFonts w:asciiTheme="minorHAnsi" w:hAnsiTheme="minorHAnsi"/>
          <w:color w:val="000000" w:themeColor="text1"/>
          <w:sz w:val="22"/>
          <w:szCs w:val="22"/>
          <w:lang w:val="es-ES_tradnl"/>
        </w:rPr>
        <w:t xml:space="preserve">Que, se cuenta con los informes favorables de la Secretaría de Territorio, Hábitat y Vivienda, y la conformidad del Comité Barrial, los mismos que constan en los oficios Nos. </w:t>
      </w:r>
      <w:proofErr w:type="spellStart"/>
      <w:r w:rsidRPr="00B133A1">
        <w:rPr>
          <w:rFonts w:asciiTheme="minorHAnsi" w:hAnsiTheme="minorHAnsi"/>
          <w:color w:val="000000" w:themeColor="text1"/>
          <w:sz w:val="22"/>
          <w:szCs w:val="22"/>
          <w:lang w:val="es-ES_tradnl"/>
        </w:rPr>
        <w:t>Xxx</w:t>
      </w:r>
      <w:proofErr w:type="spellEnd"/>
      <w:r w:rsidRPr="00B133A1">
        <w:rPr>
          <w:rFonts w:asciiTheme="minorHAnsi" w:hAnsiTheme="minorHAnsi"/>
          <w:color w:val="000000" w:themeColor="text1"/>
          <w:sz w:val="22"/>
          <w:szCs w:val="22"/>
          <w:lang w:val="es-ES_tradnl"/>
        </w:rPr>
        <w:t xml:space="preserve"> y xxx; y,</w:t>
      </w:r>
    </w:p>
    <w:p w:rsidR="00034288" w:rsidRPr="00B133A1" w:rsidRDefault="00034288" w:rsidP="00034288">
      <w:pPr>
        <w:ind w:left="596" w:hanging="596"/>
        <w:jc w:val="both"/>
        <w:rPr>
          <w:rFonts w:asciiTheme="minorHAnsi" w:hAnsiTheme="minorHAnsi"/>
          <w:color w:val="000000" w:themeColor="text1"/>
          <w:sz w:val="22"/>
          <w:szCs w:val="22"/>
          <w:lang w:val="es-ES_tradnl"/>
        </w:rPr>
      </w:pPr>
    </w:p>
    <w:p w:rsidR="00034288" w:rsidRPr="009A16AF" w:rsidRDefault="00034288" w:rsidP="00034288">
      <w:pPr>
        <w:pStyle w:val="Textoindependiente"/>
        <w:spacing w:after="0"/>
        <w:jc w:val="both"/>
        <w:rPr>
          <w:rFonts w:asciiTheme="minorHAnsi" w:hAnsiTheme="minorHAnsi" w:cstheme="minorHAnsi"/>
          <w:strike/>
          <w:color w:val="000000" w:themeColor="text1"/>
          <w:sz w:val="22"/>
          <w:szCs w:val="22"/>
          <w:lang w:val="es-EC" w:eastAsia="ar-SA"/>
        </w:rPr>
      </w:pPr>
      <w:r w:rsidRPr="00B133A1">
        <w:rPr>
          <w:rFonts w:asciiTheme="minorHAnsi" w:hAnsiTheme="minorHAnsi" w:cstheme="minorHAnsi"/>
          <w:color w:val="000000" w:themeColor="text1"/>
          <w:sz w:val="22"/>
          <w:szCs w:val="22"/>
          <w:lang w:val="es-EC" w:eastAsia="ar-SA"/>
        </w:rPr>
        <w:t>En ejercicio de las atribuciones que le confieren los  numerales 1 y 2 del artículo  264 de la Constitución de la República; artículo 8, numerales 1 y 6 de la Ley Orgánica de Régimen del Distrito Metropolitano de Quito;  y el artículo 57, literal a); artículo 87, literal a);  artículos 322 y 326 del Código Orgánico de Organización Territorial, Autonomía y Descentralización</w:t>
      </w:r>
      <w:r w:rsidR="00B133A1" w:rsidRPr="00B133A1">
        <w:rPr>
          <w:rFonts w:asciiTheme="minorHAnsi" w:hAnsiTheme="minorHAnsi" w:cstheme="minorHAnsi"/>
          <w:color w:val="000000" w:themeColor="text1"/>
          <w:sz w:val="22"/>
          <w:szCs w:val="22"/>
          <w:lang w:val="es-EC" w:eastAsia="ar-SA"/>
        </w:rPr>
        <w:t xml:space="preserve"> (COOTAD)</w:t>
      </w:r>
      <w:r w:rsidR="0093285C">
        <w:rPr>
          <w:rFonts w:asciiTheme="minorHAnsi" w:hAnsiTheme="minorHAnsi" w:cstheme="minorHAnsi"/>
          <w:color w:val="000000" w:themeColor="text1"/>
          <w:sz w:val="22"/>
          <w:szCs w:val="22"/>
          <w:lang w:val="es-EC" w:eastAsia="ar-SA"/>
        </w:rPr>
        <w:t xml:space="preserve">; </w:t>
      </w:r>
      <w:r w:rsidR="009A16AF">
        <w:rPr>
          <w:rFonts w:asciiTheme="minorHAnsi" w:hAnsiTheme="minorHAnsi" w:cstheme="minorHAnsi"/>
          <w:color w:val="000000" w:themeColor="text1"/>
          <w:sz w:val="22"/>
          <w:szCs w:val="22"/>
          <w:lang w:val="es-EC" w:eastAsia="ar-SA"/>
        </w:rPr>
        <w:t xml:space="preserve"> </w:t>
      </w:r>
    </w:p>
    <w:p w:rsidR="00034288" w:rsidRPr="00963EA4" w:rsidRDefault="00034288" w:rsidP="00034288">
      <w:pPr>
        <w:pStyle w:val="Textoindependiente"/>
        <w:spacing w:after="0"/>
        <w:jc w:val="center"/>
        <w:rPr>
          <w:rFonts w:asciiTheme="minorHAnsi" w:hAnsiTheme="minorHAnsi"/>
          <w:b/>
          <w:sz w:val="22"/>
          <w:szCs w:val="22"/>
        </w:rPr>
      </w:pPr>
    </w:p>
    <w:p w:rsidR="00034288" w:rsidRPr="00B133A1" w:rsidRDefault="00034288" w:rsidP="00034288">
      <w:pPr>
        <w:pStyle w:val="Textoindependiente"/>
        <w:spacing w:after="0"/>
        <w:jc w:val="center"/>
        <w:rPr>
          <w:rFonts w:asciiTheme="minorHAnsi" w:hAnsiTheme="minorHAnsi"/>
          <w:b/>
          <w:color w:val="000000" w:themeColor="text1"/>
          <w:sz w:val="22"/>
          <w:szCs w:val="22"/>
        </w:rPr>
      </w:pPr>
      <w:r w:rsidRPr="00B133A1">
        <w:rPr>
          <w:rFonts w:asciiTheme="minorHAnsi" w:hAnsiTheme="minorHAnsi"/>
          <w:b/>
          <w:color w:val="000000" w:themeColor="text1"/>
          <w:sz w:val="22"/>
          <w:szCs w:val="22"/>
        </w:rPr>
        <w:t>EXPIDE:</w:t>
      </w:r>
    </w:p>
    <w:p w:rsidR="00034288" w:rsidRPr="00B133A1" w:rsidRDefault="00034288" w:rsidP="00034288">
      <w:pPr>
        <w:pStyle w:val="Textopredeterminado"/>
        <w:rPr>
          <w:rFonts w:ascii="Calibri" w:hAnsi="Calibri" w:cs="Calibri"/>
          <w:b/>
          <w:color w:val="000000" w:themeColor="text1"/>
          <w:sz w:val="22"/>
          <w:szCs w:val="22"/>
          <w:lang w:val="es-ES_tradnl"/>
        </w:rPr>
      </w:pPr>
      <w:r w:rsidRPr="00B133A1">
        <w:rPr>
          <w:rFonts w:ascii="Calibri" w:hAnsi="Calibri" w:cs="Calibri"/>
          <w:b/>
          <w:color w:val="000000" w:themeColor="text1"/>
          <w:sz w:val="22"/>
          <w:szCs w:val="22"/>
          <w:lang w:val="es-ES_tradnl"/>
        </w:rPr>
        <w:t>LA ORDENANZA METROPOLITANA SUSTITUTIVA DE LA ORDENANZA Nº 0041 DE 27 DE JULIO DE 2009, DE ZONIFICACIÓN ESPECIAL QUE APRUEBA EL PLAN ESPECIAL DEL BARRIO QUITO TENIS, UBICADO AL NOROCCIDENTE DE QUITO.</w:t>
      </w:r>
    </w:p>
    <w:p w:rsidR="00971B41" w:rsidRPr="00B133A1" w:rsidRDefault="00971B41" w:rsidP="00034288">
      <w:pPr>
        <w:pStyle w:val="Textopredeterminado"/>
        <w:rPr>
          <w:rFonts w:ascii="Calibri" w:hAnsi="Calibri" w:cs="Calibri"/>
          <w:b/>
          <w:color w:val="000000" w:themeColor="text1"/>
          <w:sz w:val="22"/>
          <w:szCs w:val="22"/>
          <w:lang w:val="es-ES_tradnl"/>
        </w:rPr>
      </w:pPr>
    </w:p>
    <w:p w:rsidR="00034288" w:rsidRPr="00B133A1" w:rsidRDefault="00971B41" w:rsidP="00034288">
      <w:pPr>
        <w:jc w:val="center"/>
        <w:rPr>
          <w:rFonts w:asciiTheme="minorHAnsi" w:hAnsiTheme="minorHAnsi"/>
          <w:b/>
          <w:color w:val="000000" w:themeColor="text1"/>
          <w:sz w:val="22"/>
          <w:szCs w:val="22"/>
          <w:lang w:val="es-ES_tradnl"/>
        </w:rPr>
      </w:pPr>
      <w:r w:rsidRPr="00B133A1">
        <w:rPr>
          <w:rFonts w:asciiTheme="minorHAnsi" w:hAnsiTheme="minorHAnsi"/>
          <w:b/>
          <w:color w:val="000000" w:themeColor="text1"/>
          <w:sz w:val="22"/>
          <w:szCs w:val="22"/>
          <w:lang w:val="es-ES_tradnl"/>
        </w:rPr>
        <w:t>CAPÍTULO I</w:t>
      </w:r>
    </w:p>
    <w:p w:rsidR="00034288" w:rsidRPr="00AA69A3" w:rsidRDefault="00971B41" w:rsidP="00034288">
      <w:pPr>
        <w:jc w:val="center"/>
        <w:rPr>
          <w:rFonts w:asciiTheme="minorHAnsi" w:hAnsiTheme="minorHAnsi"/>
          <w:color w:val="000000" w:themeColor="text1"/>
          <w:sz w:val="22"/>
          <w:szCs w:val="22"/>
          <w:lang w:val="es-ES_tradnl"/>
        </w:rPr>
      </w:pPr>
      <w:r w:rsidRPr="00B133A1">
        <w:rPr>
          <w:rFonts w:asciiTheme="minorHAnsi" w:hAnsiTheme="minorHAnsi"/>
          <w:b/>
          <w:color w:val="000000" w:themeColor="text1"/>
          <w:sz w:val="22"/>
          <w:szCs w:val="22"/>
          <w:lang w:val="es-ES_tradnl"/>
        </w:rPr>
        <w:t>CONSIDERACIONES GENERALES</w:t>
      </w:r>
    </w:p>
    <w:p w:rsidR="00971B41" w:rsidRPr="00B133A1" w:rsidRDefault="00971B41" w:rsidP="00034288">
      <w:pPr>
        <w:jc w:val="center"/>
        <w:rPr>
          <w:rFonts w:asciiTheme="minorHAnsi" w:hAnsiTheme="minorHAnsi"/>
          <w:b/>
          <w:color w:val="000000" w:themeColor="text1"/>
          <w:sz w:val="22"/>
          <w:szCs w:val="22"/>
          <w:lang w:val="es-ES_tradnl"/>
        </w:rPr>
      </w:pPr>
    </w:p>
    <w:p w:rsidR="00034288" w:rsidRPr="00963EA4" w:rsidRDefault="00034288" w:rsidP="00034288">
      <w:pPr>
        <w:jc w:val="both"/>
        <w:rPr>
          <w:rFonts w:asciiTheme="minorHAnsi" w:hAnsiTheme="minorHAnsi"/>
          <w:sz w:val="22"/>
          <w:szCs w:val="22"/>
          <w:lang w:val="es-ES_tradnl"/>
        </w:rPr>
      </w:pPr>
      <w:r w:rsidRPr="00963EA4">
        <w:rPr>
          <w:rFonts w:asciiTheme="minorHAnsi" w:hAnsiTheme="minorHAnsi"/>
          <w:b/>
          <w:bCs/>
          <w:sz w:val="22"/>
          <w:szCs w:val="22"/>
          <w:lang w:val="es-ES_tradnl"/>
        </w:rPr>
        <w:t>Art. 1</w:t>
      </w:r>
      <w:r w:rsidRPr="00963EA4">
        <w:rPr>
          <w:rFonts w:asciiTheme="minorHAnsi" w:hAnsiTheme="minorHAnsi"/>
          <w:sz w:val="22"/>
          <w:szCs w:val="22"/>
          <w:lang w:val="es-ES_tradnl"/>
        </w:rPr>
        <w:t xml:space="preserve">.- </w:t>
      </w:r>
      <w:r w:rsidRPr="00963EA4">
        <w:rPr>
          <w:rFonts w:asciiTheme="minorHAnsi" w:hAnsiTheme="minorHAnsi"/>
          <w:b/>
          <w:sz w:val="22"/>
          <w:szCs w:val="22"/>
          <w:lang w:val="es-ES_tradnl"/>
        </w:rPr>
        <w:t>Finalidad</w:t>
      </w:r>
      <w:r w:rsidRPr="00963EA4">
        <w:rPr>
          <w:rFonts w:asciiTheme="minorHAnsi" w:hAnsiTheme="minorHAnsi"/>
          <w:sz w:val="22"/>
          <w:szCs w:val="22"/>
          <w:lang w:val="es-ES_tradnl"/>
        </w:rPr>
        <w:t>.- Las disposiciones de esta Ordenanza buscan el mejoramiento urbanístico y ambiental del barrio Quito Tenis, por medio de la definición y aplicación de regulaciones especiales que permitan conseguirlo.</w:t>
      </w:r>
    </w:p>
    <w:p w:rsidR="00034288" w:rsidRPr="00963EA4" w:rsidRDefault="00034288" w:rsidP="00034288">
      <w:pPr>
        <w:jc w:val="center"/>
        <w:rPr>
          <w:rFonts w:asciiTheme="minorHAnsi" w:hAnsiTheme="minorHAnsi"/>
          <w:b/>
          <w:sz w:val="22"/>
          <w:szCs w:val="22"/>
          <w:lang w:val="es-ES_tradnl"/>
        </w:rPr>
      </w:pPr>
    </w:p>
    <w:p w:rsidR="00034288" w:rsidRPr="00963EA4" w:rsidRDefault="00034288" w:rsidP="00034288">
      <w:pPr>
        <w:jc w:val="both"/>
        <w:rPr>
          <w:rFonts w:asciiTheme="minorHAnsi" w:hAnsiTheme="minorHAnsi"/>
          <w:sz w:val="22"/>
          <w:szCs w:val="22"/>
          <w:lang w:val="es-ES_tradnl"/>
        </w:rPr>
      </w:pPr>
      <w:r w:rsidRPr="00963EA4">
        <w:rPr>
          <w:rFonts w:asciiTheme="minorHAnsi" w:hAnsiTheme="minorHAnsi"/>
          <w:b/>
          <w:bCs/>
          <w:sz w:val="22"/>
          <w:szCs w:val="22"/>
          <w:lang w:val="es-ES_tradnl"/>
        </w:rPr>
        <w:t>Art. 2</w:t>
      </w:r>
      <w:r w:rsidRPr="00963EA4">
        <w:rPr>
          <w:rFonts w:asciiTheme="minorHAnsi" w:hAnsiTheme="minorHAnsi"/>
          <w:sz w:val="22"/>
          <w:szCs w:val="22"/>
          <w:lang w:val="es-ES_tradnl"/>
        </w:rPr>
        <w:t xml:space="preserve">.- </w:t>
      </w:r>
      <w:r w:rsidRPr="00963EA4">
        <w:rPr>
          <w:rFonts w:asciiTheme="minorHAnsi" w:hAnsiTheme="minorHAnsi"/>
          <w:b/>
          <w:sz w:val="22"/>
          <w:szCs w:val="22"/>
          <w:lang w:val="es-ES_tradnl"/>
        </w:rPr>
        <w:t>Ámbito</w:t>
      </w:r>
      <w:r w:rsidRPr="00963EA4">
        <w:rPr>
          <w:rFonts w:asciiTheme="minorHAnsi" w:hAnsiTheme="minorHAnsi"/>
          <w:sz w:val="22"/>
          <w:szCs w:val="22"/>
          <w:lang w:val="es-ES_tradnl"/>
        </w:rPr>
        <w:t xml:space="preserve">.- Esta Ordenanza establece la zonificación especial del barrio Quito Tenis, ubicado en la parroquia </w:t>
      </w:r>
      <w:proofErr w:type="spellStart"/>
      <w:r w:rsidRPr="00963EA4">
        <w:rPr>
          <w:rFonts w:asciiTheme="minorHAnsi" w:hAnsiTheme="minorHAnsi"/>
          <w:sz w:val="22"/>
          <w:szCs w:val="22"/>
          <w:lang w:val="es-ES_tradnl"/>
        </w:rPr>
        <w:t>Chaupicruz</w:t>
      </w:r>
      <w:proofErr w:type="spellEnd"/>
      <w:r w:rsidRPr="00963EA4">
        <w:rPr>
          <w:rFonts w:asciiTheme="minorHAnsi" w:hAnsiTheme="minorHAnsi"/>
          <w:sz w:val="22"/>
          <w:szCs w:val="22"/>
          <w:lang w:val="es-ES_tradnl"/>
        </w:rPr>
        <w:t xml:space="preserve">, Administración Zonal Eugenio Espejo, dentro de los siguientes límites: Norte: Calle Hidalgo de Pinto; Sur: Calle Agustín de </w:t>
      </w:r>
      <w:proofErr w:type="spellStart"/>
      <w:r w:rsidRPr="00963EA4">
        <w:rPr>
          <w:rFonts w:asciiTheme="minorHAnsi" w:hAnsiTheme="minorHAnsi"/>
          <w:sz w:val="22"/>
          <w:szCs w:val="22"/>
          <w:lang w:val="es-ES_tradnl"/>
        </w:rPr>
        <w:t>Azcúnaga</w:t>
      </w:r>
      <w:proofErr w:type="spellEnd"/>
      <w:r w:rsidRPr="00963EA4">
        <w:rPr>
          <w:rFonts w:asciiTheme="minorHAnsi" w:hAnsiTheme="minorHAnsi"/>
          <w:sz w:val="22"/>
          <w:szCs w:val="22"/>
          <w:lang w:val="es-ES_tradnl"/>
        </w:rPr>
        <w:t>; Este: Av. Brasil; y, Oeste: Av. Mariscal Sucre (Occidental), conforme el plano Nº B0-QT.</w:t>
      </w:r>
    </w:p>
    <w:p w:rsidR="00034288" w:rsidRPr="00963EA4" w:rsidRDefault="00034288" w:rsidP="00034288">
      <w:pPr>
        <w:jc w:val="both"/>
        <w:rPr>
          <w:rFonts w:asciiTheme="minorHAnsi" w:hAnsiTheme="minorHAnsi"/>
          <w:sz w:val="22"/>
          <w:szCs w:val="22"/>
          <w:lang w:val="es-ES_tradnl"/>
        </w:rPr>
      </w:pPr>
    </w:p>
    <w:p w:rsidR="00034288" w:rsidRPr="00963EA4" w:rsidRDefault="00034288" w:rsidP="00034288">
      <w:pPr>
        <w:jc w:val="both"/>
        <w:rPr>
          <w:rFonts w:asciiTheme="minorHAnsi" w:hAnsiTheme="minorHAnsi"/>
          <w:sz w:val="22"/>
          <w:szCs w:val="22"/>
          <w:lang w:val="es-ES_tradnl"/>
        </w:rPr>
      </w:pPr>
      <w:r w:rsidRPr="00963EA4">
        <w:rPr>
          <w:rFonts w:asciiTheme="minorHAnsi" w:hAnsiTheme="minorHAnsi"/>
          <w:b/>
          <w:bCs/>
          <w:sz w:val="22"/>
          <w:szCs w:val="22"/>
          <w:lang w:val="es-ES_tradnl"/>
        </w:rPr>
        <w:t>Art. 3</w:t>
      </w:r>
      <w:r w:rsidRPr="00963EA4">
        <w:rPr>
          <w:rFonts w:asciiTheme="minorHAnsi" w:hAnsiTheme="minorHAnsi"/>
          <w:sz w:val="22"/>
          <w:szCs w:val="22"/>
          <w:lang w:val="es-ES_tradnl"/>
        </w:rPr>
        <w:t xml:space="preserve">.- </w:t>
      </w:r>
      <w:r w:rsidRPr="00963EA4">
        <w:rPr>
          <w:rFonts w:asciiTheme="minorHAnsi" w:hAnsiTheme="minorHAnsi"/>
          <w:b/>
          <w:sz w:val="22"/>
          <w:szCs w:val="22"/>
          <w:lang w:val="es-ES_tradnl"/>
        </w:rPr>
        <w:t>Contenido</w:t>
      </w:r>
      <w:r w:rsidRPr="00963EA4">
        <w:rPr>
          <w:rFonts w:asciiTheme="minorHAnsi" w:hAnsiTheme="minorHAnsi"/>
          <w:sz w:val="22"/>
          <w:szCs w:val="22"/>
          <w:lang w:val="es-ES_tradnl"/>
        </w:rPr>
        <w:t>.- El Plan Especial del barrio Quito Tenis determina con carácter normativo el uso, la ocupación y edificabilidad del suelo e identifica los proyectos necesarios para el reordenamiento urbano del barrio.</w:t>
      </w:r>
    </w:p>
    <w:p w:rsidR="00034288" w:rsidRPr="00963EA4" w:rsidRDefault="00034288" w:rsidP="00034288">
      <w:pPr>
        <w:jc w:val="both"/>
        <w:rPr>
          <w:rFonts w:asciiTheme="minorHAnsi" w:hAnsiTheme="minorHAnsi"/>
          <w:sz w:val="22"/>
          <w:szCs w:val="22"/>
          <w:lang w:val="es-ES_tradnl"/>
        </w:rPr>
      </w:pPr>
    </w:p>
    <w:p w:rsidR="00034288" w:rsidRPr="00AB611F" w:rsidRDefault="00034288" w:rsidP="00034288">
      <w:pPr>
        <w:jc w:val="both"/>
        <w:rPr>
          <w:rFonts w:asciiTheme="minorHAnsi" w:hAnsiTheme="minorHAnsi"/>
          <w:color w:val="000000" w:themeColor="text1"/>
          <w:sz w:val="22"/>
          <w:szCs w:val="22"/>
          <w:lang w:val="es-ES_tradnl"/>
        </w:rPr>
      </w:pPr>
      <w:r w:rsidRPr="00963EA4">
        <w:rPr>
          <w:rFonts w:asciiTheme="minorHAnsi" w:hAnsiTheme="minorHAnsi"/>
          <w:b/>
          <w:bCs/>
          <w:sz w:val="22"/>
          <w:szCs w:val="22"/>
          <w:lang w:val="es-ES_tradnl"/>
        </w:rPr>
        <w:t>Art.4</w:t>
      </w:r>
      <w:r w:rsidRPr="00963EA4">
        <w:rPr>
          <w:rFonts w:asciiTheme="minorHAnsi" w:hAnsiTheme="minorHAnsi"/>
          <w:sz w:val="22"/>
          <w:szCs w:val="22"/>
          <w:lang w:val="es-ES_tradnl"/>
        </w:rPr>
        <w:t xml:space="preserve">.- </w:t>
      </w:r>
      <w:r w:rsidRPr="00963EA4">
        <w:rPr>
          <w:rFonts w:asciiTheme="minorHAnsi" w:hAnsiTheme="minorHAnsi"/>
          <w:b/>
          <w:sz w:val="22"/>
          <w:szCs w:val="22"/>
          <w:lang w:val="es-ES_tradnl"/>
        </w:rPr>
        <w:t>Instrumentos del plan</w:t>
      </w:r>
      <w:r w:rsidRPr="00963EA4">
        <w:rPr>
          <w:rFonts w:asciiTheme="minorHAnsi" w:hAnsiTheme="minorHAnsi"/>
          <w:sz w:val="22"/>
          <w:szCs w:val="22"/>
          <w:lang w:val="es-ES_tradnl"/>
        </w:rPr>
        <w:t xml:space="preserve">.- Constituyen instrumentos principales de aplicación del Plan Especial: la presente ordenanza, la Memoria Técnica y los planos B0- QT, B1-QT de uso de suelo; B2-QT de la forma de ocupación y edificabilidad del suelo; B3-QT de la categorización y </w:t>
      </w:r>
      <w:r w:rsidRPr="00AB611F">
        <w:rPr>
          <w:rFonts w:asciiTheme="minorHAnsi" w:hAnsiTheme="minorHAnsi"/>
          <w:color w:val="000000" w:themeColor="text1"/>
          <w:sz w:val="22"/>
          <w:szCs w:val="22"/>
          <w:lang w:val="es-ES_tradnl"/>
        </w:rPr>
        <w:lastRenderedPageBreak/>
        <w:t>dimensionamiento vial anexos, vigentes desde la sanción de la O</w:t>
      </w:r>
      <w:r w:rsidR="00F57104" w:rsidRPr="00AB611F">
        <w:rPr>
          <w:rFonts w:asciiTheme="minorHAnsi" w:hAnsiTheme="minorHAnsi"/>
          <w:color w:val="000000" w:themeColor="text1"/>
          <w:sz w:val="22"/>
          <w:szCs w:val="22"/>
          <w:lang w:val="es-ES_tradnl"/>
        </w:rPr>
        <w:t xml:space="preserve">rdenanza </w:t>
      </w:r>
      <w:r w:rsidRPr="00AB611F">
        <w:rPr>
          <w:rFonts w:asciiTheme="minorHAnsi" w:hAnsiTheme="minorHAnsi"/>
          <w:color w:val="000000" w:themeColor="text1"/>
          <w:sz w:val="22"/>
          <w:szCs w:val="22"/>
          <w:lang w:val="es-ES_tradnl"/>
        </w:rPr>
        <w:t>M</w:t>
      </w:r>
      <w:r w:rsidR="00F57104" w:rsidRPr="00AB611F">
        <w:rPr>
          <w:rFonts w:asciiTheme="minorHAnsi" w:hAnsiTheme="minorHAnsi"/>
          <w:color w:val="000000" w:themeColor="text1"/>
          <w:sz w:val="22"/>
          <w:szCs w:val="22"/>
          <w:lang w:val="es-ES_tradnl"/>
        </w:rPr>
        <w:t>etropolitana No.</w:t>
      </w:r>
      <w:r w:rsidRPr="00AB611F">
        <w:rPr>
          <w:rFonts w:asciiTheme="minorHAnsi" w:hAnsiTheme="minorHAnsi"/>
          <w:color w:val="000000" w:themeColor="text1"/>
          <w:sz w:val="22"/>
          <w:szCs w:val="22"/>
          <w:lang w:val="es-ES_tradnl"/>
        </w:rPr>
        <w:t xml:space="preserve"> 041.</w:t>
      </w:r>
    </w:p>
    <w:p w:rsidR="00034288" w:rsidRPr="00AB611F" w:rsidRDefault="00034288" w:rsidP="00034288">
      <w:pPr>
        <w:jc w:val="both"/>
        <w:rPr>
          <w:rFonts w:asciiTheme="minorHAnsi" w:hAnsiTheme="minorHAnsi"/>
          <w:color w:val="000000" w:themeColor="text1"/>
          <w:sz w:val="22"/>
          <w:szCs w:val="22"/>
          <w:lang w:val="es-ES_tradnl"/>
        </w:rPr>
      </w:pPr>
    </w:p>
    <w:p w:rsidR="00034288" w:rsidRPr="00AB611F" w:rsidRDefault="00034288" w:rsidP="00034288">
      <w:pPr>
        <w:jc w:val="both"/>
        <w:rPr>
          <w:rFonts w:asciiTheme="minorHAnsi" w:hAnsiTheme="minorHAnsi"/>
          <w:color w:val="000000" w:themeColor="text1"/>
          <w:sz w:val="22"/>
          <w:szCs w:val="22"/>
          <w:lang w:val="es-ES_tradnl"/>
        </w:rPr>
      </w:pPr>
      <w:r w:rsidRPr="00AB611F">
        <w:rPr>
          <w:rFonts w:asciiTheme="minorHAnsi" w:hAnsiTheme="minorHAnsi"/>
          <w:b/>
          <w:color w:val="000000" w:themeColor="text1"/>
          <w:sz w:val="22"/>
          <w:szCs w:val="22"/>
          <w:lang w:val="es-ES_tradnl"/>
        </w:rPr>
        <w:t>Art. 5.- Modificación y Revisión</w:t>
      </w:r>
      <w:r w:rsidRPr="00AB611F">
        <w:rPr>
          <w:rFonts w:asciiTheme="minorHAnsi" w:hAnsiTheme="minorHAnsi"/>
          <w:color w:val="000000" w:themeColor="text1"/>
          <w:sz w:val="22"/>
          <w:szCs w:val="22"/>
          <w:lang w:val="es-ES_tradnl"/>
        </w:rPr>
        <w:t>.- Esta Ordenanza y el PEQT podrán modificarse en la medida en que sea necesario hacerlo para el logro de los objetivos planteados en el mismo. Para proceder a la revisión, se evaluarán los temas de cambio y se emitirá el Informe Técnico de la entidad responsable de Territorio, Hábitat y Vivienda, el que se realizará en consulta y contará con la aceptación del Comité Barrial legalmente constituido.</w:t>
      </w:r>
    </w:p>
    <w:p w:rsidR="00034288" w:rsidRPr="00AB611F" w:rsidRDefault="00034288" w:rsidP="00034288">
      <w:pPr>
        <w:jc w:val="both"/>
        <w:rPr>
          <w:rFonts w:asciiTheme="minorHAnsi" w:hAnsiTheme="minorHAnsi"/>
          <w:color w:val="000000" w:themeColor="text1"/>
          <w:sz w:val="22"/>
          <w:szCs w:val="22"/>
          <w:lang w:val="es-ES_tradnl"/>
        </w:rPr>
      </w:pPr>
      <w:r w:rsidRPr="00AB611F">
        <w:rPr>
          <w:rFonts w:asciiTheme="minorHAnsi" w:hAnsiTheme="minorHAnsi"/>
          <w:color w:val="000000" w:themeColor="text1"/>
          <w:sz w:val="22"/>
          <w:szCs w:val="22"/>
          <w:lang w:val="es-ES_tradnl"/>
        </w:rPr>
        <w:t>La entidad municipal, remitirá la propuesta a la Comisión de Uso de Suelo para su análisis y resolución previo a la aprobación del Concejo Metropolitano.</w:t>
      </w:r>
    </w:p>
    <w:p w:rsidR="00971B41" w:rsidRPr="00AB611F" w:rsidRDefault="00971B41" w:rsidP="00034288">
      <w:pPr>
        <w:jc w:val="both"/>
        <w:rPr>
          <w:rFonts w:asciiTheme="minorHAnsi" w:hAnsiTheme="minorHAnsi"/>
          <w:b/>
          <w:color w:val="000000" w:themeColor="text1"/>
          <w:sz w:val="22"/>
          <w:szCs w:val="22"/>
          <w:lang w:val="es-ES_tradnl"/>
        </w:rPr>
      </w:pPr>
    </w:p>
    <w:p w:rsidR="00034288" w:rsidRPr="00963EA4" w:rsidRDefault="00034288" w:rsidP="00034288">
      <w:pPr>
        <w:jc w:val="both"/>
        <w:rPr>
          <w:rFonts w:asciiTheme="minorHAnsi" w:hAnsiTheme="minorHAnsi"/>
          <w:b/>
          <w:spacing w:val="-3"/>
          <w:sz w:val="22"/>
          <w:szCs w:val="22"/>
          <w:lang w:val="es-ES_tradnl"/>
        </w:rPr>
      </w:pPr>
      <w:r w:rsidRPr="00963EA4">
        <w:rPr>
          <w:rFonts w:asciiTheme="minorHAnsi" w:hAnsiTheme="minorHAnsi"/>
          <w:b/>
          <w:sz w:val="22"/>
          <w:szCs w:val="22"/>
          <w:lang w:val="es-ES_tradnl"/>
        </w:rPr>
        <w:t xml:space="preserve">Art. 6.- Casos no previstos.- </w:t>
      </w:r>
      <w:r w:rsidRPr="00963EA4">
        <w:rPr>
          <w:rFonts w:asciiTheme="minorHAnsi" w:hAnsiTheme="minorHAnsi"/>
          <w:sz w:val="22"/>
          <w:szCs w:val="22"/>
          <w:lang w:val="es-ES_tradnl"/>
        </w:rPr>
        <w:t>Los casos no contemplados en la presente Ordenanza se resolverán de acuerdo a lo establecido en la Ordenanza de Régimen del Suelo del Distrito Metropolitano de Quito, el Plan de Uso y Ocupación del Suelo y las Reglas Técnicas de Arquitectura y Urbanismo.</w:t>
      </w:r>
    </w:p>
    <w:p w:rsidR="00971B41" w:rsidRDefault="00971B41" w:rsidP="00034288">
      <w:pPr>
        <w:jc w:val="center"/>
        <w:rPr>
          <w:rFonts w:asciiTheme="minorHAnsi" w:hAnsiTheme="minorHAnsi"/>
          <w:b/>
          <w:sz w:val="22"/>
          <w:szCs w:val="22"/>
          <w:lang w:val="es-ES_tradnl"/>
        </w:rPr>
      </w:pPr>
    </w:p>
    <w:p w:rsidR="00034288" w:rsidRPr="00963EA4" w:rsidRDefault="00971B41" w:rsidP="00034288">
      <w:pPr>
        <w:jc w:val="center"/>
        <w:rPr>
          <w:rFonts w:asciiTheme="minorHAnsi" w:hAnsiTheme="minorHAnsi"/>
          <w:b/>
          <w:sz w:val="22"/>
          <w:szCs w:val="22"/>
          <w:lang w:val="es-ES_tradnl"/>
        </w:rPr>
      </w:pPr>
      <w:r w:rsidRPr="00963EA4">
        <w:rPr>
          <w:rFonts w:asciiTheme="minorHAnsi" w:hAnsiTheme="minorHAnsi"/>
          <w:b/>
          <w:sz w:val="22"/>
          <w:szCs w:val="22"/>
          <w:lang w:val="es-ES_tradnl"/>
        </w:rPr>
        <w:t>CAPÍTULO II</w:t>
      </w:r>
    </w:p>
    <w:p w:rsidR="00034288" w:rsidRPr="00963EA4" w:rsidRDefault="00971B41" w:rsidP="00034288">
      <w:pPr>
        <w:jc w:val="center"/>
        <w:rPr>
          <w:rFonts w:asciiTheme="minorHAnsi" w:hAnsiTheme="minorHAnsi"/>
          <w:b/>
          <w:sz w:val="22"/>
          <w:szCs w:val="22"/>
          <w:lang w:val="es-ES_tradnl"/>
        </w:rPr>
      </w:pPr>
      <w:r w:rsidRPr="00963EA4">
        <w:rPr>
          <w:rFonts w:asciiTheme="minorHAnsi" w:hAnsiTheme="minorHAnsi"/>
          <w:b/>
          <w:sz w:val="22"/>
          <w:szCs w:val="22"/>
          <w:lang w:val="es-ES_tradnl"/>
        </w:rPr>
        <w:t>DEL USO DE SUELO Y SUS COMPATIBILIDADES</w:t>
      </w:r>
    </w:p>
    <w:p w:rsidR="00034288" w:rsidRPr="00963EA4" w:rsidRDefault="00034288" w:rsidP="00034288">
      <w:pPr>
        <w:jc w:val="center"/>
        <w:rPr>
          <w:rFonts w:asciiTheme="minorHAnsi" w:hAnsiTheme="minorHAnsi"/>
          <w:b/>
          <w:color w:val="000000" w:themeColor="text1"/>
          <w:sz w:val="22"/>
          <w:szCs w:val="22"/>
          <w:lang w:val="es-ES_tradnl"/>
        </w:rPr>
      </w:pPr>
    </w:p>
    <w:p w:rsidR="00034288" w:rsidRPr="00963EA4" w:rsidRDefault="00034288" w:rsidP="00034288">
      <w:pPr>
        <w:jc w:val="both"/>
        <w:rPr>
          <w:rFonts w:ascii="Calibri" w:hAnsi="Calibri" w:cs="Calibri"/>
          <w:sz w:val="22"/>
          <w:szCs w:val="22"/>
          <w:lang w:val="es-ES_tradnl"/>
        </w:rPr>
      </w:pPr>
      <w:r w:rsidRPr="00963EA4">
        <w:rPr>
          <w:rFonts w:ascii="Calibri" w:hAnsi="Calibri" w:cs="Calibri"/>
          <w:b/>
          <w:sz w:val="22"/>
          <w:szCs w:val="22"/>
          <w:lang w:val="es-ES_tradnl"/>
        </w:rPr>
        <w:t>Art. 7  Usos de Suelo.-</w:t>
      </w:r>
      <w:r w:rsidRPr="00963EA4">
        <w:rPr>
          <w:rFonts w:ascii="Calibri" w:hAnsi="Calibri" w:cs="Calibri"/>
          <w:sz w:val="22"/>
          <w:szCs w:val="22"/>
          <w:lang w:val="es-ES_tradnl"/>
        </w:rPr>
        <w:t xml:space="preserve"> Los usos de suelo principales asignados al barrio Quito Tenis constan en el plano B1-QT.</w:t>
      </w:r>
    </w:p>
    <w:p w:rsidR="00034288" w:rsidRPr="00963EA4" w:rsidRDefault="00034288" w:rsidP="00034288">
      <w:pPr>
        <w:jc w:val="both"/>
        <w:rPr>
          <w:rFonts w:asciiTheme="minorHAnsi" w:hAnsiTheme="minorHAnsi"/>
          <w:sz w:val="22"/>
          <w:szCs w:val="22"/>
          <w:lang w:val="es-ES_tradnl"/>
        </w:rPr>
      </w:pPr>
    </w:p>
    <w:p w:rsidR="00034288" w:rsidRDefault="00034288" w:rsidP="00034288">
      <w:pPr>
        <w:jc w:val="both"/>
        <w:rPr>
          <w:rFonts w:asciiTheme="minorHAnsi" w:hAnsiTheme="minorHAnsi"/>
          <w:sz w:val="22"/>
          <w:szCs w:val="22"/>
          <w:lang w:val="es-ES"/>
        </w:rPr>
      </w:pPr>
      <w:r w:rsidRPr="00963EA4">
        <w:rPr>
          <w:rFonts w:asciiTheme="minorHAnsi" w:hAnsiTheme="minorHAnsi"/>
          <w:b/>
          <w:bCs/>
          <w:sz w:val="22"/>
          <w:szCs w:val="22"/>
          <w:lang w:val="es-ES_tradnl"/>
        </w:rPr>
        <w:t>Art. 8</w:t>
      </w:r>
      <w:r w:rsidRPr="00963EA4">
        <w:rPr>
          <w:rFonts w:asciiTheme="minorHAnsi" w:hAnsiTheme="minorHAnsi"/>
          <w:sz w:val="22"/>
          <w:szCs w:val="22"/>
          <w:lang w:val="es-ES_tradnl"/>
        </w:rPr>
        <w:t xml:space="preserve">.- </w:t>
      </w:r>
      <w:r w:rsidRPr="00963EA4">
        <w:rPr>
          <w:rFonts w:asciiTheme="minorHAnsi" w:hAnsiTheme="minorHAnsi"/>
          <w:b/>
          <w:sz w:val="22"/>
          <w:szCs w:val="22"/>
          <w:lang w:val="es-ES_tradnl"/>
        </w:rPr>
        <w:t xml:space="preserve">Compatibilidad de usos.- </w:t>
      </w:r>
      <w:r w:rsidRPr="00963EA4">
        <w:rPr>
          <w:rFonts w:asciiTheme="minorHAnsi" w:hAnsiTheme="minorHAnsi"/>
          <w:sz w:val="22"/>
          <w:szCs w:val="22"/>
          <w:lang w:val="es-ES_tradnl"/>
        </w:rPr>
        <w:t>S</w:t>
      </w:r>
      <w:proofErr w:type="spellStart"/>
      <w:r w:rsidRPr="00963EA4">
        <w:rPr>
          <w:rFonts w:asciiTheme="minorHAnsi" w:hAnsiTheme="minorHAnsi"/>
          <w:sz w:val="22"/>
          <w:szCs w:val="22"/>
          <w:lang w:val="es-ES"/>
        </w:rPr>
        <w:t>e</w:t>
      </w:r>
      <w:proofErr w:type="spellEnd"/>
      <w:r w:rsidRPr="00963EA4">
        <w:rPr>
          <w:rFonts w:asciiTheme="minorHAnsi" w:hAnsiTheme="minorHAnsi"/>
          <w:sz w:val="22"/>
          <w:szCs w:val="22"/>
          <w:lang w:val="es-ES"/>
        </w:rPr>
        <w:t xml:space="preserve"> aplican las siguientes categorías de usos establecidas en el Régimen Administrativo del Suelo: </w:t>
      </w:r>
    </w:p>
    <w:p w:rsidR="00263730" w:rsidRPr="00AB611F" w:rsidRDefault="00263730" w:rsidP="00034288">
      <w:pPr>
        <w:jc w:val="both"/>
        <w:rPr>
          <w:rFonts w:asciiTheme="minorHAnsi" w:hAnsiTheme="minorHAnsi"/>
          <w:color w:val="000000" w:themeColor="text1"/>
          <w:sz w:val="22"/>
          <w:szCs w:val="22"/>
          <w:lang w:val="es-EC"/>
        </w:rPr>
      </w:pPr>
    </w:p>
    <w:p w:rsidR="00034288" w:rsidRPr="00AB611F" w:rsidRDefault="00034288" w:rsidP="00034288">
      <w:pPr>
        <w:numPr>
          <w:ilvl w:val="0"/>
          <w:numId w:val="3"/>
        </w:numPr>
        <w:jc w:val="both"/>
        <w:rPr>
          <w:rFonts w:asciiTheme="minorHAnsi" w:hAnsiTheme="minorHAnsi"/>
          <w:color w:val="000000" w:themeColor="text1"/>
          <w:sz w:val="22"/>
          <w:szCs w:val="22"/>
          <w:lang w:val="es-ES"/>
        </w:rPr>
      </w:pPr>
      <w:r w:rsidRPr="00AB611F">
        <w:rPr>
          <w:rFonts w:asciiTheme="minorHAnsi" w:hAnsiTheme="minorHAnsi"/>
          <w:b/>
          <w:color w:val="000000" w:themeColor="text1"/>
          <w:sz w:val="22"/>
          <w:szCs w:val="22"/>
          <w:lang w:val="es-ES"/>
        </w:rPr>
        <w:t>Principal</w:t>
      </w:r>
      <w:r w:rsidRPr="00AB611F">
        <w:rPr>
          <w:rFonts w:asciiTheme="minorHAnsi" w:hAnsiTheme="minorHAnsi"/>
          <w:color w:val="000000" w:themeColor="text1"/>
          <w:sz w:val="22"/>
          <w:szCs w:val="22"/>
          <w:lang w:val="es-ES"/>
        </w:rPr>
        <w:t>: es el uso predominante de un área de reglamentación.</w:t>
      </w:r>
    </w:p>
    <w:p w:rsidR="00034288" w:rsidRPr="00AB611F" w:rsidRDefault="00034288" w:rsidP="00034288">
      <w:pPr>
        <w:numPr>
          <w:ilvl w:val="0"/>
          <w:numId w:val="3"/>
        </w:numPr>
        <w:jc w:val="both"/>
        <w:rPr>
          <w:rFonts w:asciiTheme="minorHAnsi" w:hAnsiTheme="minorHAnsi"/>
          <w:color w:val="000000" w:themeColor="text1"/>
          <w:sz w:val="22"/>
          <w:szCs w:val="22"/>
          <w:lang w:val="es-ES"/>
        </w:rPr>
      </w:pPr>
      <w:r w:rsidRPr="00AB611F">
        <w:rPr>
          <w:rFonts w:asciiTheme="minorHAnsi" w:hAnsiTheme="minorHAnsi"/>
          <w:b/>
          <w:color w:val="000000" w:themeColor="text1"/>
          <w:sz w:val="22"/>
          <w:szCs w:val="22"/>
          <w:lang w:val="es-ES"/>
        </w:rPr>
        <w:t>Permitidos</w:t>
      </w:r>
      <w:r w:rsidRPr="00AB611F">
        <w:rPr>
          <w:rFonts w:asciiTheme="minorHAnsi" w:hAnsiTheme="minorHAnsi"/>
          <w:color w:val="000000" w:themeColor="text1"/>
          <w:sz w:val="22"/>
          <w:szCs w:val="22"/>
          <w:lang w:val="es-ES"/>
        </w:rPr>
        <w:t>: son las actividades económicas y los equipamientos compatibles con el principal.</w:t>
      </w:r>
    </w:p>
    <w:p w:rsidR="00034288" w:rsidRPr="00AB611F" w:rsidRDefault="00034288" w:rsidP="00034288">
      <w:pPr>
        <w:numPr>
          <w:ilvl w:val="0"/>
          <w:numId w:val="3"/>
        </w:numPr>
        <w:jc w:val="both"/>
        <w:rPr>
          <w:rFonts w:asciiTheme="minorHAnsi" w:hAnsiTheme="minorHAnsi"/>
          <w:color w:val="000000" w:themeColor="text1"/>
          <w:sz w:val="22"/>
          <w:szCs w:val="22"/>
          <w:lang w:val="es-ES"/>
        </w:rPr>
      </w:pPr>
      <w:r w:rsidRPr="00AB611F">
        <w:rPr>
          <w:rFonts w:asciiTheme="minorHAnsi" w:hAnsiTheme="minorHAnsi"/>
          <w:b/>
          <w:color w:val="000000" w:themeColor="text1"/>
          <w:sz w:val="22"/>
          <w:szCs w:val="22"/>
          <w:lang w:val="es-ES"/>
        </w:rPr>
        <w:t>Prohibidos</w:t>
      </w:r>
      <w:r w:rsidRPr="00AB611F">
        <w:rPr>
          <w:rFonts w:asciiTheme="minorHAnsi" w:hAnsiTheme="minorHAnsi"/>
          <w:color w:val="000000" w:themeColor="text1"/>
          <w:sz w:val="22"/>
          <w:szCs w:val="22"/>
          <w:lang w:val="es-ES"/>
        </w:rPr>
        <w:t>: las actividades económicas y los equipamientos no compatibles.</w:t>
      </w:r>
    </w:p>
    <w:p w:rsidR="00034288" w:rsidRPr="00AB611F" w:rsidRDefault="00034288" w:rsidP="00034288">
      <w:pPr>
        <w:jc w:val="both"/>
        <w:rPr>
          <w:rFonts w:asciiTheme="minorHAnsi" w:hAnsiTheme="minorHAnsi"/>
          <w:b/>
          <w:color w:val="000000" w:themeColor="text1"/>
          <w:sz w:val="22"/>
          <w:szCs w:val="22"/>
          <w:lang w:val="es-ES"/>
        </w:rPr>
      </w:pPr>
    </w:p>
    <w:p w:rsidR="00034288" w:rsidRPr="00AB611F" w:rsidRDefault="00034288" w:rsidP="00034288">
      <w:pPr>
        <w:jc w:val="both"/>
        <w:rPr>
          <w:rFonts w:asciiTheme="minorHAnsi" w:hAnsiTheme="minorHAnsi"/>
          <w:color w:val="000000" w:themeColor="text1"/>
          <w:sz w:val="22"/>
          <w:szCs w:val="22"/>
          <w:lang w:val="es-ES"/>
        </w:rPr>
      </w:pPr>
      <w:r w:rsidRPr="00AB611F">
        <w:rPr>
          <w:rFonts w:asciiTheme="minorHAnsi" w:hAnsiTheme="minorHAnsi"/>
          <w:color w:val="000000" w:themeColor="text1"/>
          <w:sz w:val="22"/>
          <w:szCs w:val="22"/>
          <w:lang w:val="es-ES"/>
        </w:rPr>
        <w:t>En el  cuadro No. 1 se establecen los usos principales asignados y las  relaciones de compatibilidad con las actividades económicas y equipamientos.</w:t>
      </w:r>
    </w:p>
    <w:p w:rsidR="007369BA" w:rsidRPr="00AB611F" w:rsidRDefault="007369BA" w:rsidP="00034288">
      <w:pPr>
        <w:jc w:val="both"/>
        <w:rPr>
          <w:rFonts w:asciiTheme="minorHAnsi" w:hAnsiTheme="minorHAnsi"/>
          <w:color w:val="000000" w:themeColor="text1"/>
          <w:sz w:val="22"/>
          <w:szCs w:val="22"/>
          <w:lang w:val="es-ES"/>
        </w:rPr>
      </w:pPr>
    </w:p>
    <w:p w:rsidR="00034288" w:rsidRPr="00963EA4" w:rsidRDefault="00034288" w:rsidP="00034288">
      <w:pPr>
        <w:jc w:val="both"/>
        <w:rPr>
          <w:rFonts w:asciiTheme="minorHAnsi" w:hAnsiTheme="minorHAnsi"/>
          <w:sz w:val="22"/>
          <w:szCs w:val="22"/>
          <w:lang w:val="es-ES"/>
        </w:rPr>
      </w:pPr>
    </w:p>
    <w:p w:rsidR="00034288" w:rsidRDefault="00034288" w:rsidP="007369BA">
      <w:pPr>
        <w:jc w:val="center"/>
        <w:rPr>
          <w:rFonts w:asciiTheme="minorHAnsi" w:hAnsiTheme="minorHAnsi"/>
          <w:b/>
          <w:sz w:val="22"/>
          <w:szCs w:val="22"/>
          <w:lang w:val="es-ES"/>
        </w:rPr>
      </w:pPr>
      <w:r w:rsidRPr="00963EA4">
        <w:rPr>
          <w:rFonts w:asciiTheme="minorHAnsi" w:hAnsiTheme="minorHAnsi"/>
          <w:b/>
          <w:sz w:val="22"/>
          <w:szCs w:val="22"/>
          <w:lang w:val="es-ES"/>
        </w:rPr>
        <w:t>Cuadro No. 1 Relaciones de Compatibilidad de Usos de Suelo</w:t>
      </w:r>
    </w:p>
    <w:p w:rsidR="007369BA" w:rsidRPr="00963EA4" w:rsidRDefault="007369BA" w:rsidP="007369BA">
      <w:pPr>
        <w:jc w:val="center"/>
        <w:rPr>
          <w:rFonts w:asciiTheme="minorHAnsi" w:hAnsiTheme="minorHAnsi"/>
          <w:b/>
          <w:sz w:val="22"/>
          <w:szCs w:val="22"/>
          <w:lang w:val="es-ES"/>
        </w:rPr>
      </w:pPr>
    </w:p>
    <w:tbl>
      <w:tblPr>
        <w:tblStyle w:val="Tablaconcuadrcula"/>
        <w:tblW w:w="5000" w:type="pct"/>
        <w:tblLook w:val="04A0" w:firstRow="1" w:lastRow="0" w:firstColumn="1" w:lastColumn="0" w:noHBand="0" w:noVBand="1"/>
      </w:tblPr>
      <w:tblGrid>
        <w:gridCol w:w="1563"/>
        <w:gridCol w:w="3392"/>
        <w:gridCol w:w="3766"/>
      </w:tblGrid>
      <w:tr w:rsidR="00AB611F" w:rsidRPr="00F222AE" w:rsidTr="007369BA">
        <w:tc>
          <w:tcPr>
            <w:tcW w:w="896" w:type="pct"/>
          </w:tcPr>
          <w:p w:rsidR="007369BA" w:rsidRPr="00AB611F" w:rsidRDefault="007369BA" w:rsidP="007369BA">
            <w:pPr>
              <w:jc w:val="center"/>
              <w:rPr>
                <w:rFonts w:asciiTheme="minorHAnsi" w:hAnsiTheme="minorHAnsi"/>
                <w:b/>
                <w:color w:val="000000" w:themeColor="text1"/>
                <w:sz w:val="20"/>
                <w:szCs w:val="20"/>
              </w:rPr>
            </w:pPr>
            <w:r w:rsidRPr="00AB611F">
              <w:rPr>
                <w:rFonts w:asciiTheme="minorHAnsi" w:hAnsiTheme="minorHAnsi"/>
                <w:b/>
                <w:color w:val="000000" w:themeColor="text1"/>
                <w:sz w:val="20"/>
                <w:szCs w:val="20"/>
              </w:rPr>
              <w:t>USO DE SUELO PRINCIPAL</w:t>
            </w:r>
          </w:p>
        </w:tc>
        <w:tc>
          <w:tcPr>
            <w:tcW w:w="1945" w:type="pct"/>
          </w:tcPr>
          <w:p w:rsidR="007369BA" w:rsidRPr="00AB611F" w:rsidRDefault="007369BA" w:rsidP="007369BA">
            <w:pPr>
              <w:jc w:val="center"/>
              <w:rPr>
                <w:rFonts w:asciiTheme="minorHAnsi" w:hAnsiTheme="minorHAnsi"/>
                <w:b/>
                <w:color w:val="000000" w:themeColor="text1"/>
                <w:sz w:val="20"/>
                <w:szCs w:val="20"/>
                <w:lang w:val="es-EC"/>
              </w:rPr>
            </w:pPr>
            <w:r w:rsidRPr="00AB611F">
              <w:rPr>
                <w:rFonts w:asciiTheme="minorHAnsi" w:hAnsiTheme="minorHAnsi"/>
                <w:b/>
                <w:color w:val="000000" w:themeColor="text1"/>
                <w:sz w:val="20"/>
                <w:szCs w:val="20"/>
                <w:lang w:val="es-EC"/>
              </w:rPr>
              <w:t>ACTIVIDADES ECONÓMICAS Y EQUIPAMIENTOS</w:t>
            </w:r>
          </w:p>
          <w:p w:rsidR="007369BA" w:rsidRPr="00AB611F" w:rsidRDefault="007369BA" w:rsidP="007369BA">
            <w:pPr>
              <w:jc w:val="center"/>
              <w:rPr>
                <w:rFonts w:asciiTheme="minorHAnsi" w:hAnsiTheme="minorHAnsi"/>
                <w:b/>
                <w:color w:val="000000" w:themeColor="text1"/>
                <w:sz w:val="20"/>
                <w:szCs w:val="20"/>
                <w:lang w:val="es-EC"/>
              </w:rPr>
            </w:pPr>
            <w:r w:rsidRPr="00AB611F">
              <w:rPr>
                <w:rFonts w:asciiTheme="minorHAnsi" w:hAnsiTheme="minorHAnsi"/>
                <w:b/>
                <w:color w:val="000000" w:themeColor="text1"/>
                <w:sz w:val="20"/>
                <w:szCs w:val="20"/>
                <w:lang w:val="es-EC"/>
              </w:rPr>
              <w:t xml:space="preserve"> PERMITIDOS</w:t>
            </w:r>
          </w:p>
          <w:p w:rsidR="007369BA" w:rsidRPr="00AB611F" w:rsidRDefault="007369BA" w:rsidP="007369BA">
            <w:pPr>
              <w:jc w:val="center"/>
              <w:rPr>
                <w:rFonts w:asciiTheme="minorHAnsi" w:hAnsiTheme="minorHAnsi"/>
                <w:b/>
                <w:color w:val="000000" w:themeColor="text1"/>
                <w:sz w:val="20"/>
                <w:szCs w:val="20"/>
                <w:lang w:val="es-EC"/>
              </w:rPr>
            </w:pPr>
          </w:p>
        </w:tc>
        <w:tc>
          <w:tcPr>
            <w:tcW w:w="2159" w:type="pct"/>
          </w:tcPr>
          <w:p w:rsidR="007369BA" w:rsidRPr="00AB611F" w:rsidRDefault="007369BA" w:rsidP="007369BA">
            <w:pPr>
              <w:jc w:val="center"/>
              <w:rPr>
                <w:rFonts w:asciiTheme="minorHAnsi" w:hAnsiTheme="minorHAnsi"/>
                <w:b/>
                <w:color w:val="000000" w:themeColor="text1"/>
                <w:sz w:val="20"/>
                <w:szCs w:val="20"/>
                <w:lang w:val="es-EC"/>
              </w:rPr>
            </w:pPr>
            <w:r w:rsidRPr="00AB611F">
              <w:rPr>
                <w:rFonts w:asciiTheme="minorHAnsi" w:hAnsiTheme="minorHAnsi"/>
                <w:b/>
                <w:color w:val="000000" w:themeColor="text1"/>
                <w:sz w:val="20"/>
                <w:szCs w:val="20"/>
                <w:lang w:val="es-EC"/>
              </w:rPr>
              <w:t xml:space="preserve">ACTIVIDADES ECONÓMICAS Y EQUIPAMIENTOS </w:t>
            </w:r>
          </w:p>
          <w:p w:rsidR="007369BA" w:rsidRPr="00AB611F" w:rsidRDefault="007369BA" w:rsidP="007369BA">
            <w:pPr>
              <w:jc w:val="center"/>
              <w:rPr>
                <w:rFonts w:asciiTheme="minorHAnsi" w:hAnsiTheme="minorHAnsi"/>
                <w:b/>
                <w:color w:val="000000" w:themeColor="text1"/>
                <w:sz w:val="20"/>
                <w:szCs w:val="20"/>
                <w:lang w:val="es-EC"/>
              </w:rPr>
            </w:pPr>
            <w:r w:rsidRPr="00AB611F">
              <w:rPr>
                <w:rFonts w:asciiTheme="minorHAnsi" w:hAnsiTheme="minorHAnsi"/>
                <w:b/>
                <w:color w:val="000000" w:themeColor="text1"/>
                <w:sz w:val="20"/>
                <w:szCs w:val="20"/>
                <w:lang w:val="es-EC"/>
              </w:rPr>
              <w:t>PROHIBIDOS</w:t>
            </w:r>
          </w:p>
        </w:tc>
      </w:tr>
      <w:tr w:rsidR="00AB611F" w:rsidRPr="00F222AE" w:rsidTr="007369BA">
        <w:tc>
          <w:tcPr>
            <w:tcW w:w="896" w:type="pct"/>
          </w:tcPr>
          <w:p w:rsidR="007369BA" w:rsidRPr="00AB611F" w:rsidRDefault="007369BA" w:rsidP="007369BA">
            <w:pPr>
              <w:jc w:val="center"/>
              <w:rPr>
                <w:rFonts w:asciiTheme="minorHAnsi" w:hAnsiTheme="minorHAnsi"/>
                <w:color w:val="000000" w:themeColor="text1"/>
                <w:sz w:val="18"/>
                <w:szCs w:val="18"/>
                <w:lang w:val="es-EC"/>
              </w:rPr>
            </w:pPr>
            <w:r w:rsidRPr="00AB611F">
              <w:rPr>
                <w:rFonts w:asciiTheme="minorHAnsi" w:hAnsiTheme="minorHAnsi"/>
                <w:color w:val="000000" w:themeColor="text1"/>
                <w:sz w:val="18"/>
                <w:szCs w:val="18"/>
                <w:lang w:val="es-EC"/>
              </w:rPr>
              <w:t>Residencial Urbano 1 Quito Tenis</w:t>
            </w:r>
          </w:p>
          <w:p w:rsidR="007369BA" w:rsidRPr="00AB611F" w:rsidRDefault="007369BA" w:rsidP="007369BA">
            <w:pPr>
              <w:jc w:val="center"/>
              <w:rPr>
                <w:rFonts w:asciiTheme="minorHAnsi" w:hAnsiTheme="minorHAnsi"/>
                <w:b/>
                <w:color w:val="000000" w:themeColor="text1"/>
                <w:sz w:val="20"/>
                <w:szCs w:val="20"/>
                <w:lang w:val="es-EC"/>
              </w:rPr>
            </w:pPr>
            <w:r w:rsidRPr="00AB611F">
              <w:rPr>
                <w:rFonts w:asciiTheme="minorHAnsi" w:hAnsiTheme="minorHAnsi"/>
                <w:b/>
                <w:color w:val="000000" w:themeColor="text1"/>
                <w:sz w:val="20"/>
                <w:szCs w:val="20"/>
                <w:lang w:val="es-EC"/>
              </w:rPr>
              <w:t>RU1QT</w:t>
            </w:r>
          </w:p>
          <w:p w:rsidR="007369BA" w:rsidRPr="00AB611F" w:rsidRDefault="007369BA" w:rsidP="007369BA">
            <w:pPr>
              <w:rPr>
                <w:rFonts w:asciiTheme="minorHAnsi" w:hAnsiTheme="minorHAnsi"/>
                <w:color w:val="000000" w:themeColor="text1"/>
                <w:sz w:val="20"/>
                <w:szCs w:val="20"/>
                <w:lang w:val="es-EC"/>
              </w:rPr>
            </w:pPr>
          </w:p>
        </w:tc>
        <w:tc>
          <w:tcPr>
            <w:tcW w:w="1945" w:type="pct"/>
          </w:tcPr>
          <w:p w:rsidR="007369BA" w:rsidRPr="00AB611F" w:rsidRDefault="007369BA" w:rsidP="007369BA">
            <w:pPr>
              <w:rPr>
                <w:color w:val="000000" w:themeColor="text1"/>
                <w:sz w:val="22"/>
                <w:szCs w:val="22"/>
                <w:lang w:val="es-EC"/>
              </w:rPr>
            </w:pPr>
            <w:r w:rsidRPr="00AB611F">
              <w:rPr>
                <w:color w:val="000000" w:themeColor="text1"/>
                <w:sz w:val="22"/>
                <w:szCs w:val="22"/>
                <w:lang w:val="es-EC"/>
              </w:rPr>
              <w:t>EEB, EES, ECB, ESB, ESS, EBB, EBS, EDB, EDS, ERB, ERS, EGB, EGS, ETB,  EAS, EIB, EIS.; CB1, CB2, CB3, CB4.</w:t>
            </w:r>
          </w:p>
          <w:p w:rsidR="007369BA" w:rsidRPr="00AB611F" w:rsidRDefault="007369BA" w:rsidP="007369BA">
            <w:pPr>
              <w:rPr>
                <w:rFonts w:asciiTheme="minorHAnsi" w:hAnsiTheme="minorHAnsi"/>
                <w:color w:val="000000" w:themeColor="text1"/>
                <w:sz w:val="20"/>
                <w:szCs w:val="20"/>
                <w:lang w:val="es-EC"/>
              </w:rPr>
            </w:pPr>
          </w:p>
        </w:tc>
        <w:tc>
          <w:tcPr>
            <w:tcW w:w="2159" w:type="pct"/>
          </w:tcPr>
          <w:p w:rsidR="007369BA" w:rsidRPr="00AB611F" w:rsidRDefault="00E170B4" w:rsidP="007369BA">
            <w:pPr>
              <w:rPr>
                <w:color w:val="000000" w:themeColor="text1"/>
                <w:sz w:val="22"/>
                <w:szCs w:val="22"/>
                <w:lang w:val="es-EC"/>
              </w:rPr>
            </w:pPr>
            <w:r>
              <w:rPr>
                <w:color w:val="000000" w:themeColor="text1"/>
                <w:sz w:val="22"/>
                <w:szCs w:val="22"/>
                <w:lang w:val="es-EC"/>
              </w:rPr>
              <w:t>II1, II2, II3, II4</w:t>
            </w:r>
            <w:r w:rsidR="007369BA" w:rsidRPr="00AB611F">
              <w:rPr>
                <w:color w:val="000000" w:themeColor="text1"/>
                <w:sz w:val="22"/>
                <w:szCs w:val="22"/>
                <w:lang w:val="es-EC"/>
              </w:rPr>
              <w:t>; EEZ, EEM, ECM, ECS, ECZ, ESZ, ESM, EBM, EBZ, EDZ, EDM, ERM, EFS, EGZ, EGM, EAM, EAZ, EFZ, EFM, ETS,  ETZ1, ETZ2, ETM, EIZ, EIM, EPZ, EP, SAS, SFS; NN1,  CS1, CS2, CS3, CS4, CS5, CS6, CS7, CS8, CZ, CM.</w:t>
            </w:r>
          </w:p>
          <w:p w:rsidR="007369BA" w:rsidRPr="00AB611F" w:rsidRDefault="007369BA" w:rsidP="007369BA">
            <w:pPr>
              <w:rPr>
                <w:rFonts w:asciiTheme="minorHAnsi" w:hAnsiTheme="minorHAnsi"/>
                <w:color w:val="000000" w:themeColor="text1"/>
                <w:sz w:val="20"/>
                <w:szCs w:val="20"/>
                <w:lang w:val="es-EC"/>
              </w:rPr>
            </w:pPr>
          </w:p>
        </w:tc>
      </w:tr>
      <w:tr w:rsidR="00AB611F" w:rsidRPr="00AB611F" w:rsidTr="007369BA">
        <w:tc>
          <w:tcPr>
            <w:tcW w:w="896" w:type="pct"/>
          </w:tcPr>
          <w:p w:rsidR="007369BA" w:rsidRPr="00AB611F" w:rsidRDefault="007369BA" w:rsidP="007369BA">
            <w:pPr>
              <w:rPr>
                <w:rFonts w:asciiTheme="minorHAnsi" w:hAnsiTheme="minorHAnsi"/>
                <w:b/>
                <w:color w:val="000000" w:themeColor="text1"/>
                <w:sz w:val="20"/>
                <w:szCs w:val="20"/>
              </w:rPr>
            </w:pPr>
            <w:proofErr w:type="spellStart"/>
            <w:r w:rsidRPr="00AB611F">
              <w:rPr>
                <w:rFonts w:asciiTheme="minorHAnsi" w:hAnsiTheme="minorHAnsi"/>
                <w:b/>
                <w:color w:val="000000" w:themeColor="text1"/>
                <w:sz w:val="20"/>
                <w:szCs w:val="20"/>
              </w:rPr>
              <w:t>Múltiple</w:t>
            </w:r>
            <w:proofErr w:type="spellEnd"/>
          </w:p>
          <w:p w:rsidR="007369BA" w:rsidRPr="00AB611F" w:rsidRDefault="007369BA" w:rsidP="007369BA">
            <w:pPr>
              <w:rPr>
                <w:rFonts w:asciiTheme="minorHAnsi" w:hAnsiTheme="minorHAnsi"/>
                <w:b/>
                <w:color w:val="000000" w:themeColor="text1"/>
                <w:sz w:val="20"/>
                <w:szCs w:val="20"/>
              </w:rPr>
            </w:pPr>
            <w:r w:rsidRPr="00AB611F">
              <w:rPr>
                <w:rFonts w:asciiTheme="minorHAnsi" w:hAnsiTheme="minorHAnsi"/>
                <w:b/>
                <w:color w:val="000000" w:themeColor="text1"/>
                <w:sz w:val="20"/>
                <w:szCs w:val="20"/>
              </w:rPr>
              <w:t>MQT</w:t>
            </w:r>
          </w:p>
          <w:p w:rsidR="007369BA" w:rsidRPr="00AB611F" w:rsidRDefault="007369BA" w:rsidP="007369BA">
            <w:pPr>
              <w:rPr>
                <w:rFonts w:asciiTheme="minorHAnsi" w:hAnsiTheme="minorHAnsi"/>
                <w:color w:val="000000" w:themeColor="text1"/>
                <w:sz w:val="20"/>
                <w:szCs w:val="20"/>
              </w:rPr>
            </w:pPr>
          </w:p>
        </w:tc>
        <w:tc>
          <w:tcPr>
            <w:tcW w:w="1945" w:type="pct"/>
          </w:tcPr>
          <w:p w:rsidR="007369BA" w:rsidRPr="00AB611F" w:rsidRDefault="007369BA" w:rsidP="007369BA">
            <w:pPr>
              <w:rPr>
                <w:color w:val="000000" w:themeColor="text1"/>
                <w:sz w:val="22"/>
                <w:szCs w:val="22"/>
              </w:rPr>
            </w:pPr>
            <w:r w:rsidRPr="00AB611F">
              <w:rPr>
                <w:color w:val="000000" w:themeColor="text1"/>
                <w:sz w:val="22"/>
                <w:szCs w:val="22"/>
              </w:rPr>
              <w:t xml:space="preserve">II1A; EEB, EES, EEZ, EEM, EC, ES, EBB, EBS, EBZ, EDB, EDS, EDZ, EDM,  ERB, ERS, ERM, EGB, EGS, EGZ, EAS, EAZ, EAM,  EFS, ETB, ETS, ETZ1, </w:t>
            </w:r>
            <w:r w:rsidRPr="00AB611F">
              <w:rPr>
                <w:color w:val="000000" w:themeColor="text1"/>
                <w:sz w:val="22"/>
                <w:szCs w:val="22"/>
              </w:rPr>
              <w:lastRenderedPageBreak/>
              <w:t>ETZ2, EIB, EIS; CB, CS1A, CS1B, CS2, CS3, CS4, CS5, CS6, CS7, CS8, CZ1A, CZ1B, CZ2, CZ3, CZ4, CZ5, CZ6, CM2, , CM4</w:t>
            </w:r>
          </w:p>
          <w:p w:rsidR="007369BA" w:rsidRPr="00AB611F" w:rsidRDefault="007369BA" w:rsidP="007369BA">
            <w:pPr>
              <w:rPr>
                <w:rFonts w:asciiTheme="minorHAnsi" w:hAnsiTheme="minorHAnsi"/>
                <w:color w:val="000000" w:themeColor="text1"/>
                <w:sz w:val="20"/>
                <w:szCs w:val="20"/>
              </w:rPr>
            </w:pPr>
          </w:p>
        </w:tc>
        <w:tc>
          <w:tcPr>
            <w:tcW w:w="2159" w:type="pct"/>
          </w:tcPr>
          <w:p w:rsidR="007369BA" w:rsidRPr="00AB611F" w:rsidRDefault="007369BA" w:rsidP="007369BA">
            <w:pPr>
              <w:rPr>
                <w:rFonts w:asciiTheme="minorHAnsi" w:hAnsiTheme="minorHAnsi"/>
                <w:color w:val="000000" w:themeColor="text1"/>
                <w:sz w:val="20"/>
                <w:szCs w:val="20"/>
              </w:rPr>
            </w:pPr>
            <w:r w:rsidRPr="00AB611F">
              <w:rPr>
                <w:color w:val="000000" w:themeColor="text1"/>
                <w:sz w:val="22"/>
                <w:szCs w:val="22"/>
              </w:rPr>
              <w:lastRenderedPageBreak/>
              <w:t>II1B, II2, II3, II4; EBM, EGM, EFZ, EFM,  ETM, EIZ, EIM, EPZ, EPM.; SAS, SFS; NN1; CM1, CM3,  CM5</w:t>
            </w:r>
            <w:r w:rsidR="00BD1A39">
              <w:rPr>
                <w:color w:val="000000" w:themeColor="text1"/>
                <w:sz w:val="22"/>
                <w:szCs w:val="22"/>
              </w:rPr>
              <w:t>.</w:t>
            </w:r>
          </w:p>
        </w:tc>
      </w:tr>
    </w:tbl>
    <w:p w:rsidR="00971B41" w:rsidRDefault="00971B41" w:rsidP="00971B41">
      <w:pPr>
        <w:jc w:val="center"/>
        <w:rPr>
          <w:rFonts w:asciiTheme="minorHAnsi" w:hAnsiTheme="minorHAnsi"/>
          <w:b/>
          <w:sz w:val="22"/>
          <w:szCs w:val="22"/>
        </w:rPr>
      </w:pPr>
    </w:p>
    <w:p w:rsidR="007369BA" w:rsidRDefault="007369BA" w:rsidP="00971B41">
      <w:pPr>
        <w:jc w:val="center"/>
        <w:rPr>
          <w:rFonts w:asciiTheme="minorHAnsi" w:hAnsiTheme="minorHAnsi"/>
          <w:b/>
          <w:sz w:val="22"/>
          <w:szCs w:val="22"/>
        </w:rPr>
      </w:pPr>
    </w:p>
    <w:p w:rsidR="007369BA" w:rsidRDefault="007369BA" w:rsidP="00971B41">
      <w:pPr>
        <w:jc w:val="center"/>
        <w:rPr>
          <w:rFonts w:asciiTheme="minorHAnsi" w:hAnsiTheme="minorHAnsi"/>
          <w:b/>
          <w:sz w:val="22"/>
          <w:szCs w:val="22"/>
        </w:rPr>
      </w:pPr>
      <w:bookmarkStart w:id="0" w:name="_GoBack"/>
    </w:p>
    <w:p w:rsidR="00034288" w:rsidRPr="00963EA4" w:rsidRDefault="00971B41" w:rsidP="00971B41">
      <w:pPr>
        <w:jc w:val="center"/>
        <w:rPr>
          <w:rFonts w:asciiTheme="minorHAnsi" w:hAnsiTheme="minorHAnsi"/>
          <w:b/>
          <w:sz w:val="22"/>
          <w:szCs w:val="22"/>
          <w:lang w:val="es-ES_tradnl"/>
        </w:rPr>
      </w:pPr>
      <w:r w:rsidRPr="00963EA4">
        <w:rPr>
          <w:rFonts w:asciiTheme="minorHAnsi" w:hAnsiTheme="minorHAnsi"/>
          <w:b/>
          <w:sz w:val="22"/>
          <w:szCs w:val="22"/>
          <w:lang w:val="es-ES_tradnl"/>
        </w:rPr>
        <w:t>CAPÍTULO III</w:t>
      </w:r>
    </w:p>
    <w:p w:rsidR="00034288" w:rsidRPr="00963EA4" w:rsidRDefault="00971B41" w:rsidP="00971B41">
      <w:pPr>
        <w:jc w:val="center"/>
        <w:rPr>
          <w:rFonts w:asciiTheme="minorHAnsi" w:hAnsiTheme="minorHAnsi"/>
          <w:b/>
          <w:sz w:val="22"/>
          <w:szCs w:val="22"/>
          <w:lang w:val="es-ES_tradnl"/>
        </w:rPr>
      </w:pPr>
      <w:r w:rsidRPr="00963EA4">
        <w:rPr>
          <w:rFonts w:asciiTheme="minorHAnsi" w:hAnsiTheme="minorHAnsi"/>
          <w:b/>
          <w:sz w:val="22"/>
          <w:szCs w:val="22"/>
          <w:lang w:val="es-ES_tradnl"/>
        </w:rPr>
        <w:t>OCUPACIÓN Y EDIFICABILIDAD</w:t>
      </w:r>
    </w:p>
    <w:p w:rsidR="00034288" w:rsidRPr="00963EA4" w:rsidRDefault="00034288" w:rsidP="00971B41">
      <w:pPr>
        <w:jc w:val="center"/>
        <w:rPr>
          <w:rFonts w:asciiTheme="minorHAnsi" w:hAnsiTheme="minorHAnsi"/>
          <w:b/>
          <w:sz w:val="22"/>
          <w:szCs w:val="22"/>
          <w:lang w:val="es-ES_tradnl"/>
        </w:rPr>
      </w:pPr>
    </w:p>
    <w:p w:rsidR="00034288" w:rsidRPr="00963EA4" w:rsidRDefault="00034288" w:rsidP="00971B41">
      <w:pPr>
        <w:jc w:val="both"/>
        <w:rPr>
          <w:rFonts w:asciiTheme="minorHAnsi" w:hAnsiTheme="minorHAnsi"/>
          <w:sz w:val="22"/>
          <w:szCs w:val="22"/>
          <w:lang w:val="es-ES_tradnl"/>
        </w:rPr>
      </w:pPr>
      <w:r w:rsidRPr="00963EA4">
        <w:rPr>
          <w:rFonts w:asciiTheme="minorHAnsi" w:hAnsiTheme="minorHAnsi"/>
          <w:b/>
          <w:bCs/>
          <w:sz w:val="22"/>
          <w:szCs w:val="22"/>
          <w:lang w:val="es-ES_tradnl"/>
        </w:rPr>
        <w:t>Art. 9</w:t>
      </w:r>
      <w:r w:rsidRPr="00963EA4">
        <w:rPr>
          <w:rFonts w:asciiTheme="minorHAnsi" w:hAnsiTheme="minorHAnsi"/>
          <w:sz w:val="22"/>
          <w:szCs w:val="22"/>
          <w:lang w:val="es-ES_tradnl"/>
        </w:rPr>
        <w:t xml:space="preserve">.- </w:t>
      </w:r>
      <w:r w:rsidRPr="00963EA4">
        <w:rPr>
          <w:rFonts w:asciiTheme="minorHAnsi" w:hAnsiTheme="minorHAnsi"/>
          <w:b/>
          <w:sz w:val="22"/>
          <w:szCs w:val="22"/>
          <w:lang w:val="es-ES_tradnl"/>
        </w:rPr>
        <w:t>Forma de ocupación y edificabilidad del suelo</w:t>
      </w:r>
      <w:r w:rsidRPr="00963EA4">
        <w:rPr>
          <w:rFonts w:asciiTheme="minorHAnsi" w:hAnsiTheme="minorHAnsi"/>
          <w:sz w:val="22"/>
          <w:szCs w:val="22"/>
          <w:lang w:val="es-ES_tradnl"/>
        </w:rPr>
        <w:t>.- Las características de implantación de la edificación, de volumen de construcción, de división del suelo y densidad que se asignan al barrio Quito-Tenis se delimitan en el plano B2-QT y se especifican en el Cuadro Nº 2.</w:t>
      </w:r>
    </w:p>
    <w:p w:rsidR="00034288" w:rsidRPr="00963EA4" w:rsidRDefault="00034288" w:rsidP="00971B41">
      <w:pPr>
        <w:jc w:val="both"/>
        <w:rPr>
          <w:rFonts w:asciiTheme="minorHAnsi" w:hAnsiTheme="minorHAnsi"/>
          <w:sz w:val="22"/>
          <w:szCs w:val="22"/>
          <w:lang w:val="es-ES_tradnl"/>
        </w:rPr>
      </w:pPr>
    </w:p>
    <w:p w:rsidR="00034288" w:rsidRPr="00963EA4" w:rsidRDefault="00034288" w:rsidP="00971B41">
      <w:pPr>
        <w:jc w:val="both"/>
        <w:rPr>
          <w:rFonts w:asciiTheme="minorHAnsi" w:hAnsiTheme="minorHAnsi"/>
          <w:sz w:val="22"/>
          <w:szCs w:val="22"/>
          <w:lang w:val="es-ES_tradnl"/>
        </w:rPr>
      </w:pPr>
    </w:p>
    <w:p w:rsidR="00034288" w:rsidRPr="00963EA4" w:rsidRDefault="00034288" w:rsidP="00971B41">
      <w:pPr>
        <w:ind w:left="1276" w:hanging="1276"/>
        <w:jc w:val="both"/>
        <w:rPr>
          <w:rFonts w:asciiTheme="minorHAnsi" w:hAnsiTheme="minorHAnsi"/>
          <w:b/>
          <w:sz w:val="22"/>
          <w:szCs w:val="22"/>
          <w:lang w:val="es-ES_tradnl"/>
        </w:rPr>
      </w:pPr>
      <w:r w:rsidRPr="00963EA4">
        <w:rPr>
          <w:rFonts w:asciiTheme="minorHAnsi" w:hAnsiTheme="minorHAnsi"/>
          <w:b/>
          <w:sz w:val="22"/>
          <w:szCs w:val="22"/>
          <w:lang w:val="es-ES_tradnl"/>
        </w:rPr>
        <w:t>Cuadro Nº 2 Asignación de ocupación del suelo y edificabilidad en el ámbito de aplicación del PEQT.</w:t>
      </w:r>
    </w:p>
    <w:tbl>
      <w:tblPr>
        <w:tblStyle w:val="Tablaconcuadrcula"/>
        <w:tblW w:w="5000" w:type="pct"/>
        <w:tblLook w:val="04A0" w:firstRow="1" w:lastRow="0" w:firstColumn="1" w:lastColumn="0" w:noHBand="0" w:noVBand="1"/>
      </w:tblPr>
      <w:tblGrid>
        <w:gridCol w:w="585"/>
        <w:gridCol w:w="940"/>
        <w:gridCol w:w="668"/>
        <w:gridCol w:w="466"/>
        <w:gridCol w:w="406"/>
        <w:gridCol w:w="415"/>
        <w:gridCol w:w="453"/>
        <w:gridCol w:w="989"/>
        <w:gridCol w:w="757"/>
        <w:gridCol w:w="874"/>
        <w:gridCol w:w="1132"/>
        <w:gridCol w:w="21"/>
        <w:gridCol w:w="1015"/>
      </w:tblGrid>
      <w:tr w:rsidR="00034288" w:rsidRPr="00963EA4" w:rsidTr="005349A7">
        <w:tc>
          <w:tcPr>
            <w:tcW w:w="3757" w:type="pct"/>
            <w:gridSpan w:val="10"/>
          </w:tcPr>
          <w:p w:rsidR="00034288" w:rsidRPr="00963EA4" w:rsidRDefault="00034288" w:rsidP="00971B41">
            <w:pPr>
              <w:jc w:val="center"/>
              <w:rPr>
                <w:rFonts w:asciiTheme="minorHAnsi" w:hAnsiTheme="minorHAnsi"/>
                <w:b/>
                <w:sz w:val="22"/>
                <w:szCs w:val="22"/>
                <w:lang w:val="es-EC"/>
              </w:rPr>
            </w:pPr>
            <w:r w:rsidRPr="00963EA4">
              <w:rPr>
                <w:rFonts w:asciiTheme="minorHAnsi" w:hAnsiTheme="minorHAnsi"/>
                <w:b/>
                <w:sz w:val="22"/>
                <w:szCs w:val="22"/>
                <w:lang w:val="es-EC"/>
              </w:rPr>
              <w:t>EDIFICACIÓN</w:t>
            </w:r>
          </w:p>
        </w:tc>
        <w:tc>
          <w:tcPr>
            <w:tcW w:w="1243" w:type="pct"/>
            <w:gridSpan w:val="3"/>
          </w:tcPr>
          <w:p w:rsidR="00034288" w:rsidRPr="00963EA4" w:rsidRDefault="00034288" w:rsidP="00971B41">
            <w:pPr>
              <w:jc w:val="center"/>
              <w:rPr>
                <w:rFonts w:asciiTheme="minorHAnsi" w:hAnsiTheme="minorHAnsi"/>
                <w:b/>
                <w:sz w:val="22"/>
                <w:szCs w:val="22"/>
                <w:lang w:val="es-EC"/>
              </w:rPr>
            </w:pPr>
            <w:r w:rsidRPr="00963EA4">
              <w:rPr>
                <w:rFonts w:asciiTheme="minorHAnsi" w:hAnsiTheme="minorHAnsi"/>
                <w:b/>
                <w:sz w:val="22"/>
                <w:szCs w:val="22"/>
                <w:lang w:val="es-EC"/>
              </w:rPr>
              <w:t>HABILITACIÓN DEL SUELO</w:t>
            </w:r>
          </w:p>
        </w:tc>
      </w:tr>
      <w:tr w:rsidR="00034288" w:rsidRPr="00963EA4" w:rsidTr="00DF3DB1">
        <w:tc>
          <w:tcPr>
            <w:tcW w:w="335" w:type="pct"/>
            <w:vMerge w:val="restart"/>
          </w:tcPr>
          <w:p w:rsidR="00034288" w:rsidRPr="00963EA4" w:rsidRDefault="00034288" w:rsidP="00971B41">
            <w:pPr>
              <w:jc w:val="center"/>
              <w:rPr>
                <w:rFonts w:asciiTheme="minorHAnsi" w:hAnsiTheme="minorHAnsi"/>
                <w:b/>
                <w:sz w:val="18"/>
                <w:szCs w:val="18"/>
                <w:lang w:val="es-EC"/>
              </w:rPr>
            </w:pPr>
            <w:r w:rsidRPr="00963EA4">
              <w:rPr>
                <w:rFonts w:asciiTheme="minorHAnsi" w:hAnsiTheme="minorHAnsi"/>
                <w:b/>
                <w:sz w:val="18"/>
                <w:szCs w:val="18"/>
                <w:lang w:val="es-EC"/>
              </w:rPr>
              <w:t>N°</w:t>
            </w:r>
          </w:p>
        </w:tc>
        <w:tc>
          <w:tcPr>
            <w:tcW w:w="539" w:type="pct"/>
            <w:vMerge w:val="restart"/>
          </w:tcPr>
          <w:p w:rsidR="00034288" w:rsidRPr="00963EA4" w:rsidRDefault="00034288" w:rsidP="00971B41">
            <w:pPr>
              <w:jc w:val="center"/>
              <w:rPr>
                <w:rFonts w:asciiTheme="minorHAnsi" w:hAnsiTheme="minorHAnsi"/>
                <w:b/>
                <w:sz w:val="18"/>
                <w:szCs w:val="18"/>
                <w:lang w:val="es-EC"/>
              </w:rPr>
            </w:pPr>
            <w:r w:rsidRPr="00963EA4">
              <w:rPr>
                <w:rFonts w:asciiTheme="minorHAnsi" w:hAnsiTheme="minorHAnsi"/>
                <w:b/>
                <w:sz w:val="18"/>
                <w:szCs w:val="18"/>
                <w:lang w:val="es-EC"/>
              </w:rPr>
              <w:t>Zona</w:t>
            </w:r>
          </w:p>
        </w:tc>
        <w:tc>
          <w:tcPr>
            <w:tcW w:w="650" w:type="pct"/>
            <w:gridSpan w:val="2"/>
          </w:tcPr>
          <w:p w:rsidR="00034288" w:rsidRPr="00963EA4" w:rsidRDefault="00034288" w:rsidP="00971B41">
            <w:pPr>
              <w:jc w:val="center"/>
              <w:rPr>
                <w:rFonts w:asciiTheme="minorHAnsi" w:hAnsiTheme="minorHAnsi"/>
                <w:b/>
                <w:sz w:val="16"/>
                <w:szCs w:val="16"/>
                <w:lang w:val="es-EC"/>
              </w:rPr>
            </w:pPr>
            <w:r w:rsidRPr="00963EA4">
              <w:rPr>
                <w:rFonts w:asciiTheme="minorHAnsi" w:hAnsiTheme="minorHAnsi"/>
                <w:b/>
                <w:sz w:val="16"/>
                <w:szCs w:val="16"/>
                <w:lang w:val="es-EC"/>
              </w:rPr>
              <w:t>Altura Máxima</w:t>
            </w:r>
          </w:p>
        </w:tc>
        <w:tc>
          <w:tcPr>
            <w:tcW w:w="730" w:type="pct"/>
            <w:gridSpan w:val="3"/>
          </w:tcPr>
          <w:p w:rsidR="00034288" w:rsidRPr="00963EA4" w:rsidRDefault="00034288" w:rsidP="00971B41">
            <w:pPr>
              <w:jc w:val="center"/>
              <w:rPr>
                <w:rFonts w:asciiTheme="minorHAnsi" w:hAnsiTheme="minorHAnsi"/>
                <w:b/>
                <w:sz w:val="16"/>
                <w:szCs w:val="16"/>
                <w:lang w:val="es-EC"/>
              </w:rPr>
            </w:pPr>
            <w:r w:rsidRPr="00963EA4">
              <w:rPr>
                <w:rFonts w:asciiTheme="minorHAnsi" w:hAnsiTheme="minorHAnsi"/>
                <w:b/>
                <w:sz w:val="16"/>
                <w:szCs w:val="16"/>
                <w:lang w:val="es-EC"/>
              </w:rPr>
              <w:t>Retiros</w:t>
            </w:r>
          </w:p>
        </w:tc>
        <w:tc>
          <w:tcPr>
            <w:tcW w:w="567" w:type="pct"/>
          </w:tcPr>
          <w:p w:rsidR="00034288" w:rsidRPr="00963EA4" w:rsidRDefault="00034288" w:rsidP="00971B41">
            <w:pPr>
              <w:jc w:val="center"/>
              <w:rPr>
                <w:rFonts w:asciiTheme="minorHAnsi" w:hAnsiTheme="minorHAnsi"/>
                <w:b/>
                <w:sz w:val="16"/>
                <w:szCs w:val="16"/>
                <w:lang w:val="es-EC"/>
              </w:rPr>
            </w:pPr>
            <w:r w:rsidRPr="00963EA4">
              <w:rPr>
                <w:rFonts w:asciiTheme="minorHAnsi" w:hAnsiTheme="minorHAnsi"/>
                <w:b/>
                <w:sz w:val="16"/>
                <w:szCs w:val="16"/>
                <w:lang w:val="es-EC"/>
              </w:rPr>
              <w:t>Distancia entre bloques</w:t>
            </w:r>
          </w:p>
        </w:tc>
        <w:tc>
          <w:tcPr>
            <w:tcW w:w="434" w:type="pct"/>
          </w:tcPr>
          <w:p w:rsidR="00034288" w:rsidRPr="00963EA4" w:rsidRDefault="00034288" w:rsidP="00971B41">
            <w:pPr>
              <w:jc w:val="center"/>
              <w:rPr>
                <w:rFonts w:asciiTheme="minorHAnsi" w:hAnsiTheme="minorHAnsi"/>
                <w:b/>
                <w:sz w:val="16"/>
                <w:szCs w:val="16"/>
                <w:lang w:val="es-EC"/>
              </w:rPr>
            </w:pPr>
            <w:r w:rsidRPr="00963EA4">
              <w:rPr>
                <w:rFonts w:asciiTheme="minorHAnsi" w:hAnsiTheme="minorHAnsi"/>
                <w:b/>
                <w:sz w:val="16"/>
                <w:szCs w:val="16"/>
                <w:lang w:val="es-EC"/>
              </w:rPr>
              <w:t>COS PB</w:t>
            </w:r>
          </w:p>
        </w:tc>
        <w:tc>
          <w:tcPr>
            <w:tcW w:w="501" w:type="pct"/>
          </w:tcPr>
          <w:p w:rsidR="00034288" w:rsidRPr="00963EA4" w:rsidRDefault="00034288" w:rsidP="00971B41">
            <w:pPr>
              <w:jc w:val="center"/>
              <w:rPr>
                <w:rFonts w:asciiTheme="minorHAnsi" w:hAnsiTheme="minorHAnsi"/>
                <w:b/>
                <w:sz w:val="16"/>
                <w:szCs w:val="16"/>
                <w:lang w:val="es-EC"/>
              </w:rPr>
            </w:pPr>
            <w:r w:rsidRPr="00963EA4">
              <w:rPr>
                <w:rFonts w:asciiTheme="minorHAnsi" w:hAnsiTheme="minorHAnsi"/>
                <w:b/>
                <w:sz w:val="16"/>
                <w:szCs w:val="16"/>
                <w:lang w:val="es-EC"/>
              </w:rPr>
              <w:t>COS TOTAL</w:t>
            </w:r>
          </w:p>
        </w:tc>
        <w:tc>
          <w:tcPr>
            <w:tcW w:w="661" w:type="pct"/>
            <w:gridSpan w:val="2"/>
          </w:tcPr>
          <w:p w:rsidR="00034288" w:rsidRPr="00963EA4" w:rsidRDefault="00034288" w:rsidP="00971B41">
            <w:pPr>
              <w:jc w:val="center"/>
              <w:rPr>
                <w:rFonts w:asciiTheme="minorHAnsi" w:hAnsiTheme="minorHAnsi"/>
                <w:b/>
                <w:sz w:val="16"/>
                <w:szCs w:val="16"/>
                <w:lang w:val="es-EC"/>
              </w:rPr>
            </w:pPr>
            <w:r w:rsidRPr="00963EA4">
              <w:rPr>
                <w:rFonts w:asciiTheme="minorHAnsi" w:hAnsiTheme="minorHAnsi"/>
                <w:b/>
                <w:sz w:val="16"/>
                <w:szCs w:val="16"/>
                <w:lang w:val="es-EC"/>
              </w:rPr>
              <w:t>Lote Mínimo</w:t>
            </w:r>
          </w:p>
        </w:tc>
        <w:tc>
          <w:tcPr>
            <w:tcW w:w="582" w:type="pct"/>
          </w:tcPr>
          <w:p w:rsidR="00034288" w:rsidRPr="00963EA4" w:rsidRDefault="00034288" w:rsidP="00971B41">
            <w:pPr>
              <w:jc w:val="center"/>
              <w:rPr>
                <w:rFonts w:asciiTheme="minorHAnsi" w:hAnsiTheme="minorHAnsi"/>
                <w:b/>
                <w:sz w:val="16"/>
                <w:szCs w:val="16"/>
                <w:lang w:val="es-EC"/>
              </w:rPr>
            </w:pPr>
            <w:r w:rsidRPr="00963EA4">
              <w:rPr>
                <w:rFonts w:asciiTheme="minorHAnsi" w:hAnsiTheme="minorHAnsi"/>
                <w:b/>
                <w:sz w:val="16"/>
                <w:szCs w:val="16"/>
                <w:lang w:val="es-EC"/>
              </w:rPr>
              <w:t>Frente Mínimo</w:t>
            </w:r>
          </w:p>
        </w:tc>
      </w:tr>
      <w:tr w:rsidR="00034288" w:rsidRPr="00963EA4" w:rsidTr="005349A7">
        <w:tc>
          <w:tcPr>
            <w:tcW w:w="335" w:type="pct"/>
            <w:vMerge/>
          </w:tcPr>
          <w:p w:rsidR="00034288" w:rsidRPr="00963EA4" w:rsidRDefault="00034288" w:rsidP="00971B41">
            <w:pPr>
              <w:jc w:val="center"/>
              <w:rPr>
                <w:rFonts w:asciiTheme="minorHAnsi" w:hAnsiTheme="minorHAnsi"/>
                <w:b/>
                <w:sz w:val="18"/>
                <w:szCs w:val="18"/>
                <w:lang w:val="es-EC"/>
              </w:rPr>
            </w:pPr>
          </w:p>
        </w:tc>
        <w:tc>
          <w:tcPr>
            <w:tcW w:w="539" w:type="pct"/>
            <w:vMerge/>
          </w:tcPr>
          <w:p w:rsidR="00034288" w:rsidRPr="00963EA4" w:rsidRDefault="00034288" w:rsidP="00971B41">
            <w:pPr>
              <w:jc w:val="center"/>
              <w:rPr>
                <w:rFonts w:asciiTheme="minorHAnsi" w:hAnsiTheme="minorHAnsi"/>
                <w:b/>
                <w:sz w:val="18"/>
                <w:szCs w:val="18"/>
                <w:lang w:val="es-EC"/>
              </w:rPr>
            </w:pPr>
          </w:p>
        </w:tc>
        <w:tc>
          <w:tcPr>
            <w:tcW w:w="383" w:type="pct"/>
          </w:tcPr>
          <w:p w:rsidR="00034288" w:rsidRPr="00963EA4" w:rsidRDefault="00034288" w:rsidP="00971B41">
            <w:pPr>
              <w:jc w:val="center"/>
              <w:rPr>
                <w:rFonts w:asciiTheme="minorHAnsi" w:hAnsiTheme="minorHAnsi"/>
                <w:b/>
                <w:sz w:val="16"/>
                <w:szCs w:val="16"/>
                <w:lang w:val="es-EC"/>
              </w:rPr>
            </w:pPr>
            <w:r w:rsidRPr="00963EA4">
              <w:rPr>
                <w:rFonts w:asciiTheme="minorHAnsi" w:hAnsiTheme="minorHAnsi"/>
                <w:b/>
                <w:sz w:val="16"/>
                <w:szCs w:val="16"/>
                <w:lang w:val="es-EC"/>
              </w:rPr>
              <w:t>Pisos</w:t>
            </w:r>
          </w:p>
        </w:tc>
        <w:tc>
          <w:tcPr>
            <w:tcW w:w="267" w:type="pct"/>
          </w:tcPr>
          <w:p w:rsidR="00034288" w:rsidRPr="00963EA4" w:rsidRDefault="00034288" w:rsidP="00971B41">
            <w:pPr>
              <w:jc w:val="center"/>
              <w:rPr>
                <w:rFonts w:asciiTheme="minorHAnsi" w:hAnsiTheme="minorHAnsi"/>
                <w:b/>
                <w:sz w:val="18"/>
                <w:szCs w:val="18"/>
                <w:lang w:val="es-EC"/>
              </w:rPr>
            </w:pPr>
            <w:r w:rsidRPr="00963EA4">
              <w:rPr>
                <w:rFonts w:asciiTheme="minorHAnsi" w:hAnsiTheme="minorHAnsi"/>
                <w:b/>
                <w:sz w:val="18"/>
                <w:szCs w:val="18"/>
                <w:lang w:val="es-EC"/>
              </w:rPr>
              <w:t>m</w:t>
            </w:r>
          </w:p>
        </w:tc>
        <w:tc>
          <w:tcPr>
            <w:tcW w:w="233" w:type="pct"/>
          </w:tcPr>
          <w:p w:rsidR="00034288" w:rsidRPr="00963EA4" w:rsidRDefault="00034288" w:rsidP="00971B41">
            <w:pPr>
              <w:jc w:val="center"/>
              <w:rPr>
                <w:rFonts w:asciiTheme="minorHAnsi" w:hAnsiTheme="minorHAnsi"/>
                <w:b/>
                <w:sz w:val="18"/>
                <w:szCs w:val="18"/>
                <w:lang w:val="es-EC"/>
              </w:rPr>
            </w:pPr>
            <w:r w:rsidRPr="00963EA4">
              <w:rPr>
                <w:rFonts w:asciiTheme="minorHAnsi" w:hAnsiTheme="minorHAnsi"/>
                <w:b/>
                <w:sz w:val="18"/>
                <w:szCs w:val="18"/>
                <w:lang w:val="es-EC"/>
              </w:rPr>
              <w:t>F</w:t>
            </w:r>
          </w:p>
        </w:tc>
        <w:tc>
          <w:tcPr>
            <w:tcW w:w="238" w:type="pct"/>
          </w:tcPr>
          <w:p w:rsidR="00034288" w:rsidRPr="00963EA4" w:rsidRDefault="00034288" w:rsidP="00971B41">
            <w:pPr>
              <w:jc w:val="center"/>
              <w:rPr>
                <w:rFonts w:asciiTheme="minorHAnsi" w:hAnsiTheme="minorHAnsi"/>
                <w:b/>
                <w:sz w:val="18"/>
                <w:szCs w:val="18"/>
                <w:lang w:val="es-EC"/>
              </w:rPr>
            </w:pPr>
            <w:r w:rsidRPr="00963EA4">
              <w:rPr>
                <w:rFonts w:asciiTheme="minorHAnsi" w:hAnsiTheme="minorHAnsi"/>
                <w:b/>
                <w:sz w:val="18"/>
                <w:szCs w:val="18"/>
                <w:lang w:val="es-EC"/>
              </w:rPr>
              <w:t>L</w:t>
            </w:r>
          </w:p>
        </w:tc>
        <w:tc>
          <w:tcPr>
            <w:tcW w:w="260" w:type="pct"/>
          </w:tcPr>
          <w:p w:rsidR="00034288" w:rsidRPr="00963EA4" w:rsidRDefault="00034288" w:rsidP="00971B41">
            <w:pPr>
              <w:jc w:val="center"/>
              <w:rPr>
                <w:rFonts w:asciiTheme="minorHAnsi" w:hAnsiTheme="minorHAnsi"/>
                <w:b/>
                <w:sz w:val="18"/>
                <w:szCs w:val="18"/>
                <w:lang w:val="es-EC"/>
              </w:rPr>
            </w:pPr>
            <w:r w:rsidRPr="00963EA4">
              <w:rPr>
                <w:rFonts w:asciiTheme="minorHAnsi" w:hAnsiTheme="minorHAnsi"/>
                <w:b/>
                <w:sz w:val="18"/>
                <w:szCs w:val="18"/>
                <w:lang w:val="es-EC"/>
              </w:rPr>
              <w:t>P</w:t>
            </w:r>
          </w:p>
        </w:tc>
        <w:tc>
          <w:tcPr>
            <w:tcW w:w="567" w:type="pct"/>
          </w:tcPr>
          <w:p w:rsidR="00034288" w:rsidRPr="00963EA4" w:rsidRDefault="00034288" w:rsidP="00971B41">
            <w:pPr>
              <w:jc w:val="center"/>
              <w:rPr>
                <w:rFonts w:asciiTheme="minorHAnsi" w:hAnsiTheme="minorHAnsi"/>
                <w:b/>
                <w:sz w:val="18"/>
                <w:szCs w:val="18"/>
                <w:lang w:val="es-EC"/>
              </w:rPr>
            </w:pPr>
            <w:r w:rsidRPr="00963EA4">
              <w:rPr>
                <w:rFonts w:asciiTheme="minorHAnsi" w:hAnsiTheme="minorHAnsi"/>
                <w:b/>
                <w:sz w:val="18"/>
                <w:szCs w:val="18"/>
                <w:lang w:val="es-EC"/>
              </w:rPr>
              <w:t>m</w:t>
            </w:r>
          </w:p>
        </w:tc>
        <w:tc>
          <w:tcPr>
            <w:tcW w:w="434" w:type="pct"/>
          </w:tcPr>
          <w:p w:rsidR="00034288" w:rsidRPr="00963EA4" w:rsidRDefault="00034288" w:rsidP="00971B41">
            <w:pPr>
              <w:jc w:val="center"/>
              <w:rPr>
                <w:rFonts w:asciiTheme="minorHAnsi" w:hAnsiTheme="minorHAnsi"/>
                <w:b/>
                <w:sz w:val="18"/>
                <w:szCs w:val="18"/>
                <w:lang w:val="es-EC"/>
              </w:rPr>
            </w:pPr>
            <w:r w:rsidRPr="00963EA4">
              <w:rPr>
                <w:rFonts w:asciiTheme="minorHAnsi" w:hAnsiTheme="minorHAnsi"/>
                <w:b/>
                <w:sz w:val="18"/>
                <w:szCs w:val="18"/>
                <w:lang w:val="es-EC"/>
              </w:rPr>
              <w:t>%</w:t>
            </w:r>
          </w:p>
        </w:tc>
        <w:tc>
          <w:tcPr>
            <w:tcW w:w="501" w:type="pct"/>
          </w:tcPr>
          <w:p w:rsidR="00034288" w:rsidRPr="00963EA4" w:rsidRDefault="00034288" w:rsidP="00971B41">
            <w:pPr>
              <w:jc w:val="center"/>
              <w:rPr>
                <w:rFonts w:asciiTheme="minorHAnsi" w:hAnsiTheme="minorHAnsi"/>
                <w:b/>
                <w:sz w:val="18"/>
                <w:szCs w:val="18"/>
                <w:lang w:val="es-EC"/>
              </w:rPr>
            </w:pPr>
            <w:r w:rsidRPr="00963EA4">
              <w:rPr>
                <w:rFonts w:asciiTheme="minorHAnsi" w:hAnsiTheme="minorHAnsi"/>
                <w:b/>
                <w:sz w:val="18"/>
                <w:szCs w:val="18"/>
                <w:lang w:val="es-EC"/>
              </w:rPr>
              <w:t>%</w:t>
            </w:r>
          </w:p>
        </w:tc>
        <w:tc>
          <w:tcPr>
            <w:tcW w:w="649" w:type="pct"/>
          </w:tcPr>
          <w:p w:rsidR="00034288" w:rsidRPr="00963EA4" w:rsidRDefault="00034288" w:rsidP="00971B41">
            <w:pPr>
              <w:jc w:val="center"/>
              <w:rPr>
                <w:rFonts w:asciiTheme="minorHAnsi" w:hAnsiTheme="minorHAnsi"/>
                <w:b/>
                <w:sz w:val="18"/>
                <w:szCs w:val="18"/>
                <w:lang w:val="es-EC"/>
              </w:rPr>
            </w:pPr>
            <w:r w:rsidRPr="00963EA4">
              <w:rPr>
                <w:rFonts w:asciiTheme="minorHAnsi" w:hAnsiTheme="minorHAnsi"/>
                <w:b/>
                <w:sz w:val="18"/>
                <w:szCs w:val="18"/>
                <w:lang w:val="es-EC"/>
              </w:rPr>
              <w:t>m2</w:t>
            </w:r>
          </w:p>
        </w:tc>
        <w:tc>
          <w:tcPr>
            <w:tcW w:w="594" w:type="pct"/>
            <w:gridSpan w:val="2"/>
          </w:tcPr>
          <w:p w:rsidR="00034288" w:rsidRPr="00963EA4" w:rsidRDefault="00034288" w:rsidP="00971B41">
            <w:pPr>
              <w:jc w:val="center"/>
              <w:rPr>
                <w:rFonts w:asciiTheme="minorHAnsi" w:hAnsiTheme="minorHAnsi"/>
                <w:b/>
                <w:sz w:val="18"/>
                <w:szCs w:val="18"/>
                <w:lang w:val="es-EC"/>
              </w:rPr>
            </w:pPr>
            <w:r w:rsidRPr="00963EA4">
              <w:rPr>
                <w:rFonts w:asciiTheme="minorHAnsi" w:hAnsiTheme="minorHAnsi"/>
                <w:b/>
                <w:sz w:val="18"/>
                <w:szCs w:val="18"/>
                <w:lang w:val="es-EC"/>
              </w:rPr>
              <w:t>m</w:t>
            </w:r>
          </w:p>
        </w:tc>
      </w:tr>
      <w:tr w:rsidR="00034288" w:rsidRPr="00963EA4" w:rsidTr="005349A7">
        <w:tc>
          <w:tcPr>
            <w:tcW w:w="335" w:type="pct"/>
          </w:tcPr>
          <w:p w:rsidR="00034288" w:rsidRPr="00963EA4" w:rsidRDefault="00034288" w:rsidP="00971B41">
            <w:pPr>
              <w:jc w:val="center"/>
              <w:rPr>
                <w:rFonts w:asciiTheme="minorHAnsi" w:hAnsiTheme="minorHAnsi"/>
                <w:sz w:val="16"/>
                <w:szCs w:val="16"/>
                <w:lang w:val="es-EC"/>
              </w:rPr>
            </w:pPr>
            <w:r w:rsidRPr="00963EA4">
              <w:rPr>
                <w:rFonts w:asciiTheme="minorHAnsi" w:hAnsiTheme="minorHAnsi"/>
                <w:sz w:val="16"/>
                <w:szCs w:val="16"/>
                <w:lang w:val="es-EC"/>
              </w:rPr>
              <w:t>A10</w:t>
            </w:r>
          </w:p>
        </w:tc>
        <w:tc>
          <w:tcPr>
            <w:tcW w:w="539" w:type="pct"/>
          </w:tcPr>
          <w:p w:rsidR="00034288" w:rsidRPr="00963EA4" w:rsidRDefault="00034288" w:rsidP="00971B41">
            <w:pPr>
              <w:jc w:val="center"/>
              <w:rPr>
                <w:rFonts w:asciiTheme="minorHAnsi" w:hAnsiTheme="minorHAnsi"/>
                <w:sz w:val="16"/>
                <w:szCs w:val="16"/>
                <w:lang w:val="es-EC"/>
              </w:rPr>
            </w:pPr>
            <w:r w:rsidRPr="00963EA4">
              <w:rPr>
                <w:rFonts w:asciiTheme="minorHAnsi" w:hAnsiTheme="minorHAnsi"/>
                <w:sz w:val="16"/>
                <w:szCs w:val="16"/>
                <w:lang w:val="es-EC"/>
              </w:rPr>
              <w:t>A604-50</w:t>
            </w:r>
          </w:p>
        </w:tc>
        <w:tc>
          <w:tcPr>
            <w:tcW w:w="383" w:type="pct"/>
          </w:tcPr>
          <w:p w:rsidR="00034288" w:rsidRPr="00963EA4" w:rsidRDefault="00034288" w:rsidP="00971B41">
            <w:pPr>
              <w:jc w:val="center"/>
              <w:rPr>
                <w:rFonts w:asciiTheme="minorHAnsi" w:hAnsiTheme="minorHAnsi"/>
                <w:sz w:val="16"/>
                <w:szCs w:val="16"/>
                <w:lang w:val="es-EC"/>
              </w:rPr>
            </w:pPr>
            <w:r w:rsidRPr="00963EA4">
              <w:rPr>
                <w:rFonts w:asciiTheme="minorHAnsi" w:hAnsiTheme="minorHAnsi"/>
                <w:sz w:val="16"/>
                <w:szCs w:val="16"/>
                <w:lang w:val="es-EC"/>
              </w:rPr>
              <w:t>4</w:t>
            </w:r>
          </w:p>
        </w:tc>
        <w:tc>
          <w:tcPr>
            <w:tcW w:w="267" w:type="pct"/>
          </w:tcPr>
          <w:p w:rsidR="00034288" w:rsidRPr="00963EA4" w:rsidRDefault="00034288" w:rsidP="00971B41">
            <w:pPr>
              <w:jc w:val="center"/>
              <w:rPr>
                <w:rFonts w:asciiTheme="minorHAnsi" w:hAnsiTheme="minorHAnsi" w:cstheme="minorHAnsi"/>
                <w:sz w:val="16"/>
                <w:szCs w:val="16"/>
                <w:lang w:val="es-EC"/>
              </w:rPr>
            </w:pPr>
            <w:r w:rsidRPr="00963EA4">
              <w:rPr>
                <w:rFonts w:asciiTheme="minorHAnsi" w:hAnsiTheme="minorHAnsi" w:cstheme="minorHAnsi"/>
                <w:sz w:val="16"/>
                <w:szCs w:val="16"/>
                <w:lang w:val="es-EC"/>
              </w:rPr>
              <w:t>16</w:t>
            </w:r>
          </w:p>
        </w:tc>
        <w:tc>
          <w:tcPr>
            <w:tcW w:w="233" w:type="pct"/>
          </w:tcPr>
          <w:p w:rsidR="00034288" w:rsidRPr="00963EA4" w:rsidRDefault="00034288" w:rsidP="00971B41">
            <w:pPr>
              <w:jc w:val="center"/>
              <w:rPr>
                <w:rFonts w:asciiTheme="minorHAnsi" w:hAnsiTheme="minorHAnsi"/>
                <w:sz w:val="16"/>
                <w:szCs w:val="16"/>
                <w:lang w:val="es-EC"/>
              </w:rPr>
            </w:pPr>
            <w:r w:rsidRPr="00963EA4">
              <w:rPr>
                <w:rFonts w:asciiTheme="minorHAnsi" w:hAnsiTheme="minorHAnsi"/>
                <w:sz w:val="16"/>
                <w:szCs w:val="16"/>
                <w:lang w:val="es-EC"/>
              </w:rPr>
              <w:t>5</w:t>
            </w:r>
          </w:p>
        </w:tc>
        <w:tc>
          <w:tcPr>
            <w:tcW w:w="238" w:type="pct"/>
          </w:tcPr>
          <w:p w:rsidR="00034288" w:rsidRPr="00963EA4" w:rsidRDefault="00034288" w:rsidP="00971B41">
            <w:pPr>
              <w:jc w:val="center"/>
              <w:rPr>
                <w:rFonts w:asciiTheme="minorHAnsi" w:hAnsiTheme="minorHAnsi"/>
                <w:sz w:val="16"/>
                <w:szCs w:val="16"/>
                <w:lang w:val="es-EC"/>
              </w:rPr>
            </w:pPr>
            <w:r w:rsidRPr="00963EA4">
              <w:rPr>
                <w:rFonts w:asciiTheme="minorHAnsi" w:hAnsiTheme="minorHAnsi"/>
                <w:sz w:val="16"/>
                <w:szCs w:val="16"/>
                <w:lang w:val="es-EC"/>
              </w:rPr>
              <w:t>3</w:t>
            </w:r>
          </w:p>
        </w:tc>
        <w:tc>
          <w:tcPr>
            <w:tcW w:w="260" w:type="pct"/>
          </w:tcPr>
          <w:p w:rsidR="00034288" w:rsidRPr="00963EA4" w:rsidRDefault="00034288" w:rsidP="00971B41">
            <w:pPr>
              <w:jc w:val="center"/>
              <w:rPr>
                <w:rFonts w:asciiTheme="minorHAnsi" w:hAnsiTheme="minorHAnsi"/>
                <w:sz w:val="16"/>
                <w:szCs w:val="16"/>
                <w:lang w:val="es-EC"/>
              </w:rPr>
            </w:pPr>
            <w:r w:rsidRPr="00963EA4">
              <w:rPr>
                <w:rFonts w:asciiTheme="minorHAnsi" w:hAnsiTheme="minorHAnsi"/>
                <w:sz w:val="16"/>
                <w:szCs w:val="16"/>
                <w:lang w:val="es-EC"/>
              </w:rPr>
              <w:t>3</w:t>
            </w:r>
          </w:p>
        </w:tc>
        <w:tc>
          <w:tcPr>
            <w:tcW w:w="567" w:type="pct"/>
          </w:tcPr>
          <w:p w:rsidR="00034288" w:rsidRPr="00963EA4" w:rsidRDefault="00034288" w:rsidP="00971B41">
            <w:pPr>
              <w:jc w:val="center"/>
              <w:rPr>
                <w:rFonts w:asciiTheme="minorHAnsi" w:hAnsiTheme="minorHAnsi"/>
                <w:sz w:val="16"/>
                <w:szCs w:val="16"/>
                <w:lang w:val="es-EC"/>
              </w:rPr>
            </w:pPr>
            <w:r w:rsidRPr="00963EA4">
              <w:rPr>
                <w:rFonts w:asciiTheme="minorHAnsi" w:hAnsiTheme="minorHAnsi"/>
                <w:sz w:val="16"/>
                <w:szCs w:val="16"/>
                <w:lang w:val="es-EC"/>
              </w:rPr>
              <w:t>6</w:t>
            </w:r>
          </w:p>
        </w:tc>
        <w:tc>
          <w:tcPr>
            <w:tcW w:w="434" w:type="pct"/>
          </w:tcPr>
          <w:p w:rsidR="00034288" w:rsidRPr="00963EA4" w:rsidRDefault="00034288" w:rsidP="00971B41">
            <w:pPr>
              <w:jc w:val="center"/>
              <w:rPr>
                <w:rFonts w:asciiTheme="minorHAnsi" w:hAnsiTheme="minorHAnsi"/>
                <w:sz w:val="16"/>
                <w:szCs w:val="16"/>
                <w:lang w:val="es-EC"/>
              </w:rPr>
            </w:pPr>
            <w:r w:rsidRPr="00963EA4">
              <w:rPr>
                <w:rFonts w:asciiTheme="minorHAnsi" w:hAnsiTheme="minorHAnsi"/>
                <w:sz w:val="16"/>
                <w:szCs w:val="16"/>
                <w:lang w:val="es-EC"/>
              </w:rPr>
              <w:t>50</w:t>
            </w:r>
          </w:p>
        </w:tc>
        <w:tc>
          <w:tcPr>
            <w:tcW w:w="501" w:type="pct"/>
          </w:tcPr>
          <w:p w:rsidR="00034288" w:rsidRPr="00963EA4" w:rsidRDefault="00034288" w:rsidP="00971B41">
            <w:pPr>
              <w:jc w:val="center"/>
              <w:rPr>
                <w:rFonts w:asciiTheme="minorHAnsi" w:hAnsiTheme="minorHAnsi"/>
                <w:sz w:val="16"/>
                <w:szCs w:val="16"/>
                <w:lang w:val="es-EC"/>
              </w:rPr>
            </w:pPr>
            <w:r w:rsidRPr="00963EA4">
              <w:rPr>
                <w:rFonts w:asciiTheme="minorHAnsi" w:hAnsiTheme="minorHAnsi"/>
                <w:sz w:val="16"/>
                <w:szCs w:val="16"/>
                <w:lang w:val="es-EC"/>
              </w:rPr>
              <w:t>200</w:t>
            </w:r>
          </w:p>
        </w:tc>
        <w:tc>
          <w:tcPr>
            <w:tcW w:w="649" w:type="pct"/>
          </w:tcPr>
          <w:p w:rsidR="00034288" w:rsidRPr="00963EA4" w:rsidRDefault="00034288" w:rsidP="00971B41">
            <w:pPr>
              <w:jc w:val="center"/>
              <w:rPr>
                <w:rFonts w:asciiTheme="minorHAnsi" w:hAnsiTheme="minorHAnsi"/>
                <w:sz w:val="16"/>
                <w:szCs w:val="16"/>
                <w:lang w:val="es-EC"/>
              </w:rPr>
            </w:pPr>
            <w:r w:rsidRPr="00963EA4">
              <w:rPr>
                <w:rFonts w:asciiTheme="minorHAnsi" w:hAnsiTheme="minorHAnsi"/>
                <w:sz w:val="16"/>
                <w:szCs w:val="16"/>
                <w:lang w:val="es-EC"/>
              </w:rPr>
              <w:t>600</w:t>
            </w:r>
          </w:p>
        </w:tc>
        <w:tc>
          <w:tcPr>
            <w:tcW w:w="594" w:type="pct"/>
            <w:gridSpan w:val="2"/>
          </w:tcPr>
          <w:p w:rsidR="00034288" w:rsidRPr="00963EA4" w:rsidRDefault="00034288" w:rsidP="00971B41">
            <w:pPr>
              <w:jc w:val="center"/>
              <w:rPr>
                <w:rFonts w:asciiTheme="minorHAnsi" w:hAnsiTheme="minorHAnsi"/>
                <w:sz w:val="16"/>
                <w:szCs w:val="16"/>
                <w:lang w:val="es-EC"/>
              </w:rPr>
            </w:pPr>
            <w:r w:rsidRPr="00963EA4">
              <w:rPr>
                <w:rFonts w:asciiTheme="minorHAnsi" w:hAnsiTheme="minorHAnsi"/>
                <w:sz w:val="16"/>
                <w:szCs w:val="16"/>
                <w:lang w:val="es-EC"/>
              </w:rPr>
              <w:t>15</w:t>
            </w:r>
          </w:p>
        </w:tc>
      </w:tr>
      <w:tr w:rsidR="00034288" w:rsidRPr="00963EA4" w:rsidTr="005349A7">
        <w:tc>
          <w:tcPr>
            <w:tcW w:w="335" w:type="pct"/>
          </w:tcPr>
          <w:p w:rsidR="00034288" w:rsidRPr="00963EA4" w:rsidRDefault="00034288" w:rsidP="00971B41">
            <w:pPr>
              <w:jc w:val="center"/>
              <w:rPr>
                <w:rFonts w:asciiTheme="minorHAnsi" w:hAnsiTheme="minorHAnsi"/>
                <w:sz w:val="16"/>
                <w:szCs w:val="16"/>
                <w:lang w:val="es-EC"/>
              </w:rPr>
            </w:pPr>
            <w:r w:rsidRPr="00963EA4">
              <w:rPr>
                <w:rFonts w:asciiTheme="minorHAnsi" w:hAnsiTheme="minorHAnsi"/>
                <w:sz w:val="16"/>
                <w:szCs w:val="16"/>
                <w:lang w:val="es-EC"/>
              </w:rPr>
              <w:t>A19</w:t>
            </w:r>
          </w:p>
        </w:tc>
        <w:tc>
          <w:tcPr>
            <w:tcW w:w="539" w:type="pct"/>
          </w:tcPr>
          <w:p w:rsidR="00034288" w:rsidRPr="00963EA4" w:rsidRDefault="00034288" w:rsidP="00971B41">
            <w:pPr>
              <w:jc w:val="center"/>
              <w:rPr>
                <w:rFonts w:asciiTheme="minorHAnsi" w:hAnsiTheme="minorHAnsi"/>
                <w:sz w:val="16"/>
                <w:szCs w:val="16"/>
                <w:lang w:val="es-EC"/>
              </w:rPr>
            </w:pPr>
            <w:r w:rsidRPr="00963EA4">
              <w:rPr>
                <w:rFonts w:asciiTheme="minorHAnsi" w:hAnsiTheme="minorHAnsi"/>
                <w:sz w:val="16"/>
                <w:szCs w:val="16"/>
                <w:lang w:val="es-EC"/>
              </w:rPr>
              <w:t>A606-50</w:t>
            </w:r>
          </w:p>
        </w:tc>
        <w:tc>
          <w:tcPr>
            <w:tcW w:w="383" w:type="pct"/>
          </w:tcPr>
          <w:p w:rsidR="00034288" w:rsidRPr="00963EA4" w:rsidRDefault="00034288" w:rsidP="00971B41">
            <w:pPr>
              <w:jc w:val="center"/>
              <w:rPr>
                <w:rFonts w:asciiTheme="minorHAnsi" w:hAnsiTheme="minorHAnsi"/>
                <w:sz w:val="16"/>
                <w:szCs w:val="16"/>
                <w:lang w:val="es-EC"/>
              </w:rPr>
            </w:pPr>
            <w:r w:rsidRPr="00963EA4">
              <w:rPr>
                <w:rFonts w:asciiTheme="minorHAnsi" w:hAnsiTheme="minorHAnsi"/>
                <w:sz w:val="16"/>
                <w:szCs w:val="16"/>
                <w:lang w:val="es-EC"/>
              </w:rPr>
              <w:t>6</w:t>
            </w:r>
          </w:p>
        </w:tc>
        <w:tc>
          <w:tcPr>
            <w:tcW w:w="267" w:type="pct"/>
          </w:tcPr>
          <w:p w:rsidR="00034288" w:rsidRPr="00963EA4" w:rsidRDefault="00034288" w:rsidP="00971B41">
            <w:pPr>
              <w:jc w:val="center"/>
              <w:rPr>
                <w:rFonts w:asciiTheme="minorHAnsi" w:hAnsiTheme="minorHAnsi"/>
                <w:sz w:val="16"/>
                <w:szCs w:val="16"/>
                <w:lang w:val="es-EC"/>
              </w:rPr>
            </w:pPr>
            <w:r w:rsidRPr="00963EA4">
              <w:rPr>
                <w:rFonts w:asciiTheme="minorHAnsi" w:hAnsiTheme="minorHAnsi"/>
                <w:sz w:val="16"/>
                <w:szCs w:val="16"/>
                <w:lang w:val="es-EC"/>
              </w:rPr>
              <w:t>24</w:t>
            </w:r>
          </w:p>
        </w:tc>
        <w:tc>
          <w:tcPr>
            <w:tcW w:w="233" w:type="pct"/>
          </w:tcPr>
          <w:p w:rsidR="00034288" w:rsidRPr="00963EA4" w:rsidRDefault="00034288" w:rsidP="00971B41">
            <w:pPr>
              <w:jc w:val="center"/>
              <w:rPr>
                <w:rFonts w:asciiTheme="minorHAnsi" w:hAnsiTheme="minorHAnsi"/>
                <w:sz w:val="16"/>
                <w:szCs w:val="16"/>
                <w:lang w:val="es-EC"/>
              </w:rPr>
            </w:pPr>
            <w:r w:rsidRPr="00963EA4">
              <w:rPr>
                <w:rFonts w:asciiTheme="minorHAnsi" w:hAnsiTheme="minorHAnsi"/>
                <w:sz w:val="16"/>
                <w:szCs w:val="16"/>
                <w:lang w:val="es-EC"/>
              </w:rPr>
              <w:t>5</w:t>
            </w:r>
          </w:p>
        </w:tc>
        <w:tc>
          <w:tcPr>
            <w:tcW w:w="238" w:type="pct"/>
          </w:tcPr>
          <w:p w:rsidR="00034288" w:rsidRPr="00963EA4" w:rsidRDefault="00034288" w:rsidP="00971B41">
            <w:pPr>
              <w:jc w:val="center"/>
              <w:rPr>
                <w:rFonts w:asciiTheme="minorHAnsi" w:hAnsiTheme="minorHAnsi"/>
                <w:sz w:val="16"/>
                <w:szCs w:val="16"/>
                <w:lang w:val="es-EC"/>
              </w:rPr>
            </w:pPr>
            <w:r w:rsidRPr="00963EA4">
              <w:rPr>
                <w:rFonts w:asciiTheme="minorHAnsi" w:hAnsiTheme="minorHAnsi"/>
                <w:sz w:val="16"/>
                <w:szCs w:val="16"/>
                <w:lang w:val="es-EC"/>
              </w:rPr>
              <w:t>3</w:t>
            </w:r>
          </w:p>
        </w:tc>
        <w:tc>
          <w:tcPr>
            <w:tcW w:w="260" w:type="pct"/>
          </w:tcPr>
          <w:p w:rsidR="00034288" w:rsidRPr="00963EA4" w:rsidRDefault="00034288" w:rsidP="00971B41">
            <w:pPr>
              <w:jc w:val="center"/>
              <w:rPr>
                <w:rFonts w:asciiTheme="minorHAnsi" w:hAnsiTheme="minorHAnsi"/>
                <w:sz w:val="16"/>
                <w:szCs w:val="16"/>
                <w:lang w:val="es-EC"/>
              </w:rPr>
            </w:pPr>
            <w:r w:rsidRPr="00963EA4">
              <w:rPr>
                <w:rFonts w:asciiTheme="minorHAnsi" w:hAnsiTheme="minorHAnsi"/>
                <w:sz w:val="16"/>
                <w:szCs w:val="16"/>
                <w:lang w:val="es-EC"/>
              </w:rPr>
              <w:t>3</w:t>
            </w:r>
          </w:p>
        </w:tc>
        <w:tc>
          <w:tcPr>
            <w:tcW w:w="567" w:type="pct"/>
          </w:tcPr>
          <w:p w:rsidR="00034288" w:rsidRPr="00963EA4" w:rsidRDefault="00034288" w:rsidP="00971B41">
            <w:pPr>
              <w:jc w:val="center"/>
              <w:rPr>
                <w:rFonts w:asciiTheme="minorHAnsi" w:hAnsiTheme="minorHAnsi"/>
                <w:sz w:val="16"/>
                <w:szCs w:val="16"/>
                <w:lang w:val="es-EC"/>
              </w:rPr>
            </w:pPr>
            <w:r w:rsidRPr="00963EA4">
              <w:rPr>
                <w:rFonts w:asciiTheme="minorHAnsi" w:hAnsiTheme="minorHAnsi"/>
                <w:sz w:val="16"/>
                <w:szCs w:val="16"/>
                <w:lang w:val="es-EC"/>
              </w:rPr>
              <w:t>6</w:t>
            </w:r>
          </w:p>
        </w:tc>
        <w:tc>
          <w:tcPr>
            <w:tcW w:w="434" w:type="pct"/>
          </w:tcPr>
          <w:p w:rsidR="00034288" w:rsidRPr="00963EA4" w:rsidRDefault="00034288" w:rsidP="00971B41">
            <w:pPr>
              <w:jc w:val="center"/>
              <w:rPr>
                <w:rFonts w:asciiTheme="minorHAnsi" w:hAnsiTheme="minorHAnsi"/>
                <w:sz w:val="16"/>
                <w:szCs w:val="16"/>
                <w:lang w:val="es-EC"/>
              </w:rPr>
            </w:pPr>
            <w:r w:rsidRPr="00963EA4">
              <w:rPr>
                <w:rFonts w:asciiTheme="minorHAnsi" w:hAnsiTheme="minorHAnsi"/>
                <w:sz w:val="16"/>
                <w:szCs w:val="16"/>
                <w:lang w:val="es-EC"/>
              </w:rPr>
              <w:t>50</w:t>
            </w:r>
          </w:p>
        </w:tc>
        <w:tc>
          <w:tcPr>
            <w:tcW w:w="501" w:type="pct"/>
          </w:tcPr>
          <w:p w:rsidR="00034288" w:rsidRPr="00963EA4" w:rsidRDefault="00034288" w:rsidP="00971B41">
            <w:pPr>
              <w:jc w:val="center"/>
              <w:rPr>
                <w:rFonts w:asciiTheme="minorHAnsi" w:hAnsiTheme="minorHAnsi"/>
                <w:sz w:val="16"/>
                <w:szCs w:val="16"/>
                <w:lang w:val="es-EC"/>
              </w:rPr>
            </w:pPr>
            <w:r w:rsidRPr="00963EA4">
              <w:rPr>
                <w:rFonts w:asciiTheme="minorHAnsi" w:hAnsiTheme="minorHAnsi"/>
                <w:sz w:val="16"/>
                <w:szCs w:val="16"/>
                <w:lang w:val="es-EC"/>
              </w:rPr>
              <w:t>300</w:t>
            </w:r>
          </w:p>
        </w:tc>
        <w:tc>
          <w:tcPr>
            <w:tcW w:w="649" w:type="pct"/>
          </w:tcPr>
          <w:p w:rsidR="00034288" w:rsidRPr="00963EA4" w:rsidRDefault="00034288" w:rsidP="00971B41">
            <w:pPr>
              <w:jc w:val="center"/>
              <w:rPr>
                <w:rFonts w:asciiTheme="minorHAnsi" w:hAnsiTheme="minorHAnsi"/>
                <w:sz w:val="16"/>
                <w:szCs w:val="16"/>
                <w:lang w:val="es-EC"/>
              </w:rPr>
            </w:pPr>
            <w:r w:rsidRPr="00963EA4">
              <w:rPr>
                <w:rFonts w:asciiTheme="minorHAnsi" w:hAnsiTheme="minorHAnsi"/>
                <w:sz w:val="16"/>
                <w:szCs w:val="16"/>
                <w:lang w:val="es-EC"/>
              </w:rPr>
              <w:t>600</w:t>
            </w:r>
          </w:p>
        </w:tc>
        <w:tc>
          <w:tcPr>
            <w:tcW w:w="594" w:type="pct"/>
            <w:gridSpan w:val="2"/>
          </w:tcPr>
          <w:p w:rsidR="00034288" w:rsidRPr="00963EA4" w:rsidRDefault="00034288" w:rsidP="00971B41">
            <w:pPr>
              <w:jc w:val="center"/>
              <w:rPr>
                <w:rFonts w:asciiTheme="minorHAnsi" w:hAnsiTheme="minorHAnsi"/>
                <w:sz w:val="16"/>
                <w:szCs w:val="16"/>
                <w:lang w:val="es-EC"/>
              </w:rPr>
            </w:pPr>
            <w:r w:rsidRPr="00963EA4">
              <w:rPr>
                <w:rFonts w:asciiTheme="minorHAnsi" w:hAnsiTheme="minorHAnsi"/>
                <w:sz w:val="16"/>
                <w:szCs w:val="16"/>
                <w:lang w:val="es-EC"/>
              </w:rPr>
              <w:t>15</w:t>
            </w:r>
          </w:p>
        </w:tc>
      </w:tr>
      <w:tr w:rsidR="00034288" w:rsidRPr="00963EA4" w:rsidTr="005349A7">
        <w:tc>
          <w:tcPr>
            <w:tcW w:w="335" w:type="pct"/>
          </w:tcPr>
          <w:p w:rsidR="00034288" w:rsidRPr="00963EA4" w:rsidRDefault="00034288" w:rsidP="00971B41">
            <w:pPr>
              <w:jc w:val="center"/>
              <w:rPr>
                <w:rFonts w:asciiTheme="minorHAnsi" w:hAnsiTheme="minorHAnsi"/>
                <w:sz w:val="16"/>
                <w:szCs w:val="16"/>
                <w:lang w:val="es-EC"/>
              </w:rPr>
            </w:pPr>
            <w:r w:rsidRPr="00963EA4">
              <w:rPr>
                <w:rFonts w:asciiTheme="minorHAnsi" w:hAnsiTheme="minorHAnsi"/>
                <w:sz w:val="16"/>
                <w:szCs w:val="16"/>
                <w:lang w:val="es-EC"/>
              </w:rPr>
              <w:t>A21</w:t>
            </w:r>
          </w:p>
        </w:tc>
        <w:tc>
          <w:tcPr>
            <w:tcW w:w="539" w:type="pct"/>
          </w:tcPr>
          <w:p w:rsidR="00034288" w:rsidRPr="00963EA4" w:rsidRDefault="00034288" w:rsidP="00971B41">
            <w:pPr>
              <w:jc w:val="center"/>
              <w:rPr>
                <w:rFonts w:asciiTheme="minorHAnsi" w:hAnsiTheme="minorHAnsi"/>
                <w:sz w:val="16"/>
                <w:szCs w:val="16"/>
                <w:lang w:val="es-EC"/>
              </w:rPr>
            </w:pPr>
            <w:r w:rsidRPr="00963EA4">
              <w:rPr>
                <w:rFonts w:asciiTheme="minorHAnsi" w:hAnsiTheme="minorHAnsi"/>
                <w:sz w:val="16"/>
                <w:szCs w:val="16"/>
                <w:lang w:val="es-EC"/>
              </w:rPr>
              <w:t>A608-50</w:t>
            </w:r>
          </w:p>
        </w:tc>
        <w:tc>
          <w:tcPr>
            <w:tcW w:w="383" w:type="pct"/>
          </w:tcPr>
          <w:p w:rsidR="00034288" w:rsidRPr="00963EA4" w:rsidRDefault="00034288" w:rsidP="00971B41">
            <w:pPr>
              <w:jc w:val="center"/>
              <w:rPr>
                <w:rFonts w:asciiTheme="minorHAnsi" w:hAnsiTheme="minorHAnsi"/>
                <w:sz w:val="16"/>
                <w:szCs w:val="16"/>
                <w:lang w:val="es-EC"/>
              </w:rPr>
            </w:pPr>
            <w:r w:rsidRPr="00963EA4">
              <w:rPr>
                <w:rFonts w:asciiTheme="minorHAnsi" w:hAnsiTheme="minorHAnsi"/>
                <w:sz w:val="16"/>
                <w:szCs w:val="16"/>
                <w:lang w:val="es-EC"/>
              </w:rPr>
              <w:t>8</w:t>
            </w:r>
          </w:p>
        </w:tc>
        <w:tc>
          <w:tcPr>
            <w:tcW w:w="267" w:type="pct"/>
          </w:tcPr>
          <w:p w:rsidR="00034288" w:rsidRPr="00963EA4" w:rsidRDefault="00034288" w:rsidP="00971B41">
            <w:pPr>
              <w:jc w:val="center"/>
              <w:rPr>
                <w:rFonts w:asciiTheme="minorHAnsi" w:hAnsiTheme="minorHAnsi"/>
                <w:sz w:val="16"/>
                <w:szCs w:val="16"/>
                <w:lang w:val="es-EC"/>
              </w:rPr>
            </w:pPr>
            <w:r w:rsidRPr="00963EA4">
              <w:rPr>
                <w:rFonts w:asciiTheme="minorHAnsi" w:hAnsiTheme="minorHAnsi"/>
                <w:sz w:val="16"/>
                <w:szCs w:val="16"/>
                <w:lang w:val="es-EC"/>
              </w:rPr>
              <w:t>32</w:t>
            </w:r>
          </w:p>
        </w:tc>
        <w:tc>
          <w:tcPr>
            <w:tcW w:w="233" w:type="pct"/>
          </w:tcPr>
          <w:p w:rsidR="00034288" w:rsidRPr="00963EA4" w:rsidRDefault="00034288" w:rsidP="00971B41">
            <w:pPr>
              <w:jc w:val="center"/>
              <w:rPr>
                <w:rFonts w:asciiTheme="minorHAnsi" w:hAnsiTheme="minorHAnsi"/>
                <w:sz w:val="16"/>
                <w:szCs w:val="16"/>
                <w:lang w:val="es-EC"/>
              </w:rPr>
            </w:pPr>
            <w:r w:rsidRPr="00963EA4">
              <w:rPr>
                <w:rFonts w:asciiTheme="minorHAnsi" w:hAnsiTheme="minorHAnsi"/>
                <w:sz w:val="16"/>
                <w:szCs w:val="16"/>
                <w:lang w:val="es-EC"/>
              </w:rPr>
              <w:t>5</w:t>
            </w:r>
          </w:p>
        </w:tc>
        <w:tc>
          <w:tcPr>
            <w:tcW w:w="238" w:type="pct"/>
          </w:tcPr>
          <w:p w:rsidR="00034288" w:rsidRPr="00963EA4" w:rsidRDefault="00034288" w:rsidP="00971B41">
            <w:pPr>
              <w:jc w:val="center"/>
              <w:rPr>
                <w:rFonts w:asciiTheme="minorHAnsi" w:hAnsiTheme="minorHAnsi"/>
                <w:sz w:val="16"/>
                <w:szCs w:val="16"/>
                <w:lang w:val="es-EC"/>
              </w:rPr>
            </w:pPr>
            <w:r w:rsidRPr="00963EA4">
              <w:rPr>
                <w:rFonts w:asciiTheme="minorHAnsi" w:hAnsiTheme="minorHAnsi"/>
                <w:sz w:val="16"/>
                <w:szCs w:val="16"/>
                <w:lang w:val="es-EC"/>
              </w:rPr>
              <w:t>3</w:t>
            </w:r>
          </w:p>
        </w:tc>
        <w:tc>
          <w:tcPr>
            <w:tcW w:w="260" w:type="pct"/>
          </w:tcPr>
          <w:p w:rsidR="00034288" w:rsidRPr="00963EA4" w:rsidRDefault="00034288" w:rsidP="00971B41">
            <w:pPr>
              <w:jc w:val="center"/>
              <w:rPr>
                <w:rFonts w:asciiTheme="minorHAnsi" w:hAnsiTheme="minorHAnsi"/>
                <w:sz w:val="16"/>
                <w:szCs w:val="16"/>
                <w:lang w:val="es-EC"/>
              </w:rPr>
            </w:pPr>
            <w:r w:rsidRPr="00963EA4">
              <w:rPr>
                <w:rFonts w:asciiTheme="minorHAnsi" w:hAnsiTheme="minorHAnsi"/>
                <w:sz w:val="16"/>
                <w:szCs w:val="16"/>
                <w:lang w:val="es-EC"/>
              </w:rPr>
              <w:t>3</w:t>
            </w:r>
          </w:p>
        </w:tc>
        <w:tc>
          <w:tcPr>
            <w:tcW w:w="567" w:type="pct"/>
          </w:tcPr>
          <w:p w:rsidR="00034288" w:rsidRPr="00963EA4" w:rsidRDefault="00034288" w:rsidP="00971B41">
            <w:pPr>
              <w:jc w:val="center"/>
              <w:rPr>
                <w:rFonts w:asciiTheme="minorHAnsi" w:hAnsiTheme="minorHAnsi"/>
                <w:sz w:val="16"/>
                <w:szCs w:val="16"/>
                <w:lang w:val="es-EC"/>
              </w:rPr>
            </w:pPr>
            <w:r w:rsidRPr="00963EA4">
              <w:rPr>
                <w:rFonts w:asciiTheme="minorHAnsi" w:hAnsiTheme="minorHAnsi"/>
                <w:sz w:val="16"/>
                <w:szCs w:val="16"/>
                <w:lang w:val="es-EC"/>
              </w:rPr>
              <w:t>6</w:t>
            </w:r>
          </w:p>
        </w:tc>
        <w:tc>
          <w:tcPr>
            <w:tcW w:w="434" w:type="pct"/>
          </w:tcPr>
          <w:p w:rsidR="00034288" w:rsidRPr="00963EA4" w:rsidRDefault="00034288" w:rsidP="00971B41">
            <w:pPr>
              <w:jc w:val="center"/>
              <w:rPr>
                <w:rFonts w:asciiTheme="minorHAnsi" w:hAnsiTheme="minorHAnsi"/>
                <w:sz w:val="16"/>
                <w:szCs w:val="16"/>
                <w:lang w:val="es-EC"/>
              </w:rPr>
            </w:pPr>
            <w:r w:rsidRPr="00963EA4">
              <w:rPr>
                <w:rFonts w:asciiTheme="minorHAnsi" w:hAnsiTheme="minorHAnsi"/>
                <w:sz w:val="16"/>
                <w:szCs w:val="16"/>
                <w:lang w:val="es-EC"/>
              </w:rPr>
              <w:t>50</w:t>
            </w:r>
          </w:p>
        </w:tc>
        <w:tc>
          <w:tcPr>
            <w:tcW w:w="501" w:type="pct"/>
          </w:tcPr>
          <w:p w:rsidR="00034288" w:rsidRPr="00963EA4" w:rsidRDefault="00034288" w:rsidP="00971B41">
            <w:pPr>
              <w:jc w:val="center"/>
              <w:rPr>
                <w:rFonts w:asciiTheme="minorHAnsi" w:hAnsiTheme="minorHAnsi"/>
                <w:sz w:val="16"/>
                <w:szCs w:val="16"/>
                <w:lang w:val="es-EC"/>
              </w:rPr>
            </w:pPr>
            <w:r w:rsidRPr="00963EA4">
              <w:rPr>
                <w:rFonts w:asciiTheme="minorHAnsi" w:hAnsiTheme="minorHAnsi"/>
                <w:sz w:val="16"/>
                <w:szCs w:val="16"/>
                <w:lang w:val="es-EC"/>
              </w:rPr>
              <w:t>400</w:t>
            </w:r>
          </w:p>
        </w:tc>
        <w:tc>
          <w:tcPr>
            <w:tcW w:w="649" w:type="pct"/>
          </w:tcPr>
          <w:p w:rsidR="00034288" w:rsidRPr="00963EA4" w:rsidRDefault="00034288" w:rsidP="00971B41">
            <w:pPr>
              <w:jc w:val="center"/>
              <w:rPr>
                <w:rFonts w:asciiTheme="minorHAnsi" w:hAnsiTheme="minorHAnsi"/>
                <w:sz w:val="16"/>
                <w:szCs w:val="16"/>
                <w:lang w:val="es-EC"/>
              </w:rPr>
            </w:pPr>
            <w:r w:rsidRPr="00963EA4">
              <w:rPr>
                <w:rFonts w:asciiTheme="minorHAnsi" w:hAnsiTheme="minorHAnsi"/>
                <w:sz w:val="16"/>
                <w:szCs w:val="16"/>
                <w:lang w:val="es-EC"/>
              </w:rPr>
              <w:t>600</w:t>
            </w:r>
          </w:p>
        </w:tc>
        <w:tc>
          <w:tcPr>
            <w:tcW w:w="594" w:type="pct"/>
            <w:gridSpan w:val="2"/>
          </w:tcPr>
          <w:p w:rsidR="00034288" w:rsidRPr="00963EA4" w:rsidRDefault="00034288" w:rsidP="00971B41">
            <w:pPr>
              <w:jc w:val="center"/>
              <w:rPr>
                <w:rFonts w:asciiTheme="minorHAnsi" w:hAnsiTheme="minorHAnsi"/>
                <w:sz w:val="16"/>
                <w:szCs w:val="16"/>
                <w:lang w:val="es-EC"/>
              </w:rPr>
            </w:pPr>
            <w:r w:rsidRPr="00963EA4">
              <w:rPr>
                <w:rFonts w:asciiTheme="minorHAnsi" w:hAnsiTheme="minorHAnsi"/>
                <w:sz w:val="16"/>
                <w:szCs w:val="16"/>
                <w:lang w:val="es-EC"/>
              </w:rPr>
              <w:t>15</w:t>
            </w:r>
          </w:p>
        </w:tc>
      </w:tr>
    </w:tbl>
    <w:p w:rsidR="00034288" w:rsidRPr="00963EA4" w:rsidRDefault="00034288" w:rsidP="00971B41">
      <w:pPr>
        <w:rPr>
          <w:rFonts w:asciiTheme="minorHAnsi" w:hAnsiTheme="minorHAnsi"/>
          <w:sz w:val="22"/>
          <w:szCs w:val="22"/>
          <w:lang w:val="es-ES_tradnl"/>
        </w:rPr>
      </w:pPr>
    </w:p>
    <w:p w:rsidR="003F7E63" w:rsidRDefault="00034288" w:rsidP="00034288">
      <w:pPr>
        <w:jc w:val="both"/>
        <w:rPr>
          <w:rFonts w:asciiTheme="minorHAnsi" w:hAnsiTheme="minorHAnsi"/>
          <w:sz w:val="22"/>
          <w:szCs w:val="22"/>
          <w:lang w:val="es-ES_tradnl"/>
        </w:rPr>
      </w:pPr>
      <w:r w:rsidRPr="00963EA4">
        <w:rPr>
          <w:rFonts w:asciiTheme="minorHAnsi" w:hAnsiTheme="minorHAnsi"/>
          <w:b/>
          <w:sz w:val="22"/>
          <w:szCs w:val="22"/>
          <w:lang w:val="es-ES_tradnl"/>
        </w:rPr>
        <w:t>Art. 10.- Normas generales para edificaciones.-</w:t>
      </w:r>
      <w:r w:rsidRPr="00963EA4">
        <w:rPr>
          <w:rFonts w:asciiTheme="minorHAnsi" w:hAnsiTheme="minorHAnsi"/>
          <w:sz w:val="22"/>
          <w:szCs w:val="22"/>
          <w:lang w:val="es-ES_tradnl"/>
        </w:rPr>
        <w:t xml:space="preserve"> Toda habilitación del suelo y edificación se sujetará a las especificaciones de la presente ordenanza y a las determinaciones de las ordenanzas del Régimen del Suelo Metropolitano, el Plan de Uso y Ocupación del Suelo y las Reglas Técnicas de Arquitectura y Urbanismo.</w:t>
      </w:r>
    </w:p>
    <w:p w:rsidR="003F7E63" w:rsidRDefault="003F7E63" w:rsidP="00034288">
      <w:pPr>
        <w:jc w:val="both"/>
        <w:rPr>
          <w:rFonts w:asciiTheme="minorHAnsi" w:hAnsiTheme="minorHAnsi"/>
          <w:sz w:val="22"/>
          <w:szCs w:val="22"/>
          <w:lang w:val="es-ES_tradnl"/>
        </w:rPr>
      </w:pPr>
    </w:p>
    <w:p w:rsidR="003F7E63" w:rsidRPr="00963EA4" w:rsidRDefault="003F7E63" w:rsidP="003F7E63">
      <w:pPr>
        <w:jc w:val="both"/>
        <w:rPr>
          <w:rFonts w:asciiTheme="minorHAnsi" w:hAnsiTheme="minorHAnsi"/>
          <w:sz w:val="22"/>
          <w:szCs w:val="22"/>
          <w:lang w:val="es-ES_tradnl"/>
        </w:rPr>
      </w:pPr>
      <w:r>
        <w:rPr>
          <w:rFonts w:asciiTheme="minorHAnsi" w:hAnsiTheme="minorHAnsi"/>
          <w:b/>
          <w:bCs/>
          <w:sz w:val="22"/>
          <w:szCs w:val="22"/>
          <w:lang w:val="es-ES_tradnl"/>
        </w:rPr>
        <w:t xml:space="preserve">Art. </w:t>
      </w:r>
      <w:r w:rsidRPr="00963EA4">
        <w:rPr>
          <w:rFonts w:asciiTheme="minorHAnsi" w:hAnsiTheme="minorHAnsi"/>
          <w:b/>
          <w:bCs/>
          <w:sz w:val="22"/>
          <w:szCs w:val="22"/>
          <w:lang w:val="es-ES_tradnl"/>
        </w:rPr>
        <w:t>11</w:t>
      </w:r>
      <w:r w:rsidRPr="00963EA4">
        <w:rPr>
          <w:rFonts w:asciiTheme="minorHAnsi" w:hAnsiTheme="minorHAnsi"/>
          <w:sz w:val="22"/>
          <w:szCs w:val="22"/>
          <w:lang w:val="es-ES_tradnl"/>
        </w:rPr>
        <w:t xml:space="preserve">.- </w:t>
      </w:r>
      <w:r w:rsidRPr="00963EA4">
        <w:rPr>
          <w:rFonts w:asciiTheme="minorHAnsi" w:hAnsiTheme="minorHAnsi"/>
          <w:b/>
          <w:sz w:val="22"/>
          <w:szCs w:val="22"/>
          <w:lang w:val="es-ES_tradnl"/>
        </w:rPr>
        <w:t>Normas específicas para edificaciones</w:t>
      </w:r>
      <w:r w:rsidRPr="00963EA4">
        <w:rPr>
          <w:rFonts w:asciiTheme="minorHAnsi" w:hAnsiTheme="minorHAnsi"/>
          <w:sz w:val="22"/>
          <w:szCs w:val="22"/>
          <w:lang w:val="es-ES_tradnl"/>
        </w:rPr>
        <w:t>.- En el ámbito de aplicación de la presente Ordenanza, las edificaciones deberán observar las siguientes condiciones:</w:t>
      </w:r>
    </w:p>
    <w:p w:rsidR="003F7E63" w:rsidRPr="00963EA4" w:rsidRDefault="003F7E63" w:rsidP="003F7E63">
      <w:pPr>
        <w:jc w:val="both"/>
        <w:rPr>
          <w:rFonts w:asciiTheme="minorHAnsi" w:hAnsiTheme="minorHAnsi"/>
          <w:sz w:val="22"/>
          <w:szCs w:val="22"/>
          <w:lang w:val="es-ES_tradnl"/>
        </w:rPr>
      </w:pPr>
    </w:p>
    <w:p w:rsidR="003F7E63" w:rsidRPr="00963EA4" w:rsidRDefault="003F7E63" w:rsidP="003F7E63">
      <w:pPr>
        <w:pStyle w:val="Prrafodelista"/>
        <w:numPr>
          <w:ilvl w:val="0"/>
          <w:numId w:val="4"/>
        </w:numPr>
        <w:jc w:val="both"/>
        <w:rPr>
          <w:rFonts w:asciiTheme="minorHAnsi" w:hAnsiTheme="minorHAnsi"/>
          <w:sz w:val="22"/>
          <w:szCs w:val="22"/>
          <w:lang w:val="es-ES_tradnl"/>
        </w:rPr>
      </w:pPr>
      <w:r w:rsidRPr="00963EA4">
        <w:rPr>
          <w:rFonts w:asciiTheme="minorHAnsi" w:hAnsiTheme="minorHAnsi"/>
          <w:sz w:val="22"/>
          <w:szCs w:val="22"/>
          <w:lang w:val="es-ES_tradnl"/>
        </w:rPr>
        <w:t>La edificación principal no podrá sobrepasar la altura máxima establecida tanto en pisos como en metros en esta ordenanza;</w:t>
      </w:r>
    </w:p>
    <w:p w:rsidR="003F7E63" w:rsidRPr="00963EA4" w:rsidRDefault="003F7E63" w:rsidP="003F7E63">
      <w:pPr>
        <w:pStyle w:val="Prrafodelista"/>
        <w:numPr>
          <w:ilvl w:val="0"/>
          <w:numId w:val="4"/>
        </w:numPr>
        <w:jc w:val="both"/>
        <w:rPr>
          <w:rFonts w:asciiTheme="minorHAnsi" w:hAnsiTheme="minorHAnsi"/>
          <w:bCs/>
          <w:sz w:val="22"/>
          <w:szCs w:val="22"/>
          <w:lang w:val="es-ES_tradnl"/>
        </w:rPr>
      </w:pPr>
      <w:r w:rsidRPr="00963EA4">
        <w:rPr>
          <w:rFonts w:asciiTheme="minorHAnsi" w:hAnsiTheme="minorHAnsi"/>
          <w:sz w:val="22"/>
          <w:szCs w:val="22"/>
          <w:lang w:val="es-ES_tradnl"/>
        </w:rPr>
        <w:t>Los retiros frontales en edificación nueva se destinarán exclusivamente a jardines. En estos retiros se podrá construir exclusivamente pasos cubiertos para circulación peatonal y espacios duros descubiertos de acceso vehicular desde la línea de fábrica hasta la puerta de ingreso de la edificación, bajo las condiciones establecidas en las Reglas Técnicas de Arquitectura y Urbanismo.</w:t>
      </w:r>
    </w:p>
    <w:p w:rsidR="003F7E63" w:rsidRPr="00963EA4" w:rsidRDefault="003F7E63" w:rsidP="003F7E63">
      <w:pPr>
        <w:pStyle w:val="Prrafodelista"/>
        <w:numPr>
          <w:ilvl w:val="0"/>
          <w:numId w:val="4"/>
        </w:numPr>
        <w:jc w:val="both"/>
        <w:rPr>
          <w:rFonts w:asciiTheme="minorHAnsi" w:hAnsiTheme="minorHAnsi"/>
          <w:bCs/>
          <w:sz w:val="22"/>
          <w:szCs w:val="22"/>
          <w:lang w:val="es-ES_tradnl"/>
        </w:rPr>
      </w:pPr>
      <w:r w:rsidRPr="00963EA4">
        <w:rPr>
          <w:rFonts w:asciiTheme="minorHAnsi" w:hAnsiTheme="minorHAnsi"/>
          <w:sz w:val="22"/>
          <w:szCs w:val="22"/>
          <w:lang w:val="es-ES_tradnl"/>
        </w:rPr>
        <w:t>Los ingresos peatonales y vehiculares a los predios en ningún caso deberán romper la inclinación natural de la calzada y la configuración continua de la vereda. Se eliminará cualquier obstáculo que dificulte o impida la circulación peatonal en la vereda;</w:t>
      </w:r>
    </w:p>
    <w:p w:rsidR="003F7E63" w:rsidRPr="00963EA4" w:rsidRDefault="003F7E63" w:rsidP="003F7E63">
      <w:pPr>
        <w:pStyle w:val="Prrafodelista"/>
        <w:numPr>
          <w:ilvl w:val="0"/>
          <w:numId w:val="4"/>
        </w:numPr>
        <w:jc w:val="both"/>
        <w:rPr>
          <w:rFonts w:asciiTheme="minorHAnsi" w:hAnsiTheme="minorHAnsi"/>
          <w:bCs/>
          <w:sz w:val="22"/>
          <w:szCs w:val="22"/>
          <w:lang w:val="es-ES_tradnl"/>
        </w:rPr>
      </w:pPr>
      <w:r w:rsidRPr="00963EA4">
        <w:rPr>
          <w:rFonts w:asciiTheme="minorHAnsi" w:hAnsiTheme="minorHAnsi"/>
          <w:sz w:val="22"/>
          <w:szCs w:val="22"/>
          <w:lang w:val="es-ES_tradnl"/>
        </w:rPr>
        <w:t>Las áreas comunales y espacios verdes del barrio entregados a la Municipalidad serán destinados exclusivamente para recreación, prácticas deportivas y actividades comunales;</w:t>
      </w:r>
    </w:p>
    <w:p w:rsidR="003F7E63" w:rsidRPr="00963EA4" w:rsidRDefault="003F7E63" w:rsidP="003F7E63">
      <w:pPr>
        <w:pStyle w:val="Prrafodelista"/>
        <w:numPr>
          <w:ilvl w:val="0"/>
          <w:numId w:val="4"/>
        </w:numPr>
        <w:jc w:val="both"/>
        <w:rPr>
          <w:rFonts w:asciiTheme="minorHAnsi" w:hAnsiTheme="minorHAnsi"/>
          <w:sz w:val="22"/>
          <w:szCs w:val="22"/>
          <w:lang w:val="es-ES_tradnl"/>
        </w:rPr>
      </w:pPr>
      <w:r w:rsidRPr="00963EA4">
        <w:rPr>
          <w:rFonts w:asciiTheme="minorHAnsi" w:hAnsiTheme="minorHAnsi"/>
          <w:sz w:val="22"/>
          <w:szCs w:val="22"/>
          <w:lang w:val="es-ES_tradnl"/>
        </w:rPr>
        <w:t>En los predios, las áreas no ocupadas por edificaciones deberán tener vegetación en por lo menos un setenta por ciento. Para el trámite de permiso de habitabilidad el departamento técnico constatará la existencia de la vegetación mínima exigida; y,</w:t>
      </w:r>
    </w:p>
    <w:p w:rsidR="003F7E63" w:rsidRDefault="003F7E63" w:rsidP="003F7E63">
      <w:pPr>
        <w:pStyle w:val="Prrafodelista"/>
        <w:numPr>
          <w:ilvl w:val="0"/>
          <w:numId w:val="4"/>
        </w:numPr>
        <w:jc w:val="both"/>
        <w:rPr>
          <w:rFonts w:asciiTheme="minorHAnsi" w:hAnsiTheme="minorHAnsi"/>
          <w:sz w:val="22"/>
          <w:szCs w:val="22"/>
          <w:lang w:val="es-ES_tradnl"/>
        </w:rPr>
      </w:pPr>
      <w:r w:rsidRPr="00963EA4">
        <w:rPr>
          <w:rFonts w:asciiTheme="minorHAnsi" w:hAnsiTheme="minorHAnsi"/>
          <w:sz w:val="22"/>
          <w:szCs w:val="22"/>
          <w:lang w:val="es-ES_tradnl"/>
        </w:rPr>
        <w:lastRenderedPageBreak/>
        <w:t>Se prohíbe la ocupación de aceras con casetas de seguridad. Estas deberán ubicarse al interior del retiro frontal en las condiciones previstas en las Reglas Técnicas de Arquitectura y Urbanismo.</w:t>
      </w:r>
    </w:p>
    <w:p w:rsidR="003F7E63" w:rsidRPr="00963EA4" w:rsidRDefault="003F7E63" w:rsidP="003F7E63">
      <w:pPr>
        <w:pStyle w:val="Prrafodelista"/>
        <w:jc w:val="both"/>
        <w:rPr>
          <w:rFonts w:asciiTheme="minorHAnsi" w:hAnsiTheme="minorHAnsi"/>
          <w:sz w:val="22"/>
          <w:szCs w:val="22"/>
          <w:lang w:val="es-ES_tradnl"/>
        </w:rPr>
      </w:pPr>
    </w:p>
    <w:p w:rsidR="003F7E63" w:rsidRPr="003F7E63" w:rsidRDefault="003F7E63" w:rsidP="003F7E63">
      <w:pPr>
        <w:jc w:val="both"/>
        <w:rPr>
          <w:rFonts w:asciiTheme="minorHAnsi" w:hAnsiTheme="minorHAnsi"/>
          <w:sz w:val="22"/>
          <w:szCs w:val="22"/>
          <w:lang w:val="es-ES_tradnl"/>
        </w:rPr>
      </w:pPr>
      <w:r w:rsidRPr="003F7E63">
        <w:rPr>
          <w:rFonts w:asciiTheme="minorHAnsi" w:hAnsiTheme="minorHAnsi"/>
          <w:b/>
          <w:bCs/>
          <w:sz w:val="22"/>
          <w:szCs w:val="22"/>
          <w:lang w:val="es-ES_tradnl"/>
        </w:rPr>
        <w:t>Art. 12</w:t>
      </w:r>
      <w:r w:rsidRPr="003F7E63">
        <w:rPr>
          <w:rFonts w:asciiTheme="minorHAnsi" w:hAnsiTheme="minorHAnsi"/>
          <w:sz w:val="22"/>
          <w:szCs w:val="22"/>
          <w:lang w:val="es-ES_tradnl"/>
        </w:rPr>
        <w:t xml:space="preserve">.- </w:t>
      </w:r>
      <w:r w:rsidRPr="003F7E63">
        <w:rPr>
          <w:rFonts w:asciiTheme="minorHAnsi" w:hAnsiTheme="minorHAnsi"/>
          <w:b/>
          <w:sz w:val="22"/>
          <w:szCs w:val="22"/>
          <w:lang w:val="es-ES_tradnl"/>
        </w:rPr>
        <w:t>Compra de edificabilidad</w:t>
      </w:r>
      <w:r w:rsidRPr="003F7E63">
        <w:rPr>
          <w:rFonts w:asciiTheme="minorHAnsi" w:hAnsiTheme="minorHAnsi"/>
          <w:sz w:val="22"/>
          <w:szCs w:val="22"/>
          <w:lang w:val="es-ES_tradnl"/>
        </w:rPr>
        <w:t>.- No se admite ningún sistema de compra de edificabilidad en el barrio Quito Tenis.</w:t>
      </w:r>
    </w:p>
    <w:p w:rsidR="003F7E63" w:rsidRDefault="003F7E63" w:rsidP="00034288">
      <w:pPr>
        <w:jc w:val="both"/>
        <w:rPr>
          <w:rFonts w:asciiTheme="minorHAnsi" w:hAnsiTheme="minorHAnsi"/>
          <w:sz w:val="22"/>
          <w:szCs w:val="22"/>
          <w:lang w:val="es-ES_tradnl"/>
        </w:rPr>
      </w:pPr>
    </w:p>
    <w:p w:rsidR="005919AC" w:rsidRPr="00963EA4" w:rsidRDefault="00971B41" w:rsidP="003F7E63">
      <w:pPr>
        <w:tabs>
          <w:tab w:val="left" w:pos="3606"/>
          <w:tab w:val="center" w:pos="4252"/>
        </w:tabs>
        <w:jc w:val="center"/>
        <w:rPr>
          <w:rFonts w:asciiTheme="minorHAnsi" w:hAnsiTheme="minorHAnsi"/>
          <w:b/>
          <w:sz w:val="22"/>
          <w:szCs w:val="22"/>
          <w:lang w:val="es-ES_tradnl"/>
        </w:rPr>
      </w:pPr>
      <w:r w:rsidRPr="00963EA4">
        <w:rPr>
          <w:rFonts w:asciiTheme="minorHAnsi" w:hAnsiTheme="minorHAnsi"/>
          <w:b/>
          <w:sz w:val="22"/>
          <w:szCs w:val="22"/>
          <w:lang w:val="es-ES_tradnl"/>
        </w:rPr>
        <w:t>CAPÍTULO IV</w:t>
      </w:r>
    </w:p>
    <w:p w:rsidR="005919AC" w:rsidRPr="00963EA4" w:rsidRDefault="00971B41" w:rsidP="005919AC">
      <w:pPr>
        <w:jc w:val="center"/>
        <w:rPr>
          <w:rFonts w:asciiTheme="minorHAnsi" w:hAnsiTheme="minorHAnsi"/>
          <w:b/>
          <w:sz w:val="22"/>
          <w:szCs w:val="22"/>
          <w:lang w:val="es-ES_tradnl"/>
        </w:rPr>
      </w:pPr>
      <w:r w:rsidRPr="00963EA4">
        <w:rPr>
          <w:rFonts w:asciiTheme="minorHAnsi" w:hAnsiTheme="minorHAnsi"/>
          <w:b/>
          <w:sz w:val="22"/>
          <w:szCs w:val="22"/>
          <w:lang w:val="es-ES_tradnl"/>
        </w:rPr>
        <w:t>SISTEMA Y DISEÑO VIAL</w:t>
      </w:r>
    </w:p>
    <w:p w:rsidR="005919AC" w:rsidRPr="00963EA4" w:rsidRDefault="005919AC" w:rsidP="005919AC">
      <w:pPr>
        <w:jc w:val="center"/>
        <w:rPr>
          <w:rFonts w:asciiTheme="minorHAnsi" w:hAnsiTheme="minorHAnsi"/>
          <w:sz w:val="22"/>
          <w:szCs w:val="22"/>
          <w:lang w:val="es-ES_tradnl"/>
        </w:rPr>
      </w:pPr>
    </w:p>
    <w:p w:rsidR="005919AC" w:rsidRPr="00963EA4" w:rsidRDefault="005919AC" w:rsidP="005919AC">
      <w:pPr>
        <w:jc w:val="both"/>
        <w:rPr>
          <w:rFonts w:asciiTheme="minorHAnsi" w:hAnsiTheme="minorHAnsi"/>
          <w:sz w:val="22"/>
          <w:szCs w:val="22"/>
          <w:lang w:val="es-ES_tradnl"/>
        </w:rPr>
      </w:pPr>
      <w:r w:rsidRPr="00963EA4">
        <w:rPr>
          <w:rFonts w:asciiTheme="minorHAnsi" w:hAnsiTheme="minorHAnsi"/>
          <w:b/>
          <w:bCs/>
          <w:sz w:val="22"/>
          <w:szCs w:val="22"/>
          <w:lang w:val="es-ES_tradnl"/>
        </w:rPr>
        <w:t>Art. 13</w:t>
      </w:r>
      <w:r w:rsidRPr="00963EA4">
        <w:rPr>
          <w:rFonts w:asciiTheme="minorHAnsi" w:hAnsiTheme="minorHAnsi"/>
          <w:sz w:val="22"/>
          <w:szCs w:val="22"/>
          <w:lang w:val="es-ES_tradnl"/>
        </w:rPr>
        <w:t xml:space="preserve">.- </w:t>
      </w:r>
      <w:r w:rsidRPr="00963EA4">
        <w:rPr>
          <w:rFonts w:asciiTheme="minorHAnsi" w:hAnsiTheme="minorHAnsi"/>
          <w:b/>
          <w:sz w:val="22"/>
          <w:szCs w:val="22"/>
          <w:lang w:val="es-ES_tradnl"/>
        </w:rPr>
        <w:t>Categorización, dimensiones y afectaciones del sistema vial</w:t>
      </w:r>
      <w:r w:rsidRPr="00963EA4">
        <w:rPr>
          <w:rFonts w:asciiTheme="minorHAnsi" w:hAnsiTheme="minorHAnsi"/>
          <w:sz w:val="22"/>
          <w:szCs w:val="22"/>
          <w:lang w:val="es-ES_tradnl"/>
        </w:rPr>
        <w:t>.- El sistema vial del barrio Quito Tenis deberá considerar como prioridad la atención a peatones, vehículos no motorizados y accesibilidad universal, y se someterá a la normativa aplicable vigente y a los trámites y procesos de las entidades competentes sobre los diferentes aspectos involucrados en la gestión vial.</w:t>
      </w:r>
    </w:p>
    <w:p w:rsidR="005919AC" w:rsidRPr="00963EA4" w:rsidRDefault="005919AC" w:rsidP="005919AC">
      <w:pPr>
        <w:jc w:val="both"/>
        <w:rPr>
          <w:rFonts w:asciiTheme="minorHAnsi" w:hAnsiTheme="minorHAnsi"/>
          <w:sz w:val="22"/>
          <w:szCs w:val="22"/>
          <w:lang w:val="es-ES_tradnl"/>
        </w:rPr>
      </w:pPr>
    </w:p>
    <w:p w:rsidR="005919AC" w:rsidRPr="00963EA4" w:rsidRDefault="005919AC" w:rsidP="005919AC">
      <w:pPr>
        <w:jc w:val="both"/>
        <w:rPr>
          <w:rFonts w:asciiTheme="minorHAnsi" w:hAnsiTheme="minorHAnsi"/>
          <w:sz w:val="22"/>
          <w:szCs w:val="22"/>
          <w:lang w:val="es-ES_tradnl"/>
        </w:rPr>
      </w:pPr>
      <w:r w:rsidRPr="00963EA4">
        <w:rPr>
          <w:rFonts w:asciiTheme="minorHAnsi" w:hAnsiTheme="minorHAnsi"/>
          <w:sz w:val="22"/>
          <w:szCs w:val="22"/>
          <w:lang w:val="es-ES_tradnl"/>
        </w:rPr>
        <w:t>Las disposiciones referidas a este artículo deberán elaborarse en conjunto y con la conformidad del Comité Barrial.</w:t>
      </w:r>
      <w:r w:rsidRPr="00963EA4" w:rsidDel="002075A9">
        <w:rPr>
          <w:rFonts w:asciiTheme="minorHAnsi" w:hAnsiTheme="minorHAnsi"/>
          <w:sz w:val="22"/>
          <w:szCs w:val="22"/>
          <w:lang w:val="es-ES_tradnl"/>
        </w:rPr>
        <w:t xml:space="preserve"> </w:t>
      </w:r>
    </w:p>
    <w:p w:rsidR="005919AC" w:rsidRPr="00963EA4" w:rsidRDefault="005919AC" w:rsidP="005919AC">
      <w:pPr>
        <w:tabs>
          <w:tab w:val="left" w:pos="2076"/>
        </w:tabs>
        <w:jc w:val="center"/>
        <w:rPr>
          <w:rFonts w:asciiTheme="minorHAnsi" w:hAnsiTheme="minorHAnsi"/>
          <w:b/>
          <w:sz w:val="22"/>
          <w:szCs w:val="22"/>
          <w:lang w:val="es-ES_tradnl"/>
        </w:rPr>
      </w:pPr>
      <w:r w:rsidRPr="00963EA4">
        <w:rPr>
          <w:rFonts w:asciiTheme="minorHAnsi" w:hAnsiTheme="minorHAnsi"/>
          <w:b/>
          <w:sz w:val="22"/>
          <w:szCs w:val="22"/>
          <w:lang w:val="es-ES_tradnl"/>
        </w:rPr>
        <w:t>Capítulo V</w:t>
      </w:r>
    </w:p>
    <w:p w:rsidR="005919AC" w:rsidRPr="00963EA4" w:rsidRDefault="005919AC" w:rsidP="005919AC">
      <w:pPr>
        <w:jc w:val="center"/>
        <w:rPr>
          <w:rFonts w:asciiTheme="minorHAnsi" w:hAnsiTheme="minorHAnsi"/>
          <w:b/>
          <w:sz w:val="22"/>
          <w:szCs w:val="22"/>
          <w:lang w:val="es-ES_tradnl"/>
        </w:rPr>
      </w:pPr>
      <w:r w:rsidRPr="00963EA4">
        <w:rPr>
          <w:rFonts w:asciiTheme="minorHAnsi" w:hAnsiTheme="minorHAnsi"/>
          <w:b/>
          <w:sz w:val="22"/>
          <w:szCs w:val="22"/>
          <w:lang w:val="es-ES_tradnl"/>
        </w:rPr>
        <w:t>Del diseño urbano y mantenimiento</w:t>
      </w:r>
    </w:p>
    <w:p w:rsidR="005919AC" w:rsidRPr="00963EA4" w:rsidRDefault="005919AC" w:rsidP="005919AC">
      <w:pPr>
        <w:jc w:val="center"/>
        <w:rPr>
          <w:rFonts w:asciiTheme="minorHAnsi" w:hAnsiTheme="minorHAnsi"/>
          <w:b/>
          <w:sz w:val="22"/>
          <w:szCs w:val="22"/>
          <w:lang w:val="es-ES_tradnl"/>
        </w:rPr>
      </w:pPr>
    </w:p>
    <w:p w:rsidR="005919AC" w:rsidRPr="00963EA4" w:rsidRDefault="005919AC" w:rsidP="005919AC">
      <w:pPr>
        <w:jc w:val="both"/>
        <w:rPr>
          <w:rFonts w:asciiTheme="minorHAnsi" w:hAnsiTheme="minorHAnsi"/>
          <w:sz w:val="22"/>
          <w:szCs w:val="22"/>
          <w:lang w:val="es-ES_tradnl"/>
        </w:rPr>
      </w:pPr>
      <w:r w:rsidRPr="00963EA4">
        <w:rPr>
          <w:rFonts w:asciiTheme="minorHAnsi" w:hAnsiTheme="minorHAnsi"/>
          <w:b/>
          <w:bCs/>
          <w:sz w:val="22"/>
          <w:szCs w:val="22"/>
          <w:lang w:val="es-ES_tradnl"/>
        </w:rPr>
        <w:t>Art. 14</w:t>
      </w:r>
      <w:r w:rsidRPr="00963EA4">
        <w:rPr>
          <w:rFonts w:asciiTheme="minorHAnsi" w:hAnsiTheme="minorHAnsi"/>
          <w:sz w:val="22"/>
          <w:szCs w:val="22"/>
          <w:lang w:val="es-ES_tradnl"/>
        </w:rPr>
        <w:t xml:space="preserve">.- </w:t>
      </w:r>
      <w:r w:rsidRPr="00963EA4">
        <w:rPr>
          <w:rFonts w:asciiTheme="minorHAnsi" w:hAnsiTheme="minorHAnsi"/>
          <w:b/>
          <w:sz w:val="22"/>
          <w:szCs w:val="22"/>
          <w:lang w:val="es-ES_tradnl"/>
        </w:rPr>
        <w:t>Del diseño de los elementos urbanos</w:t>
      </w:r>
      <w:r w:rsidRPr="00963EA4">
        <w:rPr>
          <w:rFonts w:asciiTheme="minorHAnsi" w:hAnsiTheme="minorHAnsi"/>
          <w:sz w:val="22"/>
          <w:szCs w:val="22"/>
          <w:lang w:val="es-ES_tradnl"/>
        </w:rPr>
        <w:t xml:space="preserve">.- Las intervenciones públicas y privadas de reordenamiento y renovación en el barrio Quito Tenis en lo concerniente a vías, aceras, pavimentos, arborización, redes y artefactos de iluminación, telefonía, televisión por cable, infraestructura de servicios, jardines, cerramientos, señalética, mobiliario urbano, parques, ordenamiento del sistema de movilidad y señalización, observarán las especificaciones técnicas constantes en la </w:t>
      </w:r>
      <w:r w:rsidRPr="00963EA4">
        <w:rPr>
          <w:rFonts w:asciiTheme="minorHAnsi" w:hAnsiTheme="minorHAnsi"/>
          <w:b/>
          <w:sz w:val="22"/>
          <w:szCs w:val="22"/>
          <w:lang w:val="es-ES_tradnl"/>
        </w:rPr>
        <w:t>Memoria Técnica</w:t>
      </w:r>
      <w:r w:rsidRPr="00963EA4">
        <w:rPr>
          <w:rFonts w:asciiTheme="minorHAnsi" w:hAnsiTheme="minorHAnsi"/>
          <w:sz w:val="22"/>
          <w:szCs w:val="22"/>
          <w:lang w:val="es-ES_tradnl"/>
        </w:rPr>
        <w:t xml:space="preserve"> y las especificaciones del Plan Especial, en tanto no se opongan a las normas urbanísticas vigentes en el MDMQ.</w:t>
      </w:r>
    </w:p>
    <w:p w:rsidR="005919AC" w:rsidRPr="00963EA4" w:rsidRDefault="005919AC" w:rsidP="005919AC">
      <w:pPr>
        <w:jc w:val="both"/>
        <w:rPr>
          <w:rFonts w:asciiTheme="minorHAnsi" w:hAnsiTheme="minorHAnsi"/>
          <w:sz w:val="22"/>
          <w:szCs w:val="22"/>
          <w:lang w:val="es-ES_tradnl"/>
        </w:rPr>
      </w:pPr>
    </w:p>
    <w:p w:rsidR="005919AC" w:rsidRPr="00963EA4" w:rsidRDefault="005919AC" w:rsidP="005919AC">
      <w:pPr>
        <w:jc w:val="both"/>
        <w:rPr>
          <w:rFonts w:asciiTheme="minorHAnsi" w:hAnsiTheme="minorHAnsi"/>
          <w:sz w:val="22"/>
          <w:szCs w:val="22"/>
          <w:lang w:val="es-ES_tradnl"/>
        </w:rPr>
      </w:pPr>
      <w:r w:rsidRPr="00963EA4">
        <w:rPr>
          <w:rFonts w:asciiTheme="minorHAnsi" w:hAnsiTheme="minorHAnsi"/>
          <w:b/>
          <w:bCs/>
          <w:sz w:val="22"/>
          <w:szCs w:val="22"/>
          <w:lang w:val="es-ES_tradnl"/>
        </w:rPr>
        <w:t>Art. 15</w:t>
      </w:r>
      <w:r w:rsidRPr="00963EA4">
        <w:rPr>
          <w:rFonts w:asciiTheme="minorHAnsi" w:hAnsiTheme="minorHAnsi"/>
          <w:sz w:val="22"/>
          <w:szCs w:val="22"/>
          <w:lang w:val="es-ES_tradnl"/>
        </w:rPr>
        <w:t xml:space="preserve">.- </w:t>
      </w:r>
      <w:r w:rsidRPr="00963EA4">
        <w:rPr>
          <w:rFonts w:asciiTheme="minorHAnsi" w:hAnsiTheme="minorHAnsi"/>
          <w:b/>
          <w:sz w:val="22"/>
          <w:szCs w:val="22"/>
          <w:lang w:val="es-ES_tradnl"/>
        </w:rPr>
        <w:t>Obras de mantenimiento</w:t>
      </w:r>
      <w:r w:rsidRPr="00963EA4">
        <w:rPr>
          <w:rFonts w:asciiTheme="minorHAnsi" w:hAnsiTheme="minorHAnsi"/>
          <w:sz w:val="22"/>
          <w:szCs w:val="22"/>
          <w:lang w:val="es-ES_tradnl"/>
        </w:rPr>
        <w:t>.- Los propietarios de las edificaciones del barrio Quito Tenis deberán realizar obras de mantenimiento permanente de las edificaciones y de la vegetación existente en el interior de sus respectivos predios, así como de las aceras en el frente correspondiente a cada propiedad.</w:t>
      </w:r>
    </w:p>
    <w:p w:rsidR="005919AC" w:rsidRPr="00963EA4" w:rsidRDefault="005919AC" w:rsidP="005919AC">
      <w:pPr>
        <w:jc w:val="center"/>
        <w:rPr>
          <w:rFonts w:asciiTheme="minorHAnsi" w:hAnsiTheme="minorHAnsi"/>
          <w:b/>
          <w:sz w:val="22"/>
          <w:szCs w:val="22"/>
          <w:lang w:val="es-ES_tradnl"/>
        </w:rPr>
      </w:pPr>
    </w:p>
    <w:p w:rsidR="005919AC" w:rsidRPr="00963EA4" w:rsidRDefault="00971B41" w:rsidP="005919AC">
      <w:pPr>
        <w:jc w:val="center"/>
        <w:rPr>
          <w:rFonts w:asciiTheme="minorHAnsi" w:hAnsiTheme="minorHAnsi"/>
          <w:b/>
          <w:sz w:val="22"/>
          <w:szCs w:val="22"/>
          <w:lang w:val="es-ES_tradnl"/>
        </w:rPr>
      </w:pPr>
      <w:r w:rsidRPr="00963EA4">
        <w:rPr>
          <w:rFonts w:asciiTheme="minorHAnsi" w:hAnsiTheme="minorHAnsi"/>
          <w:b/>
          <w:sz w:val="22"/>
          <w:szCs w:val="22"/>
          <w:lang w:val="es-ES_tradnl"/>
        </w:rPr>
        <w:t>CAPÍTULO VI</w:t>
      </w:r>
    </w:p>
    <w:p w:rsidR="005919AC" w:rsidRPr="00963EA4" w:rsidRDefault="00971B41" w:rsidP="005919AC">
      <w:pPr>
        <w:jc w:val="center"/>
        <w:rPr>
          <w:rFonts w:asciiTheme="minorHAnsi" w:hAnsiTheme="minorHAnsi"/>
          <w:b/>
          <w:sz w:val="22"/>
          <w:szCs w:val="22"/>
          <w:lang w:val="es-ES_tradnl"/>
        </w:rPr>
      </w:pPr>
      <w:r>
        <w:rPr>
          <w:rFonts w:asciiTheme="minorHAnsi" w:hAnsiTheme="minorHAnsi"/>
          <w:b/>
          <w:sz w:val="22"/>
          <w:szCs w:val="22"/>
          <w:lang w:val="es-ES_tradnl"/>
        </w:rPr>
        <w:t>DE LA GESTIÓN E I</w:t>
      </w:r>
      <w:r w:rsidRPr="00963EA4">
        <w:rPr>
          <w:rFonts w:asciiTheme="minorHAnsi" w:hAnsiTheme="minorHAnsi"/>
          <w:b/>
          <w:sz w:val="22"/>
          <w:szCs w:val="22"/>
          <w:lang w:val="es-ES_tradnl"/>
        </w:rPr>
        <w:t>MPLEMENTACIÓN DEL PLAN ESPECIAL</w:t>
      </w:r>
    </w:p>
    <w:p w:rsidR="005919AC" w:rsidRPr="00963EA4" w:rsidRDefault="00971B41" w:rsidP="00971B41">
      <w:pPr>
        <w:tabs>
          <w:tab w:val="center" w:pos="4252"/>
          <w:tab w:val="left" w:pos="5679"/>
        </w:tabs>
        <w:rPr>
          <w:rFonts w:asciiTheme="minorHAnsi" w:hAnsiTheme="minorHAnsi"/>
          <w:b/>
          <w:sz w:val="22"/>
          <w:szCs w:val="22"/>
          <w:lang w:val="es-ES_tradnl"/>
        </w:rPr>
      </w:pPr>
      <w:r>
        <w:rPr>
          <w:rFonts w:asciiTheme="minorHAnsi" w:hAnsiTheme="minorHAnsi"/>
          <w:b/>
          <w:sz w:val="22"/>
          <w:szCs w:val="22"/>
          <w:lang w:val="es-ES_tradnl"/>
        </w:rPr>
        <w:tab/>
      </w:r>
      <w:r w:rsidRPr="00963EA4">
        <w:rPr>
          <w:rFonts w:asciiTheme="minorHAnsi" w:hAnsiTheme="minorHAnsi"/>
          <w:b/>
          <w:sz w:val="22"/>
          <w:szCs w:val="22"/>
          <w:lang w:val="es-ES_tradnl"/>
        </w:rPr>
        <w:t xml:space="preserve"> DEL BARRIO QUITO TENIS</w:t>
      </w:r>
      <w:r>
        <w:rPr>
          <w:rFonts w:asciiTheme="minorHAnsi" w:hAnsiTheme="minorHAnsi"/>
          <w:b/>
          <w:sz w:val="22"/>
          <w:szCs w:val="22"/>
          <w:lang w:val="es-ES_tradnl"/>
        </w:rPr>
        <w:tab/>
      </w:r>
    </w:p>
    <w:p w:rsidR="005919AC" w:rsidRPr="00963EA4" w:rsidRDefault="005919AC" w:rsidP="005919AC">
      <w:pPr>
        <w:jc w:val="center"/>
        <w:rPr>
          <w:rFonts w:asciiTheme="minorHAnsi" w:hAnsiTheme="minorHAnsi"/>
          <w:b/>
          <w:sz w:val="22"/>
          <w:szCs w:val="22"/>
          <w:lang w:val="es-ES_tradnl"/>
        </w:rPr>
      </w:pPr>
    </w:p>
    <w:p w:rsidR="005919AC" w:rsidRPr="00963EA4" w:rsidRDefault="005919AC" w:rsidP="005919AC">
      <w:pPr>
        <w:jc w:val="both"/>
        <w:rPr>
          <w:rFonts w:asciiTheme="minorHAnsi" w:hAnsiTheme="minorHAnsi"/>
          <w:sz w:val="22"/>
          <w:szCs w:val="22"/>
          <w:lang w:val="es-ES_tradnl"/>
        </w:rPr>
      </w:pPr>
      <w:r w:rsidRPr="00963EA4">
        <w:rPr>
          <w:rFonts w:asciiTheme="minorHAnsi" w:hAnsiTheme="minorHAnsi"/>
          <w:b/>
          <w:bCs/>
          <w:sz w:val="22"/>
          <w:szCs w:val="22"/>
          <w:lang w:val="es-ES_tradnl"/>
        </w:rPr>
        <w:t>Art. 16</w:t>
      </w:r>
      <w:r w:rsidRPr="00963EA4">
        <w:rPr>
          <w:rFonts w:asciiTheme="minorHAnsi" w:hAnsiTheme="minorHAnsi"/>
          <w:sz w:val="22"/>
          <w:szCs w:val="22"/>
          <w:lang w:val="es-ES_tradnl"/>
        </w:rPr>
        <w:t xml:space="preserve">.- </w:t>
      </w:r>
      <w:r w:rsidRPr="00963EA4">
        <w:rPr>
          <w:rFonts w:asciiTheme="minorHAnsi" w:hAnsiTheme="minorHAnsi"/>
          <w:b/>
          <w:sz w:val="22"/>
          <w:szCs w:val="22"/>
          <w:lang w:val="es-ES_tradnl"/>
        </w:rPr>
        <w:t>Gestión e implementación del PEQT</w:t>
      </w:r>
      <w:r w:rsidRPr="00963EA4">
        <w:rPr>
          <w:rFonts w:asciiTheme="minorHAnsi" w:hAnsiTheme="minorHAnsi"/>
          <w:sz w:val="22"/>
          <w:szCs w:val="22"/>
          <w:lang w:val="es-ES_tradnl"/>
        </w:rPr>
        <w:t xml:space="preserve">.- La Municipalidad del Distrito Metropolitano de Quito, a través de sus dependencias especializadas, establecerá anualmente el plan de obras y acciones pertinentes para la implementación progresiva del PEQT. La gestión para la implementación del PEQT corresponde a la Administración Zonal Eugenio Espejo, en coordinación con el Comité Barrial legalmente constituido. Se aplicarán para el efecto, en todo lo que no esté contemplado en esta Ordenanza, las normas generales sobre participación ciudadana del Distrito Metropolitano de Quito. </w:t>
      </w:r>
    </w:p>
    <w:p w:rsidR="005919AC" w:rsidRPr="00963EA4" w:rsidRDefault="005919AC" w:rsidP="005919AC">
      <w:pPr>
        <w:jc w:val="both"/>
        <w:rPr>
          <w:rFonts w:asciiTheme="minorHAnsi" w:hAnsiTheme="minorHAnsi"/>
          <w:sz w:val="22"/>
          <w:szCs w:val="22"/>
          <w:lang w:val="es-ES_tradnl"/>
        </w:rPr>
      </w:pPr>
    </w:p>
    <w:p w:rsidR="00AA69A3" w:rsidRPr="0083162E" w:rsidRDefault="00DD357E" w:rsidP="005919AC">
      <w:pPr>
        <w:jc w:val="both"/>
        <w:rPr>
          <w:rFonts w:asciiTheme="minorHAnsi" w:hAnsiTheme="minorHAnsi"/>
          <w:sz w:val="22"/>
          <w:szCs w:val="22"/>
          <w:lang w:val="es-ES_tradnl"/>
        </w:rPr>
      </w:pPr>
      <w:r w:rsidRPr="0083162E">
        <w:rPr>
          <w:rFonts w:asciiTheme="minorHAnsi" w:hAnsiTheme="minorHAnsi"/>
          <w:b/>
          <w:bCs/>
          <w:sz w:val="22"/>
          <w:szCs w:val="22"/>
          <w:lang w:val="es-ES_tradnl"/>
        </w:rPr>
        <w:t>Art. 17</w:t>
      </w:r>
      <w:r w:rsidRPr="0083162E">
        <w:rPr>
          <w:rFonts w:asciiTheme="minorHAnsi" w:hAnsiTheme="minorHAnsi"/>
          <w:b/>
          <w:sz w:val="22"/>
          <w:szCs w:val="22"/>
          <w:lang w:val="es-ES_tradnl"/>
        </w:rPr>
        <w:t>.- Convenios para la ejecución de obras.</w:t>
      </w:r>
      <w:r w:rsidRPr="0083162E">
        <w:rPr>
          <w:rFonts w:asciiTheme="minorHAnsi" w:hAnsiTheme="minorHAnsi"/>
          <w:sz w:val="22"/>
          <w:szCs w:val="22"/>
          <w:lang w:val="es-ES_tradnl"/>
        </w:rPr>
        <w:t xml:space="preserve">- </w:t>
      </w:r>
      <w:r w:rsidR="009C6BD0" w:rsidRPr="0083162E">
        <w:rPr>
          <w:rFonts w:asciiTheme="minorHAnsi" w:hAnsiTheme="minorHAnsi"/>
          <w:sz w:val="22"/>
          <w:szCs w:val="22"/>
          <w:lang w:val="es-ES_tradnl"/>
        </w:rPr>
        <w:t>A fin de facilitar la ejecución de obras previstas en el Plan a partir d</w:t>
      </w:r>
      <w:r w:rsidRPr="0083162E">
        <w:rPr>
          <w:rFonts w:asciiTheme="minorHAnsi" w:hAnsiTheme="minorHAnsi"/>
          <w:sz w:val="22"/>
          <w:szCs w:val="22"/>
          <w:lang w:val="es-ES_tradnl"/>
        </w:rPr>
        <w:t xml:space="preserve">e la autogestión o la cogestión, el Alcalde Metropolitano podrá  </w:t>
      </w:r>
      <w:r w:rsidR="00E170B4" w:rsidRPr="0083162E">
        <w:rPr>
          <w:rFonts w:asciiTheme="minorHAnsi" w:hAnsiTheme="minorHAnsi"/>
          <w:sz w:val="22"/>
          <w:szCs w:val="22"/>
          <w:lang w:val="es-ES_tradnl"/>
        </w:rPr>
        <w:t xml:space="preserve">delegar la suscripción de </w:t>
      </w:r>
      <w:r w:rsidRPr="0083162E">
        <w:rPr>
          <w:rFonts w:asciiTheme="minorHAnsi" w:hAnsiTheme="minorHAnsi"/>
          <w:sz w:val="22"/>
          <w:szCs w:val="22"/>
          <w:lang w:val="es-ES_tradnl"/>
        </w:rPr>
        <w:t xml:space="preserve">convenios que no comprometan el patrimonio institucional del municipio, </w:t>
      </w:r>
      <w:r w:rsidR="009C6BD0" w:rsidRPr="0083162E">
        <w:rPr>
          <w:rFonts w:asciiTheme="minorHAnsi" w:hAnsiTheme="minorHAnsi"/>
          <w:sz w:val="22"/>
          <w:szCs w:val="22"/>
          <w:lang w:val="es-ES_tradnl"/>
        </w:rPr>
        <w:t>en el caso de que los convenios a suscribirse, comprometan el patrimonio institucional,</w:t>
      </w:r>
      <w:r w:rsidRPr="0083162E">
        <w:rPr>
          <w:rFonts w:asciiTheme="minorHAnsi" w:hAnsiTheme="minorHAnsi"/>
          <w:sz w:val="22"/>
          <w:szCs w:val="22"/>
          <w:lang w:val="es-ES_tradnl"/>
        </w:rPr>
        <w:t xml:space="preserve"> </w:t>
      </w:r>
      <w:r w:rsidR="00827EDF" w:rsidRPr="0083162E">
        <w:rPr>
          <w:rFonts w:asciiTheme="minorHAnsi" w:hAnsiTheme="minorHAnsi"/>
          <w:sz w:val="22"/>
          <w:szCs w:val="22"/>
          <w:lang w:val="es-ES_tradnl"/>
        </w:rPr>
        <w:t xml:space="preserve"> será e</w:t>
      </w:r>
      <w:r w:rsidR="009C6BD0" w:rsidRPr="0083162E">
        <w:rPr>
          <w:rFonts w:asciiTheme="minorHAnsi" w:hAnsiTheme="minorHAnsi"/>
          <w:sz w:val="22"/>
          <w:szCs w:val="22"/>
          <w:lang w:val="es-ES_tradnl"/>
        </w:rPr>
        <w:t xml:space="preserve">l Concejo Metropolitano </w:t>
      </w:r>
      <w:r w:rsidR="00827EDF" w:rsidRPr="0083162E">
        <w:rPr>
          <w:rFonts w:asciiTheme="minorHAnsi" w:hAnsiTheme="minorHAnsi"/>
          <w:sz w:val="22"/>
          <w:szCs w:val="22"/>
          <w:lang w:val="es-ES_tradnl"/>
        </w:rPr>
        <w:t xml:space="preserve"> quien </w:t>
      </w:r>
      <w:r w:rsidR="009C6BD0" w:rsidRPr="0083162E">
        <w:rPr>
          <w:rFonts w:asciiTheme="minorHAnsi" w:hAnsiTheme="minorHAnsi"/>
          <w:sz w:val="22"/>
          <w:szCs w:val="22"/>
          <w:lang w:val="es-ES_tradnl"/>
        </w:rPr>
        <w:t>autori</w:t>
      </w:r>
      <w:r w:rsidR="00827EDF" w:rsidRPr="0083162E">
        <w:rPr>
          <w:rFonts w:asciiTheme="minorHAnsi" w:hAnsiTheme="minorHAnsi"/>
          <w:sz w:val="22"/>
          <w:szCs w:val="22"/>
          <w:lang w:val="es-ES_tradnl"/>
        </w:rPr>
        <w:t>ce</w:t>
      </w:r>
      <w:r w:rsidR="009C6BD0" w:rsidRPr="0083162E">
        <w:rPr>
          <w:rFonts w:asciiTheme="minorHAnsi" w:hAnsiTheme="minorHAnsi"/>
          <w:sz w:val="22"/>
          <w:szCs w:val="22"/>
          <w:lang w:val="es-ES_tradnl"/>
        </w:rPr>
        <w:t xml:space="preserve"> al Alcalde o su delegado la suscripción de los mismos.</w:t>
      </w:r>
    </w:p>
    <w:p w:rsidR="005919AC" w:rsidRPr="00963EA4" w:rsidRDefault="005919AC" w:rsidP="005919AC">
      <w:pPr>
        <w:jc w:val="both"/>
        <w:rPr>
          <w:rFonts w:asciiTheme="minorHAnsi" w:hAnsiTheme="minorHAnsi"/>
          <w:b/>
          <w:sz w:val="22"/>
          <w:szCs w:val="22"/>
          <w:lang w:val="es-ES_tradnl"/>
        </w:rPr>
      </w:pPr>
      <w:r w:rsidRPr="00963EA4">
        <w:rPr>
          <w:rFonts w:asciiTheme="minorHAnsi" w:hAnsiTheme="minorHAnsi"/>
          <w:b/>
          <w:sz w:val="22"/>
          <w:szCs w:val="22"/>
          <w:lang w:val="es-ES_tradnl"/>
        </w:rPr>
        <w:lastRenderedPageBreak/>
        <w:t xml:space="preserve">Art. 18.- Financiamiento de obras.- </w:t>
      </w:r>
      <w:r w:rsidRPr="00963EA4">
        <w:rPr>
          <w:rFonts w:asciiTheme="minorHAnsi" w:hAnsiTheme="minorHAnsi"/>
          <w:sz w:val="22"/>
          <w:szCs w:val="22"/>
          <w:lang w:val="es-ES_tradnl"/>
        </w:rPr>
        <w:t xml:space="preserve">Tras </w:t>
      </w:r>
      <w:r w:rsidRPr="00963EA4">
        <w:rPr>
          <w:rFonts w:asciiTheme="minorHAnsi" w:hAnsiTheme="minorHAnsi"/>
          <w:color w:val="0070C0"/>
          <w:sz w:val="22"/>
          <w:szCs w:val="22"/>
          <w:lang w:val="es-ES_tradnl"/>
        </w:rPr>
        <w:t xml:space="preserve"> </w:t>
      </w:r>
      <w:r w:rsidRPr="00963EA4">
        <w:rPr>
          <w:rFonts w:asciiTheme="minorHAnsi" w:hAnsiTheme="minorHAnsi"/>
          <w:sz w:val="22"/>
          <w:szCs w:val="22"/>
          <w:lang w:val="es-ES_tradnl"/>
        </w:rPr>
        <w:t xml:space="preserve">ejecutar las obras previstas en el Plan Especial y otros proyectos que se realicen en el barrio, el Municipio del Distrito Metropolitano de Quito, a través de la Empresa Pública Metropolitana de Movilidad y Obras Públicas - EPMMOP, y en coordinación con la </w:t>
      </w:r>
      <w:r w:rsidRPr="00963EA4">
        <w:rPr>
          <w:rFonts w:asciiTheme="minorHAnsi" w:hAnsiTheme="minorHAnsi"/>
          <w:sz w:val="22"/>
          <w:szCs w:val="22"/>
          <w:lang w:val="es-MX" w:eastAsia="es-ES"/>
        </w:rPr>
        <w:t>Empresa Pública Metropolitana de Agua Potable y Saneamiento</w:t>
      </w:r>
      <w:r w:rsidRPr="00963EA4">
        <w:rPr>
          <w:rFonts w:asciiTheme="minorHAnsi" w:hAnsiTheme="minorHAnsi"/>
          <w:sz w:val="22"/>
          <w:szCs w:val="22"/>
          <w:lang w:val="es-ES_tradnl"/>
        </w:rPr>
        <w:t xml:space="preserve"> -EPMAPS, la Empresa Eléctrica Quito S.A. EEQ, el Comité Barrial y otras entidades participantes, emitirán  los correspondientes títulos de crédito por obligaciones por concepto de Contribución Especial de Mejoras, previo informe detallado de la obra efectuada, donde conste el tiempo de recaudación, costo específico y el sujeto pasivo de la obligación tributaria.</w:t>
      </w:r>
    </w:p>
    <w:p w:rsidR="005919AC" w:rsidRPr="00E170B4" w:rsidRDefault="005919AC" w:rsidP="005919AC">
      <w:pPr>
        <w:rPr>
          <w:rFonts w:asciiTheme="minorHAnsi" w:hAnsiTheme="minorHAnsi"/>
          <w:b/>
          <w:sz w:val="22"/>
          <w:szCs w:val="22"/>
          <w:lang w:val="es-ES_tradnl"/>
        </w:rPr>
      </w:pPr>
    </w:p>
    <w:p w:rsidR="005919AC" w:rsidRPr="00E170B4" w:rsidRDefault="005919AC" w:rsidP="005919AC">
      <w:pPr>
        <w:jc w:val="center"/>
        <w:rPr>
          <w:rFonts w:asciiTheme="minorHAnsi" w:hAnsiTheme="minorHAnsi"/>
          <w:b/>
          <w:sz w:val="22"/>
          <w:szCs w:val="22"/>
          <w:lang w:val="es-ES_tradnl"/>
        </w:rPr>
      </w:pPr>
      <w:r w:rsidRPr="00E170B4">
        <w:rPr>
          <w:rFonts w:asciiTheme="minorHAnsi" w:hAnsiTheme="minorHAnsi"/>
          <w:b/>
          <w:sz w:val="22"/>
          <w:szCs w:val="22"/>
          <w:lang w:val="es-ES_tradnl"/>
        </w:rPr>
        <w:t>DISPOSICIONES GENERALES</w:t>
      </w:r>
    </w:p>
    <w:p w:rsidR="005919AC" w:rsidRPr="00E170B4" w:rsidRDefault="005919AC" w:rsidP="005919AC">
      <w:pPr>
        <w:jc w:val="center"/>
        <w:rPr>
          <w:rFonts w:asciiTheme="minorHAnsi" w:hAnsiTheme="minorHAnsi"/>
          <w:b/>
          <w:sz w:val="22"/>
          <w:szCs w:val="22"/>
          <w:lang w:val="es-ES_tradnl"/>
        </w:rPr>
      </w:pPr>
    </w:p>
    <w:p w:rsidR="005919AC" w:rsidRPr="00E170B4" w:rsidRDefault="005919AC" w:rsidP="005919AC">
      <w:pPr>
        <w:jc w:val="both"/>
        <w:rPr>
          <w:rFonts w:asciiTheme="minorHAnsi" w:hAnsiTheme="minorHAnsi"/>
          <w:sz w:val="22"/>
          <w:szCs w:val="22"/>
          <w:lang w:val="es-ES_tradnl"/>
        </w:rPr>
      </w:pPr>
      <w:r w:rsidRPr="00E170B4">
        <w:rPr>
          <w:rFonts w:asciiTheme="minorHAnsi" w:hAnsiTheme="minorHAnsi"/>
          <w:b/>
          <w:sz w:val="22"/>
          <w:szCs w:val="22"/>
          <w:lang w:val="es-ES_tradnl"/>
        </w:rPr>
        <w:t xml:space="preserve">PRIMERA.-  </w:t>
      </w:r>
      <w:r w:rsidRPr="00E170B4">
        <w:rPr>
          <w:rFonts w:asciiTheme="minorHAnsi" w:hAnsiTheme="minorHAnsi"/>
          <w:sz w:val="22"/>
          <w:szCs w:val="22"/>
          <w:lang w:val="es-ES_tradnl"/>
        </w:rPr>
        <w:t xml:space="preserve">Los cambios a los componentes de diseño urbano y programas y proyectos del Plan no requerirán reforma a la presente Ordenanza, y se sujetarán a las determinaciones que en forma coordinada establezca el Comité Barrial y la </w:t>
      </w:r>
      <w:r w:rsidRPr="00E1130B">
        <w:rPr>
          <w:rFonts w:asciiTheme="minorHAnsi" w:hAnsiTheme="minorHAnsi"/>
          <w:sz w:val="22"/>
          <w:szCs w:val="22"/>
          <w:lang w:val="es-ES_tradnl"/>
        </w:rPr>
        <w:t xml:space="preserve">Administración </w:t>
      </w:r>
      <w:r w:rsidR="00E170B4" w:rsidRPr="00E1130B">
        <w:rPr>
          <w:rFonts w:asciiTheme="minorHAnsi" w:hAnsiTheme="minorHAnsi"/>
          <w:sz w:val="22"/>
          <w:szCs w:val="22"/>
          <w:lang w:val="es-ES_tradnl"/>
        </w:rPr>
        <w:t>Municipal</w:t>
      </w:r>
      <w:r w:rsidRPr="00E1130B">
        <w:rPr>
          <w:rFonts w:asciiTheme="minorHAnsi" w:hAnsiTheme="minorHAnsi"/>
          <w:sz w:val="22"/>
          <w:szCs w:val="22"/>
          <w:lang w:val="es-ES_tradnl"/>
        </w:rPr>
        <w:t xml:space="preserve">, </w:t>
      </w:r>
      <w:r w:rsidRPr="00E170B4">
        <w:rPr>
          <w:rFonts w:asciiTheme="minorHAnsi" w:hAnsiTheme="minorHAnsi"/>
          <w:sz w:val="22"/>
          <w:szCs w:val="22"/>
          <w:lang w:val="es-ES_tradnl"/>
        </w:rPr>
        <w:t xml:space="preserve">en el marco de </w:t>
      </w:r>
      <w:r w:rsidR="001F3479" w:rsidRPr="00E170B4">
        <w:rPr>
          <w:rFonts w:asciiTheme="minorHAnsi" w:hAnsiTheme="minorHAnsi"/>
          <w:sz w:val="22"/>
          <w:szCs w:val="22"/>
          <w:lang w:val="es-ES_tradnl"/>
        </w:rPr>
        <w:t xml:space="preserve">los </w:t>
      </w:r>
      <w:r w:rsidRPr="00E170B4">
        <w:rPr>
          <w:rFonts w:asciiTheme="minorHAnsi" w:hAnsiTheme="minorHAnsi"/>
          <w:sz w:val="22"/>
          <w:szCs w:val="22"/>
          <w:lang w:val="es-ES_tradnl"/>
        </w:rPr>
        <w:t>convenios específicos suscritos para tal efecto.</w:t>
      </w:r>
    </w:p>
    <w:p w:rsidR="001F3479" w:rsidRPr="00E170B4" w:rsidRDefault="001F3479" w:rsidP="005919AC">
      <w:pPr>
        <w:jc w:val="both"/>
        <w:rPr>
          <w:rFonts w:asciiTheme="minorHAnsi" w:hAnsiTheme="minorHAnsi"/>
          <w:sz w:val="22"/>
          <w:szCs w:val="22"/>
          <w:lang w:val="es-ES_tradnl"/>
        </w:rPr>
      </w:pPr>
    </w:p>
    <w:p w:rsidR="005919AC" w:rsidRDefault="005919AC" w:rsidP="005919AC">
      <w:pPr>
        <w:jc w:val="both"/>
        <w:rPr>
          <w:rFonts w:asciiTheme="minorHAnsi" w:hAnsiTheme="minorHAnsi"/>
          <w:sz w:val="22"/>
          <w:szCs w:val="22"/>
          <w:lang w:val="es-ES_tradnl"/>
        </w:rPr>
      </w:pPr>
      <w:r w:rsidRPr="00E170B4">
        <w:rPr>
          <w:rFonts w:asciiTheme="minorHAnsi" w:hAnsiTheme="minorHAnsi"/>
          <w:b/>
          <w:sz w:val="22"/>
          <w:szCs w:val="22"/>
          <w:lang w:val="es-ES_tradnl"/>
        </w:rPr>
        <w:t xml:space="preserve">SEGUNDA.- </w:t>
      </w:r>
      <w:r w:rsidRPr="00E170B4">
        <w:rPr>
          <w:rFonts w:asciiTheme="minorHAnsi" w:hAnsiTheme="minorHAnsi"/>
          <w:sz w:val="22"/>
          <w:szCs w:val="22"/>
          <w:lang w:val="es-ES_tradnl"/>
        </w:rPr>
        <w:t xml:space="preserve">Los contenidos de los mapas y la Memoria Técnica de la Ordenanza No. 041 constituyen parte de esta Ordenanza Sustitutiva y permanecerán sin cambios salvo en lo señalado en la Disposición General Primera y </w:t>
      </w:r>
      <w:r w:rsidRPr="00E170B4">
        <w:rPr>
          <w:rFonts w:asciiTheme="minorHAnsi" w:hAnsiTheme="minorHAnsi"/>
          <w:b/>
          <w:bCs/>
          <w:sz w:val="22"/>
          <w:szCs w:val="22"/>
          <w:lang w:val="es-ES_tradnl"/>
        </w:rPr>
        <w:t xml:space="preserve"> </w:t>
      </w:r>
      <w:r w:rsidRPr="00E170B4">
        <w:rPr>
          <w:rFonts w:asciiTheme="minorHAnsi" w:hAnsiTheme="minorHAnsi"/>
          <w:bCs/>
          <w:sz w:val="22"/>
          <w:szCs w:val="22"/>
          <w:lang w:val="es-ES_tradnl"/>
        </w:rPr>
        <w:t>lo establecido en el artículo  13</w:t>
      </w:r>
      <w:r w:rsidRPr="00E170B4">
        <w:rPr>
          <w:rFonts w:asciiTheme="minorHAnsi" w:hAnsiTheme="minorHAnsi"/>
          <w:sz w:val="22"/>
          <w:szCs w:val="22"/>
          <w:lang w:val="es-ES_tradnl"/>
        </w:rPr>
        <w:t xml:space="preserve"> </w:t>
      </w:r>
      <w:r w:rsidRPr="00E170B4">
        <w:rPr>
          <w:rFonts w:asciiTheme="minorHAnsi" w:hAnsiTheme="minorHAnsi"/>
          <w:i/>
          <w:sz w:val="22"/>
          <w:szCs w:val="22"/>
          <w:lang w:val="es-ES_tradnl"/>
        </w:rPr>
        <w:t>Categorización, dimensiones y afectaciones del sistema vial</w:t>
      </w:r>
      <w:r w:rsidRPr="00E170B4">
        <w:rPr>
          <w:rFonts w:asciiTheme="minorHAnsi" w:hAnsiTheme="minorHAnsi"/>
          <w:sz w:val="22"/>
          <w:szCs w:val="22"/>
          <w:lang w:val="es-ES_tradnl"/>
        </w:rPr>
        <w:t>,  de este instrumento.</w:t>
      </w:r>
    </w:p>
    <w:p w:rsidR="00E170B4" w:rsidRDefault="00E170B4" w:rsidP="005919AC">
      <w:pPr>
        <w:jc w:val="both"/>
        <w:rPr>
          <w:rFonts w:asciiTheme="minorHAnsi" w:hAnsiTheme="minorHAnsi"/>
          <w:sz w:val="22"/>
          <w:szCs w:val="22"/>
          <w:lang w:val="es-ES_tradnl"/>
        </w:rPr>
      </w:pPr>
    </w:p>
    <w:p w:rsidR="00E170B4" w:rsidRPr="00E1130B" w:rsidRDefault="00E170B4" w:rsidP="00E170B4">
      <w:pPr>
        <w:jc w:val="center"/>
        <w:rPr>
          <w:rFonts w:asciiTheme="minorHAnsi" w:hAnsiTheme="minorHAnsi"/>
          <w:b/>
          <w:sz w:val="22"/>
          <w:szCs w:val="22"/>
          <w:lang w:val="es-ES_tradnl"/>
        </w:rPr>
      </w:pPr>
      <w:r w:rsidRPr="00E1130B">
        <w:rPr>
          <w:rFonts w:asciiTheme="minorHAnsi" w:hAnsiTheme="minorHAnsi"/>
          <w:b/>
          <w:sz w:val="22"/>
          <w:szCs w:val="22"/>
          <w:lang w:val="es-ES_tradnl"/>
        </w:rPr>
        <w:t>DISPOSICIÓN DEROGATORIA</w:t>
      </w:r>
    </w:p>
    <w:p w:rsidR="00E170B4" w:rsidRPr="00E1130B" w:rsidRDefault="00E170B4" w:rsidP="00E170B4">
      <w:pPr>
        <w:jc w:val="center"/>
        <w:rPr>
          <w:rFonts w:asciiTheme="minorHAnsi" w:hAnsiTheme="minorHAnsi"/>
          <w:b/>
          <w:sz w:val="22"/>
          <w:szCs w:val="22"/>
          <w:lang w:val="es-ES_tradnl"/>
        </w:rPr>
      </w:pPr>
    </w:p>
    <w:p w:rsidR="00E170B4" w:rsidRPr="00E1130B" w:rsidRDefault="00E170B4" w:rsidP="00E170B4">
      <w:pPr>
        <w:jc w:val="both"/>
        <w:rPr>
          <w:rFonts w:asciiTheme="minorHAnsi" w:hAnsiTheme="minorHAnsi"/>
          <w:sz w:val="22"/>
          <w:szCs w:val="22"/>
          <w:lang w:val="es-ES_tradnl"/>
        </w:rPr>
      </w:pPr>
      <w:r w:rsidRPr="00E1130B">
        <w:rPr>
          <w:rFonts w:asciiTheme="minorHAnsi" w:hAnsiTheme="minorHAnsi"/>
          <w:sz w:val="22"/>
          <w:szCs w:val="22"/>
          <w:lang w:val="es-ES_tradnl"/>
        </w:rPr>
        <w:t>La sanción de esta Ordenanza Sustitutiva, deroga en todo su contenido la Ordenanza Metropolitana No. 0041 de Zonificación Especial que aprueba el Plan Especial del barrio Quito Tenis, ubicado al Noroccidente de Quito.</w:t>
      </w:r>
    </w:p>
    <w:p w:rsidR="00E170B4" w:rsidRPr="00E170B4" w:rsidRDefault="00E170B4" w:rsidP="005919AC">
      <w:pPr>
        <w:jc w:val="center"/>
        <w:rPr>
          <w:rFonts w:asciiTheme="minorHAnsi" w:hAnsiTheme="minorHAnsi"/>
          <w:color w:val="FF0000"/>
          <w:sz w:val="22"/>
          <w:szCs w:val="22"/>
          <w:lang w:val="es-ES_tradnl"/>
        </w:rPr>
      </w:pPr>
    </w:p>
    <w:p w:rsidR="005919AC" w:rsidRPr="00963EA4" w:rsidRDefault="005919AC" w:rsidP="005919AC">
      <w:pPr>
        <w:jc w:val="center"/>
        <w:rPr>
          <w:rFonts w:asciiTheme="minorHAnsi" w:hAnsiTheme="minorHAnsi"/>
          <w:b/>
          <w:sz w:val="22"/>
          <w:szCs w:val="22"/>
          <w:lang w:val="es-ES_tradnl"/>
        </w:rPr>
      </w:pPr>
      <w:r w:rsidRPr="00963EA4">
        <w:rPr>
          <w:rFonts w:asciiTheme="minorHAnsi" w:hAnsiTheme="minorHAnsi"/>
          <w:b/>
          <w:sz w:val="22"/>
          <w:szCs w:val="22"/>
          <w:lang w:val="es-ES_tradnl"/>
        </w:rPr>
        <w:t>DISPOSICIONES TRANSITORIAS</w:t>
      </w:r>
    </w:p>
    <w:p w:rsidR="005919AC" w:rsidRPr="00963EA4" w:rsidRDefault="005919AC" w:rsidP="005919AC">
      <w:pPr>
        <w:jc w:val="center"/>
        <w:rPr>
          <w:rFonts w:asciiTheme="minorHAnsi" w:hAnsiTheme="minorHAnsi"/>
          <w:b/>
          <w:sz w:val="22"/>
          <w:szCs w:val="22"/>
          <w:lang w:val="es-ES_tradnl"/>
        </w:rPr>
      </w:pPr>
    </w:p>
    <w:p w:rsidR="005919AC" w:rsidRPr="00963EA4" w:rsidRDefault="005919AC" w:rsidP="005919AC">
      <w:pPr>
        <w:jc w:val="both"/>
        <w:rPr>
          <w:rFonts w:asciiTheme="minorHAnsi" w:hAnsiTheme="minorHAnsi"/>
          <w:sz w:val="22"/>
          <w:szCs w:val="22"/>
          <w:lang w:val="es-ES_tradnl"/>
        </w:rPr>
      </w:pPr>
      <w:r w:rsidRPr="00963EA4">
        <w:rPr>
          <w:rFonts w:asciiTheme="minorHAnsi" w:hAnsiTheme="minorHAnsi"/>
          <w:b/>
          <w:sz w:val="22"/>
          <w:szCs w:val="22"/>
          <w:lang w:val="es-ES_tradnl"/>
        </w:rPr>
        <w:t>PRIMERA.-</w:t>
      </w:r>
      <w:r w:rsidRPr="00963EA4">
        <w:rPr>
          <w:rFonts w:asciiTheme="minorHAnsi" w:hAnsiTheme="minorHAnsi"/>
          <w:sz w:val="22"/>
          <w:szCs w:val="22"/>
          <w:lang w:val="es-ES_tradnl"/>
        </w:rPr>
        <w:t xml:space="preserve"> Las solicitudes de trámites referidas a zonificación, Certificado de conformidad de planos, licencias de construcción y fraccionamientos que fueron presentadas en la Administración Zonal Eugenio Espejo hasta el día anterior a la entrada en vigencia esta Ordenanza, se tramitarán de acuerdo con las disposiciones de las normas vigentes a la fecha de presentación.</w:t>
      </w:r>
    </w:p>
    <w:p w:rsidR="005919AC" w:rsidRPr="00963EA4" w:rsidRDefault="005919AC" w:rsidP="005919AC">
      <w:pPr>
        <w:jc w:val="center"/>
        <w:rPr>
          <w:rFonts w:asciiTheme="minorHAnsi" w:hAnsiTheme="minorHAnsi"/>
          <w:b/>
          <w:color w:val="000000" w:themeColor="text1"/>
          <w:sz w:val="22"/>
          <w:szCs w:val="22"/>
          <w:lang w:val="es-ES_tradnl"/>
        </w:rPr>
      </w:pPr>
    </w:p>
    <w:p w:rsidR="005919AC" w:rsidRPr="00963EA4" w:rsidRDefault="005919AC" w:rsidP="005919AC">
      <w:pPr>
        <w:jc w:val="both"/>
        <w:rPr>
          <w:rFonts w:asciiTheme="minorHAnsi" w:hAnsiTheme="minorHAnsi"/>
          <w:sz w:val="22"/>
          <w:szCs w:val="22"/>
          <w:lang w:val="es-ES_tradnl"/>
        </w:rPr>
      </w:pPr>
      <w:r w:rsidRPr="00963EA4">
        <w:rPr>
          <w:rFonts w:asciiTheme="minorHAnsi" w:hAnsiTheme="minorHAnsi"/>
          <w:b/>
          <w:sz w:val="22"/>
          <w:szCs w:val="22"/>
          <w:lang w:val="es-ES_tradnl"/>
        </w:rPr>
        <w:t>SEGUNDA.-</w:t>
      </w:r>
      <w:r w:rsidRPr="00963EA4">
        <w:rPr>
          <w:rFonts w:asciiTheme="minorHAnsi" w:hAnsiTheme="minorHAnsi"/>
          <w:sz w:val="22"/>
          <w:szCs w:val="22"/>
          <w:lang w:val="es-ES_tradnl"/>
        </w:rPr>
        <w:t xml:space="preserve"> Los Informes de Regulación Metropolitana (IRM), permisos y certificados otorgados por la Municipalidad, referentes a zonificación, registro de planos, licencias de construcciones, otorgados antes de la vigencia de esta Ordenanza, tendrán validez por el período de tiempo establecido en cada uno de ellos.</w:t>
      </w:r>
    </w:p>
    <w:p w:rsidR="005919AC" w:rsidRPr="00963EA4" w:rsidRDefault="005919AC" w:rsidP="005919AC">
      <w:pPr>
        <w:jc w:val="both"/>
        <w:rPr>
          <w:rFonts w:asciiTheme="minorHAnsi" w:hAnsiTheme="minorHAnsi"/>
          <w:sz w:val="22"/>
          <w:szCs w:val="22"/>
          <w:lang w:val="es-ES_tradnl"/>
        </w:rPr>
      </w:pPr>
    </w:p>
    <w:p w:rsidR="005919AC" w:rsidRPr="00963EA4" w:rsidRDefault="005919AC" w:rsidP="005919AC">
      <w:pPr>
        <w:jc w:val="both"/>
        <w:rPr>
          <w:rFonts w:asciiTheme="minorHAnsi" w:hAnsiTheme="minorHAnsi"/>
          <w:sz w:val="22"/>
          <w:szCs w:val="22"/>
          <w:lang w:val="es-ES_tradnl"/>
        </w:rPr>
      </w:pPr>
      <w:r w:rsidRPr="00963EA4">
        <w:rPr>
          <w:rFonts w:asciiTheme="minorHAnsi" w:hAnsiTheme="minorHAnsi"/>
          <w:b/>
          <w:sz w:val="22"/>
          <w:szCs w:val="22"/>
          <w:lang w:val="es-ES_tradnl"/>
        </w:rPr>
        <w:t>TERCERA</w:t>
      </w:r>
      <w:r w:rsidRPr="00963EA4">
        <w:rPr>
          <w:rFonts w:asciiTheme="minorHAnsi" w:hAnsiTheme="minorHAnsi"/>
          <w:sz w:val="22"/>
          <w:szCs w:val="22"/>
          <w:lang w:val="es-ES_tradnl"/>
        </w:rPr>
        <w:t xml:space="preserve">.- Se dispone que la Administración Zonal Eugenio Espejo, en coordinación con las entidades especializadas de la Municipalidad del Distrito Metropolitano de Quito, y con el Comité del barrio Quito Tenis, elabore </w:t>
      </w:r>
      <w:r w:rsidRPr="00963EA4">
        <w:rPr>
          <w:rFonts w:asciiTheme="minorHAnsi" w:hAnsiTheme="minorHAnsi"/>
          <w:bCs/>
          <w:sz w:val="22"/>
          <w:szCs w:val="22"/>
          <w:lang w:val="es-ES_tradnl"/>
        </w:rPr>
        <w:t>los estudios y regulaciones para el cumplimiento del Art 13, respecto de la</w:t>
      </w:r>
      <w:r w:rsidRPr="00963EA4">
        <w:rPr>
          <w:rFonts w:asciiTheme="minorHAnsi" w:hAnsiTheme="minorHAnsi"/>
          <w:sz w:val="22"/>
          <w:szCs w:val="22"/>
          <w:lang w:val="es-ES_tradnl"/>
        </w:rPr>
        <w:t xml:space="preserve"> categorización, dimensiones y afectaciones del sistema vial, en un plazo máximo de 180 días contados a partir de la fecha de vigencia de la presente Ordenanza.</w:t>
      </w:r>
    </w:p>
    <w:p w:rsidR="005919AC" w:rsidRPr="00963EA4" w:rsidRDefault="005919AC" w:rsidP="005919AC">
      <w:pPr>
        <w:jc w:val="center"/>
        <w:rPr>
          <w:rFonts w:asciiTheme="minorHAnsi" w:hAnsiTheme="minorHAnsi"/>
          <w:b/>
          <w:sz w:val="22"/>
          <w:szCs w:val="22"/>
          <w:lang w:val="es-ES_tradnl"/>
        </w:rPr>
      </w:pPr>
      <w:r w:rsidRPr="00963EA4">
        <w:rPr>
          <w:rFonts w:asciiTheme="minorHAnsi" w:hAnsiTheme="minorHAnsi"/>
          <w:b/>
          <w:sz w:val="22"/>
          <w:szCs w:val="22"/>
          <w:lang w:val="es-ES_tradnl"/>
        </w:rPr>
        <w:t xml:space="preserve"> </w:t>
      </w:r>
    </w:p>
    <w:p w:rsidR="005919AC" w:rsidRPr="00963EA4" w:rsidRDefault="00DF3DB1" w:rsidP="005919AC">
      <w:pPr>
        <w:jc w:val="center"/>
        <w:rPr>
          <w:rFonts w:asciiTheme="minorHAnsi" w:hAnsiTheme="minorHAnsi"/>
          <w:b/>
          <w:sz w:val="22"/>
          <w:szCs w:val="22"/>
          <w:lang w:val="es-ES_tradnl"/>
        </w:rPr>
      </w:pPr>
      <w:r>
        <w:rPr>
          <w:rFonts w:asciiTheme="minorHAnsi" w:hAnsiTheme="minorHAnsi"/>
          <w:b/>
          <w:sz w:val="22"/>
          <w:szCs w:val="22"/>
          <w:lang w:val="es-ES_tradnl"/>
        </w:rPr>
        <w:t>DISPOSICIÓN FINAL</w:t>
      </w:r>
    </w:p>
    <w:p w:rsidR="005919AC" w:rsidRPr="00963EA4" w:rsidRDefault="005919AC" w:rsidP="005919AC">
      <w:pPr>
        <w:jc w:val="both"/>
        <w:rPr>
          <w:rFonts w:asciiTheme="minorHAnsi" w:hAnsiTheme="minorHAnsi"/>
          <w:b/>
          <w:sz w:val="22"/>
          <w:szCs w:val="22"/>
          <w:lang w:val="es-ES_tradnl"/>
        </w:rPr>
      </w:pPr>
    </w:p>
    <w:p w:rsidR="005919AC" w:rsidRPr="00DF3DB1" w:rsidRDefault="00BD1A39" w:rsidP="005919AC">
      <w:pPr>
        <w:jc w:val="both"/>
        <w:rPr>
          <w:rFonts w:asciiTheme="minorHAnsi" w:hAnsiTheme="minorHAnsi"/>
          <w:sz w:val="22"/>
          <w:szCs w:val="22"/>
          <w:lang w:val="es-MX" w:eastAsia="es-ES"/>
        </w:rPr>
      </w:pPr>
      <w:r w:rsidRPr="00DF3DB1">
        <w:rPr>
          <w:rFonts w:asciiTheme="minorHAnsi" w:hAnsiTheme="minorHAnsi"/>
          <w:sz w:val="22"/>
          <w:szCs w:val="22"/>
          <w:lang w:val="es-MX" w:eastAsia="es-ES"/>
        </w:rPr>
        <w:t xml:space="preserve">Esta </w:t>
      </w:r>
      <w:r w:rsidR="005919AC" w:rsidRPr="00DF3DB1">
        <w:rPr>
          <w:rFonts w:asciiTheme="minorHAnsi" w:hAnsiTheme="minorHAnsi"/>
          <w:sz w:val="22"/>
          <w:szCs w:val="22"/>
          <w:lang w:val="es-MX" w:eastAsia="es-ES"/>
        </w:rPr>
        <w:t xml:space="preserve">Ordenanza entrará en vigencia a partir de </w:t>
      </w:r>
      <w:r w:rsidRPr="00DF3DB1">
        <w:rPr>
          <w:rFonts w:asciiTheme="minorHAnsi" w:hAnsiTheme="minorHAnsi"/>
          <w:sz w:val="22"/>
          <w:szCs w:val="22"/>
          <w:lang w:val="es-MX" w:eastAsia="es-ES"/>
        </w:rPr>
        <w:t xml:space="preserve">la fecha de su sanción, sin perjuicio de su publicación en la </w:t>
      </w:r>
      <w:r w:rsidR="00BE7EB2" w:rsidRPr="00DF3DB1">
        <w:rPr>
          <w:rFonts w:asciiTheme="minorHAnsi" w:hAnsiTheme="minorHAnsi"/>
          <w:sz w:val="22"/>
          <w:szCs w:val="22"/>
          <w:lang w:val="es-MX" w:eastAsia="es-ES"/>
        </w:rPr>
        <w:t>Gaceta Oficial y página web institucional de la Municipalidad</w:t>
      </w:r>
      <w:r w:rsidR="005919AC" w:rsidRPr="00DF3DB1">
        <w:rPr>
          <w:rFonts w:asciiTheme="minorHAnsi" w:hAnsiTheme="minorHAnsi"/>
          <w:sz w:val="22"/>
          <w:szCs w:val="22"/>
          <w:lang w:val="es-MX" w:eastAsia="es-ES"/>
        </w:rPr>
        <w:t>.</w:t>
      </w:r>
    </w:p>
    <w:p w:rsidR="005919AC" w:rsidRPr="00BE7EB2" w:rsidRDefault="005919AC" w:rsidP="005919AC">
      <w:pPr>
        <w:jc w:val="both"/>
        <w:rPr>
          <w:rFonts w:asciiTheme="minorHAnsi" w:hAnsiTheme="minorHAnsi"/>
          <w:color w:val="FF0000"/>
          <w:sz w:val="22"/>
          <w:szCs w:val="22"/>
          <w:lang w:val="es-ES_tradnl"/>
        </w:rPr>
      </w:pPr>
    </w:p>
    <w:p w:rsidR="00034288" w:rsidRPr="00034288" w:rsidRDefault="005919AC" w:rsidP="00DF3DB1">
      <w:pPr>
        <w:jc w:val="both"/>
        <w:rPr>
          <w:rFonts w:asciiTheme="minorHAnsi" w:hAnsiTheme="minorHAnsi"/>
          <w:sz w:val="22"/>
          <w:szCs w:val="22"/>
          <w:lang w:val="es-ES_tradnl" w:eastAsia="es-ES"/>
        </w:rPr>
      </w:pPr>
      <w:r w:rsidRPr="00963EA4">
        <w:rPr>
          <w:rFonts w:asciiTheme="minorHAnsi" w:hAnsiTheme="minorHAnsi"/>
          <w:sz w:val="22"/>
          <w:szCs w:val="22"/>
          <w:lang w:val="es-ES_tradnl"/>
        </w:rPr>
        <w:t>Dada en la sala de sesiones del Concejo Metropolitano, el xx de xx de 2018.</w:t>
      </w:r>
      <w:bookmarkEnd w:id="0"/>
    </w:p>
    <w:sectPr w:rsidR="00034288" w:rsidRPr="00034288" w:rsidSect="002C39F4">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473" w:rsidRDefault="00870473" w:rsidP="00E45BDC">
      <w:r>
        <w:separator/>
      </w:r>
    </w:p>
  </w:endnote>
  <w:endnote w:type="continuationSeparator" w:id="0">
    <w:p w:rsidR="00870473" w:rsidRDefault="00870473" w:rsidP="00E45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473" w:rsidRDefault="00870473" w:rsidP="00E45BDC">
      <w:r>
        <w:separator/>
      </w:r>
    </w:p>
  </w:footnote>
  <w:footnote w:type="continuationSeparator" w:id="0">
    <w:p w:rsidR="00870473" w:rsidRDefault="00870473" w:rsidP="00E45B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E5D34"/>
    <w:multiLevelType w:val="hybridMultilevel"/>
    <w:tmpl w:val="AFE69D02"/>
    <w:lvl w:ilvl="0" w:tplc="B8D4489A">
      <w:start w:val="1"/>
      <w:numFmt w:val="lowerLetter"/>
      <w:lvlText w:val="%1)"/>
      <w:lvlJc w:val="left"/>
      <w:pPr>
        <w:tabs>
          <w:tab w:val="num" w:pos="700"/>
        </w:tabs>
        <w:ind w:left="700" w:hanging="360"/>
      </w:pPr>
      <w:rPr>
        <w:rFonts w:hint="default"/>
        <w:b/>
      </w:rPr>
    </w:lvl>
    <w:lvl w:ilvl="1" w:tplc="0C0A0019" w:tentative="1">
      <w:start w:val="1"/>
      <w:numFmt w:val="lowerLetter"/>
      <w:lvlText w:val="%2."/>
      <w:lvlJc w:val="left"/>
      <w:pPr>
        <w:tabs>
          <w:tab w:val="num" w:pos="1420"/>
        </w:tabs>
        <w:ind w:left="1420" w:hanging="360"/>
      </w:pPr>
    </w:lvl>
    <w:lvl w:ilvl="2" w:tplc="0C0A001B" w:tentative="1">
      <w:start w:val="1"/>
      <w:numFmt w:val="lowerRoman"/>
      <w:lvlText w:val="%3."/>
      <w:lvlJc w:val="right"/>
      <w:pPr>
        <w:tabs>
          <w:tab w:val="num" w:pos="2140"/>
        </w:tabs>
        <w:ind w:left="2140" w:hanging="180"/>
      </w:pPr>
    </w:lvl>
    <w:lvl w:ilvl="3" w:tplc="0C0A000F" w:tentative="1">
      <w:start w:val="1"/>
      <w:numFmt w:val="decimal"/>
      <w:lvlText w:val="%4."/>
      <w:lvlJc w:val="left"/>
      <w:pPr>
        <w:tabs>
          <w:tab w:val="num" w:pos="2860"/>
        </w:tabs>
        <w:ind w:left="2860" w:hanging="360"/>
      </w:pPr>
    </w:lvl>
    <w:lvl w:ilvl="4" w:tplc="0C0A0019" w:tentative="1">
      <w:start w:val="1"/>
      <w:numFmt w:val="lowerLetter"/>
      <w:lvlText w:val="%5."/>
      <w:lvlJc w:val="left"/>
      <w:pPr>
        <w:tabs>
          <w:tab w:val="num" w:pos="3580"/>
        </w:tabs>
        <w:ind w:left="3580" w:hanging="360"/>
      </w:pPr>
    </w:lvl>
    <w:lvl w:ilvl="5" w:tplc="0C0A001B" w:tentative="1">
      <w:start w:val="1"/>
      <w:numFmt w:val="lowerRoman"/>
      <w:lvlText w:val="%6."/>
      <w:lvlJc w:val="right"/>
      <w:pPr>
        <w:tabs>
          <w:tab w:val="num" w:pos="4300"/>
        </w:tabs>
        <w:ind w:left="4300" w:hanging="180"/>
      </w:pPr>
    </w:lvl>
    <w:lvl w:ilvl="6" w:tplc="0C0A000F" w:tentative="1">
      <w:start w:val="1"/>
      <w:numFmt w:val="decimal"/>
      <w:lvlText w:val="%7."/>
      <w:lvlJc w:val="left"/>
      <w:pPr>
        <w:tabs>
          <w:tab w:val="num" w:pos="5020"/>
        </w:tabs>
        <w:ind w:left="5020" w:hanging="360"/>
      </w:pPr>
    </w:lvl>
    <w:lvl w:ilvl="7" w:tplc="0C0A0019" w:tentative="1">
      <w:start w:val="1"/>
      <w:numFmt w:val="lowerLetter"/>
      <w:lvlText w:val="%8."/>
      <w:lvlJc w:val="left"/>
      <w:pPr>
        <w:tabs>
          <w:tab w:val="num" w:pos="5740"/>
        </w:tabs>
        <w:ind w:left="5740" w:hanging="360"/>
      </w:pPr>
    </w:lvl>
    <w:lvl w:ilvl="8" w:tplc="0C0A001B" w:tentative="1">
      <w:start w:val="1"/>
      <w:numFmt w:val="lowerRoman"/>
      <w:lvlText w:val="%9."/>
      <w:lvlJc w:val="right"/>
      <w:pPr>
        <w:tabs>
          <w:tab w:val="num" w:pos="6460"/>
        </w:tabs>
        <w:ind w:left="6460" w:hanging="180"/>
      </w:pPr>
    </w:lvl>
  </w:abstractNum>
  <w:abstractNum w:abstractNumId="1">
    <w:nsid w:val="2F61694A"/>
    <w:multiLevelType w:val="hybridMultilevel"/>
    <w:tmpl w:val="5E5C510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636853D3"/>
    <w:multiLevelType w:val="hybridMultilevel"/>
    <w:tmpl w:val="AFE69D02"/>
    <w:lvl w:ilvl="0" w:tplc="B8D4489A">
      <w:start w:val="1"/>
      <w:numFmt w:val="lowerLetter"/>
      <w:lvlText w:val="%1)"/>
      <w:lvlJc w:val="left"/>
      <w:pPr>
        <w:tabs>
          <w:tab w:val="num" w:pos="700"/>
        </w:tabs>
        <w:ind w:left="700" w:hanging="360"/>
      </w:pPr>
      <w:rPr>
        <w:rFonts w:hint="default"/>
        <w:b/>
      </w:rPr>
    </w:lvl>
    <w:lvl w:ilvl="1" w:tplc="0C0A0019" w:tentative="1">
      <w:start w:val="1"/>
      <w:numFmt w:val="lowerLetter"/>
      <w:lvlText w:val="%2."/>
      <w:lvlJc w:val="left"/>
      <w:pPr>
        <w:tabs>
          <w:tab w:val="num" w:pos="1420"/>
        </w:tabs>
        <w:ind w:left="1420" w:hanging="360"/>
      </w:pPr>
    </w:lvl>
    <w:lvl w:ilvl="2" w:tplc="0C0A001B" w:tentative="1">
      <w:start w:val="1"/>
      <w:numFmt w:val="lowerRoman"/>
      <w:lvlText w:val="%3."/>
      <w:lvlJc w:val="right"/>
      <w:pPr>
        <w:tabs>
          <w:tab w:val="num" w:pos="2140"/>
        </w:tabs>
        <w:ind w:left="2140" w:hanging="180"/>
      </w:pPr>
    </w:lvl>
    <w:lvl w:ilvl="3" w:tplc="0C0A000F" w:tentative="1">
      <w:start w:val="1"/>
      <w:numFmt w:val="decimal"/>
      <w:lvlText w:val="%4."/>
      <w:lvlJc w:val="left"/>
      <w:pPr>
        <w:tabs>
          <w:tab w:val="num" w:pos="2860"/>
        </w:tabs>
        <w:ind w:left="2860" w:hanging="360"/>
      </w:pPr>
    </w:lvl>
    <w:lvl w:ilvl="4" w:tplc="0C0A0019" w:tentative="1">
      <w:start w:val="1"/>
      <w:numFmt w:val="lowerLetter"/>
      <w:lvlText w:val="%5."/>
      <w:lvlJc w:val="left"/>
      <w:pPr>
        <w:tabs>
          <w:tab w:val="num" w:pos="3580"/>
        </w:tabs>
        <w:ind w:left="3580" w:hanging="360"/>
      </w:pPr>
    </w:lvl>
    <w:lvl w:ilvl="5" w:tplc="0C0A001B" w:tentative="1">
      <w:start w:val="1"/>
      <w:numFmt w:val="lowerRoman"/>
      <w:lvlText w:val="%6."/>
      <w:lvlJc w:val="right"/>
      <w:pPr>
        <w:tabs>
          <w:tab w:val="num" w:pos="4300"/>
        </w:tabs>
        <w:ind w:left="4300" w:hanging="180"/>
      </w:pPr>
    </w:lvl>
    <w:lvl w:ilvl="6" w:tplc="0C0A000F" w:tentative="1">
      <w:start w:val="1"/>
      <w:numFmt w:val="decimal"/>
      <w:lvlText w:val="%7."/>
      <w:lvlJc w:val="left"/>
      <w:pPr>
        <w:tabs>
          <w:tab w:val="num" w:pos="5020"/>
        </w:tabs>
        <w:ind w:left="5020" w:hanging="360"/>
      </w:pPr>
    </w:lvl>
    <w:lvl w:ilvl="7" w:tplc="0C0A0019" w:tentative="1">
      <w:start w:val="1"/>
      <w:numFmt w:val="lowerLetter"/>
      <w:lvlText w:val="%8."/>
      <w:lvlJc w:val="left"/>
      <w:pPr>
        <w:tabs>
          <w:tab w:val="num" w:pos="5740"/>
        </w:tabs>
        <w:ind w:left="5740" w:hanging="360"/>
      </w:pPr>
    </w:lvl>
    <w:lvl w:ilvl="8" w:tplc="0C0A001B" w:tentative="1">
      <w:start w:val="1"/>
      <w:numFmt w:val="lowerRoman"/>
      <w:lvlText w:val="%9."/>
      <w:lvlJc w:val="right"/>
      <w:pPr>
        <w:tabs>
          <w:tab w:val="num" w:pos="6460"/>
        </w:tabs>
        <w:ind w:left="6460" w:hanging="180"/>
      </w:pPr>
    </w:lvl>
  </w:abstractNum>
  <w:abstractNum w:abstractNumId="3">
    <w:nsid w:val="64375C8B"/>
    <w:multiLevelType w:val="hybridMultilevel"/>
    <w:tmpl w:val="5E5C510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AD0"/>
    <w:rsid w:val="00021EE6"/>
    <w:rsid w:val="00034288"/>
    <w:rsid w:val="000B3D10"/>
    <w:rsid w:val="000B5FCA"/>
    <w:rsid w:val="000C7A73"/>
    <w:rsid w:val="000E7B3E"/>
    <w:rsid w:val="000F1386"/>
    <w:rsid w:val="00120A96"/>
    <w:rsid w:val="00151988"/>
    <w:rsid w:val="00163E9B"/>
    <w:rsid w:val="00164775"/>
    <w:rsid w:val="00173066"/>
    <w:rsid w:val="001977EA"/>
    <w:rsid w:val="001F3479"/>
    <w:rsid w:val="001F4AD0"/>
    <w:rsid w:val="00221EEE"/>
    <w:rsid w:val="00263730"/>
    <w:rsid w:val="002C39F4"/>
    <w:rsid w:val="002C7CA3"/>
    <w:rsid w:val="002D13B3"/>
    <w:rsid w:val="003277E8"/>
    <w:rsid w:val="00327F9B"/>
    <w:rsid w:val="00330720"/>
    <w:rsid w:val="003414F4"/>
    <w:rsid w:val="003F14AA"/>
    <w:rsid w:val="003F6463"/>
    <w:rsid w:val="003F7E63"/>
    <w:rsid w:val="004B58C8"/>
    <w:rsid w:val="004C73BB"/>
    <w:rsid w:val="004E4BCA"/>
    <w:rsid w:val="00512703"/>
    <w:rsid w:val="005236E1"/>
    <w:rsid w:val="005570E1"/>
    <w:rsid w:val="00575C83"/>
    <w:rsid w:val="005919AC"/>
    <w:rsid w:val="005C4BFF"/>
    <w:rsid w:val="005F3A43"/>
    <w:rsid w:val="005F6B08"/>
    <w:rsid w:val="00602A63"/>
    <w:rsid w:val="00602CC8"/>
    <w:rsid w:val="00615273"/>
    <w:rsid w:val="00645987"/>
    <w:rsid w:val="006E731D"/>
    <w:rsid w:val="007137CF"/>
    <w:rsid w:val="00730557"/>
    <w:rsid w:val="007369BA"/>
    <w:rsid w:val="00753CEF"/>
    <w:rsid w:val="00757C5C"/>
    <w:rsid w:val="00793AA2"/>
    <w:rsid w:val="007D1EED"/>
    <w:rsid w:val="007F5BE1"/>
    <w:rsid w:val="00827EDF"/>
    <w:rsid w:val="00830FC5"/>
    <w:rsid w:val="0083162E"/>
    <w:rsid w:val="00843724"/>
    <w:rsid w:val="0084673E"/>
    <w:rsid w:val="0086522B"/>
    <w:rsid w:val="00870473"/>
    <w:rsid w:val="00892950"/>
    <w:rsid w:val="008A7781"/>
    <w:rsid w:val="008D4A38"/>
    <w:rsid w:val="008D6549"/>
    <w:rsid w:val="008F3A08"/>
    <w:rsid w:val="008F3B26"/>
    <w:rsid w:val="008F3F5E"/>
    <w:rsid w:val="0093285C"/>
    <w:rsid w:val="009548CD"/>
    <w:rsid w:val="00963EA4"/>
    <w:rsid w:val="00971B41"/>
    <w:rsid w:val="009A16AF"/>
    <w:rsid w:val="009B6450"/>
    <w:rsid w:val="009C6BD0"/>
    <w:rsid w:val="009D7801"/>
    <w:rsid w:val="009E324A"/>
    <w:rsid w:val="00A074BD"/>
    <w:rsid w:val="00A60AB9"/>
    <w:rsid w:val="00A81186"/>
    <w:rsid w:val="00AA186D"/>
    <w:rsid w:val="00AA69A3"/>
    <w:rsid w:val="00AB611F"/>
    <w:rsid w:val="00AC7F92"/>
    <w:rsid w:val="00B133A1"/>
    <w:rsid w:val="00B83899"/>
    <w:rsid w:val="00BD1A39"/>
    <w:rsid w:val="00BE7EB2"/>
    <w:rsid w:val="00C20527"/>
    <w:rsid w:val="00CF55F3"/>
    <w:rsid w:val="00D26305"/>
    <w:rsid w:val="00D34442"/>
    <w:rsid w:val="00D35FF7"/>
    <w:rsid w:val="00D63CE4"/>
    <w:rsid w:val="00D75379"/>
    <w:rsid w:val="00D96447"/>
    <w:rsid w:val="00DD357E"/>
    <w:rsid w:val="00DD7B20"/>
    <w:rsid w:val="00DF3DB1"/>
    <w:rsid w:val="00E1130B"/>
    <w:rsid w:val="00E1541E"/>
    <w:rsid w:val="00E170B4"/>
    <w:rsid w:val="00E224A9"/>
    <w:rsid w:val="00E25B2E"/>
    <w:rsid w:val="00E45BDC"/>
    <w:rsid w:val="00E53D26"/>
    <w:rsid w:val="00EE6D40"/>
    <w:rsid w:val="00F222AE"/>
    <w:rsid w:val="00F32EF3"/>
    <w:rsid w:val="00F57104"/>
    <w:rsid w:val="00F6624E"/>
    <w:rsid w:val="00FD6D92"/>
    <w:rsid w:val="00FF7BC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BDC"/>
    <w:pPr>
      <w:spacing w:after="0" w:line="240" w:lineRule="auto"/>
    </w:pPr>
    <w:rPr>
      <w:rFonts w:ascii="Times New Roman" w:eastAsia="Times New Roman" w:hAnsi="Times New Roman"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45BDC"/>
    <w:pPr>
      <w:tabs>
        <w:tab w:val="center" w:pos="4419"/>
        <w:tab w:val="right" w:pos="8838"/>
      </w:tabs>
    </w:pPr>
  </w:style>
  <w:style w:type="character" w:customStyle="1" w:styleId="EncabezadoCar">
    <w:name w:val="Encabezado Car"/>
    <w:basedOn w:val="Fuentedeprrafopredeter"/>
    <w:link w:val="Encabezado"/>
    <w:uiPriority w:val="99"/>
    <w:rsid w:val="00E45BDC"/>
  </w:style>
  <w:style w:type="paragraph" w:styleId="Piedepgina">
    <w:name w:val="footer"/>
    <w:basedOn w:val="Normal"/>
    <w:link w:val="PiedepginaCar"/>
    <w:uiPriority w:val="99"/>
    <w:unhideWhenUsed/>
    <w:rsid w:val="00E45BDC"/>
    <w:pPr>
      <w:tabs>
        <w:tab w:val="center" w:pos="4419"/>
        <w:tab w:val="right" w:pos="8838"/>
      </w:tabs>
    </w:pPr>
  </w:style>
  <w:style w:type="character" w:customStyle="1" w:styleId="PiedepginaCar">
    <w:name w:val="Pie de página Car"/>
    <w:basedOn w:val="Fuentedeprrafopredeter"/>
    <w:link w:val="Piedepgina"/>
    <w:uiPriority w:val="99"/>
    <w:rsid w:val="00E45BDC"/>
  </w:style>
  <w:style w:type="paragraph" w:customStyle="1" w:styleId="Textopredeterminado">
    <w:name w:val="Texto predeterminado"/>
    <w:basedOn w:val="Normal"/>
    <w:semiHidden/>
    <w:rsid w:val="00E45BDC"/>
    <w:pPr>
      <w:jc w:val="both"/>
    </w:pPr>
    <w:rPr>
      <w:lang w:eastAsia="es-ES"/>
    </w:rPr>
  </w:style>
  <w:style w:type="table" w:styleId="Tablaconcuadrcula">
    <w:name w:val="Table Grid"/>
    <w:basedOn w:val="Tablanormal"/>
    <w:uiPriority w:val="59"/>
    <w:rsid w:val="00E45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Párrafo de lista SUBCAPITULO,Párrafo de lista1,Colorful List - Accent 11,TIT 2 IND"/>
    <w:basedOn w:val="Normal"/>
    <w:link w:val="PrrafodelistaCar"/>
    <w:uiPriority w:val="34"/>
    <w:qFormat/>
    <w:rsid w:val="00E45BDC"/>
    <w:pPr>
      <w:ind w:left="720"/>
      <w:contextualSpacing/>
    </w:pPr>
  </w:style>
  <w:style w:type="paragraph" w:styleId="Epgrafe">
    <w:name w:val="caption"/>
    <w:basedOn w:val="Normal"/>
    <w:next w:val="Normal"/>
    <w:qFormat/>
    <w:rsid w:val="00E45BDC"/>
    <w:pPr>
      <w:spacing w:before="120" w:after="120"/>
      <w:jc w:val="both"/>
    </w:pPr>
    <w:rPr>
      <w:rFonts w:ascii="Tahoma" w:hAnsi="Tahoma"/>
      <w:b/>
      <w:bCs/>
      <w:sz w:val="20"/>
      <w:szCs w:val="20"/>
      <w:lang w:val="es-ES" w:eastAsia="es-ES"/>
    </w:rPr>
  </w:style>
  <w:style w:type="paragraph" w:styleId="Textoindependiente">
    <w:name w:val="Body Text"/>
    <w:basedOn w:val="Normal"/>
    <w:link w:val="TextoindependienteCar"/>
    <w:rsid w:val="00E45BDC"/>
    <w:pPr>
      <w:widowControl w:val="0"/>
      <w:suppressAutoHyphens/>
      <w:spacing w:after="120"/>
    </w:pPr>
    <w:rPr>
      <w:rFonts w:eastAsia="Arial Unicode MS"/>
      <w:lang w:val="es-ES_tradnl" w:eastAsia="es-EC"/>
    </w:rPr>
  </w:style>
  <w:style w:type="character" w:customStyle="1" w:styleId="TextoindependienteCar">
    <w:name w:val="Texto independiente Car"/>
    <w:basedOn w:val="Fuentedeprrafopredeter"/>
    <w:link w:val="Textoindependiente"/>
    <w:rsid w:val="00E45BDC"/>
    <w:rPr>
      <w:rFonts w:ascii="Times New Roman" w:eastAsia="Arial Unicode MS" w:hAnsi="Times New Roman" w:cs="Times New Roman"/>
      <w:sz w:val="24"/>
      <w:szCs w:val="24"/>
      <w:lang w:val="es-ES_tradnl" w:eastAsia="es-EC"/>
    </w:rPr>
  </w:style>
  <w:style w:type="character" w:customStyle="1" w:styleId="PrrafodelistaCar">
    <w:name w:val="Párrafo de lista Car"/>
    <w:aliases w:val="Párrafo de lista SUBCAPITULO Car,Párrafo de lista1 Car,Colorful List - Accent 11 Car,TIT 2 IND Car"/>
    <w:link w:val="Prrafodelista"/>
    <w:uiPriority w:val="34"/>
    <w:locked/>
    <w:rsid w:val="00034288"/>
    <w:rPr>
      <w:rFonts w:ascii="Times New Roman" w:eastAsia="Times New Roman" w:hAnsi="Times New Roman" w:cs="Times New Roman"/>
      <w:sz w:val="24"/>
      <w:szCs w:val="24"/>
      <w:lang w:val="en-US"/>
    </w:rPr>
  </w:style>
  <w:style w:type="paragraph" w:styleId="Textodeglobo">
    <w:name w:val="Balloon Text"/>
    <w:basedOn w:val="Normal"/>
    <w:link w:val="TextodegloboCar"/>
    <w:uiPriority w:val="99"/>
    <w:semiHidden/>
    <w:unhideWhenUsed/>
    <w:rsid w:val="007369BA"/>
    <w:rPr>
      <w:rFonts w:ascii="Tahoma" w:hAnsi="Tahoma" w:cs="Tahoma"/>
      <w:sz w:val="16"/>
      <w:szCs w:val="16"/>
    </w:rPr>
  </w:style>
  <w:style w:type="character" w:customStyle="1" w:styleId="TextodegloboCar">
    <w:name w:val="Texto de globo Car"/>
    <w:basedOn w:val="Fuentedeprrafopredeter"/>
    <w:link w:val="Textodeglobo"/>
    <w:uiPriority w:val="99"/>
    <w:semiHidden/>
    <w:rsid w:val="007369BA"/>
    <w:rPr>
      <w:rFonts w:ascii="Tahoma" w:eastAsia="Times New Roman" w:hAnsi="Tahoma" w:cs="Tahoma"/>
      <w:sz w:val="16"/>
      <w:szCs w:val="16"/>
      <w:lang w:val="en-US"/>
    </w:rPr>
  </w:style>
  <w:style w:type="character" w:styleId="Refdecomentario">
    <w:name w:val="annotation reference"/>
    <w:basedOn w:val="Fuentedeprrafopredeter"/>
    <w:uiPriority w:val="99"/>
    <w:semiHidden/>
    <w:unhideWhenUsed/>
    <w:rsid w:val="000F1386"/>
    <w:rPr>
      <w:sz w:val="16"/>
      <w:szCs w:val="16"/>
    </w:rPr>
  </w:style>
  <w:style w:type="paragraph" w:styleId="Textocomentario">
    <w:name w:val="annotation text"/>
    <w:basedOn w:val="Normal"/>
    <w:link w:val="TextocomentarioCar"/>
    <w:uiPriority w:val="99"/>
    <w:semiHidden/>
    <w:unhideWhenUsed/>
    <w:rsid w:val="000F1386"/>
    <w:rPr>
      <w:sz w:val="20"/>
      <w:szCs w:val="20"/>
    </w:rPr>
  </w:style>
  <w:style w:type="character" w:customStyle="1" w:styleId="TextocomentarioCar">
    <w:name w:val="Texto comentario Car"/>
    <w:basedOn w:val="Fuentedeprrafopredeter"/>
    <w:link w:val="Textocomentario"/>
    <w:uiPriority w:val="99"/>
    <w:semiHidden/>
    <w:rsid w:val="000F1386"/>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0F1386"/>
    <w:rPr>
      <w:b/>
      <w:bCs/>
    </w:rPr>
  </w:style>
  <w:style w:type="character" w:customStyle="1" w:styleId="AsuntodelcomentarioCar">
    <w:name w:val="Asunto del comentario Car"/>
    <w:basedOn w:val="TextocomentarioCar"/>
    <w:link w:val="Asuntodelcomentario"/>
    <w:uiPriority w:val="99"/>
    <w:semiHidden/>
    <w:rsid w:val="000F1386"/>
    <w:rPr>
      <w:rFonts w:ascii="Times New Roman" w:eastAsia="Times New Roman" w:hAnsi="Times New Roman" w:cs="Times New Roman"/>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BDC"/>
    <w:pPr>
      <w:spacing w:after="0" w:line="240" w:lineRule="auto"/>
    </w:pPr>
    <w:rPr>
      <w:rFonts w:ascii="Times New Roman" w:eastAsia="Times New Roman" w:hAnsi="Times New Roman"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45BDC"/>
    <w:pPr>
      <w:tabs>
        <w:tab w:val="center" w:pos="4419"/>
        <w:tab w:val="right" w:pos="8838"/>
      </w:tabs>
    </w:pPr>
  </w:style>
  <w:style w:type="character" w:customStyle="1" w:styleId="EncabezadoCar">
    <w:name w:val="Encabezado Car"/>
    <w:basedOn w:val="Fuentedeprrafopredeter"/>
    <w:link w:val="Encabezado"/>
    <w:uiPriority w:val="99"/>
    <w:rsid w:val="00E45BDC"/>
  </w:style>
  <w:style w:type="paragraph" w:styleId="Piedepgina">
    <w:name w:val="footer"/>
    <w:basedOn w:val="Normal"/>
    <w:link w:val="PiedepginaCar"/>
    <w:uiPriority w:val="99"/>
    <w:unhideWhenUsed/>
    <w:rsid w:val="00E45BDC"/>
    <w:pPr>
      <w:tabs>
        <w:tab w:val="center" w:pos="4419"/>
        <w:tab w:val="right" w:pos="8838"/>
      </w:tabs>
    </w:pPr>
  </w:style>
  <w:style w:type="character" w:customStyle="1" w:styleId="PiedepginaCar">
    <w:name w:val="Pie de página Car"/>
    <w:basedOn w:val="Fuentedeprrafopredeter"/>
    <w:link w:val="Piedepgina"/>
    <w:uiPriority w:val="99"/>
    <w:rsid w:val="00E45BDC"/>
  </w:style>
  <w:style w:type="paragraph" w:customStyle="1" w:styleId="Textopredeterminado">
    <w:name w:val="Texto predeterminado"/>
    <w:basedOn w:val="Normal"/>
    <w:semiHidden/>
    <w:rsid w:val="00E45BDC"/>
    <w:pPr>
      <w:jc w:val="both"/>
    </w:pPr>
    <w:rPr>
      <w:lang w:eastAsia="es-ES"/>
    </w:rPr>
  </w:style>
  <w:style w:type="table" w:styleId="Tablaconcuadrcula">
    <w:name w:val="Table Grid"/>
    <w:basedOn w:val="Tablanormal"/>
    <w:uiPriority w:val="59"/>
    <w:rsid w:val="00E45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Párrafo de lista SUBCAPITULO,Párrafo de lista1,Colorful List - Accent 11,TIT 2 IND"/>
    <w:basedOn w:val="Normal"/>
    <w:link w:val="PrrafodelistaCar"/>
    <w:uiPriority w:val="34"/>
    <w:qFormat/>
    <w:rsid w:val="00E45BDC"/>
    <w:pPr>
      <w:ind w:left="720"/>
      <w:contextualSpacing/>
    </w:pPr>
  </w:style>
  <w:style w:type="paragraph" w:styleId="Epgrafe">
    <w:name w:val="caption"/>
    <w:basedOn w:val="Normal"/>
    <w:next w:val="Normal"/>
    <w:qFormat/>
    <w:rsid w:val="00E45BDC"/>
    <w:pPr>
      <w:spacing w:before="120" w:after="120"/>
      <w:jc w:val="both"/>
    </w:pPr>
    <w:rPr>
      <w:rFonts w:ascii="Tahoma" w:hAnsi="Tahoma"/>
      <w:b/>
      <w:bCs/>
      <w:sz w:val="20"/>
      <w:szCs w:val="20"/>
      <w:lang w:val="es-ES" w:eastAsia="es-ES"/>
    </w:rPr>
  </w:style>
  <w:style w:type="paragraph" w:styleId="Textoindependiente">
    <w:name w:val="Body Text"/>
    <w:basedOn w:val="Normal"/>
    <w:link w:val="TextoindependienteCar"/>
    <w:rsid w:val="00E45BDC"/>
    <w:pPr>
      <w:widowControl w:val="0"/>
      <w:suppressAutoHyphens/>
      <w:spacing w:after="120"/>
    </w:pPr>
    <w:rPr>
      <w:rFonts w:eastAsia="Arial Unicode MS"/>
      <w:lang w:val="es-ES_tradnl" w:eastAsia="es-EC"/>
    </w:rPr>
  </w:style>
  <w:style w:type="character" w:customStyle="1" w:styleId="TextoindependienteCar">
    <w:name w:val="Texto independiente Car"/>
    <w:basedOn w:val="Fuentedeprrafopredeter"/>
    <w:link w:val="Textoindependiente"/>
    <w:rsid w:val="00E45BDC"/>
    <w:rPr>
      <w:rFonts w:ascii="Times New Roman" w:eastAsia="Arial Unicode MS" w:hAnsi="Times New Roman" w:cs="Times New Roman"/>
      <w:sz w:val="24"/>
      <w:szCs w:val="24"/>
      <w:lang w:val="es-ES_tradnl" w:eastAsia="es-EC"/>
    </w:rPr>
  </w:style>
  <w:style w:type="character" w:customStyle="1" w:styleId="PrrafodelistaCar">
    <w:name w:val="Párrafo de lista Car"/>
    <w:aliases w:val="Párrafo de lista SUBCAPITULO Car,Párrafo de lista1 Car,Colorful List - Accent 11 Car,TIT 2 IND Car"/>
    <w:link w:val="Prrafodelista"/>
    <w:uiPriority w:val="34"/>
    <w:locked/>
    <w:rsid w:val="00034288"/>
    <w:rPr>
      <w:rFonts w:ascii="Times New Roman" w:eastAsia="Times New Roman" w:hAnsi="Times New Roman" w:cs="Times New Roman"/>
      <w:sz w:val="24"/>
      <w:szCs w:val="24"/>
      <w:lang w:val="en-US"/>
    </w:rPr>
  </w:style>
  <w:style w:type="paragraph" w:styleId="Textodeglobo">
    <w:name w:val="Balloon Text"/>
    <w:basedOn w:val="Normal"/>
    <w:link w:val="TextodegloboCar"/>
    <w:uiPriority w:val="99"/>
    <w:semiHidden/>
    <w:unhideWhenUsed/>
    <w:rsid w:val="007369BA"/>
    <w:rPr>
      <w:rFonts w:ascii="Tahoma" w:hAnsi="Tahoma" w:cs="Tahoma"/>
      <w:sz w:val="16"/>
      <w:szCs w:val="16"/>
    </w:rPr>
  </w:style>
  <w:style w:type="character" w:customStyle="1" w:styleId="TextodegloboCar">
    <w:name w:val="Texto de globo Car"/>
    <w:basedOn w:val="Fuentedeprrafopredeter"/>
    <w:link w:val="Textodeglobo"/>
    <w:uiPriority w:val="99"/>
    <w:semiHidden/>
    <w:rsid w:val="007369BA"/>
    <w:rPr>
      <w:rFonts w:ascii="Tahoma" w:eastAsia="Times New Roman" w:hAnsi="Tahoma" w:cs="Tahoma"/>
      <w:sz w:val="16"/>
      <w:szCs w:val="16"/>
      <w:lang w:val="en-US"/>
    </w:rPr>
  </w:style>
  <w:style w:type="character" w:styleId="Refdecomentario">
    <w:name w:val="annotation reference"/>
    <w:basedOn w:val="Fuentedeprrafopredeter"/>
    <w:uiPriority w:val="99"/>
    <w:semiHidden/>
    <w:unhideWhenUsed/>
    <w:rsid w:val="000F1386"/>
    <w:rPr>
      <w:sz w:val="16"/>
      <w:szCs w:val="16"/>
    </w:rPr>
  </w:style>
  <w:style w:type="paragraph" w:styleId="Textocomentario">
    <w:name w:val="annotation text"/>
    <w:basedOn w:val="Normal"/>
    <w:link w:val="TextocomentarioCar"/>
    <w:uiPriority w:val="99"/>
    <w:semiHidden/>
    <w:unhideWhenUsed/>
    <w:rsid w:val="000F1386"/>
    <w:rPr>
      <w:sz w:val="20"/>
      <w:szCs w:val="20"/>
    </w:rPr>
  </w:style>
  <w:style w:type="character" w:customStyle="1" w:styleId="TextocomentarioCar">
    <w:name w:val="Texto comentario Car"/>
    <w:basedOn w:val="Fuentedeprrafopredeter"/>
    <w:link w:val="Textocomentario"/>
    <w:uiPriority w:val="99"/>
    <w:semiHidden/>
    <w:rsid w:val="000F1386"/>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0F1386"/>
    <w:rPr>
      <w:b/>
      <w:bCs/>
    </w:rPr>
  </w:style>
  <w:style w:type="character" w:customStyle="1" w:styleId="AsuntodelcomentarioCar">
    <w:name w:val="Asunto del comentario Car"/>
    <w:basedOn w:val="TextocomentarioCar"/>
    <w:link w:val="Asuntodelcomentario"/>
    <w:uiPriority w:val="99"/>
    <w:semiHidden/>
    <w:rsid w:val="000F1386"/>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13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05412-C194-4A68-9DA2-20480E769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8</Pages>
  <Words>3538</Words>
  <Characters>19459</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de Lourdes González Vásquez</dc:creator>
  <cp:lastModifiedBy>María de Lourdes González Vásquez</cp:lastModifiedBy>
  <cp:revision>6</cp:revision>
  <cp:lastPrinted>2018-06-26T20:21:00Z</cp:lastPrinted>
  <dcterms:created xsi:type="dcterms:W3CDTF">2018-11-28T14:36:00Z</dcterms:created>
  <dcterms:modified xsi:type="dcterms:W3CDTF">2018-11-28T20:05:00Z</dcterms:modified>
</cp:coreProperties>
</file>