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EBE" w:rsidRPr="00E12079" w:rsidRDefault="006E2F77" w:rsidP="00EA1685">
      <w:pPr>
        <w:pStyle w:val="Puesto"/>
        <w:spacing w:after="120" w:line="276" w:lineRule="auto"/>
        <w:rPr>
          <w:sz w:val="22"/>
          <w:szCs w:val="22"/>
          <w:lang w:val="es-ES"/>
        </w:rPr>
      </w:pPr>
      <w:bookmarkStart w:id="0" w:name="_GoBack"/>
      <w:bookmarkEnd w:id="0"/>
      <w:r w:rsidRPr="00E12079">
        <w:rPr>
          <w:sz w:val="22"/>
          <w:szCs w:val="22"/>
          <w:lang w:val="es-ES"/>
        </w:rPr>
        <w:t>EXPOSICI</w:t>
      </w:r>
      <w:r w:rsidR="0055066D" w:rsidRPr="00E12079">
        <w:rPr>
          <w:sz w:val="22"/>
          <w:szCs w:val="22"/>
          <w:lang w:val="es-ES"/>
        </w:rPr>
        <w:t>Ó</w:t>
      </w:r>
      <w:r w:rsidRPr="00E12079">
        <w:rPr>
          <w:sz w:val="22"/>
          <w:szCs w:val="22"/>
          <w:lang w:val="es-ES"/>
        </w:rPr>
        <w:t>N DE MOTIVOS</w:t>
      </w:r>
    </w:p>
    <w:p w:rsidR="0098091C" w:rsidRPr="00E12079" w:rsidRDefault="0098091C" w:rsidP="0098091C">
      <w:pPr>
        <w:widowControl w:val="0"/>
        <w:autoSpaceDE w:val="0"/>
        <w:autoSpaceDN w:val="0"/>
        <w:adjustRightInd w:val="0"/>
        <w:spacing w:after="120" w:line="276" w:lineRule="auto"/>
        <w:ind w:right="64" w:firstLine="708"/>
        <w:jc w:val="both"/>
        <w:rPr>
          <w:rFonts w:ascii="Times New Roman" w:hAnsi="Times New Roman" w:cs="Times New Roman"/>
          <w:lang w:eastAsia="ar-SA"/>
        </w:rPr>
      </w:pPr>
      <w:r w:rsidRPr="00E12079">
        <w:rPr>
          <w:rFonts w:ascii="Times New Roman" w:hAnsi="Times New Roman" w:cs="Times New Roman"/>
          <w:lang w:eastAsia="ar-SA"/>
        </w:rPr>
        <w:t>Según lo establecido en el artículo  84 del Código Orgánico de Organización  Territorial, Autonomía y Descentralización COOTAD,   las Funciones</w:t>
      </w:r>
      <w:r w:rsidRPr="00E12079">
        <w:rPr>
          <w:rFonts w:ascii="Times New Roman" w:hAnsi="Times New Roman" w:cs="Times New Roman"/>
          <w:i/>
          <w:lang w:eastAsia="ar-SA"/>
        </w:rPr>
        <w:t xml:space="preserve"> </w:t>
      </w:r>
      <w:r w:rsidRPr="00E12079">
        <w:rPr>
          <w:rFonts w:ascii="Times New Roman" w:hAnsi="Times New Roman" w:cs="Times New Roman"/>
          <w:lang w:eastAsia="ar-SA"/>
        </w:rPr>
        <w:t>del gobierno del distrito autónomo metropolitano son: c) Establecer el régimen de uso de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98091C" w:rsidRPr="00E12079" w:rsidRDefault="0098091C" w:rsidP="0098091C">
      <w:pPr>
        <w:widowControl w:val="0"/>
        <w:autoSpaceDE w:val="0"/>
        <w:autoSpaceDN w:val="0"/>
        <w:adjustRightInd w:val="0"/>
        <w:spacing w:after="120" w:line="276" w:lineRule="auto"/>
        <w:ind w:right="64"/>
        <w:jc w:val="both"/>
        <w:rPr>
          <w:rFonts w:ascii="Times New Roman" w:hAnsi="Times New Roman" w:cs="Times New Roman"/>
          <w:lang w:eastAsia="ar-SA"/>
        </w:rPr>
      </w:pPr>
      <w:r w:rsidRPr="00E12079">
        <w:rPr>
          <w:rFonts w:ascii="Times New Roman" w:hAnsi="Times New Roman" w:cs="Times New Roman"/>
          <w:lang w:eastAsia="ar-SA"/>
        </w:rPr>
        <w:tab/>
        <w:t>El Código Orgánico de Organización Territorial, Autonomía y Descentralización - COOTAD; el Código Orgánico de Planificación y Finanzas Públicas y las disposiciones de SENPLADES así como</w:t>
      </w:r>
      <w:r w:rsidRPr="00E12079">
        <w:rPr>
          <w:rFonts w:ascii="Times New Roman" w:hAnsi="Times New Roman" w:cs="Times New Roman"/>
        </w:rPr>
        <w:t xml:space="preserve"> l</w:t>
      </w:r>
      <w:r w:rsidRPr="00E12079">
        <w:rPr>
          <w:rFonts w:ascii="Times New Roman" w:hAnsi="Times New Roman" w:cs="Times New Roman"/>
          <w:spacing w:val="1"/>
        </w:rPr>
        <w:t>a</w:t>
      </w:r>
      <w:r w:rsidRPr="00E12079">
        <w:rPr>
          <w:rFonts w:ascii="Times New Roman" w:hAnsi="Times New Roman" w:cs="Times New Roman"/>
        </w:rPr>
        <w:t>s</w:t>
      </w:r>
      <w:r w:rsidRPr="00E12079">
        <w:rPr>
          <w:rFonts w:ascii="Times New Roman" w:hAnsi="Times New Roman" w:cs="Times New Roman"/>
          <w:spacing w:val="2"/>
        </w:rPr>
        <w:t xml:space="preserve"> </w:t>
      </w:r>
      <w:r w:rsidRPr="00E12079">
        <w:rPr>
          <w:rFonts w:ascii="Times New Roman" w:hAnsi="Times New Roman" w:cs="Times New Roman"/>
          <w:spacing w:val="-2"/>
          <w:w w:val="102"/>
        </w:rPr>
        <w:t>p</w:t>
      </w:r>
      <w:r w:rsidRPr="00E12079">
        <w:rPr>
          <w:rFonts w:ascii="Times New Roman" w:hAnsi="Times New Roman" w:cs="Times New Roman"/>
          <w:w w:val="102"/>
        </w:rPr>
        <w:t>r</w:t>
      </w:r>
      <w:r w:rsidRPr="00E12079">
        <w:rPr>
          <w:rFonts w:ascii="Times New Roman" w:hAnsi="Times New Roman" w:cs="Times New Roman"/>
          <w:spacing w:val="-2"/>
          <w:w w:val="102"/>
        </w:rPr>
        <w:t>o</w:t>
      </w:r>
      <w:r w:rsidRPr="00E12079">
        <w:rPr>
          <w:rFonts w:ascii="Times New Roman" w:hAnsi="Times New Roman" w:cs="Times New Roman"/>
          <w:spacing w:val="1"/>
          <w:w w:val="102"/>
        </w:rPr>
        <w:t>pu</w:t>
      </w:r>
      <w:r w:rsidRPr="00E12079">
        <w:rPr>
          <w:rFonts w:ascii="Times New Roman" w:hAnsi="Times New Roman" w:cs="Times New Roman"/>
          <w:spacing w:val="-2"/>
          <w:w w:val="102"/>
        </w:rPr>
        <w:t>e</w:t>
      </w:r>
      <w:r w:rsidRPr="00E12079">
        <w:rPr>
          <w:rFonts w:ascii="Times New Roman" w:hAnsi="Times New Roman" w:cs="Times New Roman"/>
          <w:spacing w:val="1"/>
          <w:w w:val="102"/>
        </w:rPr>
        <w:t>s</w:t>
      </w:r>
      <w:r w:rsidRPr="00E12079">
        <w:rPr>
          <w:rFonts w:ascii="Times New Roman" w:hAnsi="Times New Roman" w:cs="Times New Roman"/>
          <w:spacing w:val="-2"/>
          <w:w w:val="102"/>
        </w:rPr>
        <w:t>ta</w:t>
      </w:r>
      <w:r w:rsidRPr="00E12079">
        <w:rPr>
          <w:rFonts w:ascii="Times New Roman" w:hAnsi="Times New Roman" w:cs="Times New Roman"/>
          <w:w w:val="102"/>
        </w:rPr>
        <w:t xml:space="preserve">s </w:t>
      </w:r>
      <w:r w:rsidRPr="00E12079">
        <w:rPr>
          <w:rFonts w:ascii="Times New Roman" w:hAnsi="Times New Roman" w:cs="Times New Roman"/>
          <w:spacing w:val="1"/>
        </w:rPr>
        <w:t>e</w:t>
      </w:r>
      <w:r w:rsidRPr="00E12079">
        <w:rPr>
          <w:rFonts w:ascii="Times New Roman" w:hAnsi="Times New Roman" w:cs="Times New Roman"/>
        </w:rPr>
        <w:t>l</w:t>
      </w:r>
      <w:r w:rsidRPr="00E12079">
        <w:rPr>
          <w:rFonts w:ascii="Times New Roman" w:hAnsi="Times New Roman" w:cs="Times New Roman"/>
          <w:spacing w:val="1"/>
        </w:rPr>
        <w:t>ec</w:t>
      </w:r>
      <w:r w:rsidRPr="00E12079">
        <w:rPr>
          <w:rFonts w:ascii="Times New Roman" w:hAnsi="Times New Roman" w:cs="Times New Roman"/>
        </w:rPr>
        <w:t>t</w:t>
      </w:r>
      <w:r w:rsidRPr="00E12079">
        <w:rPr>
          <w:rFonts w:ascii="Times New Roman" w:hAnsi="Times New Roman" w:cs="Times New Roman"/>
          <w:spacing w:val="-2"/>
        </w:rPr>
        <w:t>o</w:t>
      </w:r>
      <w:r w:rsidRPr="00E12079">
        <w:rPr>
          <w:rFonts w:ascii="Times New Roman" w:hAnsi="Times New Roman" w:cs="Times New Roman"/>
        </w:rPr>
        <w:t>r</w:t>
      </w:r>
      <w:r w:rsidRPr="00E12079">
        <w:rPr>
          <w:rFonts w:ascii="Times New Roman" w:hAnsi="Times New Roman" w:cs="Times New Roman"/>
          <w:spacing w:val="-2"/>
        </w:rPr>
        <w:t>a</w:t>
      </w:r>
      <w:r w:rsidRPr="00E12079">
        <w:rPr>
          <w:rFonts w:ascii="Times New Roman" w:hAnsi="Times New Roman" w:cs="Times New Roman"/>
        </w:rPr>
        <w:t>l</w:t>
      </w:r>
      <w:r w:rsidRPr="00E12079">
        <w:rPr>
          <w:rFonts w:ascii="Times New Roman" w:hAnsi="Times New Roman" w:cs="Times New Roman"/>
          <w:spacing w:val="-2"/>
        </w:rPr>
        <w:t>e</w:t>
      </w:r>
      <w:r w:rsidRPr="00E12079">
        <w:rPr>
          <w:rFonts w:ascii="Times New Roman" w:hAnsi="Times New Roman" w:cs="Times New Roman"/>
        </w:rPr>
        <w:t>s</w:t>
      </w:r>
      <w:r w:rsidR="00FB0D57" w:rsidRPr="00E12079">
        <w:rPr>
          <w:rFonts w:ascii="Times New Roman" w:hAnsi="Times New Roman" w:cs="Times New Roman"/>
          <w:spacing w:val="5"/>
        </w:rPr>
        <w:t xml:space="preserve"> </w:t>
      </w:r>
      <w:r w:rsidRPr="00E12079">
        <w:rPr>
          <w:rFonts w:ascii="Times New Roman" w:hAnsi="Times New Roman" w:cs="Times New Roman"/>
          <w:spacing w:val="5"/>
        </w:rPr>
        <w:t xml:space="preserve">planteadas por </w:t>
      </w:r>
      <w:r w:rsidRPr="00E12079">
        <w:rPr>
          <w:rFonts w:ascii="Times New Roman" w:hAnsi="Times New Roman" w:cs="Times New Roman"/>
          <w:lang w:eastAsia="ar-SA"/>
        </w:rPr>
        <w:t>el Alcalde Metropolitano, constituyeron el referente para la elaboración y aprobación del Plan Metropolitano de Desarrollo y Ordenamiento Territorial del Distrito Metropolitano de Quito (PMDOT 2015-2025) instrumento de planificación del territorio distrital que contiene las directrices estratégicas del desarrollo, con una visión de corto, mediano y largo plazo; y, determina la forma de organización del territorio para el logro del desarrollo sostenible; incorporando la movilidad como elemento articulador entre el desarrollo y el territorio.</w:t>
      </w:r>
    </w:p>
    <w:p w:rsidR="0098091C" w:rsidRPr="00E12079" w:rsidRDefault="0098091C" w:rsidP="0098091C">
      <w:pPr>
        <w:widowControl w:val="0"/>
        <w:autoSpaceDE w:val="0"/>
        <w:autoSpaceDN w:val="0"/>
        <w:adjustRightInd w:val="0"/>
        <w:spacing w:after="120" w:line="276" w:lineRule="auto"/>
        <w:ind w:right="64" w:firstLine="708"/>
        <w:jc w:val="both"/>
        <w:rPr>
          <w:rFonts w:ascii="Times New Roman" w:hAnsi="Times New Roman" w:cs="Times New Roman"/>
          <w:lang w:eastAsia="ar-SA"/>
        </w:rPr>
      </w:pPr>
      <w:r w:rsidRPr="00E12079">
        <w:rPr>
          <w:rFonts w:ascii="Times New Roman" w:hAnsi="Times New Roman" w:cs="Times New Roman"/>
          <w:lang w:eastAsia="ar-SA"/>
        </w:rPr>
        <w:t>La Ordenanza Metropolitana No. 0041, que aprueba el Plan Metropolitano de Desarrollo y Ordenamiento Territorial del Distrito Metropolitano de Quito, publicada en el Suplemento Especial del Registro Oficial No. 467 del 26 de marzo de 2015, aprueba y expide el Plan Metropolitano de Desarrollo y Ordenamiento Territorial como su Anexo Único y delega a la Secretaría de Territorio, Hábitat y Vivienda para que en el plazo máximo de nueve meses contados a partir de la vigencia de la referida ordenanza, presente para aprobación del Concejo Metropolitano el Plan de Uso y Ocupación del Suelo (PUOS) actualizado.</w:t>
      </w:r>
    </w:p>
    <w:p w:rsidR="0098091C" w:rsidRPr="00E12079" w:rsidRDefault="0098091C" w:rsidP="0098091C">
      <w:pPr>
        <w:widowControl w:val="0"/>
        <w:autoSpaceDE w:val="0"/>
        <w:autoSpaceDN w:val="0"/>
        <w:adjustRightInd w:val="0"/>
        <w:spacing w:after="120" w:line="276" w:lineRule="auto"/>
        <w:ind w:right="64" w:firstLine="708"/>
        <w:jc w:val="both"/>
        <w:rPr>
          <w:rFonts w:ascii="Times New Roman" w:hAnsi="Times New Roman" w:cs="Times New Roman"/>
          <w:lang w:eastAsia="ar-SA"/>
        </w:rPr>
      </w:pPr>
      <w:r w:rsidRPr="00E12079">
        <w:rPr>
          <w:rFonts w:ascii="Times New Roman" w:hAnsi="Times New Roman" w:cs="Times New Roman"/>
          <w:lang w:eastAsia="ar-SA"/>
        </w:rPr>
        <w:t>Mediante oficio No. STHV-DMPPS-5950 de 17 de diciembre de 2015, la Secretaría de Territorio, Hábitat y Vivienda  emite el informe técnico con las consideraciones por las cuales es necesario modificar el plazo establecido en la Disposición Transitoria Única de la Ordenanza Metropolitana No. 041, pasando de nueve a once meses, fundamento sobre el cual el Concejo Metropolitano de Quito, expide la Ordenanza No. 0095 Reformatoria de la Ordenanza Metropolitana No. 041, sancionada el 28 de diciembre de 2015.</w:t>
      </w:r>
    </w:p>
    <w:p w:rsidR="0098091C" w:rsidRPr="00E12079" w:rsidRDefault="0098091C" w:rsidP="0098091C">
      <w:pPr>
        <w:pStyle w:val="Textoindependiente"/>
        <w:spacing w:line="276" w:lineRule="auto"/>
        <w:ind w:firstLine="708"/>
        <w:jc w:val="both"/>
        <w:rPr>
          <w:sz w:val="22"/>
          <w:szCs w:val="22"/>
          <w:lang w:val="es-EC" w:eastAsia="ar-SA"/>
        </w:rPr>
      </w:pPr>
      <w:r w:rsidRPr="00E12079">
        <w:rPr>
          <w:sz w:val="22"/>
          <w:szCs w:val="22"/>
          <w:lang w:val="es-EC" w:eastAsia="ar-SA"/>
        </w:rPr>
        <w:t xml:space="preserve">El Plan de Uso y Ocupación de Suelo (PUOS) es un instrumento de regulación metropolitana que, de acuerdo con la  Ordenanza Metropolitana del Régimen de Suelo,  tiene por objeto la estructuración de la admisibilidad de usos y la edificación mediante la fijación de los parámetros y normas específicas para  el uso, ocupación, habilitación del suelo y edificación. Tiene una vigencia de cinco años y puede ser actualizado únicamente mediante la formulación de planes parciales, planes especiales y proyectos especiales. </w:t>
      </w:r>
    </w:p>
    <w:p w:rsidR="00FB0D57" w:rsidRPr="00E12079" w:rsidRDefault="00FB0D57" w:rsidP="00FB0D57">
      <w:pPr>
        <w:pStyle w:val="Textoindependiente"/>
        <w:spacing w:line="276" w:lineRule="auto"/>
        <w:ind w:firstLine="360"/>
        <w:jc w:val="both"/>
        <w:rPr>
          <w:sz w:val="22"/>
          <w:szCs w:val="22"/>
          <w:lang w:val="es-EC"/>
        </w:rPr>
      </w:pPr>
      <w:r w:rsidRPr="00E12079">
        <w:rPr>
          <w:sz w:val="22"/>
          <w:szCs w:val="22"/>
          <w:lang w:val="es-EC"/>
        </w:rPr>
        <w:t xml:space="preserve">Mediante Ordenanza Metropolitana No. 127 de fecha 25 de julio de 2016, luego de su </w:t>
      </w:r>
      <w:r w:rsidR="00E12079" w:rsidRPr="00E12079">
        <w:rPr>
          <w:sz w:val="22"/>
          <w:szCs w:val="22"/>
          <w:lang w:val="es-EC"/>
        </w:rPr>
        <w:t>tratamiento</w:t>
      </w:r>
      <w:r w:rsidRPr="00E12079">
        <w:rPr>
          <w:sz w:val="22"/>
          <w:szCs w:val="22"/>
          <w:lang w:val="es-EC"/>
        </w:rPr>
        <w:t xml:space="preserve"> en segundo debate, fue aprobado el Plan de Uso y Ocupación del Suelo (PUOS) y sus anexos.</w:t>
      </w:r>
    </w:p>
    <w:p w:rsidR="00FB0D57" w:rsidRPr="00E12079" w:rsidRDefault="00FB0D57" w:rsidP="00164140">
      <w:pPr>
        <w:pStyle w:val="Textoindependiente"/>
        <w:spacing w:line="276" w:lineRule="auto"/>
        <w:ind w:firstLine="360"/>
        <w:jc w:val="both"/>
        <w:rPr>
          <w:sz w:val="22"/>
          <w:szCs w:val="22"/>
          <w:lang w:val="es-EC"/>
        </w:rPr>
      </w:pPr>
      <w:r w:rsidRPr="00E12079">
        <w:rPr>
          <w:b/>
          <w:sz w:val="22"/>
          <w:szCs w:val="22"/>
          <w:lang w:val="es-EC"/>
        </w:rPr>
        <w:t>M</w:t>
      </w:r>
      <w:r w:rsidRPr="00E12079">
        <w:rPr>
          <w:sz w:val="22"/>
          <w:szCs w:val="22"/>
          <w:lang w:val="es-EC"/>
        </w:rPr>
        <w:t xml:space="preserve">ediante Ordenanza Metropolitana No. </w:t>
      </w:r>
      <w:r w:rsidR="004B1411">
        <w:rPr>
          <w:sz w:val="22"/>
          <w:szCs w:val="22"/>
          <w:lang w:val="es-EC"/>
        </w:rPr>
        <w:t xml:space="preserve">192 </w:t>
      </w:r>
      <w:r w:rsidRPr="00E12079">
        <w:rPr>
          <w:sz w:val="22"/>
          <w:szCs w:val="22"/>
          <w:lang w:val="es-EC"/>
        </w:rPr>
        <w:t xml:space="preserve">de fecha </w:t>
      </w:r>
      <w:r w:rsidR="004B1411">
        <w:rPr>
          <w:sz w:val="22"/>
          <w:szCs w:val="22"/>
          <w:lang w:val="es-EC"/>
        </w:rPr>
        <w:t>20</w:t>
      </w:r>
      <w:r w:rsidRPr="00E12079">
        <w:rPr>
          <w:sz w:val="22"/>
          <w:szCs w:val="22"/>
          <w:lang w:val="es-EC"/>
        </w:rPr>
        <w:t xml:space="preserve"> de </w:t>
      </w:r>
      <w:r w:rsidR="00DF5BDA" w:rsidRPr="00E12079">
        <w:rPr>
          <w:sz w:val="22"/>
          <w:szCs w:val="22"/>
          <w:lang w:val="es-EC"/>
        </w:rPr>
        <w:t>diciembre</w:t>
      </w:r>
      <w:r w:rsidRPr="00E12079">
        <w:rPr>
          <w:sz w:val="22"/>
          <w:szCs w:val="22"/>
          <w:lang w:val="es-EC"/>
        </w:rPr>
        <w:t xml:space="preserve"> de 2017, luego de su </w:t>
      </w:r>
      <w:r w:rsidR="00DF5BDA" w:rsidRPr="00E12079">
        <w:rPr>
          <w:sz w:val="22"/>
          <w:szCs w:val="22"/>
          <w:lang w:val="es-EC"/>
        </w:rPr>
        <w:t>tratamiento</w:t>
      </w:r>
      <w:r w:rsidRPr="00E12079">
        <w:rPr>
          <w:sz w:val="22"/>
          <w:szCs w:val="22"/>
          <w:lang w:val="es-EC"/>
        </w:rPr>
        <w:t xml:space="preserve"> en segundo debate fue aprobad</w:t>
      </w:r>
      <w:r w:rsidR="00233A5E" w:rsidRPr="00E12079">
        <w:rPr>
          <w:sz w:val="22"/>
          <w:szCs w:val="22"/>
          <w:lang w:val="es-EC"/>
        </w:rPr>
        <w:t>a</w:t>
      </w:r>
      <w:r w:rsidRPr="00E12079">
        <w:rPr>
          <w:sz w:val="22"/>
          <w:szCs w:val="22"/>
          <w:lang w:val="es-EC"/>
        </w:rPr>
        <w:t xml:space="preserve"> </w:t>
      </w:r>
      <w:r w:rsidR="00164140" w:rsidRPr="00E12079">
        <w:rPr>
          <w:sz w:val="22"/>
          <w:szCs w:val="22"/>
          <w:lang w:val="es-EC"/>
        </w:rPr>
        <w:t>la Ordenanza Reformatoria</w:t>
      </w:r>
      <w:r w:rsidRPr="00E12079">
        <w:rPr>
          <w:sz w:val="22"/>
          <w:szCs w:val="22"/>
          <w:lang w:val="es-EC"/>
        </w:rPr>
        <w:t xml:space="preserve"> de la Ordenanza Metropolitana No. 127</w:t>
      </w:r>
      <w:r w:rsidR="00E12079" w:rsidRPr="00E12079">
        <w:rPr>
          <w:sz w:val="22"/>
          <w:szCs w:val="22"/>
          <w:lang w:val="es-EC"/>
        </w:rPr>
        <w:t>,</w:t>
      </w:r>
      <w:r w:rsidRPr="00E12079">
        <w:rPr>
          <w:sz w:val="22"/>
          <w:szCs w:val="22"/>
          <w:lang w:val="es-EC"/>
        </w:rPr>
        <w:t xml:space="preserve"> que contiene el Plan de Uso y Ocupación del Suelo (PUOS) y sus anexos.</w:t>
      </w:r>
    </w:p>
    <w:p w:rsidR="0098091C" w:rsidRPr="00E12079" w:rsidRDefault="00FB0D57" w:rsidP="0098091C">
      <w:pPr>
        <w:pStyle w:val="Textoindependiente"/>
        <w:spacing w:line="276" w:lineRule="auto"/>
        <w:ind w:firstLine="360"/>
        <w:jc w:val="both"/>
        <w:rPr>
          <w:sz w:val="22"/>
          <w:szCs w:val="22"/>
          <w:lang w:val="es-EC" w:eastAsia="ar-SA"/>
        </w:rPr>
      </w:pPr>
      <w:r w:rsidRPr="00E12079">
        <w:rPr>
          <w:sz w:val="22"/>
          <w:szCs w:val="22"/>
          <w:lang w:val="es-EC" w:eastAsia="ar-SA"/>
        </w:rPr>
        <w:t xml:space="preserve">Durante </w:t>
      </w:r>
      <w:r w:rsidR="00164140" w:rsidRPr="00E12079">
        <w:rPr>
          <w:sz w:val="22"/>
          <w:szCs w:val="22"/>
          <w:lang w:val="es-EC" w:eastAsia="ar-SA"/>
        </w:rPr>
        <w:t>los meses</w:t>
      </w:r>
      <w:r w:rsidRPr="00E12079">
        <w:rPr>
          <w:sz w:val="22"/>
          <w:szCs w:val="22"/>
          <w:lang w:val="es-EC" w:eastAsia="ar-SA"/>
        </w:rPr>
        <w:t xml:space="preserve"> de </w:t>
      </w:r>
      <w:r w:rsidR="00164140" w:rsidRPr="00E12079">
        <w:rPr>
          <w:sz w:val="22"/>
          <w:szCs w:val="22"/>
          <w:lang w:val="es-EC" w:eastAsia="ar-SA"/>
        </w:rPr>
        <w:t>abril</w:t>
      </w:r>
      <w:r w:rsidRPr="00E12079">
        <w:rPr>
          <w:sz w:val="22"/>
          <w:szCs w:val="22"/>
          <w:lang w:val="es-EC" w:eastAsia="ar-SA"/>
        </w:rPr>
        <w:t xml:space="preserve"> </w:t>
      </w:r>
      <w:r w:rsidR="00164140" w:rsidRPr="00E12079">
        <w:rPr>
          <w:sz w:val="22"/>
          <w:szCs w:val="22"/>
          <w:lang w:val="es-EC" w:eastAsia="ar-SA"/>
        </w:rPr>
        <w:t>a</w:t>
      </w:r>
      <w:r w:rsidRPr="00E12079">
        <w:rPr>
          <w:sz w:val="22"/>
          <w:szCs w:val="22"/>
          <w:lang w:val="es-EC" w:eastAsia="ar-SA"/>
        </w:rPr>
        <w:t xml:space="preserve"> </w:t>
      </w:r>
      <w:r w:rsidR="00E12079" w:rsidRPr="00E12079">
        <w:rPr>
          <w:sz w:val="22"/>
          <w:szCs w:val="22"/>
          <w:lang w:val="es-EC" w:eastAsia="ar-SA"/>
        </w:rPr>
        <w:t>diciembre de</w:t>
      </w:r>
      <w:r w:rsidRPr="00E12079">
        <w:rPr>
          <w:sz w:val="22"/>
          <w:szCs w:val="22"/>
          <w:lang w:val="es-EC" w:eastAsia="ar-SA"/>
        </w:rPr>
        <w:t xml:space="preserve"> 201</w:t>
      </w:r>
      <w:r w:rsidR="00E12079" w:rsidRPr="00E12079">
        <w:rPr>
          <w:sz w:val="22"/>
          <w:szCs w:val="22"/>
          <w:lang w:val="es-EC" w:eastAsia="ar-SA"/>
        </w:rPr>
        <w:t>7</w:t>
      </w:r>
      <w:r w:rsidRPr="00E12079">
        <w:rPr>
          <w:sz w:val="22"/>
          <w:szCs w:val="22"/>
          <w:lang w:val="es-EC" w:eastAsia="ar-SA"/>
        </w:rPr>
        <w:t>, e</w:t>
      </w:r>
      <w:r w:rsidR="0098091C" w:rsidRPr="00E12079">
        <w:rPr>
          <w:sz w:val="22"/>
          <w:szCs w:val="22"/>
          <w:lang w:val="es-EC" w:eastAsia="ar-SA"/>
        </w:rPr>
        <w:t>l equipo de trabajo de la Secretaría de Territorio, Hábitat y Vivienda,  en coordinación con la Comisión de Uso de Suelo del Concejo Metropolitano de Quito, ha presentado en sesiones ordinarias, extraordinarias</w:t>
      </w:r>
      <w:r w:rsidR="00164140" w:rsidRPr="00E12079">
        <w:rPr>
          <w:sz w:val="22"/>
          <w:szCs w:val="22"/>
          <w:lang w:val="es-EC" w:eastAsia="ar-SA"/>
        </w:rPr>
        <w:t xml:space="preserve"> y</w:t>
      </w:r>
      <w:r w:rsidR="0098091C" w:rsidRPr="00E12079">
        <w:rPr>
          <w:sz w:val="22"/>
          <w:szCs w:val="22"/>
          <w:lang w:val="es-EC" w:eastAsia="ar-SA"/>
        </w:rPr>
        <w:t xml:space="preserve"> mesas de trabajo, </w:t>
      </w:r>
      <w:r w:rsidR="0098091C" w:rsidRPr="00E12079">
        <w:rPr>
          <w:sz w:val="22"/>
          <w:szCs w:val="22"/>
          <w:lang w:val="es-EC" w:eastAsia="ar-SA"/>
        </w:rPr>
        <w:lastRenderedPageBreak/>
        <w:t xml:space="preserve">los cambios propuestos </w:t>
      </w:r>
      <w:r w:rsidR="00DF5BDA" w:rsidRPr="00E12079">
        <w:rPr>
          <w:sz w:val="22"/>
          <w:szCs w:val="22"/>
          <w:lang w:val="es-EC" w:eastAsia="ar-SA"/>
        </w:rPr>
        <w:t>al</w:t>
      </w:r>
      <w:r w:rsidR="0098091C" w:rsidRPr="00E12079">
        <w:rPr>
          <w:sz w:val="22"/>
          <w:szCs w:val="22"/>
          <w:lang w:val="es-EC" w:eastAsia="ar-SA"/>
        </w:rPr>
        <w:t xml:space="preserve"> PUOS, lo que ha permitido conocer,  analizar y plantear l</w:t>
      </w:r>
      <w:r w:rsidR="00164140" w:rsidRPr="00E12079">
        <w:rPr>
          <w:sz w:val="22"/>
          <w:szCs w:val="22"/>
          <w:lang w:val="es-EC" w:eastAsia="ar-SA"/>
        </w:rPr>
        <w:t xml:space="preserve">as reformas </w:t>
      </w:r>
      <w:r w:rsidR="0098091C" w:rsidRPr="00E12079">
        <w:rPr>
          <w:sz w:val="22"/>
          <w:szCs w:val="22"/>
          <w:lang w:val="es-EC" w:eastAsia="ar-SA"/>
        </w:rPr>
        <w:t>correspondientes para resolución del Concejo Metropolitano.</w:t>
      </w:r>
    </w:p>
    <w:p w:rsidR="0098091C" w:rsidRPr="00E12079" w:rsidRDefault="0098091C" w:rsidP="0098091C">
      <w:pPr>
        <w:pStyle w:val="Textoindependiente"/>
        <w:spacing w:line="276" w:lineRule="auto"/>
        <w:ind w:firstLine="360"/>
        <w:jc w:val="both"/>
        <w:rPr>
          <w:sz w:val="22"/>
          <w:szCs w:val="22"/>
          <w:lang w:val="es-EC" w:eastAsia="ar-SA"/>
        </w:rPr>
      </w:pPr>
      <w:r w:rsidRPr="00E12079">
        <w:rPr>
          <w:sz w:val="22"/>
          <w:szCs w:val="22"/>
          <w:lang w:val="es-EC" w:eastAsia="ar-SA"/>
        </w:rPr>
        <w:t>El resultado del trabajo</w:t>
      </w:r>
      <w:r w:rsidR="00164140" w:rsidRPr="00E12079">
        <w:rPr>
          <w:sz w:val="22"/>
          <w:szCs w:val="22"/>
          <w:lang w:val="es-EC" w:eastAsia="ar-SA"/>
        </w:rPr>
        <w:t xml:space="preserve"> </w:t>
      </w:r>
      <w:r w:rsidRPr="00E12079">
        <w:rPr>
          <w:sz w:val="22"/>
          <w:szCs w:val="22"/>
          <w:lang w:val="es-EC" w:eastAsia="ar-SA"/>
        </w:rPr>
        <w:t xml:space="preserve">constituye </w:t>
      </w:r>
      <w:r w:rsidR="00164140" w:rsidRPr="00E12079">
        <w:rPr>
          <w:sz w:val="22"/>
          <w:szCs w:val="22"/>
          <w:lang w:val="es-EC" w:eastAsia="ar-SA"/>
        </w:rPr>
        <w:t>una versión actualizada del</w:t>
      </w:r>
      <w:r w:rsidRPr="00E12079">
        <w:rPr>
          <w:sz w:val="22"/>
          <w:szCs w:val="22"/>
          <w:lang w:val="es-EC" w:eastAsia="ar-SA"/>
        </w:rPr>
        <w:t xml:space="preserve"> Plan de Uso y Ocupación del Suelo</w:t>
      </w:r>
      <w:r w:rsidR="00164140" w:rsidRPr="00E12079">
        <w:rPr>
          <w:sz w:val="22"/>
          <w:szCs w:val="22"/>
          <w:lang w:val="es-EC" w:eastAsia="ar-SA"/>
        </w:rPr>
        <w:t xml:space="preserve"> y de sus anexos, con incorporaciones necesarias para una adecuada regulación y administración del suel</w:t>
      </w:r>
      <w:r w:rsidR="00C82118" w:rsidRPr="00E12079">
        <w:rPr>
          <w:sz w:val="22"/>
          <w:szCs w:val="22"/>
          <w:lang w:val="es-EC" w:eastAsia="ar-SA"/>
        </w:rPr>
        <w:t>o.</w:t>
      </w:r>
    </w:p>
    <w:p w:rsidR="00C82118" w:rsidRPr="00E12079" w:rsidRDefault="00C82118" w:rsidP="0098091C">
      <w:pPr>
        <w:pStyle w:val="Textoindependiente"/>
        <w:spacing w:line="276" w:lineRule="auto"/>
        <w:ind w:firstLine="360"/>
        <w:jc w:val="both"/>
        <w:rPr>
          <w:sz w:val="22"/>
          <w:szCs w:val="22"/>
          <w:lang w:val="es-EC" w:eastAsia="ar-SA"/>
        </w:rPr>
      </w:pPr>
      <w:r w:rsidRPr="00E12079">
        <w:rPr>
          <w:sz w:val="22"/>
          <w:szCs w:val="22"/>
          <w:lang w:val="es-EC" w:eastAsia="ar-SA"/>
        </w:rPr>
        <w:t>La presente reforma se enfoca en replantear importantes y necesarios cambios en materia de uso y ocupación de suelo entre las cuales se puede mencionar:</w:t>
      </w:r>
    </w:p>
    <w:p w:rsidR="00C82118" w:rsidRPr="00E12079" w:rsidRDefault="00C82118" w:rsidP="0098091C">
      <w:pPr>
        <w:pStyle w:val="Textoindependiente"/>
        <w:spacing w:line="276" w:lineRule="auto"/>
        <w:ind w:firstLine="360"/>
        <w:jc w:val="both"/>
        <w:rPr>
          <w:sz w:val="22"/>
          <w:szCs w:val="22"/>
          <w:lang w:val="es-EC" w:eastAsia="ar-SA"/>
        </w:rPr>
      </w:pPr>
      <w:r w:rsidRPr="00E12079">
        <w:rPr>
          <w:sz w:val="22"/>
          <w:szCs w:val="22"/>
          <w:lang w:val="es-EC" w:eastAsia="ar-SA"/>
        </w:rPr>
        <w:t xml:space="preserve">- Ajustes  en </w:t>
      </w:r>
      <w:r w:rsidR="00233A5E" w:rsidRPr="00E12079">
        <w:rPr>
          <w:sz w:val="22"/>
          <w:szCs w:val="22"/>
          <w:lang w:val="es-EC" w:eastAsia="ar-SA"/>
        </w:rPr>
        <w:t>admisibilidad de actividades económicas y</w:t>
      </w:r>
      <w:r w:rsidRPr="00E12079">
        <w:rPr>
          <w:sz w:val="22"/>
          <w:szCs w:val="22"/>
          <w:lang w:val="es-EC" w:eastAsia="ar-SA"/>
        </w:rPr>
        <w:t xml:space="preserve"> compatibilidades de suelo </w:t>
      </w:r>
      <w:r w:rsidR="00233A5E" w:rsidRPr="00E12079">
        <w:rPr>
          <w:sz w:val="22"/>
          <w:szCs w:val="22"/>
          <w:lang w:val="es-EC" w:eastAsia="ar-SA"/>
        </w:rPr>
        <w:t>con</w:t>
      </w:r>
      <w:r w:rsidRPr="00E12079">
        <w:rPr>
          <w:sz w:val="22"/>
          <w:szCs w:val="22"/>
          <w:lang w:val="es-EC" w:eastAsia="ar-SA"/>
        </w:rPr>
        <w:t xml:space="preserve"> sus correspondientes implicaciones en materia de licenciamiento económico</w:t>
      </w:r>
      <w:r w:rsidR="00DF5BDA" w:rsidRPr="00E12079">
        <w:rPr>
          <w:sz w:val="22"/>
          <w:szCs w:val="22"/>
          <w:lang w:val="es-EC" w:eastAsia="ar-SA"/>
        </w:rPr>
        <w:t>;</w:t>
      </w:r>
    </w:p>
    <w:p w:rsidR="00C82118" w:rsidRPr="00E12079" w:rsidRDefault="00233A5E" w:rsidP="0098091C">
      <w:pPr>
        <w:pStyle w:val="Textoindependiente"/>
        <w:spacing w:line="276" w:lineRule="auto"/>
        <w:ind w:firstLine="360"/>
        <w:jc w:val="both"/>
        <w:rPr>
          <w:sz w:val="22"/>
          <w:szCs w:val="22"/>
          <w:lang w:val="es-EC" w:eastAsia="ar-SA"/>
        </w:rPr>
      </w:pPr>
      <w:r w:rsidRPr="00E12079">
        <w:rPr>
          <w:sz w:val="22"/>
          <w:szCs w:val="22"/>
          <w:lang w:val="es-EC" w:eastAsia="ar-SA"/>
        </w:rPr>
        <w:t xml:space="preserve"> - Homologació</w:t>
      </w:r>
      <w:r w:rsidR="00C82118" w:rsidRPr="00E12079">
        <w:rPr>
          <w:sz w:val="22"/>
          <w:szCs w:val="22"/>
          <w:lang w:val="es-EC" w:eastAsia="ar-SA"/>
        </w:rPr>
        <w:t>n entre el CIIU</w:t>
      </w:r>
      <w:r w:rsidRPr="00E12079">
        <w:rPr>
          <w:sz w:val="22"/>
          <w:szCs w:val="22"/>
          <w:lang w:val="es-EC" w:eastAsia="ar-SA"/>
        </w:rPr>
        <w:t xml:space="preserve"> versión 4.0</w:t>
      </w:r>
      <w:r w:rsidR="00C82118" w:rsidRPr="00E12079">
        <w:rPr>
          <w:sz w:val="22"/>
          <w:szCs w:val="22"/>
          <w:lang w:val="es-EC" w:eastAsia="ar-SA"/>
        </w:rPr>
        <w:t xml:space="preserve"> y las actividades económicas permitidas en los diferentes usos de suelo</w:t>
      </w:r>
      <w:r w:rsidR="00DF5BDA" w:rsidRPr="00E12079">
        <w:rPr>
          <w:sz w:val="22"/>
          <w:szCs w:val="22"/>
          <w:lang w:val="es-EC" w:eastAsia="ar-SA"/>
        </w:rPr>
        <w:t>, y;</w:t>
      </w:r>
      <w:r w:rsidR="00C82118" w:rsidRPr="00E12079">
        <w:rPr>
          <w:sz w:val="22"/>
          <w:szCs w:val="22"/>
          <w:lang w:val="es-EC" w:eastAsia="ar-SA"/>
        </w:rPr>
        <w:t xml:space="preserve"> </w:t>
      </w:r>
    </w:p>
    <w:p w:rsidR="00233A5E" w:rsidRDefault="00C82118" w:rsidP="0098091C">
      <w:pPr>
        <w:pStyle w:val="Textoindependiente"/>
        <w:spacing w:line="276" w:lineRule="auto"/>
        <w:ind w:firstLine="360"/>
        <w:jc w:val="both"/>
        <w:rPr>
          <w:sz w:val="22"/>
          <w:szCs w:val="22"/>
          <w:lang w:val="es-EC" w:eastAsia="ar-SA"/>
        </w:rPr>
      </w:pPr>
      <w:r w:rsidRPr="00E12079">
        <w:rPr>
          <w:sz w:val="22"/>
          <w:szCs w:val="22"/>
          <w:lang w:val="es-EC" w:eastAsia="ar-SA"/>
        </w:rPr>
        <w:t xml:space="preserve">- </w:t>
      </w:r>
      <w:r w:rsidR="00233A5E" w:rsidRPr="00E12079">
        <w:rPr>
          <w:sz w:val="22"/>
          <w:szCs w:val="22"/>
          <w:lang w:val="es-EC" w:eastAsia="ar-SA"/>
        </w:rPr>
        <w:t>Un adecuado aprovechamiento del suelo en áreas urbanas que presentan aptitudes para receptar una mayor densidad poblacional</w:t>
      </w:r>
      <w:r w:rsidR="00DF5BDA" w:rsidRPr="00E12079">
        <w:rPr>
          <w:sz w:val="22"/>
          <w:szCs w:val="22"/>
          <w:lang w:val="es-EC" w:eastAsia="ar-SA"/>
        </w:rPr>
        <w:t>.</w:t>
      </w:r>
    </w:p>
    <w:p w:rsidR="007E64D1" w:rsidRDefault="00DE5660" w:rsidP="0098091C">
      <w:pPr>
        <w:pStyle w:val="Textoindependiente"/>
        <w:spacing w:line="276" w:lineRule="auto"/>
        <w:ind w:firstLine="360"/>
        <w:jc w:val="both"/>
        <w:rPr>
          <w:color w:val="FF0000"/>
          <w:sz w:val="22"/>
          <w:szCs w:val="22"/>
          <w:lang w:val="es-EC" w:eastAsia="ar-SA"/>
        </w:rPr>
      </w:pPr>
      <w:r>
        <w:rPr>
          <w:color w:val="FF0000"/>
          <w:sz w:val="22"/>
          <w:szCs w:val="22"/>
          <w:lang w:val="es-EC" w:eastAsia="ar-SA"/>
        </w:rPr>
        <w:t>Lo</w:t>
      </w:r>
      <w:r w:rsidR="007E64D1" w:rsidRPr="007E64D1">
        <w:rPr>
          <w:color w:val="FF0000"/>
          <w:sz w:val="22"/>
          <w:szCs w:val="22"/>
          <w:lang w:val="es-EC" w:eastAsia="ar-SA"/>
        </w:rPr>
        <w:t xml:space="preserve">s principios determinados en el Plan Metropolitano de Desarrollo y Ordenamiento Territorial 2015 -2025 (PMDOT), la dotación de servicios básicos y de infraestructura vial son criterios o condiciones esenciales para densificar el tejido urbano, es decir, la densificación debe estar adecuadamente acoplada a las capacidades receptivas del territorio. De igual forma, según las políticas determinadas en el PMDOT, la densificación debe realizarse considerando criterios de densificación del territorio urbanizado con el fin de contener el crecimiento de la mancha urbana (Política 3 </w:t>
      </w:r>
      <w:r w:rsidR="00C7474B">
        <w:rPr>
          <w:color w:val="FF0000"/>
          <w:sz w:val="22"/>
          <w:szCs w:val="22"/>
          <w:lang w:val="es-EC" w:eastAsia="ar-SA"/>
        </w:rPr>
        <w:t>-</w:t>
      </w:r>
      <w:r w:rsidR="007E64D1" w:rsidRPr="007E64D1">
        <w:rPr>
          <w:color w:val="FF0000"/>
          <w:sz w:val="22"/>
          <w:szCs w:val="22"/>
          <w:lang w:val="es-EC" w:eastAsia="ar-SA"/>
        </w:rPr>
        <w:t xml:space="preserve"> escala metropolitana), seguridad (Política 4 </w:t>
      </w:r>
      <w:r w:rsidR="00C7474B">
        <w:rPr>
          <w:color w:val="FF0000"/>
          <w:sz w:val="22"/>
          <w:szCs w:val="22"/>
          <w:lang w:val="es-EC" w:eastAsia="ar-SA"/>
        </w:rPr>
        <w:t xml:space="preserve">- </w:t>
      </w:r>
      <w:r w:rsidR="007E64D1" w:rsidRPr="007E64D1">
        <w:rPr>
          <w:color w:val="FF0000"/>
          <w:sz w:val="22"/>
          <w:szCs w:val="22"/>
          <w:lang w:val="es-EC" w:eastAsia="ar-SA"/>
        </w:rPr>
        <w:t>escala zonal) y debe contribuir a aminorar el déficit de vivienda (Política 5 - escala local).</w:t>
      </w:r>
    </w:p>
    <w:p w:rsidR="007E64D1" w:rsidRPr="007E64D1" w:rsidRDefault="007E64D1" w:rsidP="007E64D1">
      <w:pPr>
        <w:pStyle w:val="Textoindependiente"/>
        <w:spacing w:line="276" w:lineRule="auto"/>
        <w:ind w:firstLine="360"/>
        <w:jc w:val="both"/>
        <w:rPr>
          <w:color w:val="FF0000"/>
          <w:sz w:val="22"/>
          <w:szCs w:val="22"/>
          <w:lang w:val="es-EC" w:eastAsia="ar-SA"/>
        </w:rPr>
      </w:pPr>
      <w:r w:rsidRPr="0093032B">
        <w:rPr>
          <w:color w:val="FF0000"/>
          <w:sz w:val="22"/>
          <w:szCs w:val="22"/>
          <w:lang w:val="es-EC" w:eastAsia="ar-SA"/>
        </w:rPr>
        <w:t xml:space="preserve">La Ordenanza Metropolitana No. 127 sancionada el 25 de julio de 2016, que contiene el Plan de Uso y Ocupación de Suelo (PUOS), </w:t>
      </w:r>
      <w:r w:rsidRPr="007E64D1">
        <w:rPr>
          <w:color w:val="FF0000"/>
          <w:sz w:val="22"/>
          <w:szCs w:val="22"/>
          <w:lang w:val="es-EC" w:eastAsia="ar-SA"/>
        </w:rPr>
        <w:t>se establecen regulaciones respecto al número de viviendas para las zonificaciones A36 (A602-50VU), A37 (A1002-35VU) y A38(A1002-35VB), las cuales establec</w:t>
      </w:r>
      <w:r w:rsidR="00337FDA">
        <w:rPr>
          <w:color w:val="FF0000"/>
          <w:sz w:val="22"/>
          <w:szCs w:val="22"/>
          <w:lang w:val="es-EC" w:eastAsia="ar-SA"/>
        </w:rPr>
        <w:t>en</w:t>
      </w:r>
      <w:r w:rsidRPr="007E64D1">
        <w:rPr>
          <w:color w:val="FF0000"/>
          <w:sz w:val="22"/>
          <w:szCs w:val="22"/>
          <w:lang w:val="es-EC" w:eastAsia="ar-SA"/>
        </w:rPr>
        <w:t xml:space="preserve"> lo siguiente: </w:t>
      </w:r>
    </w:p>
    <w:p w:rsidR="007E64D1" w:rsidRPr="007E64D1" w:rsidRDefault="007E64D1" w:rsidP="007E64D1">
      <w:pPr>
        <w:pStyle w:val="Textoindependiente"/>
        <w:spacing w:line="276" w:lineRule="auto"/>
        <w:ind w:firstLine="360"/>
        <w:jc w:val="both"/>
        <w:rPr>
          <w:color w:val="FF0000"/>
          <w:sz w:val="22"/>
          <w:szCs w:val="22"/>
          <w:lang w:val="es-EC" w:eastAsia="ar-SA"/>
        </w:rPr>
      </w:pPr>
      <w:r w:rsidRPr="007E64D1">
        <w:rPr>
          <w:color w:val="FF0000"/>
          <w:sz w:val="22"/>
          <w:szCs w:val="22"/>
          <w:lang w:val="es-EC" w:eastAsia="ar-SA"/>
        </w:rPr>
        <w:t>•</w:t>
      </w:r>
      <w:r w:rsidRPr="007E64D1">
        <w:rPr>
          <w:color w:val="FF0000"/>
          <w:sz w:val="22"/>
          <w:szCs w:val="22"/>
          <w:lang w:val="es-EC" w:eastAsia="ar-SA"/>
        </w:rPr>
        <w:tab/>
        <w:t>“(VU) Vivienda Unifamiliar (Se podrá edificar una (1) vivienda por cada lote)”.</w:t>
      </w:r>
    </w:p>
    <w:p w:rsidR="007E64D1" w:rsidRPr="007E64D1" w:rsidRDefault="007E64D1" w:rsidP="007E64D1">
      <w:pPr>
        <w:pStyle w:val="Textoindependiente"/>
        <w:spacing w:line="276" w:lineRule="auto"/>
        <w:ind w:firstLine="360"/>
        <w:jc w:val="both"/>
        <w:rPr>
          <w:color w:val="FF0000"/>
          <w:sz w:val="22"/>
          <w:szCs w:val="22"/>
          <w:lang w:val="es-EC" w:eastAsia="ar-SA"/>
        </w:rPr>
      </w:pPr>
      <w:r w:rsidRPr="007E64D1">
        <w:rPr>
          <w:color w:val="FF0000"/>
          <w:sz w:val="22"/>
          <w:szCs w:val="22"/>
          <w:lang w:val="es-EC" w:eastAsia="ar-SA"/>
        </w:rPr>
        <w:t>•</w:t>
      </w:r>
      <w:r w:rsidRPr="007E64D1">
        <w:rPr>
          <w:color w:val="FF0000"/>
          <w:sz w:val="22"/>
          <w:szCs w:val="22"/>
          <w:lang w:val="es-EC" w:eastAsia="ar-SA"/>
        </w:rPr>
        <w:tab/>
        <w:t>“(VB) Vivienda Bifamiliar (Se podrá edificar dos (2) viviendas por cada lote)”.</w:t>
      </w:r>
    </w:p>
    <w:p w:rsidR="007E64D1" w:rsidRDefault="004D5C45" w:rsidP="007E64D1">
      <w:pPr>
        <w:pStyle w:val="Textoindependiente"/>
        <w:spacing w:line="276" w:lineRule="auto"/>
        <w:ind w:firstLine="360"/>
        <w:jc w:val="both"/>
        <w:rPr>
          <w:color w:val="FF0000"/>
          <w:sz w:val="22"/>
          <w:szCs w:val="22"/>
          <w:lang w:val="es-EC" w:eastAsia="ar-SA"/>
        </w:rPr>
      </w:pPr>
      <w:r>
        <w:rPr>
          <w:color w:val="FF0000"/>
          <w:sz w:val="22"/>
          <w:szCs w:val="22"/>
          <w:lang w:val="es-EC" w:eastAsia="ar-SA"/>
        </w:rPr>
        <w:t>E</w:t>
      </w:r>
      <w:r w:rsidR="007E64D1" w:rsidRPr="007E64D1">
        <w:rPr>
          <w:color w:val="FF0000"/>
          <w:sz w:val="22"/>
          <w:szCs w:val="22"/>
          <w:lang w:val="es-EC" w:eastAsia="ar-SA"/>
        </w:rPr>
        <w:t>l Plan de Uso y Ocupación del Suelo</w:t>
      </w:r>
      <w:r w:rsidR="00245799">
        <w:rPr>
          <w:color w:val="FF0000"/>
          <w:sz w:val="22"/>
          <w:szCs w:val="22"/>
          <w:lang w:val="es-EC" w:eastAsia="ar-SA"/>
        </w:rPr>
        <w:t xml:space="preserve"> (PUOS)</w:t>
      </w:r>
      <w:r w:rsidR="007E64D1" w:rsidRPr="007E64D1">
        <w:rPr>
          <w:color w:val="FF0000"/>
          <w:sz w:val="22"/>
          <w:szCs w:val="22"/>
          <w:lang w:val="es-EC" w:eastAsia="ar-SA"/>
        </w:rPr>
        <w:t xml:space="preserve"> </w:t>
      </w:r>
      <w:r>
        <w:rPr>
          <w:color w:val="FF0000"/>
          <w:sz w:val="22"/>
          <w:szCs w:val="22"/>
          <w:lang w:val="es-EC" w:eastAsia="ar-SA"/>
        </w:rPr>
        <w:t>establece</w:t>
      </w:r>
      <w:r w:rsidR="007E64D1" w:rsidRPr="007E64D1">
        <w:rPr>
          <w:color w:val="FF0000"/>
          <w:sz w:val="22"/>
          <w:szCs w:val="22"/>
          <w:lang w:val="es-EC" w:eastAsia="ar-SA"/>
        </w:rPr>
        <w:t xml:space="preserve"> la condición de edificar una o dos viviendas (VU o VB), según los casos, por cada lote mínimo, restringiendo la edificación  por lote, sin </w:t>
      </w:r>
      <w:r w:rsidR="0093032B">
        <w:rPr>
          <w:color w:val="FF0000"/>
          <w:sz w:val="22"/>
          <w:szCs w:val="22"/>
          <w:lang w:val="es-EC" w:eastAsia="ar-SA"/>
        </w:rPr>
        <w:t xml:space="preserve">considerar </w:t>
      </w:r>
      <w:r w:rsidR="007E64D1" w:rsidRPr="007E64D1">
        <w:rPr>
          <w:color w:val="FF0000"/>
          <w:sz w:val="22"/>
          <w:szCs w:val="22"/>
          <w:lang w:val="es-EC" w:eastAsia="ar-SA"/>
        </w:rPr>
        <w:t xml:space="preserve">que este contenga </w:t>
      </w:r>
      <w:r w:rsidR="0093032B">
        <w:rPr>
          <w:color w:val="FF0000"/>
          <w:sz w:val="22"/>
          <w:szCs w:val="22"/>
          <w:lang w:val="es-EC" w:eastAsia="ar-SA"/>
        </w:rPr>
        <w:t>un área</w:t>
      </w:r>
      <w:r w:rsidR="007E64D1" w:rsidRPr="007E64D1">
        <w:rPr>
          <w:color w:val="FF0000"/>
          <w:sz w:val="22"/>
          <w:szCs w:val="22"/>
          <w:lang w:val="es-EC" w:eastAsia="ar-SA"/>
        </w:rPr>
        <w:t xml:space="preserve"> equivalente a uno o más lotes mínimos.</w:t>
      </w:r>
    </w:p>
    <w:p w:rsidR="00B732F7" w:rsidRPr="0066148B" w:rsidRDefault="00B732F7" w:rsidP="00B732F7">
      <w:pPr>
        <w:pStyle w:val="Textoindependiente"/>
        <w:spacing w:line="276" w:lineRule="auto"/>
        <w:ind w:firstLine="360"/>
        <w:jc w:val="both"/>
        <w:rPr>
          <w:color w:val="0070C0"/>
          <w:sz w:val="22"/>
          <w:szCs w:val="22"/>
          <w:lang w:val="es-EC" w:eastAsia="ar-SA"/>
        </w:rPr>
      </w:pPr>
      <w:r w:rsidRPr="0066148B">
        <w:rPr>
          <w:color w:val="0070C0"/>
          <w:sz w:val="22"/>
          <w:szCs w:val="22"/>
          <w:lang w:val="es-EC" w:eastAsia="ar-SA"/>
        </w:rPr>
        <w:t>Las Ordenanzas Metropolitanas No. 172 sancionada con fecha 30 de diciembre de 2011 y la Ordenanza Metropolitana No. 127 sancionada con fecha 25 de julio de 2016, reconocen el derecho al que las actividades económicas preexistentes que presenten incompatibilidad de uso de suelo puedan seguir ejerciendo su actividad económica, siempre y cuando cumplan con normas administrativas y reglas técnicas.</w:t>
      </w:r>
    </w:p>
    <w:p w:rsidR="008706D4" w:rsidRPr="008706D4" w:rsidRDefault="008706D4" w:rsidP="008706D4">
      <w:pPr>
        <w:pStyle w:val="Textoindependiente"/>
        <w:spacing w:line="276" w:lineRule="auto"/>
        <w:ind w:firstLine="360"/>
        <w:jc w:val="both"/>
        <w:rPr>
          <w:color w:val="0070C0"/>
          <w:sz w:val="22"/>
          <w:szCs w:val="22"/>
          <w:lang w:val="es-EC" w:eastAsia="ar-SA"/>
        </w:rPr>
      </w:pPr>
      <w:r w:rsidRPr="008706D4">
        <w:rPr>
          <w:color w:val="0070C0"/>
          <w:sz w:val="22"/>
          <w:szCs w:val="22"/>
          <w:lang w:val="es-EC" w:eastAsia="ar-SA"/>
        </w:rPr>
        <w:t>De acuerdo con el trabajo realizado por la Secretaría de Inclusión Social, conjuntamente con la Secretaría responsable del territorio, hábitat y vivienda  la Agencia Metropolitana de Control, se ha llegado a establecer la existencia de establecimientos que en el Distrito Metropolitano de Quito ejercen las actividades económicas de tipología CM1A (Casas de cita, lenocinios, prostíbulos,  night clubs, cabarets, espectáculos en vivo para adultos (striptease), que presentan incompatibilidad de uso de suelo.  De estos establecimientos incompatibles se ha podido determinar que un porcentaje importante posee documentos que validan preexistencia, quienes podrían acogerse al mismo derecho que han tenido otras tipologías de actividades económicas desde el año 2012.</w:t>
      </w:r>
    </w:p>
    <w:p w:rsidR="00C82118" w:rsidRPr="00BF7D67" w:rsidRDefault="004D0382" w:rsidP="008706D4">
      <w:pPr>
        <w:pStyle w:val="Textoindependiente"/>
        <w:spacing w:line="276" w:lineRule="auto"/>
        <w:ind w:firstLine="360"/>
        <w:jc w:val="both"/>
        <w:rPr>
          <w:i/>
          <w:color w:val="FF0000"/>
          <w:sz w:val="22"/>
          <w:szCs w:val="22"/>
          <w:lang w:val="es-EC" w:eastAsia="ar-SA"/>
        </w:rPr>
      </w:pPr>
      <w:r w:rsidRPr="00456D9E">
        <w:rPr>
          <w:color w:val="FF0000"/>
          <w:sz w:val="22"/>
          <w:szCs w:val="22"/>
          <w:lang w:val="es-EC" w:eastAsia="ar-SA"/>
        </w:rPr>
        <w:lastRenderedPageBreak/>
        <w:t xml:space="preserve">Mediante Oficio No. </w:t>
      </w:r>
      <w:r w:rsidR="0066148B" w:rsidRPr="00456D9E">
        <w:rPr>
          <w:color w:val="FF0000"/>
          <w:sz w:val="22"/>
          <w:szCs w:val="22"/>
          <w:lang w:val="es-EC" w:eastAsia="ar-SA"/>
        </w:rPr>
        <w:t>EPMAPS</w:t>
      </w:r>
      <w:r w:rsidRPr="00456D9E">
        <w:rPr>
          <w:color w:val="FF0000"/>
          <w:sz w:val="22"/>
          <w:szCs w:val="22"/>
          <w:lang w:val="es-EC" w:eastAsia="ar-SA"/>
        </w:rPr>
        <w:t>-GOP-2017-259 de fecha 8 de noviembre de 2017,</w:t>
      </w:r>
      <w:r w:rsidR="00BF7D67">
        <w:rPr>
          <w:color w:val="FF0000"/>
          <w:sz w:val="22"/>
          <w:szCs w:val="22"/>
          <w:lang w:val="es-EC" w:eastAsia="ar-SA"/>
        </w:rPr>
        <w:t xml:space="preserve"> suscrito por el Dr. Carlos Espinosa, Gerente de Operaciones,</w:t>
      </w:r>
      <w:r w:rsidRPr="00456D9E">
        <w:rPr>
          <w:color w:val="FF0000"/>
          <w:sz w:val="22"/>
          <w:szCs w:val="22"/>
          <w:lang w:val="es-EC" w:eastAsia="ar-SA"/>
        </w:rPr>
        <w:t xml:space="preserve"> con relación al área de instalación del Sistema Scrubber señala</w:t>
      </w:r>
      <w:r w:rsidR="00C27F58">
        <w:rPr>
          <w:color w:val="FF0000"/>
          <w:sz w:val="22"/>
          <w:szCs w:val="22"/>
          <w:lang w:val="es-EC" w:eastAsia="ar-SA"/>
        </w:rPr>
        <w:t xml:space="preserve"> que</w:t>
      </w:r>
      <w:r w:rsidR="00BF7D67">
        <w:rPr>
          <w:color w:val="FF0000"/>
          <w:sz w:val="22"/>
          <w:szCs w:val="22"/>
          <w:lang w:val="es-EC" w:eastAsia="ar-SA"/>
        </w:rPr>
        <w:t>:</w:t>
      </w:r>
      <w:r w:rsidR="00C27F58">
        <w:rPr>
          <w:color w:val="FF0000"/>
          <w:sz w:val="22"/>
          <w:szCs w:val="22"/>
          <w:lang w:val="es-EC" w:eastAsia="ar-SA"/>
        </w:rPr>
        <w:t xml:space="preserve"> </w:t>
      </w:r>
      <w:r w:rsidR="00BF7D67">
        <w:rPr>
          <w:color w:val="FF0000"/>
          <w:sz w:val="22"/>
          <w:szCs w:val="22"/>
          <w:lang w:val="es-EC" w:eastAsia="ar-SA"/>
        </w:rPr>
        <w:t>“…</w:t>
      </w:r>
      <w:r w:rsidRPr="00BF7D67">
        <w:rPr>
          <w:i/>
          <w:color w:val="FF0000"/>
          <w:sz w:val="22"/>
          <w:szCs w:val="22"/>
          <w:lang w:val="es-EC" w:eastAsia="ar-SA"/>
        </w:rPr>
        <w:t>corresponde a la misma área de dosificación de cloro gas en la Planta de tratamiento El Troje (183 m</w:t>
      </w:r>
      <w:r w:rsidRPr="00BF7D67">
        <w:rPr>
          <w:i/>
          <w:color w:val="FF0000"/>
          <w:sz w:val="22"/>
          <w:szCs w:val="22"/>
          <w:vertAlign w:val="superscript"/>
          <w:lang w:val="es-EC" w:eastAsia="ar-SA"/>
        </w:rPr>
        <w:t>2</w:t>
      </w:r>
      <w:r w:rsidRPr="00BF7D67">
        <w:rPr>
          <w:i/>
          <w:color w:val="FF0000"/>
          <w:sz w:val="22"/>
          <w:szCs w:val="22"/>
          <w:lang w:val="es-EC" w:eastAsia="ar-SA"/>
        </w:rPr>
        <w:t>), por lo que se elimina el área de afectación en caso de una fuga, ya que el área de dosificación de cloro será totalmente confinada.</w:t>
      </w:r>
    </w:p>
    <w:p w:rsidR="004D0382" w:rsidRPr="00456D9E" w:rsidRDefault="004D0382" w:rsidP="0098091C">
      <w:pPr>
        <w:pStyle w:val="Textoindependiente"/>
        <w:spacing w:line="276" w:lineRule="auto"/>
        <w:ind w:firstLine="360"/>
        <w:jc w:val="both"/>
        <w:rPr>
          <w:color w:val="FF0000"/>
          <w:sz w:val="22"/>
          <w:szCs w:val="22"/>
          <w:lang w:val="es-EC" w:eastAsia="ar-SA"/>
        </w:rPr>
      </w:pPr>
      <w:r w:rsidRPr="00BF7D67">
        <w:rPr>
          <w:i/>
          <w:color w:val="FF0000"/>
          <w:sz w:val="22"/>
          <w:szCs w:val="22"/>
          <w:lang w:val="es-EC" w:eastAsia="ar-SA"/>
        </w:rPr>
        <w:t>El Sistema Scrub</w:t>
      </w:r>
      <w:r w:rsidR="00BF7D67" w:rsidRPr="00BF7D67">
        <w:rPr>
          <w:i/>
          <w:color w:val="FF0000"/>
          <w:sz w:val="22"/>
          <w:szCs w:val="22"/>
          <w:lang w:val="es-EC" w:eastAsia="ar-SA"/>
        </w:rPr>
        <w:t>b</w:t>
      </w:r>
      <w:r w:rsidRPr="00BF7D67">
        <w:rPr>
          <w:i/>
          <w:color w:val="FF0000"/>
          <w:sz w:val="22"/>
          <w:szCs w:val="22"/>
          <w:lang w:val="es-EC" w:eastAsia="ar-SA"/>
        </w:rPr>
        <w:t>er está diseñado para garantizar que se neutralice el 100% de la fuga provocada en dos contenedores de cloro de 1 tonelada, el sistema le tomara 35 minutos para neutralizar el 100% de la fuga de un volumen de 10.000 pies cúbicos.</w:t>
      </w:r>
    </w:p>
    <w:p w:rsidR="004D0382" w:rsidRPr="00BF7D67" w:rsidRDefault="004D0382" w:rsidP="0098091C">
      <w:pPr>
        <w:pStyle w:val="Textoindependiente"/>
        <w:spacing w:line="276" w:lineRule="auto"/>
        <w:ind w:firstLine="360"/>
        <w:jc w:val="both"/>
        <w:rPr>
          <w:i/>
          <w:color w:val="FF0000"/>
          <w:sz w:val="22"/>
          <w:szCs w:val="22"/>
          <w:lang w:val="es-EC" w:eastAsia="ar-SA"/>
        </w:rPr>
      </w:pPr>
      <w:r w:rsidRPr="00BF7D67">
        <w:rPr>
          <w:i/>
          <w:color w:val="FF0000"/>
          <w:sz w:val="22"/>
          <w:szCs w:val="22"/>
          <w:lang w:val="es-EC" w:eastAsia="ar-SA"/>
        </w:rPr>
        <w:t>Adicionalmente previa a la intervención del Sistema Scrubber está contemplado un sistema primario de control de fugas que está encargado de cerrar las válvulas en caso de una posible fuga.</w:t>
      </w:r>
    </w:p>
    <w:p w:rsidR="004D0382" w:rsidRDefault="004D0382" w:rsidP="0098091C">
      <w:pPr>
        <w:pStyle w:val="Textoindependiente"/>
        <w:spacing w:line="276" w:lineRule="auto"/>
        <w:ind w:firstLine="360"/>
        <w:jc w:val="both"/>
        <w:rPr>
          <w:color w:val="FF0000"/>
          <w:sz w:val="22"/>
          <w:szCs w:val="22"/>
          <w:lang w:val="es-EC" w:eastAsia="ar-SA"/>
        </w:rPr>
      </w:pPr>
      <w:r w:rsidRPr="00BF7D67">
        <w:rPr>
          <w:i/>
          <w:color w:val="FF0000"/>
          <w:sz w:val="22"/>
          <w:szCs w:val="22"/>
          <w:lang w:val="es-EC" w:eastAsia="ar-SA"/>
        </w:rPr>
        <w:t xml:space="preserve">En base a la propuesta detallada de la empresa ASTAP el tiempo contemplado para la implementación del Sistema Scrubber es de </w:t>
      </w:r>
      <w:r w:rsidRPr="008C1A0E">
        <w:rPr>
          <w:color w:val="FF0000"/>
          <w:sz w:val="22"/>
          <w:szCs w:val="22"/>
          <w:lang w:val="es-EC" w:eastAsia="ar-SA"/>
        </w:rPr>
        <w:t>180 días los mismos que se contabilizarán a partir de la adjudicación al contratista, tomando en cuenta que el proceso según el PAC se iniciará en marzo y la adjudicaci</w:t>
      </w:r>
      <w:r w:rsidR="00BF7D67" w:rsidRPr="008C1A0E">
        <w:rPr>
          <w:color w:val="FF0000"/>
          <w:sz w:val="22"/>
          <w:szCs w:val="22"/>
          <w:lang w:val="es-EC" w:eastAsia="ar-SA"/>
        </w:rPr>
        <w:t>ón en septiembre 2018”.</w:t>
      </w:r>
    </w:p>
    <w:p w:rsidR="00493B45" w:rsidRPr="008C1A0E" w:rsidRDefault="00493B45" w:rsidP="0098091C">
      <w:pPr>
        <w:pStyle w:val="Textoindependiente"/>
        <w:spacing w:line="276" w:lineRule="auto"/>
        <w:ind w:firstLine="360"/>
        <w:jc w:val="both"/>
        <w:rPr>
          <w:color w:val="FF0000"/>
          <w:sz w:val="22"/>
          <w:szCs w:val="22"/>
          <w:lang w:val="es-EC" w:eastAsia="ar-SA"/>
        </w:rPr>
      </w:pPr>
    </w:p>
    <w:p w:rsidR="00420AB5" w:rsidRPr="00E12079" w:rsidRDefault="00420AB5" w:rsidP="0098091C">
      <w:pPr>
        <w:pStyle w:val="Textoindependiente"/>
        <w:spacing w:line="276" w:lineRule="auto"/>
        <w:ind w:firstLine="360"/>
        <w:jc w:val="both"/>
        <w:rPr>
          <w:sz w:val="22"/>
          <w:szCs w:val="22"/>
          <w:lang w:val="es-EC"/>
        </w:rPr>
      </w:pPr>
    </w:p>
    <w:p w:rsidR="00E12079" w:rsidRPr="00E12079" w:rsidRDefault="00E12079">
      <w:pPr>
        <w:spacing w:after="200" w:line="276" w:lineRule="auto"/>
        <w:rPr>
          <w:rFonts w:ascii="Times New Roman" w:eastAsia="Arial Unicode MS" w:hAnsi="Times New Roman" w:cs="Times New Roman"/>
          <w:b/>
          <w:lang w:eastAsia="ar-SA"/>
        </w:rPr>
      </w:pPr>
      <w:r w:rsidRPr="00E12079">
        <w:rPr>
          <w:rFonts w:ascii="Times New Roman" w:hAnsi="Times New Roman" w:cs="Times New Roman"/>
          <w:b/>
          <w:lang w:eastAsia="ar-SA"/>
        </w:rPr>
        <w:br w:type="page"/>
      </w:r>
    </w:p>
    <w:p w:rsidR="00E56EBE" w:rsidRPr="00E12079" w:rsidRDefault="006E2F77" w:rsidP="00EA1685">
      <w:pPr>
        <w:pStyle w:val="Textoindependiente"/>
        <w:spacing w:line="276" w:lineRule="auto"/>
        <w:jc w:val="center"/>
        <w:rPr>
          <w:b/>
          <w:sz w:val="22"/>
          <w:szCs w:val="22"/>
          <w:lang w:val="es-EC" w:eastAsia="ar-SA"/>
        </w:rPr>
      </w:pPr>
      <w:r w:rsidRPr="00E12079">
        <w:rPr>
          <w:b/>
          <w:sz w:val="22"/>
          <w:szCs w:val="22"/>
          <w:lang w:val="es-EC" w:eastAsia="ar-SA"/>
        </w:rPr>
        <w:lastRenderedPageBreak/>
        <w:t>El CONCEJO METROPOLITANO DE QUITO</w:t>
      </w:r>
    </w:p>
    <w:p w:rsidR="00E56EBE" w:rsidRPr="00E12079" w:rsidRDefault="006E2F77" w:rsidP="00EA1685">
      <w:pPr>
        <w:pStyle w:val="Textoindependiente"/>
        <w:spacing w:line="276" w:lineRule="auto"/>
        <w:jc w:val="both"/>
        <w:rPr>
          <w:sz w:val="22"/>
          <w:szCs w:val="22"/>
          <w:lang w:val="es-EC" w:eastAsia="ar-SA"/>
        </w:rPr>
      </w:pPr>
      <w:r w:rsidRPr="00E12079">
        <w:rPr>
          <w:sz w:val="22"/>
          <w:szCs w:val="22"/>
          <w:lang w:val="es-EC" w:eastAsia="ar-SA"/>
        </w:rPr>
        <w:t>Visto</w:t>
      </w:r>
      <w:r w:rsidR="00EA1685" w:rsidRPr="00E12079">
        <w:rPr>
          <w:sz w:val="22"/>
          <w:szCs w:val="22"/>
          <w:lang w:val="es-EC" w:eastAsia="ar-SA"/>
        </w:rPr>
        <w:t>s</w:t>
      </w:r>
      <w:r w:rsidRPr="00E12079">
        <w:rPr>
          <w:sz w:val="22"/>
          <w:szCs w:val="22"/>
          <w:lang w:val="es-EC" w:eastAsia="ar-SA"/>
        </w:rPr>
        <w:t xml:space="preserve"> </w:t>
      </w:r>
      <w:r w:rsidR="00EA1685" w:rsidRPr="00E12079">
        <w:rPr>
          <w:sz w:val="22"/>
          <w:szCs w:val="22"/>
          <w:lang w:val="es-EC" w:eastAsia="ar-SA"/>
        </w:rPr>
        <w:t>los</w:t>
      </w:r>
      <w:r w:rsidRPr="00E12079">
        <w:rPr>
          <w:sz w:val="22"/>
          <w:szCs w:val="22"/>
          <w:lang w:val="es-EC" w:eastAsia="ar-SA"/>
        </w:rPr>
        <w:t xml:space="preserve"> inf</w:t>
      </w:r>
      <w:r w:rsidR="00213925" w:rsidRPr="00E12079">
        <w:rPr>
          <w:sz w:val="22"/>
          <w:szCs w:val="22"/>
          <w:lang w:val="es-EC" w:eastAsia="ar-SA"/>
        </w:rPr>
        <w:t>orme</w:t>
      </w:r>
      <w:r w:rsidR="00EA1685" w:rsidRPr="00E12079">
        <w:rPr>
          <w:sz w:val="22"/>
          <w:szCs w:val="22"/>
          <w:lang w:val="es-EC" w:eastAsia="ar-SA"/>
        </w:rPr>
        <w:t>s</w:t>
      </w:r>
      <w:r w:rsidR="00213925" w:rsidRPr="00E12079">
        <w:rPr>
          <w:sz w:val="22"/>
          <w:szCs w:val="22"/>
          <w:lang w:val="es-EC" w:eastAsia="ar-SA"/>
        </w:rPr>
        <w:t xml:space="preserve"> No</w:t>
      </w:r>
      <w:r w:rsidR="00EA1685" w:rsidRPr="00E12079">
        <w:rPr>
          <w:sz w:val="22"/>
          <w:szCs w:val="22"/>
          <w:lang w:val="es-EC" w:eastAsia="ar-SA"/>
        </w:rPr>
        <w:t>s</w:t>
      </w:r>
      <w:r w:rsidR="00213925" w:rsidRPr="00E12079">
        <w:rPr>
          <w:sz w:val="22"/>
          <w:szCs w:val="22"/>
          <w:lang w:val="es-EC" w:eastAsia="ar-SA"/>
        </w:rPr>
        <w:t xml:space="preserve">. </w:t>
      </w:r>
      <w:r w:rsidR="00E12079" w:rsidRPr="00E12079">
        <w:rPr>
          <w:sz w:val="22"/>
          <w:szCs w:val="22"/>
          <w:lang w:val="es-EC" w:eastAsia="ar-SA"/>
        </w:rPr>
        <w:t xml:space="preserve">___ </w:t>
      </w:r>
      <w:r w:rsidR="00EA1685" w:rsidRPr="00E12079">
        <w:rPr>
          <w:sz w:val="22"/>
          <w:szCs w:val="22"/>
          <w:lang w:val="es-EC" w:eastAsia="ar-SA"/>
        </w:rPr>
        <w:t>, respectivamente,</w:t>
      </w:r>
      <w:r w:rsidRPr="00E12079">
        <w:rPr>
          <w:sz w:val="22"/>
          <w:szCs w:val="22"/>
          <w:lang w:val="es-EC" w:eastAsia="ar-SA"/>
        </w:rPr>
        <w:t xml:space="preserve"> emitido</w:t>
      </w:r>
      <w:r w:rsidR="00EA1685" w:rsidRPr="00E12079">
        <w:rPr>
          <w:sz w:val="22"/>
          <w:szCs w:val="22"/>
          <w:lang w:val="es-EC" w:eastAsia="ar-SA"/>
        </w:rPr>
        <w:t>s</w:t>
      </w:r>
      <w:r w:rsidRPr="00E12079">
        <w:rPr>
          <w:sz w:val="22"/>
          <w:szCs w:val="22"/>
          <w:lang w:val="es-EC" w:eastAsia="ar-SA"/>
        </w:rPr>
        <w:t xml:space="preserve"> por la Comisión de Uso de Suelo</w:t>
      </w:r>
      <w:r w:rsidR="00EA1685" w:rsidRPr="00E12079">
        <w:rPr>
          <w:sz w:val="22"/>
          <w:szCs w:val="22"/>
          <w:lang w:val="es-EC" w:eastAsia="ar-SA"/>
        </w:rPr>
        <w:t>.</w:t>
      </w:r>
    </w:p>
    <w:p w:rsidR="008D7F22" w:rsidRPr="00E12079" w:rsidRDefault="008D7F22" w:rsidP="008D7F22">
      <w:pPr>
        <w:pStyle w:val="Textoindependiente"/>
        <w:spacing w:line="276" w:lineRule="auto"/>
        <w:jc w:val="center"/>
        <w:rPr>
          <w:b/>
          <w:sz w:val="22"/>
          <w:szCs w:val="22"/>
          <w:lang w:val="es-EC" w:eastAsia="ar-SA"/>
        </w:rPr>
      </w:pPr>
      <w:r w:rsidRPr="00E12079">
        <w:rPr>
          <w:b/>
          <w:sz w:val="22"/>
          <w:szCs w:val="22"/>
          <w:lang w:val="es-EC" w:eastAsia="ar-SA"/>
        </w:rPr>
        <w:t>CONSIDERANDO:</w:t>
      </w:r>
    </w:p>
    <w:p w:rsidR="008D7F22" w:rsidRPr="00E12079" w:rsidRDefault="008D7F22" w:rsidP="008D7F22">
      <w:pPr>
        <w:pStyle w:val="Textoindependiente"/>
        <w:spacing w:line="276" w:lineRule="auto"/>
        <w:ind w:left="567" w:hanging="567"/>
        <w:jc w:val="both"/>
        <w:rPr>
          <w:sz w:val="22"/>
          <w:szCs w:val="22"/>
          <w:lang w:val="es-EC" w:eastAsia="ar-SA"/>
        </w:rPr>
      </w:pPr>
      <w:r w:rsidRPr="00E12079">
        <w:rPr>
          <w:b/>
          <w:sz w:val="22"/>
          <w:szCs w:val="22"/>
          <w:lang w:val="es-EC" w:eastAsia="ar-SA"/>
        </w:rPr>
        <w:t>Que,</w:t>
      </w:r>
      <w:r w:rsidRPr="00E12079">
        <w:rPr>
          <w:sz w:val="22"/>
          <w:szCs w:val="22"/>
          <w:lang w:val="es-EC" w:eastAsia="ar-SA"/>
        </w:rPr>
        <w:t xml:space="preserve"> el artículo 241 de la Constitución de la República señala que </w:t>
      </w:r>
      <w:r w:rsidRPr="00E12079">
        <w:rPr>
          <w:i/>
          <w:sz w:val="22"/>
          <w:szCs w:val="22"/>
          <w:lang w:val="es-EC" w:eastAsia="ar-SA"/>
        </w:rPr>
        <w:t>“La planificación garantizará el ordenamiento territorial y será obligatoria en todos los gobiernos autónomos descentralizados”</w:t>
      </w:r>
      <w:r w:rsidRPr="00E12079">
        <w:rPr>
          <w:sz w:val="22"/>
          <w:szCs w:val="22"/>
          <w:lang w:val="es-EC" w:eastAsia="ar-SA"/>
        </w:rPr>
        <w:t>;</w:t>
      </w:r>
    </w:p>
    <w:p w:rsidR="008D7F22" w:rsidRPr="00E12079" w:rsidRDefault="008D7F22" w:rsidP="008D7F22">
      <w:pPr>
        <w:pStyle w:val="Textoindependiente"/>
        <w:spacing w:line="276" w:lineRule="auto"/>
        <w:ind w:left="567" w:hanging="567"/>
        <w:jc w:val="both"/>
        <w:rPr>
          <w:sz w:val="22"/>
          <w:szCs w:val="22"/>
          <w:lang w:val="es-EC" w:eastAsia="ar-SA"/>
        </w:rPr>
      </w:pPr>
      <w:r w:rsidRPr="00E12079">
        <w:rPr>
          <w:b/>
          <w:sz w:val="22"/>
          <w:szCs w:val="22"/>
          <w:lang w:val="es-EC" w:eastAsia="ar-SA"/>
        </w:rPr>
        <w:t>Que,</w:t>
      </w:r>
      <w:r w:rsidRPr="00E12079">
        <w:rPr>
          <w:sz w:val="22"/>
          <w:szCs w:val="22"/>
          <w:lang w:val="es-EC" w:eastAsia="ar-SA"/>
        </w:rPr>
        <w:t xml:space="preserve"> de conformidad con el numeral 1 y 2 del artículo 264 de la Constitución de la República, los gobiernos  municipales tendrán la competencia exclusiva para planificar el desarrollo cantonal y formular los correspondientes planes de ordenamiento territorial, con el fin de regular el uso y la ocupación del suelo urbano y rural;</w:t>
      </w:r>
    </w:p>
    <w:p w:rsidR="00EC074D" w:rsidRPr="00E12079" w:rsidRDefault="00EC074D" w:rsidP="00EC074D">
      <w:pPr>
        <w:pStyle w:val="Textoindependiente"/>
        <w:spacing w:line="276" w:lineRule="auto"/>
        <w:ind w:left="567" w:hanging="567"/>
        <w:jc w:val="both"/>
        <w:rPr>
          <w:i/>
          <w:sz w:val="22"/>
          <w:szCs w:val="22"/>
          <w:lang w:val="es-EC" w:eastAsia="ar-SA"/>
        </w:rPr>
      </w:pPr>
      <w:r w:rsidRPr="00E12079">
        <w:rPr>
          <w:b/>
          <w:sz w:val="22"/>
          <w:szCs w:val="22"/>
          <w:lang w:val="es-EC" w:eastAsia="ar-SA"/>
        </w:rPr>
        <w:t>Que,</w:t>
      </w:r>
      <w:r w:rsidRPr="00E12079">
        <w:rPr>
          <w:sz w:val="22"/>
          <w:szCs w:val="22"/>
          <w:lang w:val="es-EC" w:eastAsia="ar-SA"/>
        </w:rPr>
        <w:t xml:space="preserve"> el artículo 424 de la Constitución de la República señala que </w:t>
      </w:r>
      <w:r w:rsidRPr="00E12079">
        <w:rPr>
          <w:i/>
          <w:sz w:val="22"/>
          <w:szCs w:val="22"/>
          <w:lang w:val="es-EC" w:eastAsia="ar-SA"/>
        </w:rPr>
        <w:t>“La Constitución es la norma suprema y prevalece sobre cualquier otra del ordenamiento jurídico. Las normas y los actos del poder público deberán mantener conformidad con las disposiciones constitucionales; en caso contrario carecerán de eficacia jurídica.”;</w:t>
      </w:r>
    </w:p>
    <w:p w:rsidR="008D7F22" w:rsidRPr="00E12079" w:rsidRDefault="008D7F22" w:rsidP="008D7F22">
      <w:pPr>
        <w:pStyle w:val="Textoindependiente"/>
        <w:spacing w:line="276" w:lineRule="auto"/>
        <w:ind w:left="567" w:hanging="567"/>
        <w:jc w:val="both"/>
        <w:rPr>
          <w:sz w:val="22"/>
          <w:szCs w:val="22"/>
          <w:lang w:val="es-EC" w:eastAsia="ar-SA"/>
        </w:rPr>
      </w:pPr>
      <w:r w:rsidRPr="00E12079">
        <w:rPr>
          <w:b/>
          <w:sz w:val="22"/>
          <w:szCs w:val="22"/>
          <w:lang w:val="es-EC" w:eastAsia="ar-SA"/>
        </w:rPr>
        <w:t>Que,</w:t>
      </w:r>
      <w:r w:rsidRPr="00E12079">
        <w:rPr>
          <w:sz w:val="22"/>
          <w:szCs w:val="22"/>
          <w:lang w:val="es-EC" w:eastAsia="ar-SA"/>
        </w:rPr>
        <w:t xml:space="preserve"> el literal e) de los artículos 54 y 84 del Código Orgánico de Organización Territorial, Autonomía y Descentralización determina como una de las funciones de los gobiernos autónomos descentralizados municipales y metropolitanos, la elaboración y ejecución del plan cantonal de desarrollo,  el de ordenamiento territorial y las  políticas  públicas en el ámbito de sus competencias dentro de su circunscripción territorial, de manera coordinada con la planificación nacional, regional, provincial y parroquial;</w:t>
      </w:r>
    </w:p>
    <w:p w:rsidR="008D7F22" w:rsidRPr="00E12079" w:rsidRDefault="008D7F22" w:rsidP="008D7F22">
      <w:pPr>
        <w:pStyle w:val="Textoindependiente"/>
        <w:spacing w:line="276" w:lineRule="auto"/>
        <w:ind w:left="567" w:hanging="567"/>
        <w:jc w:val="both"/>
        <w:rPr>
          <w:sz w:val="22"/>
          <w:szCs w:val="22"/>
          <w:lang w:val="es-EC" w:eastAsia="ar-SA"/>
        </w:rPr>
      </w:pPr>
      <w:r w:rsidRPr="00E12079">
        <w:rPr>
          <w:b/>
          <w:sz w:val="22"/>
          <w:szCs w:val="22"/>
          <w:lang w:val="es-EC" w:eastAsia="ar-SA"/>
        </w:rPr>
        <w:t>Que,</w:t>
      </w:r>
      <w:r w:rsidRPr="00E12079">
        <w:rPr>
          <w:sz w:val="22"/>
          <w:szCs w:val="22"/>
          <w:lang w:val="es-EC" w:eastAsia="ar-SA"/>
        </w:rPr>
        <w:tab/>
        <w:t>de conformidad al literal c) del artículo 84 del Código Orgánico de Organización Territorial, Autonomía y Descentralización, entre las funciones del gobierno del distrito autónomo metropolitano, es la de establecer el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8D7F22" w:rsidRPr="00E12079" w:rsidRDefault="008D7F22" w:rsidP="008D7F22">
      <w:pPr>
        <w:pStyle w:val="Textoindependiente"/>
        <w:spacing w:line="276" w:lineRule="auto"/>
        <w:ind w:left="567" w:hanging="567"/>
        <w:jc w:val="both"/>
        <w:rPr>
          <w:sz w:val="22"/>
          <w:szCs w:val="22"/>
          <w:lang w:val="es-EC" w:eastAsia="ar-SA"/>
        </w:rPr>
      </w:pPr>
      <w:r w:rsidRPr="00E12079">
        <w:rPr>
          <w:b/>
          <w:sz w:val="22"/>
          <w:szCs w:val="22"/>
          <w:lang w:val="es-EC" w:eastAsia="ar-SA"/>
        </w:rPr>
        <w:t>Que,</w:t>
      </w:r>
      <w:r w:rsidRPr="00E12079">
        <w:rPr>
          <w:sz w:val="22"/>
          <w:szCs w:val="22"/>
          <w:lang w:val="es-EC" w:eastAsia="ar-SA"/>
        </w:rPr>
        <w:t xml:space="preserve"> </w:t>
      </w:r>
      <w:r w:rsidRPr="00E12079">
        <w:rPr>
          <w:sz w:val="22"/>
          <w:szCs w:val="22"/>
          <w:lang w:val="es-EC" w:eastAsia="ar-SA"/>
        </w:rPr>
        <w:tab/>
        <w:t>de conformidad al literal a) del artículo 87 del Código Orgánico de Organización Territorial, Autonomía y Descentralización, entre las atribuciones del Concejo Metropolitano, le corresponde ejercer la facultad normativa en las materias de  competencia del gobierno autónomo descentralizado metropolitano, mediante la expedición de ordenanzas metropolitanas, acuerdos y resoluciones;</w:t>
      </w:r>
    </w:p>
    <w:p w:rsidR="008D7F22" w:rsidRPr="00E12079" w:rsidRDefault="008D7F22" w:rsidP="008D7F22">
      <w:pPr>
        <w:pStyle w:val="Textoindependiente"/>
        <w:spacing w:line="276" w:lineRule="auto"/>
        <w:ind w:left="567" w:hanging="567"/>
        <w:jc w:val="both"/>
        <w:rPr>
          <w:sz w:val="22"/>
          <w:szCs w:val="22"/>
          <w:lang w:val="es-EC" w:eastAsia="ar-SA"/>
        </w:rPr>
      </w:pPr>
      <w:r w:rsidRPr="00E12079">
        <w:rPr>
          <w:b/>
          <w:sz w:val="22"/>
          <w:szCs w:val="22"/>
          <w:lang w:val="es-EC" w:eastAsia="ar-SA"/>
        </w:rPr>
        <w:t>Que</w:t>
      </w:r>
      <w:r w:rsidRPr="00E12079">
        <w:rPr>
          <w:sz w:val="22"/>
          <w:szCs w:val="22"/>
          <w:lang w:val="es-EC" w:eastAsia="ar-SA"/>
        </w:rPr>
        <w:t xml:space="preserve">, </w:t>
      </w:r>
      <w:r w:rsidRPr="00E12079">
        <w:rPr>
          <w:sz w:val="22"/>
          <w:szCs w:val="22"/>
          <w:lang w:val="es-EC" w:eastAsia="ar-SA"/>
        </w:rPr>
        <w:tab/>
        <w:t>el artículo 2 de la Ley Orgánica de Régimen para el Distrito Metropolitano de Quito establece como finalidad del Municipio “</w:t>
      </w:r>
      <w:r w:rsidRPr="00E12079">
        <w:rPr>
          <w:i/>
          <w:sz w:val="22"/>
          <w:szCs w:val="22"/>
          <w:lang w:val="es-EC" w:eastAsia="ar-SA"/>
        </w:rPr>
        <w:t>1. Regular el Uso y la adecuada ocupación del suelo y ejercer control sobre el mismo con competencia exclusiva y privativa (…)”</w:t>
      </w:r>
      <w:r w:rsidRPr="00E12079">
        <w:rPr>
          <w:sz w:val="22"/>
          <w:szCs w:val="22"/>
          <w:lang w:val="es-EC" w:eastAsia="ar-SA"/>
        </w:rPr>
        <w:t>;</w:t>
      </w:r>
    </w:p>
    <w:p w:rsidR="008D7F22" w:rsidRPr="00E12079" w:rsidRDefault="008D7F22" w:rsidP="008D7F22">
      <w:pPr>
        <w:pStyle w:val="Textoindependiente"/>
        <w:spacing w:line="276" w:lineRule="auto"/>
        <w:ind w:left="567" w:hanging="567"/>
        <w:jc w:val="both"/>
        <w:rPr>
          <w:sz w:val="22"/>
          <w:szCs w:val="22"/>
          <w:lang w:val="es-EC" w:eastAsia="ar-SA"/>
        </w:rPr>
      </w:pPr>
      <w:r w:rsidRPr="00E12079">
        <w:rPr>
          <w:b/>
          <w:sz w:val="22"/>
          <w:szCs w:val="22"/>
          <w:lang w:val="es-EC" w:eastAsia="ar-SA"/>
        </w:rPr>
        <w:t>Que,</w:t>
      </w:r>
      <w:r w:rsidRPr="00E12079">
        <w:rPr>
          <w:sz w:val="22"/>
          <w:szCs w:val="22"/>
          <w:lang w:val="es-EC" w:eastAsia="ar-SA"/>
        </w:rPr>
        <w:t xml:space="preserve"> </w:t>
      </w:r>
      <w:r w:rsidRPr="00E12079">
        <w:rPr>
          <w:sz w:val="22"/>
          <w:szCs w:val="22"/>
          <w:lang w:val="es-EC" w:eastAsia="ar-SA"/>
        </w:rPr>
        <w:tab/>
        <w:t>el artículo 26 de la mencionada Ley establece que la decisión sobre el destino del suelo y su forma de aprovechamiento dentro del territorio distrital, compete, exclusivamente, a las autoridades del Distrito Metropolitano;</w:t>
      </w:r>
    </w:p>
    <w:p w:rsidR="008D7F22" w:rsidRPr="00E12079" w:rsidRDefault="008D7F22" w:rsidP="008D7F22">
      <w:pPr>
        <w:pStyle w:val="Textoindependiente"/>
        <w:spacing w:line="276" w:lineRule="auto"/>
        <w:ind w:left="567" w:hanging="567"/>
        <w:jc w:val="both"/>
        <w:rPr>
          <w:sz w:val="22"/>
          <w:szCs w:val="22"/>
          <w:lang w:val="es-EC" w:eastAsia="ar-SA"/>
        </w:rPr>
      </w:pPr>
      <w:r w:rsidRPr="00E12079">
        <w:rPr>
          <w:b/>
          <w:sz w:val="22"/>
          <w:szCs w:val="22"/>
          <w:lang w:val="es-EC" w:eastAsia="ar-SA"/>
        </w:rPr>
        <w:t>Que,</w:t>
      </w:r>
      <w:r w:rsidRPr="00E12079">
        <w:rPr>
          <w:sz w:val="22"/>
          <w:szCs w:val="22"/>
          <w:lang w:val="es-EC" w:eastAsia="ar-SA"/>
        </w:rPr>
        <w:t xml:space="preserve"> </w:t>
      </w:r>
      <w:r w:rsidRPr="00E12079">
        <w:rPr>
          <w:sz w:val="22"/>
          <w:szCs w:val="22"/>
          <w:lang w:val="es-EC" w:eastAsia="ar-SA"/>
        </w:rPr>
        <w:tab/>
        <w:t xml:space="preserve">el artículo 2 de la Ley Orgánica de Tierras Rurales  y Territorios Ancestrales, establece que el objeto de esta Ley es normar el uso y acceso a la propiedad de la tierra rural, el derecho a la propiedad de la misma que deberá cumplir la función social y la función ambiental. Regula la posesión, la propiedad, la administración y redistribución de la tierra rural como factor de producción para garantizar la soberanía alimentaria, mejorar la productividad, propiciar un ambiente sustentable y equilibrado; y otorgar seguridad jurídica a los titulares </w:t>
      </w:r>
      <w:r w:rsidRPr="00E12079">
        <w:rPr>
          <w:sz w:val="22"/>
          <w:szCs w:val="22"/>
          <w:lang w:val="es-EC" w:eastAsia="ar-SA"/>
        </w:rPr>
        <w:lastRenderedPageBreak/>
        <w:t>de derechos;</w:t>
      </w:r>
    </w:p>
    <w:p w:rsidR="008D7F22" w:rsidRPr="00E12079" w:rsidRDefault="008D7F22" w:rsidP="008D7F22">
      <w:pPr>
        <w:pStyle w:val="Textoindependiente"/>
        <w:spacing w:line="276" w:lineRule="auto"/>
        <w:ind w:left="567" w:hanging="567"/>
        <w:jc w:val="both"/>
        <w:rPr>
          <w:sz w:val="22"/>
          <w:szCs w:val="22"/>
          <w:lang w:val="es-EC" w:eastAsia="ar-SA"/>
        </w:rPr>
      </w:pPr>
      <w:r w:rsidRPr="00E12079">
        <w:rPr>
          <w:b/>
          <w:sz w:val="22"/>
          <w:szCs w:val="22"/>
          <w:lang w:val="es-EC" w:eastAsia="ar-SA"/>
        </w:rPr>
        <w:t>Que,</w:t>
      </w:r>
      <w:r w:rsidRPr="00E12079">
        <w:rPr>
          <w:sz w:val="22"/>
          <w:szCs w:val="22"/>
          <w:lang w:val="es-EC" w:eastAsia="ar-SA"/>
        </w:rPr>
        <w:tab/>
        <w:t>el artículo 4 de la Ley Orgánica de Tierras Rurales  y Territorios Ancestrales, establece que para los fines de la presente Ley la tierra rural es una extensión territorial que se encuentra ubicada fuera del área urbana, cuya aptitud presenta condiciones biofísicas y ambientales para ser utilizada en producción agrícola, pecuaria, forestal, silvícola o acuícola, actividades recreativas, ecoturísticas, de conservación o de protección agraria y otras actividades productivas en las que la Autoridad Agraria Nacional ejerce su rectoría</w:t>
      </w:r>
      <w:r w:rsidR="008C01C7" w:rsidRPr="00E12079">
        <w:rPr>
          <w:sz w:val="22"/>
          <w:szCs w:val="22"/>
          <w:lang w:val="es-EC" w:eastAsia="ar-SA"/>
        </w:rPr>
        <w:t>;</w:t>
      </w:r>
      <w:r w:rsidR="007F7C54" w:rsidRPr="00E12079">
        <w:rPr>
          <w:sz w:val="22"/>
          <w:szCs w:val="22"/>
          <w:lang w:val="es-EC" w:eastAsia="ar-SA"/>
        </w:rPr>
        <w:t xml:space="preserve"> </w:t>
      </w:r>
    </w:p>
    <w:p w:rsidR="008D7F22" w:rsidRPr="00E12079" w:rsidRDefault="008D7F22" w:rsidP="008D7F22">
      <w:pPr>
        <w:pStyle w:val="Textoindependiente"/>
        <w:spacing w:line="276" w:lineRule="auto"/>
        <w:ind w:left="567" w:hanging="567"/>
        <w:jc w:val="both"/>
        <w:rPr>
          <w:sz w:val="22"/>
          <w:szCs w:val="22"/>
          <w:lang w:val="es-EC" w:eastAsia="ar-SA"/>
        </w:rPr>
      </w:pPr>
      <w:r w:rsidRPr="00E12079">
        <w:rPr>
          <w:b/>
          <w:sz w:val="22"/>
          <w:szCs w:val="22"/>
          <w:lang w:val="es-EC" w:eastAsia="ar-SA"/>
        </w:rPr>
        <w:t>Que,</w:t>
      </w:r>
      <w:r w:rsidRPr="00E12079">
        <w:rPr>
          <w:sz w:val="22"/>
          <w:szCs w:val="22"/>
          <w:lang w:val="es-EC" w:eastAsia="ar-SA"/>
        </w:rPr>
        <w:tab/>
        <w:t>el penúltimo inciso del artículo 6 de la Ley Orgánica de Tierras Rurales y Territorios Ancestrales,</w:t>
      </w:r>
      <w:r w:rsidR="00224C69" w:rsidRPr="00E12079">
        <w:rPr>
          <w:sz w:val="22"/>
          <w:szCs w:val="22"/>
          <w:lang w:val="es-EC" w:eastAsia="ar-SA"/>
        </w:rPr>
        <w:t xml:space="preserve"> </w:t>
      </w:r>
      <w:r w:rsidRPr="00E12079">
        <w:rPr>
          <w:sz w:val="22"/>
          <w:szCs w:val="22"/>
          <w:lang w:val="es-EC" w:eastAsia="ar-SA"/>
        </w:rPr>
        <w:t>dispone  que: “</w:t>
      </w:r>
      <w:r w:rsidRPr="00E12079">
        <w:rPr>
          <w:i/>
          <w:sz w:val="22"/>
          <w:szCs w:val="22"/>
          <w:lang w:val="es-EC" w:eastAsia="ar-SA"/>
        </w:rPr>
        <w:t>Para este efecto, la Autoridad Agraria Nacional, de conformidad con la Ley y previa petición del Gobierno Autónomo Descentralizado municipal o metropolitano competente,  en el plazo de noventa días siguientes a la petición, mediante informe técnico que determine tales aptitudes, autorizará, el cambio de la clasificación de suelos rurales de uso agrario a suelos de expansión urbana o zona industrial</w:t>
      </w:r>
      <w:r w:rsidR="00826517" w:rsidRPr="00E12079">
        <w:rPr>
          <w:i/>
          <w:sz w:val="22"/>
          <w:szCs w:val="22"/>
          <w:lang w:val="es-EC" w:eastAsia="ar-SA"/>
        </w:rPr>
        <w:t>. (…)</w:t>
      </w:r>
      <w:r w:rsidR="007E4AFE" w:rsidRPr="00E12079">
        <w:rPr>
          <w:sz w:val="22"/>
          <w:szCs w:val="22"/>
          <w:lang w:val="es-EC" w:eastAsia="ar-SA"/>
        </w:rPr>
        <w:t>;</w:t>
      </w:r>
    </w:p>
    <w:p w:rsidR="00826517" w:rsidRPr="00E12079" w:rsidRDefault="00826517" w:rsidP="00826517">
      <w:pPr>
        <w:pStyle w:val="Textoindependiente"/>
        <w:spacing w:line="276" w:lineRule="auto"/>
        <w:ind w:left="567" w:hanging="567"/>
        <w:jc w:val="both"/>
        <w:rPr>
          <w:sz w:val="22"/>
          <w:szCs w:val="22"/>
          <w:lang w:val="es-EC" w:eastAsia="ar-SA"/>
        </w:rPr>
      </w:pPr>
      <w:r w:rsidRPr="00E12079">
        <w:rPr>
          <w:b/>
          <w:sz w:val="22"/>
          <w:szCs w:val="22"/>
          <w:lang w:val="es-EC" w:eastAsia="ar-SA"/>
        </w:rPr>
        <w:t>Que,</w:t>
      </w:r>
      <w:r w:rsidRPr="00E12079">
        <w:rPr>
          <w:b/>
          <w:sz w:val="22"/>
          <w:szCs w:val="22"/>
          <w:lang w:val="es-EC" w:eastAsia="ar-SA"/>
        </w:rPr>
        <w:tab/>
      </w:r>
      <w:r w:rsidRPr="00E12079">
        <w:rPr>
          <w:sz w:val="22"/>
          <w:szCs w:val="22"/>
          <w:lang w:val="es-EC" w:eastAsia="ar-SA"/>
        </w:rPr>
        <w:t xml:space="preserve">el artículo 76 de la Ley Orgánica de Ordenamiento Territorial, Uso y Gestión del Suelo, establece: </w:t>
      </w:r>
      <w:r w:rsidR="00C67D2C" w:rsidRPr="00E12079">
        <w:rPr>
          <w:sz w:val="22"/>
          <w:szCs w:val="22"/>
          <w:lang w:val="es-EC" w:eastAsia="ar-SA"/>
        </w:rPr>
        <w:t>“</w:t>
      </w:r>
      <w:r w:rsidR="00C67D2C" w:rsidRPr="00E12079">
        <w:rPr>
          <w:rFonts w:eastAsia="Times New Roman"/>
          <w:i/>
          <w:sz w:val="22"/>
          <w:szCs w:val="22"/>
          <w:lang w:val="es-ES"/>
        </w:rPr>
        <w:t>Los Gobiernos Autónomos Descentralizados municipales o metropolitanos, en el plan de uso y gestión de suelo, determinarán zonas que deban ser objeto de un proceso de regularización física y legal de forma prioritaria, en cumplimiento de la función social y ambiental de la propiedad. Para ello, se contará previamente con un diagnóstico integral que establezca la identificación de los beneficiarios, la capacidad de integración urbana del asentamiento humano, la ausencia de riesgos para la población y el respeto al patrimonio natural y cultural, de conformidad con la legislación vigente. Esta declaratoria se realizará en el componente urbanístico del plan de uso y gestión de suelo. (…)”</w:t>
      </w:r>
      <w:r w:rsidR="00C67D2C" w:rsidRPr="00E12079">
        <w:rPr>
          <w:rFonts w:eastAsia="Times New Roman"/>
          <w:sz w:val="22"/>
          <w:szCs w:val="22"/>
          <w:lang w:val="es-ES"/>
        </w:rPr>
        <w:t>;</w:t>
      </w:r>
    </w:p>
    <w:p w:rsidR="000D7424" w:rsidRPr="00E12079" w:rsidRDefault="000D7424" w:rsidP="008D7F22">
      <w:pPr>
        <w:pStyle w:val="Textoindependiente"/>
        <w:spacing w:line="276" w:lineRule="auto"/>
        <w:ind w:left="567" w:hanging="567"/>
        <w:jc w:val="both"/>
        <w:rPr>
          <w:sz w:val="22"/>
          <w:szCs w:val="22"/>
          <w:lang w:val="es-EC" w:eastAsia="ar-SA"/>
        </w:rPr>
      </w:pPr>
      <w:r w:rsidRPr="00E12079">
        <w:rPr>
          <w:b/>
          <w:sz w:val="22"/>
          <w:szCs w:val="22"/>
          <w:lang w:val="es-EC" w:eastAsia="ar-SA"/>
        </w:rPr>
        <w:t>Que,</w:t>
      </w:r>
      <w:r w:rsidRPr="00E12079">
        <w:rPr>
          <w:b/>
          <w:sz w:val="22"/>
          <w:szCs w:val="22"/>
          <w:lang w:val="es-EC" w:eastAsia="ar-SA"/>
        </w:rPr>
        <w:tab/>
      </w:r>
      <w:r w:rsidRPr="00E12079">
        <w:rPr>
          <w:sz w:val="22"/>
          <w:szCs w:val="22"/>
          <w:lang w:val="es-EC" w:eastAsia="ar-SA"/>
        </w:rPr>
        <w:t>el numeral 3 del artículo 91 de la Ley Orgánica de Ordenamiento Territorial, Uso y Gestión del Suelo, publicada en el Suplemento del Registro Oficial No. 790 de 5 de julio de 2016, señala que a los gobiernos autónomos descentralizados municipales y metropolitanos, sin perjuicio de las competencias establecidas en la Constitución, les corresponde “</w:t>
      </w:r>
      <w:r w:rsidRPr="00E12079">
        <w:rPr>
          <w:i/>
          <w:sz w:val="22"/>
          <w:szCs w:val="22"/>
          <w:lang w:val="es-EC" w:eastAsia="ar-SA"/>
        </w:rPr>
        <w:t>clasificar el suelo en</w:t>
      </w:r>
      <w:r w:rsidR="007E4AFE" w:rsidRPr="00E12079">
        <w:rPr>
          <w:i/>
          <w:sz w:val="22"/>
          <w:szCs w:val="22"/>
          <w:lang w:val="es-EC" w:eastAsia="ar-SA"/>
        </w:rPr>
        <w:t xml:space="preserve"> urbano y rural, y establecer l</w:t>
      </w:r>
      <w:r w:rsidR="00667628" w:rsidRPr="00E12079">
        <w:rPr>
          <w:i/>
          <w:sz w:val="22"/>
          <w:szCs w:val="22"/>
          <w:lang w:val="es-EC" w:eastAsia="ar-SA"/>
        </w:rPr>
        <w:t>a</w:t>
      </w:r>
      <w:r w:rsidRPr="00E12079">
        <w:rPr>
          <w:i/>
          <w:sz w:val="22"/>
          <w:szCs w:val="22"/>
          <w:lang w:val="es-EC" w:eastAsia="ar-SA"/>
        </w:rPr>
        <w:t>s correspondientes subclasificaciones, asignar los tratamientos urbanísticos, usos y las obligaciones correspondientes, de acuerdo con lo establecido en esta Ley”</w:t>
      </w:r>
      <w:r w:rsidRPr="00E12079">
        <w:rPr>
          <w:sz w:val="22"/>
          <w:szCs w:val="22"/>
          <w:lang w:val="es-EC" w:eastAsia="ar-SA"/>
        </w:rPr>
        <w:t>;</w:t>
      </w:r>
    </w:p>
    <w:p w:rsidR="004D6D18" w:rsidRPr="00E12079" w:rsidRDefault="00C8542E" w:rsidP="008D7F22">
      <w:pPr>
        <w:pStyle w:val="Textoindependiente"/>
        <w:spacing w:line="276" w:lineRule="auto"/>
        <w:ind w:left="567" w:hanging="567"/>
        <w:jc w:val="both"/>
        <w:rPr>
          <w:rFonts w:eastAsia="Times New Roman"/>
          <w:i/>
          <w:sz w:val="22"/>
          <w:szCs w:val="22"/>
          <w:lang w:val="es-ES"/>
        </w:rPr>
      </w:pPr>
      <w:r w:rsidRPr="00E12079">
        <w:rPr>
          <w:b/>
          <w:sz w:val="22"/>
          <w:szCs w:val="22"/>
          <w:lang w:val="es-EC" w:eastAsia="ar-SA"/>
        </w:rPr>
        <w:t>Que,</w:t>
      </w:r>
      <w:r w:rsidRPr="00E12079">
        <w:rPr>
          <w:b/>
          <w:sz w:val="22"/>
          <w:szCs w:val="22"/>
          <w:lang w:val="es-EC" w:eastAsia="ar-SA"/>
        </w:rPr>
        <w:tab/>
      </w:r>
      <w:r w:rsidRPr="00E12079">
        <w:rPr>
          <w:sz w:val="22"/>
          <w:szCs w:val="22"/>
          <w:lang w:val="es-EC" w:eastAsia="ar-SA"/>
        </w:rPr>
        <w:t>la Disposición Transitoria Sexta de la Ley Orgánica de Ordenamiento Territorial, Uso y Gestión del Suelo, publicada en el Suplemento del Registro Oficial No. 790, de 5 de julio de 2016, establece que: “</w:t>
      </w:r>
      <w:r w:rsidRPr="00E12079">
        <w:rPr>
          <w:i/>
          <w:sz w:val="22"/>
          <w:szCs w:val="22"/>
          <w:lang w:val="es-EC" w:eastAsia="ar-SA"/>
        </w:rPr>
        <w:t>(…)</w:t>
      </w:r>
      <w:r w:rsidR="007E4AFE" w:rsidRPr="00E12079">
        <w:rPr>
          <w:i/>
          <w:sz w:val="22"/>
          <w:szCs w:val="22"/>
          <w:lang w:val="es-EC" w:eastAsia="ar-SA"/>
        </w:rPr>
        <w:t xml:space="preserve"> </w:t>
      </w:r>
      <w:r w:rsidR="007E4AFE" w:rsidRPr="00E12079">
        <w:rPr>
          <w:rFonts w:eastAsia="Times New Roman"/>
          <w:i/>
          <w:sz w:val="22"/>
          <w:szCs w:val="22"/>
          <w:lang w:val="es-ES"/>
        </w:rPr>
        <w:t xml:space="preserve">Las licencias, permisos y autorizaciones concedidas de conformidad con la legislación existente anterior a la fecha de entrada en vigencia de la presente Ley, subsistirán por el tiempo en que fueren concedidos. </w:t>
      </w:r>
    </w:p>
    <w:p w:rsidR="00C8542E" w:rsidRPr="00E12079" w:rsidRDefault="007E4AFE" w:rsidP="008D7F22">
      <w:pPr>
        <w:pStyle w:val="Textoindependiente"/>
        <w:spacing w:line="276" w:lineRule="auto"/>
        <w:ind w:left="567" w:hanging="567"/>
        <w:jc w:val="both"/>
        <w:rPr>
          <w:sz w:val="22"/>
          <w:szCs w:val="22"/>
          <w:lang w:val="es-EC" w:eastAsia="ar-SA"/>
        </w:rPr>
      </w:pPr>
      <w:r w:rsidRPr="00E12079">
        <w:rPr>
          <w:rFonts w:eastAsia="Times New Roman"/>
          <w:sz w:val="22"/>
          <w:szCs w:val="22"/>
          <w:lang w:val="es-ES"/>
        </w:rPr>
        <w:t xml:space="preserve"> </w:t>
      </w:r>
      <w:r w:rsidR="004D6D18" w:rsidRPr="00E12079">
        <w:rPr>
          <w:rFonts w:eastAsia="Times New Roman"/>
          <w:sz w:val="22"/>
          <w:szCs w:val="22"/>
          <w:lang w:val="es-ES"/>
        </w:rPr>
        <w:tab/>
      </w:r>
      <w:r w:rsidR="00C8542E" w:rsidRPr="00E12079">
        <w:rPr>
          <w:i/>
          <w:sz w:val="22"/>
          <w:szCs w:val="22"/>
          <w:lang w:val="es-EC" w:eastAsia="ar-SA"/>
        </w:rPr>
        <w:t xml:space="preserve">Las licencias, permisos y autorizaciones que se encuentren en trámite de aprobación deberán cumplir la normativa municipal existente anterior a la fecha de entrada </w:t>
      </w:r>
      <w:r w:rsidR="004D6D18" w:rsidRPr="00E12079">
        <w:rPr>
          <w:i/>
          <w:sz w:val="22"/>
          <w:szCs w:val="22"/>
          <w:lang w:val="es-EC" w:eastAsia="ar-SA"/>
        </w:rPr>
        <w:t>en vigencia de la presente Ley.</w:t>
      </w:r>
      <w:r w:rsidR="00C8542E" w:rsidRPr="00E12079">
        <w:rPr>
          <w:i/>
          <w:sz w:val="22"/>
          <w:szCs w:val="22"/>
          <w:lang w:val="es-EC" w:eastAsia="ar-SA"/>
        </w:rPr>
        <w:t>”</w:t>
      </w:r>
      <w:r w:rsidR="00C8542E" w:rsidRPr="00E12079">
        <w:rPr>
          <w:sz w:val="22"/>
          <w:szCs w:val="22"/>
          <w:lang w:val="es-EC" w:eastAsia="ar-SA"/>
        </w:rPr>
        <w:t>;</w:t>
      </w:r>
    </w:p>
    <w:p w:rsidR="00C67D2C" w:rsidRPr="00E12079" w:rsidRDefault="00C67D2C" w:rsidP="00C67D2C">
      <w:pPr>
        <w:pStyle w:val="Textoindependiente"/>
        <w:spacing w:line="276" w:lineRule="auto"/>
        <w:ind w:left="567" w:hanging="567"/>
        <w:jc w:val="both"/>
        <w:rPr>
          <w:sz w:val="22"/>
          <w:szCs w:val="22"/>
          <w:lang w:val="es-EC" w:eastAsia="ar-SA"/>
        </w:rPr>
      </w:pPr>
      <w:r w:rsidRPr="00E12079">
        <w:rPr>
          <w:b/>
          <w:sz w:val="22"/>
          <w:szCs w:val="22"/>
          <w:lang w:val="es-EC" w:eastAsia="ar-SA"/>
        </w:rPr>
        <w:t>Que,</w:t>
      </w:r>
      <w:r w:rsidRPr="00E12079">
        <w:rPr>
          <w:sz w:val="22"/>
          <w:szCs w:val="22"/>
          <w:lang w:val="es-EC" w:eastAsia="ar-SA"/>
        </w:rPr>
        <w:t xml:space="preserve"> la Disposición Transitoria Décima de la Ley Orgánica de Ordenamiento Territorial, Uso y Gestión del Suelo, establece que: “</w:t>
      </w:r>
      <w:r w:rsidRPr="00E12079">
        <w:rPr>
          <w:i/>
          <w:sz w:val="22"/>
          <w:szCs w:val="22"/>
          <w:lang w:val="es-EC" w:eastAsia="ar-SA"/>
        </w:rPr>
        <w:t>(…)</w:t>
      </w:r>
      <w:r w:rsidR="004D6D18" w:rsidRPr="00E12079">
        <w:rPr>
          <w:i/>
          <w:sz w:val="22"/>
          <w:szCs w:val="22"/>
          <w:lang w:val="es-EC" w:eastAsia="ar-SA"/>
        </w:rPr>
        <w:t xml:space="preserve"> </w:t>
      </w:r>
      <w:r w:rsidR="007E4AFE" w:rsidRPr="00E12079">
        <w:rPr>
          <w:rFonts w:eastAsia="Times New Roman"/>
          <w:i/>
          <w:sz w:val="22"/>
          <w:szCs w:val="22"/>
          <w:lang w:val="es-ES"/>
        </w:rPr>
        <w:t>Hasta que se apruebe la normativa técnica correspondiente, los Gobiernos Autónomos Descentralizados aplicarán los parámetros técnicos aprobados en sus respectivas ordenanzas que no se contraponga a esta Ley.</w:t>
      </w:r>
      <w:r w:rsidRPr="00E12079">
        <w:rPr>
          <w:i/>
          <w:sz w:val="22"/>
          <w:szCs w:val="22"/>
          <w:lang w:val="es-EC" w:eastAsia="ar-SA"/>
        </w:rPr>
        <w:t>”;</w:t>
      </w:r>
    </w:p>
    <w:p w:rsidR="008D7F22" w:rsidRPr="00E12079" w:rsidRDefault="008D7F22" w:rsidP="008D7F22">
      <w:pPr>
        <w:pStyle w:val="Textoindependiente"/>
        <w:spacing w:line="276" w:lineRule="auto"/>
        <w:ind w:left="567" w:hanging="567"/>
        <w:jc w:val="both"/>
        <w:rPr>
          <w:sz w:val="22"/>
          <w:szCs w:val="22"/>
          <w:lang w:eastAsia="ar-SA"/>
        </w:rPr>
      </w:pPr>
      <w:r w:rsidRPr="00E12079">
        <w:rPr>
          <w:b/>
          <w:sz w:val="22"/>
          <w:szCs w:val="22"/>
          <w:lang w:val="es-EC" w:eastAsia="ar-SA"/>
        </w:rPr>
        <w:t>Que,</w:t>
      </w:r>
      <w:r w:rsidRPr="00E12079">
        <w:rPr>
          <w:sz w:val="22"/>
          <w:szCs w:val="22"/>
          <w:lang w:val="es-EC" w:eastAsia="ar-SA"/>
        </w:rPr>
        <w:t xml:space="preserve"> </w:t>
      </w:r>
      <w:r w:rsidRPr="00E12079">
        <w:rPr>
          <w:sz w:val="22"/>
          <w:szCs w:val="22"/>
          <w:lang w:val="es-EC" w:eastAsia="ar-SA"/>
        </w:rPr>
        <w:tab/>
      </w:r>
      <w:r w:rsidR="00190D70" w:rsidRPr="00E12079">
        <w:rPr>
          <w:sz w:val="22"/>
          <w:szCs w:val="22"/>
          <w:lang w:eastAsia="ar-SA"/>
        </w:rPr>
        <w:t>el Concejo Metropolitano de Quito mediante Ordenanza Metropolitana No. 0041, sancionada el 22 de febrero de 2015, aprueba el Plan Metropolitano de Desarrollo y Ordenamiento Territorial cuyo artículo 3 contiene</w:t>
      </w:r>
      <w:r w:rsidR="00826517" w:rsidRPr="00E12079">
        <w:rPr>
          <w:sz w:val="22"/>
          <w:szCs w:val="22"/>
          <w:lang w:eastAsia="ar-SA"/>
        </w:rPr>
        <w:t>:</w:t>
      </w:r>
      <w:r w:rsidR="000D7424" w:rsidRPr="00E12079">
        <w:rPr>
          <w:sz w:val="22"/>
          <w:szCs w:val="22"/>
          <w:lang w:eastAsia="ar-SA"/>
        </w:rPr>
        <w:t xml:space="preserve"> los principios de la Planificación Metropolitana del </w:t>
      </w:r>
      <w:r w:rsidR="000D7424" w:rsidRPr="00E12079">
        <w:rPr>
          <w:sz w:val="22"/>
          <w:szCs w:val="22"/>
          <w:lang w:eastAsia="ar-SA"/>
        </w:rPr>
        <w:lastRenderedPageBreak/>
        <w:t>Desarrollo y del Ordenamiento Territorial e identificación de ejes estratégicos, el diagnóstico general estratégico del Distrito Metropolitano de Quito, propuesta del componente estratégico de desarrollo y ordenamiento territorial, y Plan de Uso y Ocupación del Suelo (PUOS) y su anexo: cuadro general de usos y actividades PUOS-CIIU nivel 7;</w:t>
      </w:r>
      <w:r w:rsidR="00190D70" w:rsidRPr="00E12079">
        <w:rPr>
          <w:sz w:val="22"/>
          <w:szCs w:val="22"/>
          <w:lang w:eastAsia="ar-SA"/>
        </w:rPr>
        <w:t xml:space="preserve"> </w:t>
      </w:r>
    </w:p>
    <w:p w:rsidR="00133534" w:rsidRPr="00E12079" w:rsidRDefault="00133534" w:rsidP="008D7F22">
      <w:pPr>
        <w:pStyle w:val="Textoindependiente"/>
        <w:spacing w:line="276" w:lineRule="auto"/>
        <w:ind w:left="567" w:hanging="567"/>
        <w:jc w:val="both"/>
        <w:rPr>
          <w:sz w:val="22"/>
          <w:szCs w:val="22"/>
          <w:lang w:val="es-EC" w:eastAsia="ar-SA"/>
        </w:rPr>
      </w:pPr>
      <w:r w:rsidRPr="00E12079">
        <w:rPr>
          <w:b/>
          <w:sz w:val="22"/>
          <w:szCs w:val="22"/>
          <w:lang w:val="es-EC" w:eastAsia="ar-SA"/>
        </w:rPr>
        <w:t>Que,</w:t>
      </w:r>
      <w:r w:rsidR="000D7424" w:rsidRPr="00E12079">
        <w:rPr>
          <w:b/>
          <w:sz w:val="22"/>
          <w:szCs w:val="22"/>
          <w:lang w:val="es-EC" w:eastAsia="ar-SA"/>
        </w:rPr>
        <w:tab/>
      </w:r>
      <w:r w:rsidR="000D7424" w:rsidRPr="00E12079">
        <w:rPr>
          <w:sz w:val="22"/>
          <w:szCs w:val="22"/>
          <w:lang w:val="es-EC" w:eastAsia="ar-SA"/>
        </w:rPr>
        <w:t>la Ordenanza Metropolitana No. 0041, sancionada el 22 de febrero de 2015, en su disposición transitoria única, y su reforma contenida en la Ordenanza Metropolitana No. 0095, sancionada el 28 de diciembre de 2015, disponen que la Secretaría de Territorio, Hábitat y Vivienda en el plazo máximo de once meses presentará para aprobación del Concejo Metropolitano de Quito el Plan de Uso y Ocupación del Suelo actualizado, como elemento componente del Plan Metropolitano de Desarrollo y Ordenamiento Territorial, que permiten la vigencia de este y su eficacia jurídica de conformidad con el artículo 424 de la Constitución;</w:t>
      </w:r>
    </w:p>
    <w:p w:rsidR="00370715" w:rsidRPr="00E12079" w:rsidRDefault="00370715" w:rsidP="008D7F22">
      <w:pPr>
        <w:pStyle w:val="Textoindependiente"/>
        <w:spacing w:line="276" w:lineRule="auto"/>
        <w:ind w:left="567" w:hanging="567"/>
        <w:jc w:val="both"/>
        <w:rPr>
          <w:sz w:val="22"/>
          <w:szCs w:val="22"/>
          <w:lang w:eastAsia="ar-SA"/>
        </w:rPr>
      </w:pPr>
      <w:r w:rsidRPr="00E12079">
        <w:rPr>
          <w:b/>
          <w:sz w:val="22"/>
          <w:szCs w:val="22"/>
          <w:lang w:val="es-EC" w:eastAsia="ar-SA"/>
        </w:rPr>
        <w:t>Que,</w:t>
      </w:r>
      <w:r w:rsidRPr="00E12079">
        <w:rPr>
          <w:b/>
          <w:sz w:val="22"/>
          <w:szCs w:val="22"/>
          <w:lang w:val="es-EC" w:eastAsia="ar-SA"/>
        </w:rPr>
        <w:tab/>
      </w:r>
      <w:r w:rsidRPr="00E12079">
        <w:rPr>
          <w:sz w:val="22"/>
          <w:szCs w:val="22"/>
          <w:lang w:val="es-EC" w:eastAsia="ar-SA"/>
        </w:rPr>
        <w:t>el artículo 8 de la Ordenanza Metropolitana No. 172, sancionada el 30 de diciembre de 2011, reformada mediante Ordenanza Metropolitana No. 432, sancionada el 23 de septiembre de 2013, sobre la clasificación general del suelo en función de su aprovechamiento, se clasifica en urbano y rural;</w:t>
      </w:r>
    </w:p>
    <w:p w:rsidR="000D7424" w:rsidRPr="00E12079" w:rsidRDefault="000D7424" w:rsidP="008D7F22">
      <w:pPr>
        <w:pStyle w:val="Textoindependiente"/>
        <w:spacing w:line="276" w:lineRule="auto"/>
        <w:ind w:left="567" w:hanging="567"/>
        <w:jc w:val="both"/>
        <w:rPr>
          <w:sz w:val="22"/>
          <w:szCs w:val="22"/>
          <w:lang w:val="es-EC" w:eastAsia="ar-SA"/>
        </w:rPr>
      </w:pPr>
      <w:r w:rsidRPr="00E12079">
        <w:rPr>
          <w:b/>
          <w:sz w:val="22"/>
          <w:szCs w:val="22"/>
          <w:lang w:val="es-EC" w:eastAsia="ar-SA"/>
        </w:rPr>
        <w:t>Que,</w:t>
      </w:r>
      <w:r w:rsidRPr="00E12079">
        <w:rPr>
          <w:b/>
          <w:sz w:val="22"/>
          <w:szCs w:val="22"/>
          <w:lang w:val="es-EC" w:eastAsia="ar-SA"/>
        </w:rPr>
        <w:tab/>
      </w:r>
      <w:r w:rsidRPr="00E12079">
        <w:rPr>
          <w:sz w:val="22"/>
          <w:szCs w:val="22"/>
          <w:lang w:val="es-EC" w:eastAsia="ar-SA"/>
        </w:rPr>
        <w:t>el Consejo Nacional de Planificación, mediante Resolución No. 003-2014-CNP de 12 de mayo de 2014, expidió los lineamientos y directrices para la actualización y reporte de los Planes de Desarrollo y Ordenamiento Territorial de los gobiernos autónomos descentralizados</w:t>
      </w:r>
      <w:r w:rsidR="00C8542E" w:rsidRPr="00E12079">
        <w:rPr>
          <w:sz w:val="22"/>
          <w:szCs w:val="22"/>
          <w:lang w:val="es-EC" w:eastAsia="ar-SA"/>
        </w:rPr>
        <w:t>, procesos que para el efecto deben establecer el diagnóstico, la propuesta y el modelo de gestión de los respectivos gobiernos locales, haciendo efectivo el derecho a la participación ciudadana como una forma de expresión democrática y garantía del pleno ejercicio de las prerrogativas constitucionales;</w:t>
      </w:r>
    </w:p>
    <w:p w:rsidR="008D7F22" w:rsidRPr="00E12079" w:rsidRDefault="008D7F22" w:rsidP="008D7F22">
      <w:pPr>
        <w:pStyle w:val="Textoindependiente"/>
        <w:spacing w:line="276" w:lineRule="auto"/>
        <w:ind w:left="567" w:hanging="567"/>
        <w:jc w:val="both"/>
        <w:rPr>
          <w:sz w:val="22"/>
          <w:szCs w:val="22"/>
          <w:lang w:eastAsia="ar-SA"/>
        </w:rPr>
      </w:pPr>
      <w:r w:rsidRPr="00E12079">
        <w:rPr>
          <w:b/>
          <w:sz w:val="22"/>
          <w:szCs w:val="22"/>
          <w:lang w:eastAsia="ar-SA"/>
        </w:rPr>
        <w:t>Que,</w:t>
      </w:r>
      <w:r w:rsidRPr="00E12079">
        <w:rPr>
          <w:sz w:val="22"/>
          <w:szCs w:val="22"/>
          <w:lang w:eastAsia="ar-SA"/>
        </w:rPr>
        <w:t xml:space="preserve"> mediante oficio No. STHV-DMPPS-5950 de fecha 17 de diciembre de 2015, la Secretaría de Territorio, Hábitat y Vivienda  emite su informe técnico, el cual contiene las consideraciones por las cuales es necesario modificar el plazo establecido en la Disposición Transitoria Única de la Ordenanza Metropolitana No. 041, antes referida de nueve a once meses, fundamento sobre el cual el Concejo Metropolitano de Quito, expide la Ordenanza No. 0095 Reformatoria de la Ordenanza Metropolitana No. 041, sancionada el 28 de diciembre de 2015; y</w:t>
      </w:r>
      <w:r w:rsidR="007B0815">
        <w:rPr>
          <w:sz w:val="22"/>
          <w:szCs w:val="22"/>
          <w:lang w:eastAsia="ar-SA"/>
        </w:rPr>
        <w:t>;</w:t>
      </w:r>
    </w:p>
    <w:p w:rsidR="007A7C8E" w:rsidRPr="00E12079" w:rsidRDefault="00420AB5" w:rsidP="00A8779D">
      <w:pPr>
        <w:pStyle w:val="Textoindependiente"/>
        <w:spacing w:line="276" w:lineRule="auto"/>
        <w:ind w:left="567" w:hanging="567"/>
        <w:jc w:val="both"/>
        <w:rPr>
          <w:sz w:val="22"/>
          <w:szCs w:val="22"/>
          <w:lang w:val="es-EC"/>
        </w:rPr>
      </w:pPr>
      <w:r w:rsidRPr="00E12079">
        <w:rPr>
          <w:b/>
          <w:sz w:val="22"/>
          <w:szCs w:val="22"/>
          <w:lang w:val="es-EC"/>
        </w:rPr>
        <w:t>Que</w:t>
      </w:r>
      <w:r w:rsidRPr="00E12079">
        <w:rPr>
          <w:sz w:val="22"/>
          <w:szCs w:val="22"/>
          <w:lang w:val="es-EC"/>
        </w:rPr>
        <w:t xml:space="preserve">,  mediante Ordenanza Metropolitana No. 127 de fecha 25 de julio de 2016, luego de su </w:t>
      </w:r>
      <w:r w:rsidR="00E12079" w:rsidRPr="00E12079">
        <w:rPr>
          <w:sz w:val="22"/>
          <w:szCs w:val="22"/>
          <w:lang w:val="es-EC"/>
        </w:rPr>
        <w:t>tratamiento</w:t>
      </w:r>
      <w:r w:rsidRPr="00E12079">
        <w:rPr>
          <w:sz w:val="22"/>
          <w:szCs w:val="22"/>
          <w:lang w:val="es-EC"/>
        </w:rPr>
        <w:t xml:space="preserve"> en segundo debate</w:t>
      </w:r>
      <w:r w:rsidR="00E12079" w:rsidRPr="00E12079">
        <w:rPr>
          <w:sz w:val="22"/>
          <w:szCs w:val="22"/>
          <w:lang w:val="es-EC"/>
        </w:rPr>
        <w:t>,</w:t>
      </w:r>
      <w:r w:rsidRPr="00E12079">
        <w:rPr>
          <w:sz w:val="22"/>
          <w:szCs w:val="22"/>
          <w:lang w:val="es-EC"/>
        </w:rPr>
        <w:t xml:space="preserve"> fue aprobado el Plan de Uso y Ocupación del Suelo (PUOS) y sus anexos</w:t>
      </w:r>
      <w:r w:rsidR="007B0815">
        <w:rPr>
          <w:sz w:val="22"/>
          <w:szCs w:val="22"/>
          <w:lang w:val="es-EC"/>
        </w:rPr>
        <w:t>;</w:t>
      </w:r>
    </w:p>
    <w:p w:rsidR="00233A5E" w:rsidRPr="00E12079" w:rsidRDefault="00233A5E" w:rsidP="00233A5E">
      <w:pPr>
        <w:pStyle w:val="Textoindependiente"/>
        <w:spacing w:line="276" w:lineRule="auto"/>
        <w:ind w:left="567" w:hanging="567"/>
        <w:jc w:val="both"/>
        <w:rPr>
          <w:sz w:val="22"/>
          <w:szCs w:val="22"/>
          <w:lang w:val="es-EC"/>
        </w:rPr>
      </w:pPr>
      <w:r w:rsidRPr="00E12079">
        <w:rPr>
          <w:b/>
          <w:sz w:val="22"/>
          <w:szCs w:val="22"/>
          <w:lang w:val="es-EC"/>
        </w:rPr>
        <w:t xml:space="preserve">Que, </w:t>
      </w:r>
      <w:r w:rsidRPr="00E12079">
        <w:rPr>
          <w:sz w:val="22"/>
          <w:szCs w:val="22"/>
          <w:lang w:val="es-EC"/>
        </w:rPr>
        <w:t xml:space="preserve">Mediante Ordenanza Metropolitana No. </w:t>
      </w:r>
      <w:r w:rsidR="004B1411">
        <w:rPr>
          <w:sz w:val="22"/>
          <w:szCs w:val="22"/>
          <w:lang w:val="es-EC"/>
        </w:rPr>
        <w:t>192</w:t>
      </w:r>
      <w:r w:rsidRPr="00E12079">
        <w:rPr>
          <w:sz w:val="22"/>
          <w:szCs w:val="22"/>
          <w:lang w:val="es-EC"/>
        </w:rPr>
        <w:t xml:space="preserve"> de fecha </w:t>
      </w:r>
      <w:r w:rsidR="004B1411">
        <w:rPr>
          <w:sz w:val="22"/>
          <w:szCs w:val="22"/>
          <w:lang w:val="es-EC"/>
        </w:rPr>
        <w:t>20</w:t>
      </w:r>
      <w:r w:rsidR="00161793" w:rsidRPr="00E12079">
        <w:rPr>
          <w:sz w:val="22"/>
          <w:szCs w:val="22"/>
          <w:lang w:val="es-EC"/>
        </w:rPr>
        <w:t xml:space="preserve"> de diciembre de </w:t>
      </w:r>
      <w:r w:rsidRPr="00E12079">
        <w:rPr>
          <w:sz w:val="22"/>
          <w:szCs w:val="22"/>
          <w:lang w:val="es-EC"/>
        </w:rPr>
        <w:t xml:space="preserve">2017, luego de su </w:t>
      </w:r>
      <w:r w:rsidR="00E12079" w:rsidRPr="00E12079">
        <w:rPr>
          <w:sz w:val="22"/>
          <w:szCs w:val="22"/>
          <w:lang w:val="es-EC"/>
        </w:rPr>
        <w:t>tratamiento</w:t>
      </w:r>
      <w:r w:rsidRPr="00E12079">
        <w:rPr>
          <w:sz w:val="22"/>
          <w:szCs w:val="22"/>
          <w:lang w:val="es-EC"/>
        </w:rPr>
        <w:t xml:space="preserve"> en segundo debate</w:t>
      </w:r>
      <w:r w:rsidR="00E12079" w:rsidRPr="00E12079">
        <w:rPr>
          <w:sz w:val="22"/>
          <w:szCs w:val="22"/>
          <w:lang w:val="es-EC"/>
        </w:rPr>
        <w:t>,</w:t>
      </w:r>
      <w:r w:rsidRPr="00E12079">
        <w:rPr>
          <w:sz w:val="22"/>
          <w:szCs w:val="22"/>
          <w:lang w:val="es-EC"/>
        </w:rPr>
        <w:t xml:space="preserve"> fue aprobada la Ordenanza </w:t>
      </w:r>
      <w:r w:rsidR="00E12079" w:rsidRPr="00E12079">
        <w:rPr>
          <w:sz w:val="22"/>
          <w:szCs w:val="22"/>
          <w:lang w:val="es-EC"/>
        </w:rPr>
        <w:t xml:space="preserve">Reformatoria </w:t>
      </w:r>
      <w:r w:rsidRPr="00E12079">
        <w:rPr>
          <w:sz w:val="22"/>
          <w:szCs w:val="22"/>
          <w:lang w:val="es-EC"/>
        </w:rPr>
        <w:t>de la Ordenanza Metropolitana No. 127</w:t>
      </w:r>
      <w:r w:rsidR="00E12079" w:rsidRPr="00E12079">
        <w:rPr>
          <w:sz w:val="22"/>
          <w:szCs w:val="22"/>
          <w:lang w:val="es-EC"/>
        </w:rPr>
        <w:t>,</w:t>
      </w:r>
      <w:r w:rsidRPr="00E12079">
        <w:rPr>
          <w:sz w:val="22"/>
          <w:szCs w:val="22"/>
          <w:lang w:val="es-EC"/>
        </w:rPr>
        <w:t xml:space="preserve"> que contiene el Plan de Uso y Ocupación del Suelo (PUOS) y sus anexos</w:t>
      </w:r>
      <w:r w:rsidR="007B0815">
        <w:rPr>
          <w:sz w:val="22"/>
          <w:szCs w:val="22"/>
          <w:lang w:val="es-EC"/>
        </w:rPr>
        <w:t>;</w:t>
      </w:r>
    </w:p>
    <w:p w:rsidR="00233A5E" w:rsidRPr="00E12079" w:rsidRDefault="00233A5E" w:rsidP="009F1E37">
      <w:pPr>
        <w:pStyle w:val="Textoindependiente"/>
        <w:spacing w:line="276" w:lineRule="auto"/>
        <w:ind w:left="567" w:hanging="567"/>
        <w:jc w:val="both"/>
        <w:rPr>
          <w:sz w:val="22"/>
          <w:szCs w:val="22"/>
          <w:lang w:val="es-EC"/>
        </w:rPr>
      </w:pPr>
      <w:r w:rsidRPr="00E12079">
        <w:rPr>
          <w:b/>
          <w:sz w:val="22"/>
          <w:szCs w:val="22"/>
          <w:lang w:val="es-EC"/>
        </w:rPr>
        <w:t xml:space="preserve">Que, </w:t>
      </w:r>
      <w:r w:rsidRPr="00E12079">
        <w:rPr>
          <w:sz w:val="22"/>
          <w:szCs w:val="22"/>
          <w:lang w:val="es-EC"/>
        </w:rPr>
        <w:t>para una eficiente administración del suelo y de las actividades económicas y constructivas que en él se desarrollan, es necesario contar con una herramienta actualizada de regulación, que facilite a la Corporación Municipal y a la ciudadanía</w:t>
      </w:r>
      <w:r w:rsidR="00111DA9" w:rsidRPr="00E12079">
        <w:rPr>
          <w:sz w:val="22"/>
          <w:szCs w:val="22"/>
          <w:lang w:val="es-EC"/>
        </w:rPr>
        <w:t>,</w:t>
      </w:r>
      <w:r w:rsidRPr="00E12079">
        <w:rPr>
          <w:sz w:val="22"/>
          <w:szCs w:val="22"/>
          <w:lang w:val="es-EC"/>
        </w:rPr>
        <w:t xml:space="preserve"> ejercer </w:t>
      </w:r>
      <w:r w:rsidR="00111DA9" w:rsidRPr="00E12079">
        <w:rPr>
          <w:sz w:val="22"/>
          <w:szCs w:val="22"/>
          <w:lang w:val="es-EC"/>
        </w:rPr>
        <w:t>sus competencias y derechos respectivamente</w:t>
      </w:r>
      <w:r w:rsidR="007B0815">
        <w:rPr>
          <w:sz w:val="22"/>
          <w:szCs w:val="22"/>
          <w:lang w:val="es-EC"/>
        </w:rPr>
        <w:t>;</w:t>
      </w:r>
      <w:r w:rsidR="00111DA9" w:rsidRPr="00E12079">
        <w:rPr>
          <w:sz w:val="22"/>
          <w:szCs w:val="22"/>
          <w:lang w:val="es-EC"/>
        </w:rPr>
        <w:t xml:space="preserve"> </w:t>
      </w:r>
    </w:p>
    <w:p w:rsidR="009F1E37" w:rsidRPr="001E7F4B" w:rsidRDefault="009F1E37" w:rsidP="009F1E37">
      <w:pPr>
        <w:pStyle w:val="Textoindependiente"/>
        <w:spacing w:line="276" w:lineRule="auto"/>
        <w:ind w:left="567" w:hanging="567"/>
        <w:jc w:val="both"/>
        <w:rPr>
          <w:i/>
          <w:color w:val="0070C0"/>
          <w:sz w:val="22"/>
          <w:szCs w:val="22"/>
          <w:lang w:val="es-EC" w:eastAsia="ar-SA"/>
        </w:rPr>
      </w:pPr>
      <w:r w:rsidRPr="001E7F4B">
        <w:rPr>
          <w:b/>
          <w:color w:val="0070C0"/>
          <w:sz w:val="22"/>
          <w:szCs w:val="22"/>
          <w:lang w:val="es-EC" w:eastAsia="ar-SA"/>
        </w:rPr>
        <w:t>Que,</w:t>
      </w:r>
      <w:r w:rsidRPr="001E7F4B">
        <w:rPr>
          <w:color w:val="0070C0"/>
          <w:sz w:val="22"/>
          <w:szCs w:val="22"/>
          <w:lang w:val="es-EC" w:eastAsia="ar-SA"/>
        </w:rPr>
        <w:t xml:space="preserve"> el Artículo 18 de la vigencia y revisión de los planes de la Ordenanza Metropolitana 172 establece en el numeral 1: “</w:t>
      </w:r>
      <w:r w:rsidRPr="001E7F4B">
        <w:rPr>
          <w:i/>
          <w:color w:val="0070C0"/>
          <w:sz w:val="22"/>
          <w:szCs w:val="22"/>
          <w:lang w:val="es-EC" w:eastAsia="ar-SA"/>
        </w:rPr>
        <w:t xml:space="preserve">Los planes tendrán vigencia durante el plazo previsto en cada uno de ellos. Serán revisados cuando venza el plazo previsto para su vigencia y </w:t>
      </w:r>
      <w:r w:rsidRPr="001E7F4B">
        <w:rPr>
          <w:i/>
          <w:color w:val="0070C0"/>
          <w:sz w:val="22"/>
          <w:szCs w:val="22"/>
          <w:lang w:val="es-EC" w:eastAsia="ar-SA"/>
        </w:rPr>
        <w:lastRenderedPageBreak/>
        <w:t>excepcionalmente en los siguientes casos: d) Por solicitud Edilicia.”</w:t>
      </w:r>
      <w:r w:rsidR="007B0815" w:rsidRPr="001E7F4B">
        <w:rPr>
          <w:i/>
          <w:color w:val="0070C0"/>
          <w:sz w:val="22"/>
          <w:szCs w:val="22"/>
          <w:lang w:val="es-EC" w:eastAsia="ar-SA"/>
        </w:rPr>
        <w:t>;</w:t>
      </w:r>
      <w:r w:rsidRPr="001E7F4B">
        <w:rPr>
          <w:i/>
          <w:color w:val="0070C0"/>
          <w:sz w:val="22"/>
          <w:szCs w:val="22"/>
          <w:lang w:val="es-EC" w:eastAsia="ar-SA"/>
        </w:rPr>
        <w:t xml:space="preserve"> </w:t>
      </w:r>
    </w:p>
    <w:p w:rsidR="009F1E37" w:rsidRDefault="009F1E37" w:rsidP="009F1E37">
      <w:pPr>
        <w:pStyle w:val="Textoindependiente"/>
        <w:spacing w:line="276" w:lineRule="auto"/>
        <w:ind w:left="567" w:hanging="567"/>
        <w:jc w:val="both"/>
        <w:rPr>
          <w:i/>
          <w:color w:val="0070C0"/>
          <w:sz w:val="22"/>
          <w:szCs w:val="22"/>
          <w:lang w:val="es-EC" w:eastAsia="ar-SA"/>
        </w:rPr>
      </w:pPr>
      <w:r w:rsidRPr="001E7F4B">
        <w:rPr>
          <w:b/>
          <w:color w:val="0070C0"/>
          <w:sz w:val="22"/>
          <w:szCs w:val="22"/>
          <w:lang w:val="es-EC" w:eastAsia="ar-SA"/>
        </w:rPr>
        <w:t>Que,</w:t>
      </w:r>
      <w:r w:rsidRPr="001E7F4B">
        <w:rPr>
          <w:color w:val="0070C0"/>
          <w:sz w:val="22"/>
          <w:szCs w:val="22"/>
          <w:lang w:val="es-EC" w:eastAsia="ar-SA"/>
        </w:rPr>
        <w:t xml:space="preserve"> el Artículo 30 de la LOOTUGS señala lo siguiente: “</w:t>
      </w:r>
      <w:r w:rsidRPr="001E7F4B">
        <w:rPr>
          <w:i/>
          <w:color w:val="0070C0"/>
          <w:sz w:val="22"/>
          <w:szCs w:val="22"/>
          <w:lang w:val="es-EC" w:eastAsia="ar-SA"/>
        </w:rPr>
        <w:t>Vigencia del plan de uso y gestión de suelo.- El plan de uso y gestión de suelo estará vigente durante un período de doce años, y podrá actualizarse al principio de   cada período de gestión. En todo caso y cualquiera que haya sido  su causa, la actualización del plan de uso y gestión de suelo debe preservar su completa coherencia con el plan de desarrollo y ordenamiento territorial vigente en ese nivel de gobierno, de manera articulada con el Plan Nacional de Desarrollo vigente.”</w:t>
      </w:r>
      <w:r w:rsidR="007B0815" w:rsidRPr="001E7F4B">
        <w:rPr>
          <w:i/>
          <w:color w:val="0070C0"/>
          <w:sz w:val="22"/>
          <w:szCs w:val="22"/>
          <w:lang w:val="es-EC" w:eastAsia="ar-SA"/>
        </w:rPr>
        <w:t>;</w:t>
      </w:r>
    </w:p>
    <w:p w:rsidR="001E7F4B" w:rsidRDefault="001E7F4B" w:rsidP="009F1E37">
      <w:pPr>
        <w:pStyle w:val="Textoindependiente"/>
        <w:spacing w:line="276" w:lineRule="auto"/>
        <w:ind w:left="567" w:hanging="567"/>
        <w:jc w:val="both"/>
        <w:rPr>
          <w:i/>
          <w:color w:val="0070C0"/>
          <w:sz w:val="22"/>
          <w:szCs w:val="22"/>
          <w:lang w:val="es-EC" w:eastAsia="ar-SA"/>
        </w:rPr>
      </w:pPr>
    </w:p>
    <w:p w:rsidR="001E7F4B" w:rsidRPr="00FD7DA6" w:rsidRDefault="001E7F4B" w:rsidP="001E7F4B">
      <w:pPr>
        <w:pStyle w:val="Textoindependiente"/>
        <w:spacing w:line="276" w:lineRule="auto"/>
        <w:ind w:left="567" w:hanging="567"/>
        <w:jc w:val="both"/>
        <w:rPr>
          <w:i/>
          <w:color w:val="FF0000"/>
          <w:sz w:val="22"/>
          <w:szCs w:val="22"/>
          <w:lang w:val="es-EC" w:eastAsia="ar-SA"/>
        </w:rPr>
      </w:pPr>
      <w:r w:rsidRPr="00FD7DA6">
        <w:rPr>
          <w:i/>
          <w:color w:val="FF0000"/>
          <w:sz w:val="22"/>
          <w:szCs w:val="22"/>
          <w:lang w:val="es-EC" w:eastAsia="ar-SA"/>
        </w:rPr>
        <w:t>Que, la Disposición Transitoria Quinta de la Ordenanza Metropolitana No. 127 señala: “La Secretaría responsable del territorio, hábitat y vivienda, hasta el 31 de diciembre de 2016, estandarizará y homologará los cuadros de actividades y de relaciones de compatibilidad que constan en la presente ordenanza, así como en los planes parciales y especiales, con las Actividades del Clasificador Internacional Industrial Uniforme (CIIU), que formarán parte del Plan Metropolitano de Desarrollo y Ordenamiento Territorial del Distrito Metropolitano de Quito.”</w:t>
      </w:r>
    </w:p>
    <w:p w:rsidR="001E7F4B" w:rsidRPr="00FD7DA6" w:rsidRDefault="001E7F4B" w:rsidP="001E7F4B">
      <w:pPr>
        <w:pStyle w:val="Textoindependiente"/>
        <w:spacing w:line="276" w:lineRule="auto"/>
        <w:ind w:left="567"/>
        <w:jc w:val="both"/>
        <w:rPr>
          <w:i/>
          <w:color w:val="FF0000"/>
          <w:sz w:val="22"/>
          <w:szCs w:val="22"/>
          <w:lang w:val="es-EC" w:eastAsia="ar-SA"/>
        </w:rPr>
      </w:pPr>
      <w:r w:rsidRPr="00FD7DA6">
        <w:rPr>
          <w:i/>
          <w:color w:val="FF0000"/>
          <w:sz w:val="22"/>
          <w:szCs w:val="22"/>
          <w:lang w:val="es-EC" w:eastAsia="ar-SA"/>
        </w:rPr>
        <w:t>“Una vez elaborada la homologación y estandarización antes indicada, la Secretaría responsable del territorio, hábitat y vivienda pondrá en conocimiento de la Comisión de Uso de Suelo previo aprobación del  Concejo Metropolitano de Quito, para su respectiva incorporación.”</w:t>
      </w:r>
    </w:p>
    <w:p w:rsidR="009314E6" w:rsidRDefault="009314E6" w:rsidP="008D7F22">
      <w:pPr>
        <w:pStyle w:val="Textoindependiente"/>
        <w:spacing w:line="276" w:lineRule="auto"/>
        <w:jc w:val="both"/>
        <w:rPr>
          <w:b/>
          <w:sz w:val="22"/>
          <w:szCs w:val="22"/>
          <w:lang w:val="es-EC" w:eastAsia="ar-SA"/>
        </w:rPr>
      </w:pPr>
    </w:p>
    <w:p w:rsidR="008D7F22" w:rsidRPr="00E12079" w:rsidRDefault="008D7F22" w:rsidP="008D7F22">
      <w:pPr>
        <w:pStyle w:val="Textoindependiente"/>
        <w:spacing w:line="276" w:lineRule="auto"/>
        <w:jc w:val="both"/>
        <w:rPr>
          <w:b/>
          <w:sz w:val="22"/>
          <w:szCs w:val="22"/>
          <w:lang w:val="es-EC" w:eastAsia="ar-SA"/>
        </w:rPr>
      </w:pPr>
      <w:r w:rsidRPr="00E12079">
        <w:rPr>
          <w:b/>
          <w:sz w:val="22"/>
          <w:szCs w:val="22"/>
          <w:lang w:val="es-EC" w:eastAsia="ar-SA"/>
        </w:rPr>
        <w:t xml:space="preserve">En ejercicio de las atribuciones que le confiere los  numerales 1 y 2 del artículo  264 de la Constitución de la República; artículo 8, numerales 1 y 6 de la Ley Orgánica de Régimen del Distrito Metropolitano de </w:t>
      </w:r>
      <w:r w:rsidR="004B1411">
        <w:rPr>
          <w:b/>
          <w:sz w:val="22"/>
          <w:szCs w:val="22"/>
          <w:lang w:val="es-EC" w:eastAsia="ar-SA"/>
        </w:rPr>
        <w:t xml:space="preserve">Quito; </w:t>
      </w:r>
      <w:r w:rsidRPr="00E12079">
        <w:rPr>
          <w:b/>
          <w:sz w:val="22"/>
          <w:szCs w:val="22"/>
          <w:lang w:val="es-EC" w:eastAsia="ar-SA"/>
        </w:rPr>
        <w:t>y el artículo 57, litera</w:t>
      </w:r>
      <w:r w:rsidR="00E12079" w:rsidRPr="00E12079">
        <w:rPr>
          <w:b/>
          <w:sz w:val="22"/>
          <w:szCs w:val="22"/>
          <w:lang w:val="es-EC" w:eastAsia="ar-SA"/>
        </w:rPr>
        <w:t xml:space="preserve">l a); artículo 87, literal a); </w:t>
      </w:r>
      <w:r w:rsidRPr="00E12079">
        <w:rPr>
          <w:b/>
          <w:sz w:val="22"/>
          <w:szCs w:val="22"/>
          <w:lang w:val="es-EC" w:eastAsia="ar-SA"/>
        </w:rPr>
        <w:t>artículo</w:t>
      </w:r>
      <w:r w:rsidR="00074594" w:rsidRPr="00E12079">
        <w:rPr>
          <w:b/>
          <w:sz w:val="22"/>
          <w:szCs w:val="22"/>
          <w:lang w:val="es-EC" w:eastAsia="ar-SA"/>
        </w:rPr>
        <w:t>s</w:t>
      </w:r>
      <w:r w:rsidRPr="00E12079">
        <w:rPr>
          <w:b/>
          <w:sz w:val="22"/>
          <w:szCs w:val="22"/>
          <w:lang w:val="es-EC" w:eastAsia="ar-SA"/>
        </w:rPr>
        <w:t xml:space="preserve"> 322 </w:t>
      </w:r>
      <w:r w:rsidR="00074594" w:rsidRPr="00E12079">
        <w:rPr>
          <w:b/>
          <w:sz w:val="22"/>
          <w:szCs w:val="22"/>
          <w:lang w:val="es-EC" w:eastAsia="ar-SA"/>
        </w:rPr>
        <w:t xml:space="preserve">y 326 </w:t>
      </w:r>
      <w:r w:rsidRPr="00E12079">
        <w:rPr>
          <w:b/>
          <w:sz w:val="22"/>
          <w:szCs w:val="22"/>
          <w:lang w:val="es-EC" w:eastAsia="ar-SA"/>
        </w:rPr>
        <w:t>del Código Orgánico de Organización Territorial, Autonomía y Descentralización; letra d) del artículo 18 de la Ordenanza Metropolitana No. 172 que contiene el Régimen Administrativo del Suelo para el Distrito Metropolitano de Quito</w:t>
      </w:r>
      <w:r w:rsidR="00074594" w:rsidRPr="00E12079">
        <w:rPr>
          <w:b/>
          <w:sz w:val="22"/>
          <w:szCs w:val="22"/>
          <w:lang w:val="es-EC" w:eastAsia="ar-SA"/>
        </w:rPr>
        <w:t>; y, artículo 91, numeral 3, de la Ley Orgánica de Ordenamiento Territorial, Uso y Gestión del Suelo,</w:t>
      </w:r>
    </w:p>
    <w:p w:rsidR="00A8779D" w:rsidRPr="00E12079" w:rsidRDefault="00A8779D" w:rsidP="008D7F22">
      <w:pPr>
        <w:pStyle w:val="Textoindependiente"/>
        <w:spacing w:line="276" w:lineRule="auto"/>
        <w:jc w:val="both"/>
        <w:rPr>
          <w:b/>
          <w:sz w:val="22"/>
          <w:szCs w:val="22"/>
          <w:lang w:val="es-EC" w:eastAsia="ar-SA"/>
        </w:rPr>
      </w:pPr>
    </w:p>
    <w:p w:rsidR="008D7F22" w:rsidRPr="00E12079" w:rsidRDefault="008D7F22" w:rsidP="008D7F22">
      <w:pPr>
        <w:pStyle w:val="Textoindependiente"/>
        <w:spacing w:line="276" w:lineRule="auto"/>
        <w:jc w:val="center"/>
        <w:rPr>
          <w:b/>
          <w:sz w:val="22"/>
          <w:szCs w:val="22"/>
          <w:lang w:val="es-EC" w:eastAsia="ar-SA"/>
        </w:rPr>
      </w:pPr>
      <w:r w:rsidRPr="00E12079">
        <w:rPr>
          <w:b/>
          <w:sz w:val="22"/>
          <w:szCs w:val="22"/>
          <w:lang w:val="es-EC" w:eastAsia="ar-SA"/>
        </w:rPr>
        <w:t>EXPIDE LA SIGUIENTE:</w:t>
      </w:r>
    </w:p>
    <w:p w:rsidR="004B1411" w:rsidRPr="006D506B" w:rsidRDefault="006D506B" w:rsidP="006D506B">
      <w:pPr>
        <w:pStyle w:val="Textoindependiente"/>
        <w:tabs>
          <w:tab w:val="left" w:pos="2977"/>
        </w:tabs>
        <w:spacing w:line="276" w:lineRule="auto"/>
        <w:jc w:val="center"/>
        <w:rPr>
          <w:strike/>
          <w:color w:val="FF0000"/>
          <w:sz w:val="22"/>
          <w:szCs w:val="22"/>
        </w:rPr>
      </w:pPr>
      <w:r w:rsidRPr="006D506B">
        <w:rPr>
          <w:b/>
          <w:color w:val="FF0000"/>
          <w:sz w:val="22"/>
          <w:szCs w:val="22"/>
          <w:lang w:val="es-EC" w:eastAsia="ar-SA"/>
        </w:rPr>
        <w:t>ORDENANZA METROPOLITANA MODIFICATORIA DE LAS ORDENANZAS METROPOLITANAS No. 127,  192, 172 Y LA  060 DEL DISTRITO METROPOLITANO DE QUITO.</w:t>
      </w:r>
    </w:p>
    <w:p w:rsidR="008C6F02" w:rsidRPr="00864888" w:rsidRDefault="008C6F02" w:rsidP="008D7F22">
      <w:pPr>
        <w:pStyle w:val="Textoindependiente"/>
        <w:tabs>
          <w:tab w:val="left" w:pos="2977"/>
        </w:tabs>
        <w:spacing w:line="276" w:lineRule="auto"/>
        <w:jc w:val="both"/>
        <w:rPr>
          <w:sz w:val="22"/>
          <w:szCs w:val="22"/>
        </w:rPr>
      </w:pPr>
      <w:r w:rsidRPr="00864888">
        <w:rPr>
          <w:b/>
          <w:sz w:val="22"/>
          <w:szCs w:val="22"/>
        </w:rPr>
        <w:t xml:space="preserve">Artículo </w:t>
      </w:r>
      <w:r w:rsidR="00680C7F" w:rsidRPr="00864888">
        <w:rPr>
          <w:b/>
          <w:sz w:val="22"/>
          <w:szCs w:val="22"/>
        </w:rPr>
        <w:t>1</w:t>
      </w:r>
      <w:r w:rsidRPr="00864888">
        <w:rPr>
          <w:b/>
          <w:sz w:val="22"/>
          <w:szCs w:val="22"/>
        </w:rPr>
        <w:t xml:space="preserve">.- </w:t>
      </w:r>
      <w:r w:rsidR="00680C7F" w:rsidRPr="00864888">
        <w:rPr>
          <w:b/>
          <w:sz w:val="22"/>
          <w:szCs w:val="22"/>
        </w:rPr>
        <w:t xml:space="preserve">Sustitúyase el </w:t>
      </w:r>
      <w:r w:rsidR="00864888" w:rsidRPr="00864888">
        <w:rPr>
          <w:b/>
          <w:sz w:val="22"/>
          <w:szCs w:val="22"/>
        </w:rPr>
        <w:t>a</w:t>
      </w:r>
      <w:r w:rsidR="00680C7F" w:rsidRPr="00864888">
        <w:rPr>
          <w:b/>
          <w:sz w:val="22"/>
          <w:szCs w:val="22"/>
        </w:rPr>
        <w:t xml:space="preserve">rtículo 5 por el siguiente texto: </w:t>
      </w:r>
      <w:r w:rsidR="00680C7F" w:rsidRPr="00864888">
        <w:rPr>
          <w:sz w:val="22"/>
          <w:szCs w:val="22"/>
        </w:rPr>
        <w:t>“</w:t>
      </w:r>
      <w:r w:rsidRPr="00864888">
        <w:rPr>
          <w:b/>
          <w:sz w:val="22"/>
          <w:szCs w:val="22"/>
        </w:rPr>
        <w:t xml:space="preserve">Cumplimiento normativo.- </w:t>
      </w:r>
      <w:r w:rsidRPr="00864888">
        <w:rPr>
          <w:sz w:val="22"/>
          <w:szCs w:val="22"/>
        </w:rPr>
        <w:t>Todas las actividades económicas a desarrollarse en una edificación existente dentro de la circunscripción del Di</w:t>
      </w:r>
      <w:r w:rsidR="00E12079" w:rsidRPr="00864888">
        <w:rPr>
          <w:sz w:val="22"/>
          <w:szCs w:val="22"/>
        </w:rPr>
        <w:t xml:space="preserve">strito Metropolitano de Quito, </w:t>
      </w:r>
      <w:r w:rsidRPr="00864888">
        <w:rPr>
          <w:sz w:val="22"/>
          <w:szCs w:val="22"/>
        </w:rPr>
        <w:t>se sujetarán a las normativas naciona</w:t>
      </w:r>
      <w:r w:rsidR="00E12079" w:rsidRPr="00864888">
        <w:rPr>
          <w:sz w:val="22"/>
          <w:szCs w:val="22"/>
        </w:rPr>
        <w:t xml:space="preserve">les y metropolitanas vigentes, </w:t>
      </w:r>
      <w:r w:rsidRPr="00864888">
        <w:rPr>
          <w:sz w:val="22"/>
          <w:szCs w:val="22"/>
        </w:rPr>
        <w:t>para su correcto funcionamiento.</w:t>
      </w:r>
      <w:r w:rsidR="00680C7F" w:rsidRPr="00864888">
        <w:rPr>
          <w:sz w:val="22"/>
          <w:szCs w:val="22"/>
        </w:rPr>
        <w:t>”</w:t>
      </w:r>
    </w:p>
    <w:p w:rsidR="00E97B0B" w:rsidRPr="00E97B0B" w:rsidRDefault="008D7F22" w:rsidP="00E97B0B">
      <w:pPr>
        <w:jc w:val="both"/>
        <w:rPr>
          <w:rFonts w:ascii="Times New Roman" w:eastAsia="Times New Roman" w:hAnsi="Times New Roman" w:cs="Times New Roman"/>
          <w:bCs/>
          <w:color w:val="000000"/>
          <w:sz w:val="24"/>
          <w:szCs w:val="24"/>
          <w:lang w:eastAsia="es-EC"/>
        </w:rPr>
      </w:pPr>
      <w:r w:rsidRPr="00864888">
        <w:rPr>
          <w:b/>
        </w:rPr>
        <w:t xml:space="preserve">Artículo </w:t>
      </w:r>
      <w:r w:rsidR="00680C7F" w:rsidRPr="00864888">
        <w:rPr>
          <w:b/>
        </w:rPr>
        <w:t>2</w:t>
      </w:r>
      <w:r w:rsidRPr="00864888">
        <w:rPr>
          <w:b/>
        </w:rPr>
        <w:t xml:space="preserve">.- </w:t>
      </w:r>
      <w:r w:rsidR="00680C7F" w:rsidRPr="00E97B0B">
        <w:rPr>
          <w:rFonts w:ascii="Times New Roman" w:hAnsi="Times New Roman" w:cs="Times New Roman"/>
          <w:b/>
          <w:sz w:val="24"/>
          <w:szCs w:val="24"/>
        </w:rPr>
        <w:t>Refórmese el Artículo 6 con el siguiente texto: “</w:t>
      </w:r>
      <w:r w:rsidRPr="00E97B0B">
        <w:rPr>
          <w:rFonts w:ascii="Times New Roman" w:hAnsi="Times New Roman" w:cs="Times New Roman"/>
          <w:b/>
          <w:sz w:val="24"/>
          <w:szCs w:val="24"/>
        </w:rPr>
        <w:t xml:space="preserve">Cese de actividad y reasignaciones de usos de suelo y zonificación de los equipamientos.- </w:t>
      </w:r>
      <w:r w:rsidR="00E97B0B" w:rsidRPr="00E97B0B">
        <w:rPr>
          <w:rFonts w:ascii="Times New Roman" w:eastAsia="Times New Roman" w:hAnsi="Times New Roman" w:cs="Times New Roman"/>
          <w:bCs/>
          <w:color w:val="000000"/>
          <w:sz w:val="24"/>
          <w:szCs w:val="24"/>
          <w:lang w:eastAsia="es-EC"/>
        </w:rPr>
        <w:t xml:space="preserve">Los lotes </w:t>
      </w:r>
      <w:r w:rsidR="00E97B0B" w:rsidRPr="00E97B0B">
        <w:rPr>
          <w:rFonts w:ascii="Times New Roman" w:eastAsia="Times New Roman" w:hAnsi="Times New Roman" w:cs="Times New Roman"/>
          <w:bCs/>
          <w:color w:val="1F497D" w:themeColor="text2"/>
          <w:sz w:val="24"/>
          <w:szCs w:val="24"/>
          <w:lang w:eastAsia="es-EC"/>
        </w:rPr>
        <w:t xml:space="preserve">de </w:t>
      </w:r>
      <w:r w:rsidR="00E97B0B" w:rsidRPr="00E97B0B">
        <w:rPr>
          <w:rFonts w:ascii="Times New Roman" w:eastAsia="Times New Roman" w:hAnsi="Times New Roman" w:cs="Times New Roman"/>
          <w:bCs/>
          <w:color w:val="FF0000"/>
          <w:sz w:val="24"/>
          <w:szCs w:val="24"/>
          <w:lang w:eastAsia="es-EC"/>
        </w:rPr>
        <w:t>dominio público y privado</w:t>
      </w:r>
      <w:r w:rsidR="00E97B0B" w:rsidRPr="00E97B0B">
        <w:rPr>
          <w:rFonts w:ascii="Times New Roman" w:eastAsia="Times New Roman" w:hAnsi="Times New Roman" w:cs="Times New Roman"/>
          <w:bCs/>
          <w:color w:val="000000"/>
          <w:sz w:val="24"/>
          <w:szCs w:val="24"/>
          <w:lang w:eastAsia="es-EC"/>
        </w:rPr>
        <w:t xml:space="preserve"> con uso de suelo principal de equipamiento, en los cuales hayan cesado las actividades </w:t>
      </w:r>
      <w:r w:rsidR="00E97B0B" w:rsidRPr="00E97B0B">
        <w:rPr>
          <w:rFonts w:ascii="Times New Roman" w:eastAsia="Times New Roman" w:hAnsi="Times New Roman" w:cs="Times New Roman"/>
          <w:bCs/>
          <w:color w:val="1F497D" w:themeColor="text2"/>
          <w:sz w:val="24"/>
          <w:szCs w:val="24"/>
          <w:lang w:eastAsia="es-EC"/>
        </w:rPr>
        <w:t xml:space="preserve">o </w:t>
      </w:r>
      <w:r w:rsidR="00E97B0B" w:rsidRPr="00E97B0B">
        <w:rPr>
          <w:rFonts w:ascii="Times New Roman" w:eastAsia="Times New Roman" w:hAnsi="Times New Roman" w:cs="Times New Roman"/>
          <w:bCs/>
          <w:color w:val="FF0000"/>
          <w:sz w:val="24"/>
          <w:szCs w:val="24"/>
          <w:lang w:eastAsia="es-EC"/>
        </w:rPr>
        <w:t>se prevea su traslado</w:t>
      </w:r>
      <w:r w:rsidR="00E97B0B" w:rsidRPr="00E97B0B">
        <w:rPr>
          <w:rFonts w:ascii="Times New Roman" w:eastAsia="Times New Roman" w:hAnsi="Times New Roman" w:cs="Times New Roman"/>
          <w:bCs/>
          <w:color w:val="000000"/>
          <w:sz w:val="24"/>
          <w:szCs w:val="24"/>
          <w:lang w:eastAsia="es-EC"/>
        </w:rPr>
        <w:t xml:space="preserve">, deberán presentar  el informe que indique el cese </w:t>
      </w:r>
      <w:r w:rsidR="00E97B0B" w:rsidRPr="00E97B0B">
        <w:rPr>
          <w:rFonts w:ascii="Times New Roman" w:eastAsia="Times New Roman" w:hAnsi="Times New Roman" w:cs="Times New Roman"/>
          <w:bCs/>
          <w:color w:val="FF0000"/>
          <w:sz w:val="24"/>
          <w:szCs w:val="24"/>
          <w:lang w:eastAsia="es-EC"/>
        </w:rPr>
        <w:t>o traslado</w:t>
      </w:r>
      <w:r w:rsidR="00E97B0B" w:rsidRPr="00E97B0B">
        <w:rPr>
          <w:rFonts w:ascii="Times New Roman" w:eastAsia="Times New Roman" w:hAnsi="Times New Roman" w:cs="Times New Roman"/>
          <w:bCs/>
          <w:color w:val="000000"/>
          <w:sz w:val="24"/>
          <w:szCs w:val="24"/>
          <w:lang w:eastAsia="es-EC"/>
        </w:rPr>
        <w:t xml:space="preserve"> de </w:t>
      </w:r>
      <w:r w:rsidR="00E97B0B" w:rsidRPr="00E97B0B">
        <w:rPr>
          <w:rFonts w:ascii="Times New Roman" w:eastAsia="Times New Roman" w:hAnsi="Times New Roman" w:cs="Times New Roman"/>
          <w:bCs/>
          <w:color w:val="FF0000"/>
          <w:sz w:val="24"/>
          <w:szCs w:val="24"/>
          <w:lang w:eastAsia="es-EC"/>
        </w:rPr>
        <w:t>la</w:t>
      </w:r>
      <w:r w:rsidR="00E97B0B" w:rsidRPr="00E97B0B">
        <w:rPr>
          <w:rFonts w:ascii="Times New Roman" w:eastAsia="Times New Roman" w:hAnsi="Times New Roman" w:cs="Times New Roman"/>
          <w:bCs/>
          <w:color w:val="000000"/>
          <w:sz w:val="24"/>
          <w:szCs w:val="24"/>
          <w:lang w:eastAsia="es-EC"/>
        </w:rPr>
        <w:t xml:space="preserve"> </w:t>
      </w:r>
      <w:r w:rsidR="00E97B0B" w:rsidRPr="00E97B0B">
        <w:rPr>
          <w:rFonts w:ascii="Times New Roman" w:eastAsia="Times New Roman" w:hAnsi="Times New Roman" w:cs="Times New Roman"/>
          <w:bCs/>
          <w:strike/>
          <w:color w:val="000000"/>
          <w:sz w:val="24"/>
          <w:szCs w:val="24"/>
          <w:lang w:eastAsia="es-EC"/>
        </w:rPr>
        <w:t>dicha</w:t>
      </w:r>
      <w:r w:rsidR="00E97B0B" w:rsidRPr="00E97B0B">
        <w:rPr>
          <w:rFonts w:ascii="Times New Roman" w:eastAsia="Times New Roman" w:hAnsi="Times New Roman" w:cs="Times New Roman"/>
          <w:bCs/>
          <w:color w:val="000000"/>
          <w:sz w:val="24"/>
          <w:szCs w:val="24"/>
          <w:lang w:eastAsia="es-EC"/>
        </w:rPr>
        <w:t xml:space="preserve"> actividad por parte de la autoridad competente y podrán solicitar a la municipalidad el cambio de asignaciones de uso de suelo y zonificación, aplicando las  que correspondan a  su entorno inmediato.</w:t>
      </w:r>
    </w:p>
    <w:p w:rsidR="00E97B0B" w:rsidRPr="00E97B0B" w:rsidRDefault="00E97B0B" w:rsidP="00E97B0B">
      <w:pPr>
        <w:jc w:val="both"/>
        <w:rPr>
          <w:rFonts w:ascii="Times New Roman" w:eastAsia="Times New Roman" w:hAnsi="Times New Roman" w:cs="Times New Roman"/>
          <w:bCs/>
          <w:color w:val="000000"/>
          <w:sz w:val="24"/>
          <w:szCs w:val="24"/>
          <w:lang w:eastAsia="es-EC"/>
        </w:rPr>
      </w:pPr>
      <w:r w:rsidRPr="00E97B0B">
        <w:rPr>
          <w:rFonts w:ascii="Times New Roman" w:eastAsia="Times New Roman" w:hAnsi="Times New Roman" w:cs="Times New Roman"/>
          <w:bCs/>
          <w:color w:val="000000"/>
          <w:sz w:val="24"/>
          <w:szCs w:val="24"/>
          <w:lang w:eastAsia="es-EC"/>
        </w:rPr>
        <w:lastRenderedPageBreak/>
        <w:t>La Secretaria responsable del territorio, hábitat y vivienda, establecerá las condiciones de esta disposición a través de un informe motivado que será conocido y aprobado por la Comisión de Uso de Suelo y el Concejo Metropolitano de Quito.”</w:t>
      </w:r>
    </w:p>
    <w:p w:rsidR="00382782" w:rsidRPr="00864888" w:rsidRDefault="00680C7F" w:rsidP="00E97B0B">
      <w:pPr>
        <w:pStyle w:val="Textoindependiente"/>
        <w:tabs>
          <w:tab w:val="left" w:pos="2977"/>
        </w:tabs>
        <w:spacing w:line="276" w:lineRule="auto"/>
        <w:jc w:val="both"/>
        <w:rPr>
          <w:highlight w:val="yellow"/>
        </w:rPr>
      </w:pPr>
      <w:r w:rsidRPr="00864888">
        <w:rPr>
          <w:b/>
        </w:rPr>
        <w:t>Artículo 3.- Incorpórese una Disposición General con el siguiente texto:</w:t>
      </w:r>
      <w:r w:rsidR="008D7F22" w:rsidRPr="00864888">
        <w:rPr>
          <w:b/>
        </w:rPr>
        <w:t xml:space="preserve"> </w:t>
      </w:r>
      <w:r w:rsidRPr="00864888">
        <w:rPr>
          <w:b/>
        </w:rPr>
        <w:t>“</w:t>
      </w:r>
      <w:r w:rsidR="003717FB" w:rsidRPr="00864888">
        <w:rPr>
          <w:b/>
        </w:rPr>
        <w:t xml:space="preserve">Cuarta.- </w:t>
      </w:r>
      <w:r w:rsidR="008D7F22" w:rsidRPr="00864888">
        <w:rPr>
          <w:b/>
        </w:rPr>
        <w:t xml:space="preserve">Actividades económicas preexistentes en uso de suelo prohibido.- </w:t>
      </w:r>
      <w:r w:rsidR="00FB231B" w:rsidRPr="00864888">
        <w:t>L</w:t>
      </w:r>
      <w:r w:rsidR="00EC074D" w:rsidRPr="00864888">
        <w:t xml:space="preserve">as actividades económicas </w:t>
      </w:r>
      <w:r w:rsidR="004603F2" w:rsidRPr="00864888">
        <w:t>correspondientes</w:t>
      </w:r>
      <w:r w:rsidR="00EC074D" w:rsidRPr="00864888">
        <w:t xml:space="preserve"> </w:t>
      </w:r>
      <w:r w:rsidR="004603F2" w:rsidRPr="00864888">
        <w:t>a</w:t>
      </w:r>
      <w:r w:rsidR="00EC074D" w:rsidRPr="00864888">
        <w:t xml:space="preserve"> las diferentes tipologías, que de acuerdo al uso de suelo vigente sean incompatibles</w:t>
      </w:r>
      <w:r w:rsidR="00DF1D70" w:rsidRPr="00864888">
        <w:t xml:space="preserve"> y/o no cumplan condiciones de implantación</w:t>
      </w:r>
      <w:r w:rsidR="00382782" w:rsidRPr="00864888">
        <w:t xml:space="preserve">, </w:t>
      </w:r>
      <w:r w:rsidR="00EC074D" w:rsidRPr="00864888">
        <w:t>de conformidad con lo previsto en el PUOS, podrán permanecer en su ubicación actual, siempre y cuando cumplan al menos una de las condiciones señaladas a continuación:</w:t>
      </w:r>
      <w:r w:rsidR="00382782" w:rsidRPr="00864888">
        <w:t xml:space="preserve"> </w:t>
      </w:r>
    </w:p>
    <w:p w:rsidR="00EC074D" w:rsidRPr="00E12079" w:rsidRDefault="00EC074D" w:rsidP="00EC697A">
      <w:pPr>
        <w:pStyle w:val="Textoindependiente"/>
        <w:tabs>
          <w:tab w:val="left" w:pos="2977"/>
        </w:tabs>
        <w:spacing w:line="276" w:lineRule="auto"/>
        <w:jc w:val="both"/>
        <w:rPr>
          <w:strike/>
          <w:color w:val="000000" w:themeColor="text1"/>
          <w:sz w:val="22"/>
          <w:szCs w:val="22"/>
        </w:rPr>
      </w:pPr>
      <w:r w:rsidRPr="00E12079">
        <w:rPr>
          <w:b/>
          <w:color w:val="000000" w:themeColor="text1"/>
          <w:sz w:val="22"/>
          <w:szCs w:val="22"/>
        </w:rPr>
        <w:t xml:space="preserve">a) </w:t>
      </w:r>
      <w:r w:rsidRPr="00E12079">
        <w:rPr>
          <w:color w:val="000000" w:themeColor="text1"/>
          <w:sz w:val="22"/>
          <w:szCs w:val="22"/>
        </w:rPr>
        <w:t xml:space="preserve">Haber obtenido una o más autorizaciones de cualquier autoridad pública competente para emitir permisos de funcionamiento, que evidencien que han venido realizando la misma actividad económica con anterioridad al año 2012, en el mismo </w:t>
      </w:r>
      <w:r w:rsidRPr="00864888">
        <w:rPr>
          <w:sz w:val="22"/>
          <w:szCs w:val="22"/>
        </w:rPr>
        <w:t>lote</w:t>
      </w:r>
      <w:r w:rsidR="00D658D1" w:rsidRPr="00864888">
        <w:rPr>
          <w:sz w:val="22"/>
          <w:szCs w:val="22"/>
        </w:rPr>
        <w:t xml:space="preserve"> o </w:t>
      </w:r>
      <w:r w:rsidRPr="00E12079">
        <w:rPr>
          <w:color w:val="000000" w:themeColor="text1"/>
          <w:sz w:val="22"/>
          <w:szCs w:val="22"/>
        </w:rPr>
        <w:t>predio</w:t>
      </w:r>
      <w:r w:rsidR="00864888">
        <w:rPr>
          <w:color w:val="000000" w:themeColor="text1"/>
          <w:sz w:val="22"/>
          <w:szCs w:val="22"/>
        </w:rPr>
        <w:t>.</w:t>
      </w:r>
    </w:p>
    <w:p w:rsidR="00D658D1" w:rsidRPr="00864888" w:rsidRDefault="00EC074D" w:rsidP="00EC697A">
      <w:pPr>
        <w:pStyle w:val="Textoindependiente"/>
        <w:tabs>
          <w:tab w:val="left" w:pos="2977"/>
        </w:tabs>
        <w:spacing w:line="276" w:lineRule="auto"/>
        <w:jc w:val="both"/>
        <w:rPr>
          <w:sz w:val="22"/>
          <w:szCs w:val="22"/>
        </w:rPr>
      </w:pPr>
      <w:r w:rsidRPr="00864888">
        <w:rPr>
          <w:b/>
          <w:sz w:val="22"/>
          <w:szCs w:val="22"/>
        </w:rPr>
        <w:t xml:space="preserve">b) </w:t>
      </w:r>
      <w:r w:rsidRPr="00864888">
        <w:rPr>
          <w:sz w:val="22"/>
          <w:szCs w:val="22"/>
        </w:rPr>
        <w:t xml:space="preserve">Haber obtenido una o más licencias metropolitanas </w:t>
      </w:r>
      <w:r w:rsidR="00485379" w:rsidRPr="00864888">
        <w:rPr>
          <w:sz w:val="22"/>
          <w:szCs w:val="22"/>
        </w:rPr>
        <w:t>únicas para actividades económicas (LUAE)</w:t>
      </w:r>
      <w:r w:rsidR="003717FB" w:rsidRPr="00864888">
        <w:rPr>
          <w:sz w:val="22"/>
          <w:szCs w:val="22"/>
        </w:rPr>
        <w:t xml:space="preserve"> en el período comprendido entre </w:t>
      </w:r>
      <w:r w:rsidR="00864888" w:rsidRPr="00864888">
        <w:rPr>
          <w:sz w:val="22"/>
          <w:szCs w:val="22"/>
        </w:rPr>
        <w:t>e</w:t>
      </w:r>
      <w:r w:rsidR="003717FB" w:rsidRPr="00864888">
        <w:rPr>
          <w:sz w:val="22"/>
          <w:szCs w:val="22"/>
        </w:rPr>
        <w:t xml:space="preserve">nero </w:t>
      </w:r>
      <w:r w:rsidR="00864888" w:rsidRPr="00864888">
        <w:rPr>
          <w:sz w:val="22"/>
          <w:szCs w:val="22"/>
        </w:rPr>
        <w:t xml:space="preserve">de </w:t>
      </w:r>
      <w:r w:rsidR="003717FB" w:rsidRPr="00864888">
        <w:rPr>
          <w:sz w:val="22"/>
          <w:szCs w:val="22"/>
        </w:rPr>
        <w:t>2012 y la fecha de sanción de la presente Ordenanza</w:t>
      </w:r>
      <w:r w:rsidR="00485379" w:rsidRPr="00864888">
        <w:rPr>
          <w:sz w:val="22"/>
          <w:szCs w:val="22"/>
        </w:rPr>
        <w:t xml:space="preserve">, </w:t>
      </w:r>
      <w:r w:rsidR="00D658D1" w:rsidRPr="00864888">
        <w:rPr>
          <w:sz w:val="22"/>
          <w:szCs w:val="22"/>
        </w:rPr>
        <w:t>que evidencien que han venido realizando la misma actividad económica, en el mismo lote o predio</w:t>
      </w:r>
      <w:r w:rsidR="003717FB" w:rsidRPr="00864888">
        <w:rPr>
          <w:sz w:val="22"/>
          <w:szCs w:val="22"/>
        </w:rPr>
        <w:t>.</w:t>
      </w:r>
      <w:r w:rsidR="00DF1D70" w:rsidRPr="00864888">
        <w:rPr>
          <w:sz w:val="22"/>
          <w:szCs w:val="22"/>
        </w:rPr>
        <w:t xml:space="preserve"> </w:t>
      </w:r>
    </w:p>
    <w:p w:rsidR="00CA4DDA" w:rsidRPr="004B1411" w:rsidRDefault="00671FD2" w:rsidP="00CA4DDA">
      <w:pPr>
        <w:jc w:val="both"/>
        <w:rPr>
          <w:rFonts w:ascii="Times New Roman" w:hAnsi="Times New Roman" w:cs="Times New Roman"/>
        </w:rPr>
      </w:pPr>
      <w:r w:rsidRPr="00864888">
        <w:rPr>
          <w:rFonts w:ascii="Times New Roman" w:hAnsi="Times New Roman" w:cs="Times New Roman"/>
        </w:rPr>
        <w:t xml:space="preserve">Para el caso de las actividades económicas de tipología CM1A incompatibles con el uso de suelo, que </w:t>
      </w:r>
      <w:r w:rsidR="003717FB" w:rsidRPr="00864888">
        <w:rPr>
          <w:rFonts w:ascii="Times New Roman" w:hAnsi="Times New Roman" w:cs="Times New Roman"/>
        </w:rPr>
        <w:t>demuestren</w:t>
      </w:r>
      <w:r w:rsidRPr="00864888">
        <w:rPr>
          <w:rFonts w:ascii="Times New Roman" w:hAnsi="Times New Roman" w:cs="Times New Roman"/>
        </w:rPr>
        <w:t xml:space="preserve"> su preexistencia conforme a </w:t>
      </w:r>
      <w:r w:rsidR="003717FB" w:rsidRPr="00864888">
        <w:rPr>
          <w:rFonts w:ascii="Times New Roman" w:hAnsi="Times New Roman" w:cs="Times New Roman"/>
        </w:rPr>
        <w:t>lo establecido en</w:t>
      </w:r>
      <w:r w:rsidRPr="00864888">
        <w:rPr>
          <w:rFonts w:ascii="Times New Roman" w:hAnsi="Times New Roman" w:cs="Times New Roman"/>
        </w:rPr>
        <w:t xml:space="preserve"> los literales a) o b) de esta Disposición General, podrán acogerse al procedimiento especial de licenciamiento a cargo de la Secretaría responsable del territorio, hábitat y vivienda y obtener la LUAE, previ</w:t>
      </w:r>
      <w:r w:rsidR="007D4393" w:rsidRPr="00864888">
        <w:rPr>
          <w:rFonts w:ascii="Times New Roman" w:hAnsi="Times New Roman" w:cs="Times New Roman"/>
        </w:rPr>
        <w:t>o a</w:t>
      </w:r>
      <w:r w:rsidRPr="00864888">
        <w:rPr>
          <w:rFonts w:ascii="Times New Roman" w:hAnsi="Times New Roman" w:cs="Times New Roman"/>
        </w:rPr>
        <w:t xml:space="preserve"> la verificación del cumplimiento de lo establecido en la Disposición General </w:t>
      </w:r>
      <w:r w:rsidR="007D4393" w:rsidRPr="00864888">
        <w:rPr>
          <w:rFonts w:ascii="Times New Roman" w:hAnsi="Times New Roman" w:cs="Times New Roman"/>
        </w:rPr>
        <w:t>Quinta del presente texto normativo</w:t>
      </w:r>
      <w:r w:rsidRPr="004B1411">
        <w:rPr>
          <w:rFonts w:ascii="Times New Roman" w:hAnsi="Times New Roman" w:cs="Times New Roman"/>
        </w:rPr>
        <w:t>.</w:t>
      </w:r>
    </w:p>
    <w:p w:rsidR="008D7F22" w:rsidRPr="00864888" w:rsidRDefault="00CA4DDA" w:rsidP="00CA4DDA">
      <w:pPr>
        <w:jc w:val="both"/>
        <w:rPr>
          <w:rFonts w:ascii="Times New Roman" w:hAnsi="Times New Roman" w:cs="Times New Roman"/>
        </w:rPr>
      </w:pPr>
      <w:r w:rsidRPr="00864888">
        <w:rPr>
          <w:rFonts w:ascii="Times New Roman" w:hAnsi="Times New Roman" w:cs="Times New Roman"/>
          <w:b/>
        </w:rPr>
        <w:t>A</w:t>
      </w:r>
      <w:r w:rsidRPr="00864888">
        <w:rPr>
          <w:rFonts w:ascii="Times New Roman" w:eastAsia="Arial Unicode MS" w:hAnsi="Times New Roman" w:cs="Times New Roman"/>
          <w:b/>
          <w:lang w:eastAsia="es-EC"/>
        </w:rPr>
        <w:t xml:space="preserve">rtículo 4.- </w:t>
      </w:r>
      <w:r w:rsidR="006A0D6F" w:rsidRPr="00864888">
        <w:rPr>
          <w:rFonts w:ascii="Times New Roman" w:hAnsi="Times New Roman" w:cs="Times New Roman"/>
          <w:b/>
        </w:rPr>
        <w:t>Incorpórese una Disposición General con el siguiente texto</w:t>
      </w:r>
      <w:r w:rsidRPr="00864888">
        <w:rPr>
          <w:rFonts w:ascii="Times New Roman" w:eastAsia="Arial Unicode MS" w:hAnsi="Times New Roman" w:cs="Times New Roman"/>
          <w:b/>
          <w:lang w:eastAsia="es-EC"/>
        </w:rPr>
        <w:t>: “</w:t>
      </w:r>
      <w:r w:rsidR="00797ABA" w:rsidRPr="00864888">
        <w:rPr>
          <w:rFonts w:ascii="Times New Roman" w:eastAsia="Arial Unicode MS" w:hAnsi="Times New Roman" w:cs="Times New Roman"/>
          <w:b/>
          <w:lang w:val="es-ES_tradnl" w:eastAsia="es-EC"/>
        </w:rPr>
        <w:t>Quinta</w:t>
      </w:r>
      <w:r w:rsidR="008D7F22" w:rsidRPr="00864888">
        <w:rPr>
          <w:rFonts w:ascii="Times New Roman" w:eastAsia="Arial Unicode MS" w:hAnsi="Times New Roman" w:cs="Times New Roman"/>
          <w:b/>
          <w:lang w:val="es-ES_tradnl" w:eastAsia="es-EC"/>
        </w:rPr>
        <w:t xml:space="preserve">.- </w:t>
      </w:r>
      <w:r w:rsidR="008D7F22" w:rsidRPr="00864888">
        <w:rPr>
          <w:rFonts w:ascii="Times New Roman" w:eastAsia="Arial Unicode MS" w:hAnsi="Times New Roman" w:cs="Times New Roman"/>
          <w:lang w:val="es-ES_tradnl" w:eastAsia="es-EC"/>
        </w:rPr>
        <w:t xml:space="preserve">Los establecimientos que se encuentren dentro de la </w:t>
      </w:r>
      <w:r w:rsidR="00DF1D70" w:rsidRPr="00864888">
        <w:rPr>
          <w:rFonts w:ascii="Times New Roman" w:eastAsia="Arial Unicode MS" w:hAnsi="Times New Roman" w:cs="Times New Roman"/>
          <w:lang w:val="es-ES_tradnl" w:eastAsia="es-EC"/>
        </w:rPr>
        <w:t>D</w:t>
      </w:r>
      <w:r w:rsidR="008D7F22" w:rsidRPr="00864888">
        <w:rPr>
          <w:rFonts w:ascii="Times New Roman" w:eastAsia="Arial Unicode MS" w:hAnsi="Times New Roman" w:cs="Times New Roman"/>
          <w:lang w:val="es-ES_tradnl" w:eastAsia="es-EC"/>
        </w:rPr>
        <w:t xml:space="preserve">isposición </w:t>
      </w:r>
      <w:r w:rsidR="00DF1D70" w:rsidRPr="00864888">
        <w:rPr>
          <w:rFonts w:ascii="Times New Roman" w:eastAsia="Arial Unicode MS" w:hAnsi="Times New Roman" w:cs="Times New Roman"/>
          <w:lang w:val="es-ES_tradnl" w:eastAsia="es-EC"/>
        </w:rPr>
        <w:t>General Cuarta</w:t>
      </w:r>
      <w:r w:rsidR="008D7F22" w:rsidRPr="00864888">
        <w:rPr>
          <w:rFonts w:ascii="Times New Roman" w:eastAsia="Arial Unicode MS" w:hAnsi="Times New Roman" w:cs="Times New Roman"/>
          <w:lang w:val="es-ES_tradnl" w:eastAsia="es-EC"/>
        </w:rPr>
        <w:t xml:space="preserve">, previo a la obtención de la licencia, deberán cumplir con lo siguiente: </w:t>
      </w:r>
    </w:p>
    <w:p w:rsidR="008D7F22" w:rsidRPr="00E12079" w:rsidRDefault="007D290F" w:rsidP="008D7F22">
      <w:pPr>
        <w:pStyle w:val="Prrafodelista"/>
        <w:widowControl/>
        <w:numPr>
          <w:ilvl w:val="0"/>
          <w:numId w:val="5"/>
        </w:numPr>
        <w:tabs>
          <w:tab w:val="left" w:pos="2977"/>
        </w:tabs>
        <w:suppressAutoHyphens w:val="0"/>
        <w:autoSpaceDE w:val="0"/>
        <w:autoSpaceDN w:val="0"/>
        <w:adjustRightInd w:val="0"/>
        <w:spacing w:after="120" w:line="276" w:lineRule="auto"/>
        <w:ind w:left="709"/>
        <w:contextualSpacing/>
        <w:jc w:val="both"/>
        <w:rPr>
          <w:sz w:val="22"/>
          <w:szCs w:val="22"/>
        </w:rPr>
      </w:pPr>
      <w:r w:rsidRPr="00864888">
        <w:rPr>
          <w:sz w:val="22"/>
          <w:szCs w:val="22"/>
        </w:rPr>
        <w:t>N</w:t>
      </w:r>
      <w:r w:rsidR="008D7F22" w:rsidRPr="00864888">
        <w:rPr>
          <w:sz w:val="22"/>
          <w:szCs w:val="22"/>
        </w:rPr>
        <w:t xml:space="preserve">ormas administrativas y Reglas Técnicas previstas en la Ordenanza Metropolitana que establece el Régimen Administrativo </w:t>
      </w:r>
      <w:r w:rsidR="008D7F22" w:rsidRPr="00E12079">
        <w:rPr>
          <w:sz w:val="22"/>
          <w:szCs w:val="22"/>
        </w:rPr>
        <w:t>de las Licencias Metropolitanas y, en particular, de la Licencia Metropolitana Única para el Ejercicio de Actividades Económicas en el Distrito Metropolitano de Quito (LUAE), con excepción de la compatibilidad de uso del suelo.</w:t>
      </w:r>
    </w:p>
    <w:p w:rsidR="00FB231B" w:rsidRPr="00E12079" w:rsidRDefault="00FB231B" w:rsidP="00FB231B">
      <w:pPr>
        <w:pStyle w:val="Prrafodelista"/>
        <w:widowControl/>
        <w:tabs>
          <w:tab w:val="left" w:pos="2977"/>
        </w:tabs>
        <w:suppressAutoHyphens w:val="0"/>
        <w:autoSpaceDE w:val="0"/>
        <w:autoSpaceDN w:val="0"/>
        <w:adjustRightInd w:val="0"/>
        <w:spacing w:after="120" w:line="276" w:lineRule="auto"/>
        <w:ind w:left="709"/>
        <w:contextualSpacing/>
        <w:jc w:val="both"/>
        <w:rPr>
          <w:sz w:val="22"/>
          <w:szCs w:val="22"/>
        </w:rPr>
      </w:pPr>
    </w:p>
    <w:p w:rsidR="00671FD2" w:rsidRDefault="00671FD2" w:rsidP="00671FD2">
      <w:pPr>
        <w:pStyle w:val="Prrafodelista"/>
        <w:widowControl/>
        <w:numPr>
          <w:ilvl w:val="0"/>
          <w:numId w:val="5"/>
        </w:numPr>
        <w:tabs>
          <w:tab w:val="left" w:pos="2977"/>
        </w:tabs>
        <w:suppressAutoHyphens w:val="0"/>
        <w:autoSpaceDE w:val="0"/>
        <w:autoSpaceDN w:val="0"/>
        <w:adjustRightInd w:val="0"/>
        <w:spacing w:after="120" w:line="276" w:lineRule="auto"/>
        <w:ind w:left="709"/>
        <w:contextualSpacing/>
        <w:jc w:val="both"/>
        <w:rPr>
          <w:sz w:val="22"/>
          <w:szCs w:val="22"/>
        </w:rPr>
      </w:pPr>
      <w:r w:rsidRPr="00864888">
        <w:rPr>
          <w:sz w:val="22"/>
          <w:szCs w:val="22"/>
        </w:rPr>
        <w:t xml:space="preserve">Cumplir con las normas y requisitos establecidos en </w:t>
      </w:r>
      <w:r w:rsidR="007D290F" w:rsidRPr="00864888">
        <w:rPr>
          <w:sz w:val="22"/>
          <w:szCs w:val="22"/>
        </w:rPr>
        <w:t>el</w:t>
      </w:r>
      <w:r w:rsidRPr="00864888">
        <w:rPr>
          <w:sz w:val="22"/>
          <w:szCs w:val="22"/>
        </w:rPr>
        <w:t xml:space="preserve"> </w:t>
      </w:r>
      <w:r w:rsidR="007D290F" w:rsidRPr="00864888">
        <w:rPr>
          <w:sz w:val="22"/>
          <w:szCs w:val="22"/>
        </w:rPr>
        <w:t>r</w:t>
      </w:r>
      <w:r w:rsidRPr="00864888">
        <w:rPr>
          <w:sz w:val="22"/>
          <w:szCs w:val="22"/>
        </w:rPr>
        <w:t>eglamento e</w:t>
      </w:r>
      <w:r w:rsidR="007D290F" w:rsidRPr="00864888">
        <w:rPr>
          <w:sz w:val="22"/>
          <w:szCs w:val="22"/>
        </w:rPr>
        <w:t>laborado</w:t>
      </w:r>
      <w:r w:rsidRPr="00864888">
        <w:rPr>
          <w:sz w:val="22"/>
          <w:szCs w:val="22"/>
        </w:rPr>
        <w:t xml:space="preserve"> por la Secretaría responsable del territorio, hábitat y vivienda</w:t>
      </w:r>
      <w:r w:rsidR="007D290F" w:rsidRPr="00864888">
        <w:rPr>
          <w:sz w:val="22"/>
          <w:szCs w:val="22"/>
        </w:rPr>
        <w:t xml:space="preserve">, en coordinación con las entidades municipales competentes, </w:t>
      </w:r>
      <w:r w:rsidRPr="00864888">
        <w:rPr>
          <w:sz w:val="22"/>
          <w:szCs w:val="22"/>
        </w:rPr>
        <w:t xml:space="preserve"> en el que se establecen </w:t>
      </w:r>
      <w:r w:rsidR="00F31371" w:rsidRPr="00864888">
        <w:rPr>
          <w:sz w:val="22"/>
          <w:szCs w:val="22"/>
        </w:rPr>
        <w:t xml:space="preserve">las </w:t>
      </w:r>
      <w:r w:rsidRPr="00864888">
        <w:rPr>
          <w:sz w:val="22"/>
          <w:szCs w:val="22"/>
        </w:rPr>
        <w:t>condiciones técnicas requeridas en materia de arquitectura y urbanismo</w:t>
      </w:r>
      <w:r w:rsidR="007D290F" w:rsidRPr="00864888">
        <w:rPr>
          <w:sz w:val="22"/>
          <w:szCs w:val="22"/>
        </w:rPr>
        <w:t>, seguridad, salud, movilidad</w:t>
      </w:r>
      <w:r w:rsidR="00700ADC" w:rsidRPr="00864888">
        <w:rPr>
          <w:sz w:val="22"/>
          <w:szCs w:val="22"/>
        </w:rPr>
        <w:t xml:space="preserve"> y </w:t>
      </w:r>
      <w:r w:rsidRPr="00864888">
        <w:rPr>
          <w:sz w:val="22"/>
          <w:szCs w:val="22"/>
        </w:rPr>
        <w:t>turismo.</w:t>
      </w:r>
    </w:p>
    <w:p w:rsidR="006C3295" w:rsidRPr="006C3295" w:rsidRDefault="006C3295" w:rsidP="006C3295">
      <w:pPr>
        <w:pStyle w:val="Prrafodelista"/>
        <w:rPr>
          <w:sz w:val="22"/>
          <w:szCs w:val="22"/>
        </w:rPr>
      </w:pPr>
    </w:p>
    <w:p w:rsidR="00E40543" w:rsidRPr="006C3295" w:rsidRDefault="006C3295" w:rsidP="006C3295">
      <w:pPr>
        <w:pStyle w:val="Prrafodelista"/>
        <w:widowControl/>
        <w:numPr>
          <w:ilvl w:val="0"/>
          <w:numId w:val="5"/>
        </w:numPr>
        <w:tabs>
          <w:tab w:val="left" w:pos="2977"/>
        </w:tabs>
        <w:suppressAutoHyphens w:val="0"/>
        <w:autoSpaceDE w:val="0"/>
        <w:autoSpaceDN w:val="0"/>
        <w:adjustRightInd w:val="0"/>
        <w:spacing w:after="120" w:line="276" w:lineRule="auto"/>
        <w:ind w:left="709"/>
        <w:contextualSpacing/>
        <w:jc w:val="both"/>
        <w:rPr>
          <w:color w:val="FF0000"/>
          <w:sz w:val="22"/>
          <w:szCs w:val="22"/>
        </w:rPr>
      </w:pPr>
      <w:r w:rsidRPr="006C3295">
        <w:rPr>
          <w:sz w:val="22"/>
          <w:szCs w:val="22"/>
        </w:rPr>
        <w:t>Para</w:t>
      </w:r>
      <w:r w:rsidR="00C80088" w:rsidRPr="006C3295">
        <w:rPr>
          <w:sz w:val="22"/>
          <w:szCs w:val="22"/>
        </w:rPr>
        <w:t xml:space="preserve"> los establecimientos de tipología CM1A</w:t>
      </w:r>
      <w:r w:rsidR="00700ADC" w:rsidRPr="006C3295">
        <w:rPr>
          <w:sz w:val="22"/>
          <w:szCs w:val="22"/>
        </w:rPr>
        <w:t>,</w:t>
      </w:r>
      <w:r w:rsidR="00C80088" w:rsidRPr="006C3295">
        <w:rPr>
          <w:sz w:val="22"/>
          <w:szCs w:val="22"/>
        </w:rPr>
        <w:t xml:space="preserve"> incompatibles con el uso de </w:t>
      </w:r>
      <w:r w:rsidR="00700ADC" w:rsidRPr="006C3295">
        <w:rPr>
          <w:sz w:val="22"/>
          <w:szCs w:val="22"/>
        </w:rPr>
        <w:t>suelo,</w:t>
      </w:r>
      <w:r w:rsidR="00C80088" w:rsidRPr="006C3295">
        <w:rPr>
          <w:sz w:val="22"/>
          <w:szCs w:val="22"/>
        </w:rPr>
        <w:t xml:space="preserve"> deberán c</w:t>
      </w:r>
      <w:r w:rsidR="00E40543" w:rsidRPr="006C3295">
        <w:rPr>
          <w:sz w:val="22"/>
          <w:szCs w:val="22"/>
        </w:rPr>
        <w:t xml:space="preserve">umplir con las normas y requisitos establecidos en el reglamento que será elaborado por la Secretaría responsable del territorio, hábitat y vivienda, en coordinación con las entidades municipales competentes,  en el que se establecerán las condiciones técnicas requeridas en materia de arquitectura y urbanismo, seguridad, salud, movilidad. Además presentarán un plan </w:t>
      </w:r>
      <w:r w:rsidR="00184EE8" w:rsidRPr="006C3295">
        <w:rPr>
          <w:sz w:val="22"/>
          <w:szCs w:val="22"/>
        </w:rPr>
        <w:t xml:space="preserve">de </w:t>
      </w:r>
      <w:r w:rsidR="00E40543" w:rsidRPr="006C3295">
        <w:rPr>
          <w:sz w:val="22"/>
          <w:szCs w:val="22"/>
        </w:rPr>
        <w:t>convivencia</w:t>
      </w:r>
      <w:r w:rsidR="00F43293" w:rsidRPr="006C3295">
        <w:rPr>
          <w:sz w:val="22"/>
          <w:szCs w:val="22"/>
        </w:rPr>
        <w:t xml:space="preserve"> validado por la Secretaría de Inclusión Social</w:t>
      </w:r>
      <w:r w:rsidR="00E40543" w:rsidRPr="006C3295">
        <w:rPr>
          <w:sz w:val="22"/>
          <w:szCs w:val="22"/>
        </w:rPr>
        <w:t>.</w:t>
      </w:r>
      <w:r w:rsidR="00B9051B" w:rsidRPr="006C3295">
        <w:rPr>
          <w:sz w:val="22"/>
          <w:szCs w:val="22"/>
        </w:rPr>
        <w:t xml:space="preserve"> </w:t>
      </w:r>
      <w:r w:rsidR="00B9051B" w:rsidRPr="006C3295">
        <w:rPr>
          <w:color w:val="FF0000"/>
          <w:sz w:val="22"/>
          <w:szCs w:val="22"/>
        </w:rPr>
        <w:t xml:space="preserve">Adicionalmente, la Secretaría responsable del territorio, hábitat y vivienda, previo a iniciar el proceso de licenciamiento verificará que el propietario del establecimiento no registre antecedentes penales relacionados con el ejercicio de la actividad económica autorizada para el local, información emitida por el Ministerio del Interior. En caso de registrar antecedentes penales relacionados con el ejercicio de la actividad económica de tipología CM1A, no se permitirá el inicio del trámite.  Esta verificación se la realizará también previo a la emisión </w:t>
      </w:r>
      <w:r w:rsidR="00B9051B" w:rsidRPr="006C3295">
        <w:rPr>
          <w:color w:val="FF0000"/>
          <w:sz w:val="22"/>
          <w:szCs w:val="22"/>
        </w:rPr>
        <w:lastRenderedPageBreak/>
        <w:t>de las renovaciones correspondientes. En caso de que se verificara la existencia de antecedentes penales posteriores a la emisión de la licencia, está será causal de extinción de la misma por parte de la autoridad administrativa otorgante de la LUAE.</w:t>
      </w:r>
    </w:p>
    <w:p w:rsidR="00B9051B" w:rsidRPr="00B9051B" w:rsidRDefault="00B9051B" w:rsidP="00B9051B">
      <w:pPr>
        <w:pStyle w:val="Prrafodelista"/>
        <w:rPr>
          <w:sz w:val="22"/>
          <w:szCs w:val="22"/>
        </w:rPr>
      </w:pPr>
    </w:p>
    <w:p w:rsidR="00B9051B" w:rsidRDefault="00B9051B" w:rsidP="00B9051B">
      <w:pPr>
        <w:tabs>
          <w:tab w:val="left" w:pos="2977"/>
        </w:tabs>
        <w:autoSpaceDE w:val="0"/>
        <w:autoSpaceDN w:val="0"/>
        <w:adjustRightInd w:val="0"/>
        <w:spacing w:after="120" w:line="276" w:lineRule="auto"/>
        <w:contextualSpacing/>
        <w:jc w:val="both"/>
      </w:pPr>
    </w:p>
    <w:p w:rsidR="00522CA9" w:rsidRPr="00864888" w:rsidRDefault="00072E0E" w:rsidP="00522CA9">
      <w:pPr>
        <w:tabs>
          <w:tab w:val="left" w:pos="2977"/>
        </w:tabs>
        <w:autoSpaceDE w:val="0"/>
        <w:autoSpaceDN w:val="0"/>
        <w:adjustRightInd w:val="0"/>
        <w:spacing w:after="120" w:line="276" w:lineRule="auto"/>
        <w:jc w:val="both"/>
        <w:rPr>
          <w:rFonts w:ascii="Times New Roman" w:hAnsi="Times New Roman" w:cs="Times New Roman"/>
          <w:lang w:val="es-ES_tradnl"/>
        </w:rPr>
      </w:pPr>
      <w:r w:rsidRPr="00864888">
        <w:rPr>
          <w:rFonts w:ascii="Times New Roman" w:hAnsi="Times New Roman" w:cs="Times New Roman"/>
          <w:b/>
          <w:lang w:val="es-ES_tradnl"/>
        </w:rPr>
        <w:t xml:space="preserve">Artículo 5.- </w:t>
      </w:r>
      <w:r w:rsidR="006A0D6F" w:rsidRPr="00864888">
        <w:rPr>
          <w:rFonts w:ascii="Times New Roman" w:hAnsi="Times New Roman" w:cs="Times New Roman"/>
          <w:b/>
        </w:rPr>
        <w:t>Incorpórese una Disposición General con el siguiente texto</w:t>
      </w:r>
      <w:r w:rsidR="006A0D6F">
        <w:rPr>
          <w:rFonts w:ascii="Times New Roman" w:hAnsi="Times New Roman" w:cs="Times New Roman"/>
          <w:b/>
        </w:rPr>
        <w:t>:</w:t>
      </w:r>
      <w:r w:rsidRPr="00864888">
        <w:rPr>
          <w:rFonts w:ascii="Times New Roman" w:hAnsi="Times New Roman" w:cs="Times New Roman"/>
          <w:b/>
          <w:lang w:val="es-ES_tradnl"/>
        </w:rPr>
        <w:t xml:space="preserve"> “</w:t>
      </w:r>
      <w:r w:rsidR="00797ABA" w:rsidRPr="00864888">
        <w:rPr>
          <w:rFonts w:ascii="Times New Roman" w:hAnsi="Times New Roman" w:cs="Times New Roman"/>
          <w:b/>
          <w:lang w:val="es-ES_tradnl"/>
        </w:rPr>
        <w:t>Sexta</w:t>
      </w:r>
      <w:r w:rsidR="00522CA9" w:rsidRPr="00864888">
        <w:rPr>
          <w:rFonts w:ascii="Times New Roman" w:hAnsi="Times New Roman" w:cs="Times New Roman"/>
          <w:b/>
          <w:lang w:val="es-ES_tradnl"/>
        </w:rPr>
        <w:t xml:space="preserve">.- </w:t>
      </w:r>
      <w:r w:rsidR="00522CA9" w:rsidRPr="00864888">
        <w:rPr>
          <w:rFonts w:ascii="Times New Roman" w:hAnsi="Times New Roman" w:cs="Times New Roman"/>
          <w:lang w:val="es-ES_tradnl"/>
        </w:rPr>
        <w:t xml:space="preserve">Para las actividades económicas señaladas en la </w:t>
      </w:r>
      <w:r w:rsidR="00DF1D70" w:rsidRPr="00864888">
        <w:rPr>
          <w:rFonts w:ascii="Times New Roman" w:eastAsia="Arial Unicode MS" w:hAnsi="Times New Roman" w:cs="Times New Roman"/>
          <w:lang w:val="es-ES_tradnl" w:eastAsia="es-EC"/>
        </w:rPr>
        <w:t>Disposición General Cuarta</w:t>
      </w:r>
      <w:r w:rsidR="00522CA9" w:rsidRPr="00864888">
        <w:rPr>
          <w:rFonts w:ascii="Times New Roman" w:hAnsi="Times New Roman" w:cs="Times New Roman"/>
          <w:lang w:val="es-ES_tradnl"/>
        </w:rPr>
        <w:t xml:space="preserve"> de esta Ordenanza Metropolitana</w:t>
      </w:r>
      <w:r w:rsidR="004D4B90" w:rsidRPr="00864888">
        <w:rPr>
          <w:rFonts w:ascii="Times New Roman" w:hAnsi="Times New Roman" w:cs="Times New Roman"/>
          <w:lang w:val="es-ES_tradnl"/>
        </w:rPr>
        <w:t>,</w:t>
      </w:r>
      <w:r w:rsidR="00522CA9" w:rsidRPr="00864888">
        <w:rPr>
          <w:rFonts w:ascii="Times New Roman" w:hAnsi="Times New Roman" w:cs="Times New Roman"/>
          <w:lang w:val="es-ES_tradnl"/>
        </w:rPr>
        <w:t xml:space="preserve"> las Administraciones Zonales en su respectiva circunscripción territorial, serán la Autoridad Administrativa Otorgante de la Licencia Metropolitana Única de Actividades Económicas (LUAE) a través del Procedimiento Ordinario con inspección previa</w:t>
      </w:r>
      <w:r w:rsidR="00F31371" w:rsidRPr="00864888">
        <w:rPr>
          <w:rFonts w:ascii="Times New Roman" w:hAnsi="Times New Roman" w:cs="Times New Roman"/>
          <w:lang w:val="es-ES_tradnl"/>
        </w:rPr>
        <w:t>,</w:t>
      </w:r>
      <w:r w:rsidR="00522CA9" w:rsidRPr="00864888">
        <w:rPr>
          <w:rFonts w:ascii="Times New Roman" w:hAnsi="Times New Roman" w:cs="Times New Roman"/>
          <w:lang w:val="es-ES_tradnl"/>
        </w:rPr>
        <w:t xml:space="preserve"> con excepción de las actividades económicas </w:t>
      </w:r>
      <w:r w:rsidR="00F31371" w:rsidRPr="00864888">
        <w:rPr>
          <w:rFonts w:ascii="Times New Roman" w:hAnsi="Times New Roman" w:cs="Times New Roman"/>
          <w:lang w:val="es-ES_tradnl"/>
        </w:rPr>
        <w:t>CZ1A, CZ1B, CM1A</w:t>
      </w:r>
      <w:r w:rsidRPr="00864888">
        <w:rPr>
          <w:rFonts w:ascii="Times New Roman" w:hAnsi="Times New Roman" w:cs="Times New Roman"/>
          <w:lang w:val="es-ES_tradnl"/>
        </w:rPr>
        <w:t>, II1, II2, II3, CZ4</w:t>
      </w:r>
      <w:r w:rsidR="004D3AA5" w:rsidRPr="00864888">
        <w:rPr>
          <w:rFonts w:ascii="Times New Roman" w:hAnsi="Times New Roman" w:cs="Times New Roman"/>
          <w:lang w:val="es-ES_tradnl"/>
        </w:rPr>
        <w:t>, centros de faenamiento y procesamiento de carne</w:t>
      </w:r>
      <w:r w:rsidRPr="00864888">
        <w:rPr>
          <w:rFonts w:ascii="Times New Roman" w:hAnsi="Times New Roman" w:cs="Times New Roman"/>
          <w:lang w:val="es-ES_tradnl"/>
        </w:rPr>
        <w:t xml:space="preserve"> </w:t>
      </w:r>
      <w:r w:rsidR="00522CA9" w:rsidRPr="00864888">
        <w:rPr>
          <w:rFonts w:ascii="Times New Roman" w:hAnsi="Times New Roman" w:cs="Times New Roman"/>
          <w:lang w:val="es-ES_tradnl"/>
        </w:rPr>
        <w:t>y otras catalogadas como Categoría III, cuya Autoridad Administrativa Otorgante será la Secretaria responsable del territorio, hábitat y vivienda a través del Procedimiento Especial.</w:t>
      </w:r>
    </w:p>
    <w:p w:rsidR="001416CF" w:rsidRPr="00864888" w:rsidRDefault="004D4B90" w:rsidP="00522CA9">
      <w:pPr>
        <w:tabs>
          <w:tab w:val="left" w:pos="2977"/>
        </w:tabs>
        <w:autoSpaceDE w:val="0"/>
        <w:autoSpaceDN w:val="0"/>
        <w:adjustRightInd w:val="0"/>
        <w:spacing w:after="120" w:line="276" w:lineRule="auto"/>
        <w:jc w:val="both"/>
        <w:rPr>
          <w:rFonts w:ascii="Times New Roman" w:hAnsi="Times New Roman" w:cs="Times New Roman"/>
          <w:lang w:val="es-ES_tradnl"/>
        </w:rPr>
      </w:pPr>
      <w:r w:rsidRPr="00864888">
        <w:rPr>
          <w:rFonts w:ascii="Times New Roman" w:hAnsi="Times New Roman" w:cs="Times New Roman"/>
          <w:lang w:val="es-ES_tradnl"/>
        </w:rPr>
        <w:t>Los</w:t>
      </w:r>
      <w:r w:rsidR="00522CA9" w:rsidRPr="00864888">
        <w:rPr>
          <w:rFonts w:ascii="Times New Roman" w:hAnsi="Times New Roman" w:cs="Times New Roman"/>
          <w:lang w:val="es-ES_tradnl"/>
        </w:rPr>
        <w:t xml:space="preserve"> establecimientos que </w:t>
      </w:r>
      <w:r w:rsidRPr="00864888">
        <w:rPr>
          <w:rFonts w:ascii="Times New Roman" w:hAnsi="Times New Roman" w:cs="Times New Roman"/>
          <w:lang w:val="es-ES_tradnl"/>
        </w:rPr>
        <w:t xml:space="preserve">habiendo </w:t>
      </w:r>
      <w:r w:rsidR="00522CA9" w:rsidRPr="00864888">
        <w:rPr>
          <w:rFonts w:ascii="Times New Roman" w:hAnsi="Times New Roman" w:cs="Times New Roman"/>
          <w:lang w:val="es-ES_tradnl"/>
        </w:rPr>
        <w:t>iniciado el proceso de licenciamiento</w:t>
      </w:r>
      <w:r w:rsidRPr="00864888">
        <w:rPr>
          <w:rFonts w:ascii="Times New Roman" w:hAnsi="Times New Roman" w:cs="Times New Roman"/>
          <w:lang w:val="es-ES_tradnl"/>
        </w:rPr>
        <w:t>,</w:t>
      </w:r>
      <w:r w:rsidR="00522CA9" w:rsidRPr="00864888">
        <w:rPr>
          <w:rFonts w:ascii="Times New Roman" w:hAnsi="Times New Roman" w:cs="Times New Roman"/>
          <w:lang w:val="es-ES_tradnl"/>
        </w:rPr>
        <w:t xml:space="preserve"> amparados en lo señalado en </w:t>
      </w:r>
      <w:r w:rsidR="00DF1D70" w:rsidRPr="00864888">
        <w:rPr>
          <w:rFonts w:ascii="Times New Roman" w:hAnsi="Times New Roman" w:cs="Times New Roman"/>
          <w:lang w:val="es-ES_tradnl"/>
        </w:rPr>
        <w:t xml:space="preserve">la </w:t>
      </w:r>
      <w:r w:rsidR="00F666F9" w:rsidRPr="00864888">
        <w:rPr>
          <w:rFonts w:ascii="Times New Roman" w:hAnsi="Times New Roman" w:cs="Times New Roman"/>
          <w:lang w:val="es-ES_tradnl"/>
        </w:rPr>
        <w:t>Disposición General</w:t>
      </w:r>
      <w:r w:rsidR="00DF1D70" w:rsidRPr="00864888">
        <w:rPr>
          <w:rFonts w:ascii="Times New Roman" w:hAnsi="Times New Roman" w:cs="Times New Roman"/>
          <w:lang w:val="es-ES_tradnl"/>
        </w:rPr>
        <w:t xml:space="preserve"> Cuarta</w:t>
      </w:r>
      <w:r w:rsidR="00566B01" w:rsidRPr="00864888">
        <w:rPr>
          <w:rFonts w:ascii="Times New Roman" w:hAnsi="Times New Roman" w:cs="Times New Roman"/>
          <w:lang w:val="es-ES_tradnl"/>
        </w:rPr>
        <w:t xml:space="preserve">, </w:t>
      </w:r>
      <w:r w:rsidR="00864888" w:rsidRPr="00864888">
        <w:rPr>
          <w:rFonts w:ascii="Times New Roman" w:hAnsi="Times New Roman" w:cs="Times New Roman"/>
          <w:lang w:val="es-ES_tradnl"/>
        </w:rPr>
        <w:t>incumplieren</w:t>
      </w:r>
      <w:r w:rsidR="001416CF" w:rsidRPr="00864888">
        <w:rPr>
          <w:rFonts w:ascii="Times New Roman" w:hAnsi="Times New Roman" w:cs="Times New Roman"/>
          <w:lang w:val="es-ES_tradnl"/>
        </w:rPr>
        <w:t xml:space="preserve"> lo dispuesto en la Disposición General Quinta</w:t>
      </w:r>
      <w:r w:rsidR="00DF1D70" w:rsidRPr="00864888">
        <w:rPr>
          <w:rFonts w:ascii="Times New Roman" w:hAnsi="Times New Roman" w:cs="Times New Roman"/>
          <w:lang w:val="es-ES_tradnl"/>
        </w:rPr>
        <w:t xml:space="preserve"> de </w:t>
      </w:r>
      <w:r w:rsidR="00522CA9" w:rsidRPr="00864888">
        <w:rPr>
          <w:rFonts w:ascii="Times New Roman" w:hAnsi="Times New Roman" w:cs="Times New Roman"/>
          <w:lang w:val="es-ES_tradnl"/>
        </w:rPr>
        <w:t xml:space="preserve">esta Ordenanza Metropolitana, </w:t>
      </w:r>
      <w:r w:rsidR="00566B01" w:rsidRPr="00864888">
        <w:rPr>
          <w:rFonts w:ascii="Times New Roman" w:hAnsi="Times New Roman" w:cs="Times New Roman"/>
          <w:lang w:val="es-ES_tradnl"/>
        </w:rPr>
        <w:t>no podrán obtener renovación de LUAE ni iniciar un nuevo proceso de licenciamiento hasta que cumpla</w:t>
      </w:r>
      <w:r w:rsidR="00864888" w:rsidRPr="00864888">
        <w:rPr>
          <w:rFonts w:ascii="Times New Roman" w:hAnsi="Times New Roman" w:cs="Times New Roman"/>
          <w:lang w:val="es-ES_tradnl"/>
        </w:rPr>
        <w:t>n</w:t>
      </w:r>
      <w:r w:rsidR="00566B01" w:rsidRPr="00864888">
        <w:rPr>
          <w:rFonts w:ascii="Times New Roman" w:hAnsi="Times New Roman" w:cs="Times New Roman"/>
          <w:lang w:val="es-ES_tradnl"/>
        </w:rPr>
        <w:t xml:space="preserve"> con el ordenamiento jurídico vigente. </w:t>
      </w:r>
      <w:r w:rsidR="0072449E" w:rsidRPr="0072449E">
        <w:rPr>
          <w:rFonts w:ascii="Times New Roman" w:hAnsi="Times New Roman" w:cs="Times New Roman"/>
          <w:highlight w:val="yellow"/>
          <w:lang w:val="es-ES_tradnl"/>
        </w:rPr>
        <w:t xml:space="preserve">Incorporar </w:t>
      </w:r>
      <w:r w:rsidR="0072449E">
        <w:rPr>
          <w:rFonts w:ascii="Times New Roman" w:hAnsi="Times New Roman" w:cs="Times New Roman"/>
          <w:highlight w:val="yellow"/>
          <w:lang w:val="es-ES_tradnl"/>
        </w:rPr>
        <w:t xml:space="preserve">un </w:t>
      </w:r>
      <w:r w:rsidR="0072449E" w:rsidRPr="0072449E">
        <w:rPr>
          <w:rFonts w:ascii="Times New Roman" w:hAnsi="Times New Roman" w:cs="Times New Roman"/>
          <w:highlight w:val="yellow"/>
          <w:lang w:val="es-ES_tradnl"/>
        </w:rPr>
        <w:t>texto que indique donde exista una sentencia ejecutoriada por los organismos competentes</w:t>
      </w:r>
      <w:r w:rsidR="002A516D">
        <w:rPr>
          <w:rFonts w:ascii="Times New Roman" w:hAnsi="Times New Roman" w:cs="Times New Roman"/>
          <w:highlight w:val="yellow"/>
          <w:lang w:val="es-ES_tradnl"/>
        </w:rPr>
        <w:t xml:space="preserve"> en materia penal.</w:t>
      </w:r>
      <w:r w:rsidR="0072449E">
        <w:rPr>
          <w:rFonts w:ascii="Times New Roman" w:hAnsi="Times New Roman" w:cs="Times New Roman"/>
          <w:lang w:val="es-ES_tradnl"/>
        </w:rPr>
        <w:t xml:space="preserve">  </w:t>
      </w:r>
      <w:r w:rsidR="002A516D">
        <w:rPr>
          <w:rFonts w:ascii="Times New Roman" w:hAnsi="Times New Roman" w:cs="Times New Roman"/>
          <w:lang w:val="es-ES_tradnl"/>
        </w:rPr>
        <w:t>Precisar cuál es el organismo competente</w:t>
      </w:r>
      <w:r w:rsidR="00522CA9" w:rsidRPr="00864888">
        <w:rPr>
          <w:rFonts w:ascii="Times New Roman" w:hAnsi="Times New Roman" w:cs="Times New Roman"/>
          <w:lang w:val="es-ES_tradnl"/>
        </w:rPr>
        <w:t xml:space="preserve"> </w:t>
      </w:r>
    </w:p>
    <w:p w:rsidR="002A516D" w:rsidRDefault="002A516D" w:rsidP="002104B8">
      <w:pPr>
        <w:tabs>
          <w:tab w:val="left" w:pos="2977"/>
        </w:tabs>
        <w:autoSpaceDE w:val="0"/>
        <w:autoSpaceDN w:val="0"/>
        <w:adjustRightInd w:val="0"/>
        <w:spacing w:after="120" w:line="276" w:lineRule="auto"/>
        <w:jc w:val="both"/>
        <w:rPr>
          <w:rFonts w:ascii="Times New Roman" w:hAnsi="Times New Roman" w:cs="Times New Roman"/>
          <w:b/>
          <w:lang w:val="es-ES_tradnl"/>
        </w:rPr>
      </w:pPr>
    </w:p>
    <w:p w:rsidR="00F77C9F" w:rsidRPr="00864888" w:rsidRDefault="00670B13" w:rsidP="002104B8">
      <w:pPr>
        <w:tabs>
          <w:tab w:val="left" w:pos="2977"/>
        </w:tabs>
        <w:autoSpaceDE w:val="0"/>
        <w:autoSpaceDN w:val="0"/>
        <w:adjustRightInd w:val="0"/>
        <w:spacing w:after="120" w:line="276" w:lineRule="auto"/>
        <w:jc w:val="both"/>
        <w:rPr>
          <w:rFonts w:ascii="Times New Roman" w:hAnsi="Times New Roman" w:cs="Times New Roman"/>
          <w:b/>
          <w:lang w:val="es-ES_tradnl"/>
        </w:rPr>
      </w:pPr>
      <w:r w:rsidRPr="00864888">
        <w:rPr>
          <w:rFonts w:ascii="Times New Roman" w:hAnsi="Times New Roman" w:cs="Times New Roman"/>
          <w:b/>
          <w:lang w:val="es-ES_tradnl"/>
        </w:rPr>
        <w:t xml:space="preserve">Artículo 6.- </w:t>
      </w:r>
      <w:r w:rsidR="006A0D6F" w:rsidRPr="00864888">
        <w:rPr>
          <w:rFonts w:ascii="Times New Roman" w:hAnsi="Times New Roman" w:cs="Times New Roman"/>
          <w:b/>
        </w:rPr>
        <w:t>Incorpórese una Disposición General con el siguiente texto</w:t>
      </w:r>
      <w:r w:rsidR="006A0D6F">
        <w:rPr>
          <w:rFonts w:ascii="Times New Roman" w:hAnsi="Times New Roman" w:cs="Times New Roman"/>
          <w:b/>
        </w:rPr>
        <w:t>:</w:t>
      </w:r>
      <w:r w:rsidR="006A0D6F" w:rsidRPr="00864888">
        <w:rPr>
          <w:rFonts w:ascii="Times New Roman" w:hAnsi="Times New Roman" w:cs="Times New Roman"/>
          <w:b/>
          <w:lang w:val="es-ES_tradnl"/>
        </w:rPr>
        <w:t xml:space="preserve"> </w:t>
      </w:r>
      <w:r w:rsidRPr="00864888">
        <w:rPr>
          <w:rFonts w:ascii="Times New Roman" w:hAnsi="Times New Roman" w:cs="Times New Roman"/>
          <w:b/>
          <w:lang w:val="es-ES_tradnl"/>
        </w:rPr>
        <w:t>“</w:t>
      </w:r>
      <w:r w:rsidR="00050140" w:rsidRPr="00864888">
        <w:rPr>
          <w:rFonts w:ascii="Times New Roman" w:hAnsi="Times New Roman" w:cs="Times New Roman"/>
          <w:b/>
          <w:lang w:val="es-ES_tradnl"/>
        </w:rPr>
        <w:t>Séptima</w:t>
      </w:r>
      <w:r w:rsidR="00F77C9F" w:rsidRPr="00864888">
        <w:rPr>
          <w:rFonts w:ascii="Times New Roman" w:hAnsi="Times New Roman" w:cs="Times New Roman"/>
          <w:b/>
          <w:lang w:val="es-ES_tradnl"/>
        </w:rPr>
        <w:t xml:space="preserve">: </w:t>
      </w:r>
      <w:r w:rsidR="00F77C9F" w:rsidRPr="00864888">
        <w:rPr>
          <w:rFonts w:ascii="Times New Roman" w:hAnsi="Times New Roman" w:cs="Times New Roman"/>
          <w:lang w:val="es-ES_tradnl"/>
        </w:rPr>
        <w:t>Para los s</w:t>
      </w:r>
      <w:r w:rsidR="00F5317E" w:rsidRPr="00864888">
        <w:rPr>
          <w:rFonts w:ascii="Times New Roman" w:hAnsi="Times New Roman" w:cs="Times New Roman"/>
          <w:lang w:val="es-ES_tradnl"/>
        </w:rPr>
        <w:t>ectores, lotes y predios donde se evidencie</w:t>
      </w:r>
      <w:r w:rsidR="00F77C9F" w:rsidRPr="00864888">
        <w:rPr>
          <w:rFonts w:ascii="Times New Roman" w:hAnsi="Times New Roman" w:cs="Times New Roman"/>
          <w:lang w:val="es-ES_tradnl"/>
        </w:rPr>
        <w:t xml:space="preserve"> </w:t>
      </w:r>
      <w:r w:rsidR="00F5317E" w:rsidRPr="00864888">
        <w:rPr>
          <w:rFonts w:ascii="Times New Roman" w:hAnsi="Times New Roman" w:cs="Times New Roman"/>
          <w:lang w:val="es-ES_tradnl"/>
        </w:rPr>
        <w:t xml:space="preserve">técnica y objetivamente fenómenos de </w:t>
      </w:r>
      <w:r w:rsidR="00F77C9F" w:rsidRPr="00864888">
        <w:rPr>
          <w:rFonts w:ascii="Times New Roman" w:hAnsi="Times New Roman" w:cs="Times New Roman"/>
          <w:lang w:val="es-ES_tradnl"/>
        </w:rPr>
        <w:t xml:space="preserve">subsidencia </w:t>
      </w:r>
      <w:r w:rsidR="00F5317E" w:rsidRPr="00864888">
        <w:rPr>
          <w:rFonts w:ascii="Times New Roman" w:hAnsi="Times New Roman" w:cs="Times New Roman"/>
          <w:lang w:val="es-ES_tradnl"/>
        </w:rPr>
        <w:t xml:space="preserve">del suelo </w:t>
      </w:r>
      <w:r w:rsidR="00F77C9F" w:rsidRPr="00864888">
        <w:rPr>
          <w:rFonts w:ascii="Times New Roman" w:hAnsi="Times New Roman" w:cs="Times New Roman"/>
          <w:lang w:val="es-ES_tradnl"/>
        </w:rPr>
        <w:t xml:space="preserve">(hundimiento), </w:t>
      </w:r>
      <w:r w:rsidR="00F5317E" w:rsidRPr="00864888">
        <w:rPr>
          <w:rFonts w:ascii="Times New Roman" w:hAnsi="Times New Roman" w:cs="Times New Roman"/>
          <w:lang w:val="es-ES_tradnl"/>
        </w:rPr>
        <w:t xml:space="preserve">claramente identificados y delimitados en un informe técnico a cargo de la Dirección Metropolitana de Gestión de Riesgos, </w:t>
      </w:r>
      <w:r w:rsidR="00050140" w:rsidRPr="00864888">
        <w:rPr>
          <w:rFonts w:ascii="Times New Roman" w:hAnsi="Times New Roman" w:cs="Times New Roman"/>
          <w:lang w:val="es-ES_tradnl"/>
        </w:rPr>
        <w:t xml:space="preserve">el cual igualmente </w:t>
      </w:r>
      <w:r w:rsidR="00F5317E" w:rsidRPr="00864888">
        <w:rPr>
          <w:rFonts w:ascii="Times New Roman" w:hAnsi="Times New Roman" w:cs="Times New Roman"/>
          <w:lang w:val="es-ES_tradnl"/>
        </w:rPr>
        <w:t>contendrá las respectivas recomendaciones</w:t>
      </w:r>
      <w:r w:rsidR="00050140" w:rsidRPr="00864888">
        <w:rPr>
          <w:rFonts w:ascii="Times New Roman" w:hAnsi="Times New Roman" w:cs="Times New Roman"/>
          <w:lang w:val="es-ES_tradnl"/>
        </w:rPr>
        <w:t xml:space="preserve"> en materia de uso y ocupación del suelo,</w:t>
      </w:r>
      <w:r w:rsidR="00F5317E" w:rsidRPr="00864888">
        <w:rPr>
          <w:rFonts w:ascii="Times New Roman" w:hAnsi="Times New Roman" w:cs="Times New Roman"/>
          <w:lang w:val="es-ES_tradnl"/>
        </w:rPr>
        <w:t xml:space="preserve"> </w:t>
      </w:r>
      <w:r w:rsidR="00F77C9F" w:rsidRPr="00864888">
        <w:rPr>
          <w:rFonts w:ascii="Times New Roman" w:hAnsi="Times New Roman" w:cs="Times New Roman"/>
          <w:lang w:val="es-ES_tradnl"/>
        </w:rPr>
        <w:t xml:space="preserve">la Secretaría responsable del Territorio, Hábitat y Vivienda, mediante </w:t>
      </w:r>
      <w:r w:rsidRPr="00864888">
        <w:rPr>
          <w:rFonts w:ascii="Times New Roman" w:hAnsi="Times New Roman" w:cs="Times New Roman"/>
          <w:lang w:val="es-ES_tradnl"/>
        </w:rPr>
        <w:t>un informe</w:t>
      </w:r>
      <w:r w:rsidR="00F77C9F" w:rsidRPr="00864888">
        <w:rPr>
          <w:rFonts w:ascii="Times New Roman" w:hAnsi="Times New Roman" w:cs="Times New Roman"/>
          <w:lang w:val="es-ES_tradnl"/>
        </w:rPr>
        <w:t xml:space="preserve"> debidamente motiv</w:t>
      </w:r>
      <w:r w:rsidRPr="00864888">
        <w:rPr>
          <w:rFonts w:ascii="Times New Roman" w:hAnsi="Times New Roman" w:cs="Times New Roman"/>
          <w:lang w:val="es-ES_tradnl"/>
        </w:rPr>
        <w:t>ado</w:t>
      </w:r>
      <w:r w:rsidR="00F77C9F" w:rsidRPr="00864888">
        <w:rPr>
          <w:rFonts w:ascii="Times New Roman" w:hAnsi="Times New Roman" w:cs="Times New Roman"/>
          <w:lang w:val="es-ES_tradnl"/>
        </w:rPr>
        <w:t>, po</w:t>
      </w:r>
      <w:r w:rsidRPr="00864888">
        <w:rPr>
          <w:rFonts w:ascii="Times New Roman" w:hAnsi="Times New Roman" w:cs="Times New Roman"/>
          <w:lang w:val="es-ES_tradnl"/>
        </w:rPr>
        <w:t>n</w:t>
      </w:r>
      <w:r w:rsidR="00F77C9F" w:rsidRPr="00864888">
        <w:rPr>
          <w:rFonts w:ascii="Times New Roman" w:hAnsi="Times New Roman" w:cs="Times New Roman"/>
          <w:lang w:val="es-ES_tradnl"/>
        </w:rPr>
        <w:t>drá</w:t>
      </w:r>
      <w:r w:rsidRPr="00864888">
        <w:rPr>
          <w:rFonts w:ascii="Times New Roman" w:hAnsi="Times New Roman" w:cs="Times New Roman"/>
          <w:lang w:val="es-ES_tradnl"/>
        </w:rPr>
        <w:t xml:space="preserve"> a consideración de la Comisión de Uso de Suelo</w:t>
      </w:r>
      <w:r w:rsidR="00864888" w:rsidRPr="00864888">
        <w:rPr>
          <w:rFonts w:ascii="Times New Roman" w:hAnsi="Times New Roman" w:cs="Times New Roman"/>
          <w:lang w:val="es-ES_tradnl"/>
        </w:rPr>
        <w:t>,</w:t>
      </w:r>
      <w:r w:rsidRPr="00864888">
        <w:rPr>
          <w:rFonts w:ascii="Times New Roman" w:hAnsi="Times New Roman" w:cs="Times New Roman"/>
          <w:lang w:val="es-ES_tradnl"/>
        </w:rPr>
        <w:t xml:space="preserve"> previo a la aprobación del Concejo Metropolitano, las modificaciones a</w:t>
      </w:r>
      <w:r w:rsidR="00F77C9F" w:rsidRPr="00864888">
        <w:rPr>
          <w:rFonts w:ascii="Times New Roman" w:hAnsi="Times New Roman" w:cs="Times New Roman"/>
          <w:lang w:val="es-ES_tradnl"/>
        </w:rPr>
        <w:t xml:space="preserve"> las </w:t>
      </w:r>
      <w:r w:rsidR="00F5317E" w:rsidRPr="00864888">
        <w:rPr>
          <w:rFonts w:ascii="Times New Roman" w:hAnsi="Times New Roman" w:cs="Times New Roman"/>
          <w:lang w:val="es-ES_tradnl"/>
        </w:rPr>
        <w:t>asignaciones de uso de suelo, f</w:t>
      </w:r>
      <w:r w:rsidR="00F77C9F" w:rsidRPr="00864888">
        <w:rPr>
          <w:rFonts w:ascii="Times New Roman" w:hAnsi="Times New Roman" w:cs="Times New Roman"/>
          <w:lang w:val="es-ES_tradnl"/>
        </w:rPr>
        <w:t>orma de ocupación y edificabilidad</w:t>
      </w:r>
      <w:r w:rsidR="00F5317E" w:rsidRPr="00864888">
        <w:rPr>
          <w:rFonts w:ascii="Times New Roman" w:hAnsi="Times New Roman" w:cs="Times New Roman"/>
          <w:lang w:val="es-ES_tradnl"/>
        </w:rPr>
        <w:t xml:space="preserve"> constantes en el PUOS</w:t>
      </w:r>
      <w:r w:rsidR="00050140" w:rsidRPr="00864888">
        <w:rPr>
          <w:rFonts w:ascii="Times New Roman" w:hAnsi="Times New Roman" w:cs="Times New Roman"/>
          <w:lang w:val="es-ES_tradnl"/>
        </w:rPr>
        <w:t>,</w:t>
      </w:r>
      <w:r w:rsidRPr="00864888">
        <w:rPr>
          <w:rFonts w:ascii="Times New Roman" w:hAnsi="Times New Roman" w:cs="Times New Roman"/>
          <w:lang w:val="es-ES_tradnl"/>
        </w:rPr>
        <w:t xml:space="preserve"> para</w:t>
      </w:r>
      <w:r w:rsidR="00050140" w:rsidRPr="00864888">
        <w:rPr>
          <w:rFonts w:ascii="Times New Roman" w:hAnsi="Times New Roman" w:cs="Times New Roman"/>
          <w:lang w:val="es-ES_tradnl"/>
        </w:rPr>
        <w:t xml:space="preserve"> </w:t>
      </w:r>
      <w:r w:rsidRPr="00864888">
        <w:rPr>
          <w:rFonts w:ascii="Times New Roman" w:hAnsi="Times New Roman" w:cs="Times New Roman"/>
          <w:lang w:val="es-ES_tradnl"/>
        </w:rPr>
        <w:t>adecuar</w:t>
      </w:r>
      <w:r w:rsidR="00050140" w:rsidRPr="00864888">
        <w:rPr>
          <w:rFonts w:ascii="Times New Roman" w:hAnsi="Times New Roman" w:cs="Times New Roman"/>
          <w:lang w:val="es-ES_tradnl"/>
        </w:rPr>
        <w:t>las a las recomendaciones del informe de Riesgo, con la finalidad de precautelar la seguridad de las personas y de los bienes materiales públicos y privados.</w:t>
      </w:r>
      <w:r w:rsidRPr="00864888">
        <w:rPr>
          <w:rFonts w:ascii="Times New Roman" w:hAnsi="Times New Roman" w:cs="Times New Roman"/>
          <w:lang w:val="es-ES_tradnl"/>
        </w:rPr>
        <w:t xml:space="preserve"> </w:t>
      </w:r>
      <w:r w:rsidR="007F7210" w:rsidRPr="007F7210">
        <w:rPr>
          <w:rFonts w:ascii="Times New Roman" w:hAnsi="Times New Roman" w:cs="Times New Roman"/>
          <w:color w:val="FF0000"/>
          <w:lang w:val="es-ES_tradnl"/>
        </w:rPr>
        <w:t>Las recomendaciones emitidas en dichos informes deberán ser acogidas por los órganos competentes quienes incluirán en su Planes Operativos Anuales, los programas y proyectos necesarios para su debida atención.</w:t>
      </w:r>
    </w:p>
    <w:p w:rsidR="00797ABA" w:rsidRPr="00E12079" w:rsidRDefault="00686445" w:rsidP="00686445">
      <w:pPr>
        <w:pStyle w:val="Listaconvietas2"/>
        <w:tabs>
          <w:tab w:val="clear" w:pos="643"/>
          <w:tab w:val="center" w:pos="4394"/>
        </w:tabs>
        <w:spacing w:after="120" w:line="276" w:lineRule="auto"/>
        <w:ind w:left="0" w:firstLine="0"/>
        <w:rPr>
          <w:b/>
          <w:sz w:val="22"/>
          <w:szCs w:val="22"/>
        </w:rPr>
      </w:pPr>
      <w:r w:rsidRPr="00E12079">
        <w:rPr>
          <w:b/>
          <w:sz w:val="22"/>
          <w:szCs w:val="22"/>
        </w:rPr>
        <w:tab/>
      </w:r>
    </w:p>
    <w:p w:rsidR="00C11175" w:rsidRPr="00C11175" w:rsidRDefault="00B913EB" w:rsidP="00EC7BB7">
      <w:pPr>
        <w:pStyle w:val="Listaconvietas2"/>
        <w:tabs>
          <w:tab w:val="clear" w:pos="643"/>
        </w:tabs>
        <w:spacing w:after="120" w:line="276" w:lineRule="auto"/>
        <w:ind w:left="0" w:firstLine="0"/>
        <w:rPr>
          <w:b/>
          <w:sz w:val="22"/>
          <w:szCs w:val="22"/>
        </w:rPr>
      </w:pPr>
      <w:r w:rsidRPr="00C11175">
        <w:rPr>
          <w:b/>
          <w:sz w:val="22"/>
          <w:szCs w:val="22"/>
        </w:rPr>
        <w:t xml:space="preserve">Artículo 7.- </w:t>
      </w:r>
      <w:r w:rsidR="00574FA2" w:rsidRPr="00C11175">
        <w:rPr>
          <w:b/>
          <w:sz w:val="22"/>
          <w:szCs w:val="22"/>
        </w:rPr>
        <w:t>Renumérese</w:t>
      </w:r>
      <w:r w:rsidRPr="00C11175">
        <w:rPr>
          <w:b/>
          <w:sz w:val="22"/>
          <w:szCs w:val="22"/>
        </w:rPr>
        <w:t xml:space="preserve"> la</w:t>
      </w:r>
      <w:r w:rsidR="00C11175" w:rsidRPr="00C11175">
        <w:rPr>
          <w:b/>
          <w:sz w:val="22"/>
          <w:szCs w:val="22"/>
        </w:rPr>
        <w:t>s siguientes d</w:t>
      </w:r>
      <w:r w:rsidRPr="00C11175">
        <w:rPr>
          <w:b/>
          <w:sz w:val="22"/>
          <w:szCs w:val="22"/>
        </w:rPr>
        <w:t>isposici</w:t>
      </w:r>
      <w:r w:rsidR="00C11175" w:rsidRPr="00C11175">
        <w:rPr>
          <w:b/>
          <w:sz w:val="22"/>
          <w:szCs w:val="22"/>
        </w:rPr>
        <w:t>ones</w:t>
      </w:r>
      <w:r w:rsidRPr="00C11175">
        <w:rPr>
          <w:b/>
          <w:sz w:val="22"/>
          <w:szCs w:val="22"/>
        </w:rPr>
        <w:t xml:space="preserve"> </w:t>
      </w:r>
      <w:r w:rsidR="00C11175" w:rsidRPr="00C11175">
        <w:rPr>
          <w:b/>
          <w:sz w:val="22"/>
          <w:szCs w:val="22"/>
        </w:rPr>
        <w:t>t</w:t>
      </w:r>
      <w:r w:rsidRPr="00C11175">
        <w:rPr>
          <w:b/>
          <w:sz w:val="22"/>
          <w:szCs w:val="22"/>
        </w:rPr>
        <w:t>ransitoria</w:t>
      </w:r>
      <w:r w:rsidR="00C11175" w:rsidRPr="00C11175">
        <w:rPr>
          <w:b/>
          <w:sz w:val="22"/>
          <w:szCs w:val="22"/>
        </w:rPr>
        <w:t>s de la ordenanza metropolitana No. 127 que contiene el Plan de Uso y Ocupación de Suelo:</w:t>
      </w:r>
    </w:p>
    <w:p w:rsidR="00C11175" w:rsidRPr="00C11175" w:rsidRDefault="00C11175" w:rsidP="00C11175">
      <w:pPr>
        <w:pStyle w:val="Listaconvietas2"/>
        <w:numPr>
          <w:ilvl w:val="0"/>
          <w:numId w:val="38"/>
        </w:numPr>
        <w:spacing w:after="120" w:line="276" w:lineRule="auto"/>
        <w:rPr>
          <w:sz w:val="22"/>
          <w:szCs w:val="22"/>
        </w:rPr>
      </w:pPr>
      <w:r w:rsidRPr="00C11175">
        <w:rPr>
          <w:sz w:val="22"/>
          <w:szCs w:val="22"/>
        </w:rPr>
        <w:t>Cuarta por Primera;</w:t>
      </w:r>
    </w:p>
    <w:p w:rsidR="00C11175" w:rsidRPr="00C11175" w:rsidRDefault="00C11175" w:rsidP="00C11175">
      <w:pPr>
        <w:pStyle w:val="Listaconvietas2"/>
        <w:numPr>
          <w:ilvl w:val="0"/>
          <w:numId w:val="38"/>
        </w:numPr>
        <w:spacing w:after="120" w:line="276" w:lineRule="auto"/>
        <w:rPr>
          <w:sz w:val="22"/>
          <w:szCs w:val="22"/>
        </w:rPr>
      </w:pPr>
      <w:r w:rsidRPr="00C11175">
        <w:rPr>
          <w:sz w:val="22"/>
          <w:szCs w:val="22"/>
        </w:rPr>
        <w:t>Novena por Quinta, y;</w:t>
      </w:r>
    </w:p>
    <w:p w:rsidR="00C11175" w:rsidRPr="00C11175" w:rsidRDefault="00C11175" w:rsidP="00C11175">
      <w:pPr>
        <w:pStyle w:val="Listaconvietas2"/>
        <w:numPr>
          <w:ilvl w:val="0"/>
          <w:numId w:val="38"/>
        </w:numPr>
        <w:spacing w:after="120" w:line="276" w:lineRule="auto"/>
        <w:rPr>
          <w:sz w:val="22"/>
          <w:szCs w:val="22"/>
        </w:rPr>
      </w:pPr>
      <w:r>
        <w:rPr>
          <w:sz w:val="22"/>
          <w:szCs w:val="22"/>
        </w:rPr>
        <w:t xml:space="preserve">Décimo </w:t>
      </w:r>
      <w:r w:rsidRPr="00C11175">
        <w:rPr>
          <w:sz w:val="22"/>
          <w:szCs w:val="22"/>
        </w:rPr>
        <w:t>Cuarta por Séptima</w:t>
      </w:r>
      <w:r>
        <w:rPr>
          <w:sz w:val="22"/>
          <w:szCs w:val="22"/>
        </w:rPr>
        <w:t>.</w:t>
      </w:r>
    </w:p>
    <w:p w:rsidR="00C11175" w:rsidRPr="00C11175" w:rsidRDefault="00C11175" w:rsidP="00C11175">
      <w:pPr>
        <w:pStyle w:val="Listaconvietas2"/>
        <w:tabs>
          <w:tab w:val="clear" w:pos="643"/>
        </w:tabs>
        <w:spacing w:after="120" w:line="276" w:lineRule="auto"/>
        <w:ind w:left="0" w:firstLine="0"/>
        <w:rPr>
          <w:b/>
          <w:sz w:val="22"/>
          <w:szCs w:val="22"/>
        </w:rPr>
      </w:pPr>
      <w:r w:rsidRPr="00C11175">
        <w:rPr>
          <w:b/>
          <w:sz w:val="22"/>
          <w:szCs w:val="22"/>
        </w:rPr>
        <w:t xml:space="preserve">Artículo 8.- </w:t>
      </w:r>
      <w:r w:rsidRPr="00D566AD">
        <w:rPr>
          <w:b/>
          <w:sz w:val="22"/>
          <w:szCs w:val="22"/>
        </w:rPr>
        <w:t>Elimínense</w:t>
      </w:r>
      <w:r w:rsidRPr="00C11175">
        <w:rPr>
          <w:b/>
          <w:sz w:val="22"/>
          <w:szCs w:val="22"/>
        </w:rPr>
        <w:t xml:space="preserve"> las siguientes </w:t>
      </w:r>
      <w:r w:rsidR="00223AA2">
        <w:rPr>
          <w:b/>
          <w:sz w:val="22"/>
          <w:szCs w:val="22"/>
        </w:rPr>
        <w:t>d</w:t>
      </w:r>
      <w:r w:rsidRPr="00C11175">
        <w:rPr>
          <w:b/>
          <w:sz w:val="22"/>
          <w:szCs w:val="22"/>
        </w:rPr>
        <w:t>isposiciones transitorias de la ordenanza metropolitana No. 127 que contiene el Plan de Uso y Ocupación de Suelo:</w:t>
      </w:r>
    </w:p>
    <w:p w:rsidR="00C11175" w:rsidRDefault="00C11175" w:rsidP="00C11175">
      <w:pPr>
        <w:pStyle w:val="Listaconvietas2"/>
        <w:numPr>
          <w:ilvl w:val="0"/>
          <w:numId w:val="40"/>
        </w:numPr>
        <w:spacing w:after="120" w:line="276" w:lineRule="auto"/>
        <w:rPr>
          <w:sz w:val="22"/>
          <w:szCs w:val="22"/>
        </w:rPr>
      </w:pPr>
      <w:r>
        <w:rPr>
          <w:sz w:val="22"/>
          <w:szCs w:val="22"/>
        </w:rPr>
        <w:t>Quinta;</w:t>
      </w:r>
    </w:p>
    <w:p w:rsidR="00C11175" w:rsidRPr="00C11175" w:rsidRDefault="00C11175" w:rsidP="00C11175">
      <w:pPr>
        <w:pStyle w:val="Listaconvietas2"/>
        <w:numPr>
          <w:ilvl w:val="0"/>
          <w:numId w:val="40"/>
        </w:numPr>
        <w:spacing w:after="120" w:line="276" w:lineRule="auto"/>
        <w:rPr>
          <w:sz w:val="22"/>
          <w:szCs w:val="22"/>
        </w:rPr>
      </w:pPr>
      <w:r w:rsidRPr="00C11175">
        <w:rPr>
          <w:sz w:val="22"/>
          <w:szCs w:val="22"/>
        </w:rPr>
        <w:t>Décimo Primera;</w:t>
      </w:r>
    </w:p>
    <w:p w:rsidR="00C11175" w:rsidRPr="00C11175" w:rsidRDefault="00C11175" w:rsidP="00C11175">
      <w:pPr>
        <w:pStyle w:val="Listaconvietas2"/>
        <w:numPr>
          <w:ilvl w:val="0"/>
          <w:numId w:val="40"/>
        </w:numPr>
        <w:spacing w:after="120" w:line="276" w:lineRule="auto"/>
        <w:rPr>
          <w:sz w:val="22"/>
          <w:szCs w:val="22"/>
        </w:rPr>
      </w:pPr>
      <w:r w:rsidRPr="00C11175">
        <w:rPr>
          <w:sz w:val="22"/>
          <w:szCs w:val="22"/>
        </w:rPr>
        <w:lastRenderedPageBreak/>
        <w:t>Décimo Segunda</w:t>
      </w:r>
      <w:r>
        <w:rPr>
          <w:sz w:val="22"/>
          <w:szCs w:val="22"/>
        </w:rPr>
        <w:t>, y;</w:t>
      </w:r>
    </w:p>
    <w:p w:rsidR="00C11175" w:rsidRPr="00E724FC" w:rsidRDefault="00C11175" w:rsidP="00C11175">
      <w:pPr>
        <w:pStyle w:val="Listaconvietas2"/>
        <w:numPr>
          <w:ilvl w:val="0"/>
          <w:numId w:val="40"/>
        </w:numPr>
        <w:spacing w:after="120" w:line="276" w:lineRule="auto"/>
        <w:rPr>
          <w:sz w:val="22"/>
          <w:szCs w:val="22"/>
        </w:rPr>
      </w:pPr>
      <w:r w:rsidRPr="00E724FC">
        <w:rPr>
          <w:sz w:val="22"/>
          <w:szCs w:val="22"/>
        </w:rPr>
        <w:t>Décimo tercera.</w:t>
      </w:r>
    </w:p>
    <w:p w:rsidR="00E724FC" w:rsidRPr="004B1411" w:rsidRDefault="00E724FC" w:rsidP="008D7F22">
      <w:pPr>
        <w:spacing w:after="120" w:line="276" w:lineRule="auto"/>
        <w:jc w:val="both"/>
        <w:rPr>
          <w:rFonts w:ascii="Times New Roman" w:hAnsi="Times New Roman" w:cs="Times New Roman"/>
        </w:rPr>
      </w:pPr>
    </w:p>
    <w:p w:rsidR="00574FA2" w:rsidRPr="00E724FC" w:rsidRDefault="00574FA2" w:rsidP="008D7F22">
      <w:pPr>
        <w:spacing w:after="120" w:line="276" w:lineRule="auto"/>
        <w:jc w:val="both"/>
        <w:rPr>
          <w:rFonts w:ascii="Times New Roman" w:hAnsi="Times New Roman" w:cs="Times New Roman"/>
        </w:rPr>
      </w:pPr>
      <w:r w:rsidRPr="00E724FC">
        <w:rPr>
          <w:rFonts w:ascii="Times New Roman" w:hAnsi="Times New Roman" w:cs="Times New Roman"/>
          <w:b/>
        </w:rPr>
        <w:t xml:space="preserve">Artículo </w:t>
      </w:r>
      <w:r w:rsidR="00686445" w:rsidRPr="00E724FC">
        <w:rPr>
          <w:rFonts w:ascii="Times New Roman" w:hAnsi="Times New Roman" w:cs="Times New Roman"/>
          <w:b/>
        </w:rPr>
        <w:t>9</w:t>
      </w:r>
      <w:r w:rsidRPr="00E724FC">
        <w:rPr>
          <w:rFonts w:ascii="Times New Roman" w:hAnsi="Times New Roman" w:cs="Times New Roman"/>
          <w:b/>
        </w:rPr>
        <w:t>.-</w:t>
      </w:r>
      <w:r w:rsidRPr="00E724FC">
        <w:rPr>
          <w:rFonts w:ascii="Times New Roman" w:hAnsi="Times New Roman" w:cs="Times New Roman"/>
        </w:rPr>
        <w:t xml:space="preserve"> </w:t>
      </w:r>
      <w:r w:rsidR="00A50A16" w:rsidRPr="00E724FC">
        <w:rPr>
          <w:rFonts w:ascii="Times New Roman" w:hAnsi="Times New Roman" w:cs="Times New Roman"/>
        </w:rPr>
        <w:t xml:space="preserve">Renumérese la Disposición Transitoria Sexta por </w:t>
      </w:r>
      <w:r w:rsidR="00686445" w:rsidRPr="00E724FC">
        <w:rPr>
          <w:rFonts w:ascii="Times New Roman" w:hAnsi="Times New Roman" w:cs="Times New Roman"/>
        </w:rPr>
        <w:t>Segund</w:t>
      </w:r>
      <w:r w:rsidR="00223AA2">
        <w:rPr>
          <w:rFonts w:ascii="Times New Roman" w:hAnsi="Times New Roman" w:cs="Times New Roman"/>
        </w:rPr>
        <w:t>a;</w:t>
      </w:r>
      <w:r w:rsidR="008D7B2F" w:rsidRPr="00E724FC">
        <w:rPr>
          <w:rFonts w:ascii="Times New Roman" w:hAnsi="Times New Roman" w:cs="Times New Roman"/>
        </w:rPr>
        <w:t xml:space="preserve"> </w:t>
      </w:r>
      <w:r w:rsidR="00A50A16" w:rsidRPr="00E724FC">
        <w:rPr>
          <w:rFonts w:ascii="Times New Roman" w:hAnsi="Times New Roman" w:cs="Times New Roman"/>
        </w:rPr>
        <w:t>a</w:t>
      </w:r>
      <w:r w:rsidRPr="00E724FC">
        <w:rPr>
          <w:rFonts w:ascii="Times New Roman" w:hAnsi="Times New Roman" w:cs="Times New Roman"/>
        </w:rPr>
        <w:t xml:space="preserve">mplíese el plazo </w:t>
      </w:r>
      <w:r w:rsidR="00A50A16" w:rsidRPr="00E724FC">
        <w:rPr>
          <w:rFonts w:ascii="Times New Roman" w:hAnsi="Times New Roman" w:cs="Times New Roman"/>
        </w:rPr>
        <w:t xml:space="preserve">de dicha </w:t>
      </w:r>
      <w:r w:rsidR="00E724FC">
        <w:rPr>
          <w:rFonts w:ascii="Times New Roman" w:hAnsi="Times New Roman" w:cs="Times New Roman"/>
        </w:rPr>
        <w:t>d</w:t>
      </w:r>
      <w:r w:rsidRPr="00E724FC">
        <w:rPr>
          <w:rFonts w:ascii="Times New Roman" w:hAnsi="Times New Roman" w:cs="Times New Roman"/>
        </w:rPr>
        <w:t xml:space="preserve">isposición </w:t>
      </w:r>
      <w:r w:rsidR="00686445" w:rsidRPr="00E724FC">
        <w:rPr>
          <w:rFonts w:ascii="Times New Roman" w:hAnsi="Times New Roman" w:cs="Times New Roman"/>
        </w:rPr>
        <w:t>a</w:t>
      </w:r>
      <w:r w:rsidRPr="00E724FC">
        <w:rPr>
          <w:rFonts w:ascii="Times New Roman" w:hAnsi="Times New Roman" w:cs="Times New Roman"/>
        </w:rPr>
        <w:t xml:space="preserve"> un año contado a partir de la sanción de esta Ordenanz</w:t>
      </w:r>
      <w:r w:rsidR="008D7B2F" w:rsidRPr="00E724FC">
        <w:rPr>
          <w:rFonts w:ascii="Times New Roman" w:hAnsi="Times New Roman" w:cs="Times New Roman"/>
        </w:rPr>
        <w:t>a y</w:t>
      </w:r>
      <w:r w:rsidR="00686445" w:rsidRPr="00E724FC">
        <w:rPr>
          <w:rFonts w:ascii="Times New Roman" w:hAnsi="Times New Roman" w:cs="Times New Roman"/>
        </w:rPr>
        <w:t xml:space="preserve"> </w:t>
      </w:r>
      <w:r w:rsidR="008D7B2F" w:rsidRPr="00E724FC">
        <w:rPr>
          <w:rFonts w:ascii="Times New Roman" w:hAnsi="Times New Roman" w:cs="Times New Roman"/>
        </w:rPr>
        <w:t>dispóngase</w:t>
      </w:r>
      <w:r w:rsidR="00686445" w:rsidRPr="00E724FC">
        <w:rPr>
          <w:rFonts w:ascii="Times New Roman" w:hAnsi="Times New Roman" w:cs="Times New Roman"/>
        </w:rPr>
        <w:t xml:space="preserve"> a la Administración General </w:t>
      </w:r>
      <w:r w:rsidR="00491993" w:rsidRPr="00E724FC">
        <w:rPr>
          <w:rFonts w:ascii="Times New Roman" w:hAnsi="Times New Roman" w:cs="Times New Roman"/>
        </w:rPr>
        <w:t>brindar las facilidades</w:t>
      </w:r>
      <w:r w:rsidR="00386F88" w:rsidRPr="00E724FC">
        <w:rPr>
          <w:rFonts w:ascii="Times New Roman" w:hAnsi="Times New Roman" w:cs="Times New Roman"/>
        </w:rPr>
        <w:t xml:space="preserve"> que habiliten </w:t>
      </w:r>
      <w:r w:rsidR="008D7B2F" w:rsidRPr="00E724FC">
        <w:rPr>
          <w:rFonts w:ascii="Times New Roman" w:hAnsi="Times New Roman" w:cs="Times New Roman"/>
        </w:rPr>
        <w:t xml:space="preserve">el cumplimiento de esta </w:t>
      </w:r>
      <w:r w:rsidR="00E724FC">
        <w:rPr>
          <w:rFonts w:ascii="Times New Roman" w:hAnsi="Times New Roman" w:cs="Times New Roman"/>
        </w:rPr>
        <w:t>d</w:t>
      </w:r>
      <w:r w:rsidR="008D7B2F" w:rsidRPr="00E724FC">
        <w:rPr>
          <w:rFonts w:ascii="Times New Roman" w:hAnsi="Times New Roman" w:cs="Times New Roman"/>
        </w:rPr>
        <w:t xml:space="preserve">isposición. </w:t>
      </w:r>
    </w:p>
    <w:p w:rsidR="003C26C8" w:rsidRPr="00E724FC" w:rsidRDefault="003C26C8" w:rsidP="003C26C8">
      <w:pPr>
        <w:spacing w:after="120" w:line="276" w:lineRule="auto"/>
        <w:jc w:val="both"/>
        <w:rPr>
          <w:rFonts w:ascii="Times New Roman" w:hAnsi="Times New Roman" w:cs="Times New Roman"/>
        </w:rPr>
      </w:pPr>
      <w:r w:rsidRPr="00E724FC">
        <w:rPr>
          <w:rFonts w:ascii="Times New Roman" w:hAnsi="Times New Roman" w:cs="Times New Roman"/>
          <w:b/>
        </w:rPr>
        <w:t xml:space="preserve">Artículo </w:t>
      </w:r>
      <w:r w:rsidR="008D7B2F" w:rsidRPr="00E724FC">
        <w:rPr>
          <w:rFonts w:ascii="Times New Roman" w:hAnsi="Times New Roman" w:cs="Times New Roman"/>
          <w:b/>
        </w:rPr>
        <w:t>10</w:t>
      </w:r>
      <w:r w:rsidRPr="00E724FC">
        <w:rPr>
          <w:rFonts w:ascii="Times New Roman" w:hAnsi="Times New Roman" w:cs="Times New Roman"/>
          <w:b/>
        </w:rPr>
        <w:t>.-</w:t>
      </w:r>
      <w:r w:rsidRPr="00E724FC">
        <w:rPr>
          <w:rFonts w:ascii="Times New Roman" w:hAnsi="Times New Roman" w:cs="Times New Roman"/>
        </w:rPr>
        <w:t xml:space="preserve"> Renumérese la Disposición Transitoria Séptima por </w:t>
      </w:r>
      <w:r w:rsidR="008D7B2F" w:rsidRPr="00E724FC">
        <w:rPr>
          <w:rFonts w:ascii="Times New Roman" w:hAnsi="Times New Roman" w:cs="Times New Roman"/>
        </w:rPr>
        <w:t>Tercera</w:t>
      </w:r>
      <w:r w:rsidRPr="00E724FC">
        <w:rPr>
          <w:rFonts w:ascii="Times New Roman" w:hAnsi="Times New Roman" w:cs="Times New Roman"/>
        </w:rPr>
        <w:t xml:space="preserve"> y amplíese el pl</w:t>
      </w:r>
      <w:r w:rsidR="008D7B2F" w:rsidRPr="00E724FC">
        <w:rPr>
          <w:rFonts w:ascii="Times New Roman" w:hAnsi="Times New Roman" w:cs="Times New Roman"/>
        </w:rPr>
        <w:t xml:space="preserve">azo </w:t>
      </w:r>
      <w:r w:rsidRPr="00E724FC">
        <w:rPr>
          <w:rFonts w:ascii="Times New Roman" w:hAnsi="Times New Roman" w:cs="Times New Roman"/>
        </w:rPr>
        <w:t xml:space="preserve">de dicha </w:t>
      </w:r>
      <w:r w:rsidR="00223AA2">
        <w:rPr>
          <w:rFonts w:ascii="Times New Roman" w:hAnsi="Times New Roman" w:cs="Times New Roman"/>
        </w:rPr>
        <w:t>d</w:t>
      </w:r>
      <w:r w:rsidRPr="00E724FC">
        <w:rPr>
          <w:rFonts w:ascii="Times New Roman" w:hAnsi="Times New Roman" w:cs="Times New Roman"/>
        </w:rPr>
        <w:t>isposició</w:t>
      </w:r>
      <w:r w:rsidR="008D7B2F" w:rsidRPr="00E724FC">
        <w:rPr>
          <w:rFonts w:ascii="Times New Roman" w:hAnsi="Times New Roman" w:cs="Times New Roman"/>
        </w:rPr>
        <w:t>n</w:t>
      </w:r>
      <w:r w:rsidRPr="00E724FC">
        <w:rPr>
          <w:rFonts w:ascii="Times New Roman" w:hAnsi="Times New Roman" w:cs="Times New Roman"/>
        </w:rPr>
        <w:t xml:space="preserve"> a un </w:t>
      </w:r>
      <w:r w:rsidR="008D7B2F" w:rsidRPr="00E724FC">
        <w:rPr>
          <w:rFonts w:ascii="Times New Roman" w:hAnsi="Times New Roman" w:cs="Times New Roman"/>
        </w:rPr>
        <w:t>término de 90 días</w:t>
      </w:r>
      <w:r w:rsidR="00E724FC" w:rsidRPr="00E724FC">
        <w:rPr>
          <w:rFonts w:ascii="Times New Roman" w:hAnsi="Times New Roman" w:cs="Times New Roman"/>
        </w:rPr>
        <w:t xml:space="preserve"> contados a partir de la sanción de esta Ordenanza,</w:t>
      </w:r>
      <w:r w:rsidR="008D7B2F" w:rsidRPr="00E724FC">
        <w:rPr>
          <w:rFonts w:ascii="Times New Roman" w:hAnsi="Times New Roman" w:cs="Times New Roman"/>
        </w:rPr>
        <w:t xml:space="preserve"> exclusivamente para el Plan Vial de la</w:t>
      </w:r>
      <w:r w:rsidR="00E724FC" w:rsidRPr="00E724FC">
        <w:rPr>
          <w:rFonts w:ascii="Times New Roman" w:hAnsi="Times New Roman" w:cs="Times New Roman"/>
        </w:rPr>
        <w:t xml:space="preserve"> Parroquia de Tumbaco: Collaquí</w:t>
      </w:r>
      <w:r w:rsidRPr="00E724FC">
        <w:rPr>
          <w:rFonts w:ascii="Times New Roman" w:hAnsi="Times New Roman" w:cs="Times New Roman"/>
        </w:rPr>
        <w:t xml:space="preserve">. </w:t>
      </w:r>
    </w:p>
    <w:p w:rsidR="00E724FC" w:rsidRDefault="008D7B2F" w:rsidP="008D7F22">
      <w:pPr>
        <w:spacing w:after="120" w:line="276" w:lineRule="auto"/>
        <w:jc w:val="both"/>
        <w:rPr>
          <w:rFonts w:ascii="Times New Roman" w:hAnsi="Times New Roman" w:cs="Times New Roman"/>
        </w:rPr>
      </w:pPr>
      <w:r w:rsidRPr="00E724FC">
        <w:rPr>
          <w:rFonts w:ascii="Times New Roman" w:hAnsi="Times New Roman" w:cs="Times New Roman"/>
          <w:b/>
        </w:rPr>
        <w:t>Artículo 11.-</w:t>
      </w:r>
      <w:r w:rsidRPr="00E724FC">
        <w:rPr>
          <w:rFonts w:ascii="Times New Roman" w:hAnsi="Times New Roman" w:cs="Times New Roman"/>
        </w:rPr>
        <w:t xml:space="preserve"> Renumérese </w:t>
      </w:r>
      <w:r w:rsidR="00197C7E" w:rsidRPr="00E724FC">
        <w:rPr>
          <w:rFonts w:ascii="Times New Roman" w:hAnsi="Times New Roman" w:cs="Times New Roman"/>
        </w:rPr>
        <w:t>la Disposición Transitoria Octava por Cuarta y amplíese el plazo de dicha Disposición a un plazo de 18 meses contados a partir de la sanción de esta Ordenanza, exclusivamente para los</w:t>
      </w:r>
      <w:r w:rsidR="00E724FC" w:rsidRPr="00E724FC">
        <w:rPr>
          <w:rFonts w:ascii="Times New Roman" w:hAnsi="Times New Roman" w:cs="Times New Roman"/>
        </w:rPr>
        <w:t xml:space="preserve"> siguientes</w:t>
      </w:r>
      <w:r w:rsidR="00197C7E" w:rsidRPr="00E724FC">
        <w:rPr>
          <w:rFonts w:ascii="Times New Roman" w:hAnsi="Times New Roman" w:cs="Times New Roman"/>
        </w:rPr>
        <w:t xml:space="preserve"> Planes: </w:t>
      </w:r>
      <w:r w:rsidR="00E724FC" w:rsidRPr="00E724FC">
        <w:rPr>
          <w:rFonts w:ascii="Times New Roman" w:hAnsi="Times New Roman" w:cs="Times New Roman"/>
        </w:rPr>
        <w:t>L</w:t>
      </w:r>
      <w:r w:rsidR="00197C7E" w:rsidRPr="00E724FC">
        <w:rPr>
          <w:rFonts w:ascii="Times New Roman" w:hAnsi="Times New Roman" w:cs="Times New Roman"/>
        </w:rPr>
        <w:t>os territorios comprendidos en las mancomunidades de los gobiernos autónomos descentralizados parroquiales del noroccidente y norcentral del DMQ</w:t>
      </w:r>
      <w:r w:rsidR="00E724FC">
        <w:rPr>
          <w:rFonts w:ascii="Times New Roman" w:hAnsi="Times New Roman" w:cs="Times New Roman"/>
        </w:rPr>
        <w:t xml:space="preserve"> y</w:t>
      </w:r>
      <w:r w:rsidR="00197C7E" w:rsidRPr="00E724FC">
        <w:rPr>
          <w:rFonts w:ascii="Times New Roman" w:hAnsi="Times New Roman" w:cs="Times New Roman"/>
        </w:rPr>
        <w:t xml:space="preserve"> la ladera comprendida entre la Avenida Simón Bolívar hacia los valles de Los Chillos y Tumbaco</w:t>
      </w:r>
      <w:r w:rsidR="00E724FC">
        <w:rPr>
          <w:rFonts w:ascii="Times New Roman" w:hAnsi="Times New Roman" w:cs="Times New Roman"/>
        </w:rPr>
        <w:t>.</w:t>
      </w:r>
      <w:r w:rsidR="00197C7E" w:rsidRPr="00E724FC">
        <w:rPr>
          <w:rFonts w:ascii="Times New Roman" w:hAnsi="Times New Roman" w:cs="Times New Roman"/>
        </w:rPr>
        <w:t xml:space="preserve"> </w:t>
      </w:r>
    </w:p>
    <w:p w:rsidR="00223AA2" w:rsidRDefault="00223AA2" w:rsidP="008D7F22">
      <w:pPr>
        <w:spacing w:after="120" w:line="276" w:lineRule="auto"/>
        <w:jc w:val="both"/>
        <w:rPr>
          <w:rFonts w:ascii="Times New Roman" w:hAnsi="Times New Roman" w:cs="Times New Roman"/>
        </w:rPr>
      </w:pPr>
      <w:r>
        <w:rPr>
          <w:rFonts w:ascii="Times New Roman" w:hAnsi="Times New Roman" w:cs="Times New Roman"/>
        </w:rPr>
        <w:t>Por otro lado, e</w:t>
      </w:r>
      <w:r w:rsidR="00197C7E" w:rsidRPr="00E724FC">
        <w:rPr>
          <w:rFonts w:ascii="Times New Roman" w:hAnsi="Times New Roman" w:cs="Times New Roman"/>
        </w:rPr>
        <w:t>limínese el Plan Especial del sector suroccidental del Distrito Metropolitano de Qui</w:t>
      </w:r>
      <w:r w:rsidR="004E7006" w:rsidRPr="00E724FC">
        <w:rPr>
          <w:rFonts w:ascii="Times New Roman" w:hAnsi="Times New Roman" w:cs="Times New Roman"/>
        </w:rPr>
        <w:t xml:space="preserve">to en la zona comprendida como </w:t>
      </w:r>
      <w:r w:rsidR="00197C7E" w:rsidRPr="00E724FC">
        <w:rPr>
          <w:rFonts w:ascii="Times New Roman" w:hAnsi="Times New Roman" w:cs="Times New Roman"/>
        </w:rPr>
        <w:t>Hacienda El Pug</w:t>
      </w:r>
      <w:r w:rsidR="004E7006" w:rsidRPr="00E724FC">
        <w:rPr>
          <w:rFonts w:ascii="Times New Roman" w:hAnsi="Times New Roman" w:cs="Times New Roman"/>
        </w:rPr>
        <w:t>ro</w:t>
      </w:r>
      <w:r w:rsidR="00197C7E" w:rsidRPr="00E724FC">
        <w:rPr>
          <w:rFonts w:ascii="Times New Roman" w:hAnsi="Times New Roman" w:cs="Times New Roman"/>
        </w:rPr>
        <w:t xml:space="preserve"> hasta la quebrada </w:t>
      </w:r>
      <w:r w:rsidR="004E7006" w:rsidRPr="00E724FC">
        <w:rPr>
          <w:rFonts w:ascii="Times New Roman" w:hAnsi="Times New Roman" w:cs="Times New Roman"/>
        </w:rPr>
        <w:t>Saguanchi</w:t>
      </w:r>
      <w:r w:rsidR="00E724FC">
        <w:rPr>
          <w:rFonts w:ascii="Times New Roman" w:hAnsi="Times New Roman" w:cs="Times New Roman"/>
        </w:rPr>
        <w:t xml:space="preserve">. </w:t>
      </w:r>
    </w:p>
    <w:p w:rsidR="003C26C8" w:rsidRPr="00E724FC" w:rsidRDefault="00E724FC" w:rsidP="008D7F22">
      <w:pPr>
        <w:spacing w:after="120" w:line="276" w:lineRule="auto"/>
        <w:jc w:val="both"/>
        <w:rPr>
          <w:rFonts w:ascii="Times New Roman" w:hAnsi="Times New Roman" w:cs="Times New Roman"/>
        </w:rPr>
      </w:pPr>
      <w:r>
        <w:rPr>
          <w:rFonts w:ascii="Times New Roman" w:hAnsi="Times New Roman" w:cs="Times New Roman"/>
        </w:rPr>
        <w:t>D</w:t>
      </w:r>
      <w:r w:rsidR="00B545FC" w:rsidRPr="00E724FC">
        <w:rPr>
          <w:rFonts w:ascii="Times New Roman" w:hAnsi="Times New Roman" w:cs="Times New Roman"/>
        </w:rPr>
        <w:t xml:space="preserve">ispóngase a la Administración General </w:t>
      </w:r>
      <w:r w:rsidR="009B59ED" w:rsidRPr="00E724FC">
        <w:rPr>
          <w:rFonts w:ascii="Times New Roman" w:hAnsi="Times New Roman" w:cs="Times New Roman"/>
        </w:rPr>
        <w:t xml:space="preserve">brinde las facilidades que habiliten el </w:t>
      </w:r>
      <w:r w:rsidR="00B545FC" w:rsidRPr="00E724FC">
        <w:rPr>
          <w:rFonts w:ascii="Times New Roman" w:hAnsi="Times New Roman" w:cs="Times New Roman"/>
        </w:rPr>
        <w:t xml:space="preserve"> cumplimiento de esta Disposición.</w:t>
      </w:r>
    </w:p>
    <w:p w:rsidR="00E724FC" w:rsidRPr="004B1411" w:rsidRDefault="00E724FC" w:rsidP="008D7F22">
      <w:pPr>
        <w:spacing w:after="120" w:line="276" w:lineRule="auto"/>
        <w:jc w:val="both"/>
        <w:rPr>
          <w:rFonts w:ascii="Times New Roman" w:hAnsi="Times New Roman" w:cs="Times New Roman"/>
          <w:b/>
        </w:rPr>
      </w:pPr>
    </w:p>
    <w:p w:rsidR="00B545FC" w:rsidRPr="00E724FC" w:rsidRDefault="00B545FC" w:rsidP="008D7F22">
      <w:pPr>
        <w:spacing w:after="120" w:line="276" w:lineRule="auto"/>
        <w:jc w:val="both"/>
        <w:rPr>
          <w:rFonts w:ascii="Times New Roman" w:hAnsi="Times New Roman" w:cs="Times New Roman"/>
        </w:rPr>
      </w:pPr>
      <w:r w:rsidRPr="00E724FC">
        <w:rPr>
          <w:rFonts w:ascii="Times New Roman" w:hAnsi="Times New Roman" w:cs="Times New Roman"/>
          <w:b/>
        </w:rPr>
        <w:t>Articulo 1</w:t>
      </w:r>
      <w:r w:rsidR="00E724FC" w:rsidRPr="00E724FC">
        <w:rPr>
          <w:rFonts w:ascii="Times New Roman" w:hAnsi="Times New Roman" w:cs="Times New Roman"/>
          <w:b/>
        </w:rPr>
        <w:t>2</w:t>
      </w:r>
      <w:r w:rsidRPr="00E724FC">
        <w:rPr>
          <w:rFonts w:ascii="Times New Roman" w:hAnsi="Times New Roman" w:cs="Times New Roman"/>
          <w:b/>
        </w:rPr>
        <w:t>.-</w:t>
      </w:r>
      <w:r w:rsidRPr="00E724FC">
        <w:rPr>
          <w:rFonts w:ascii="Times New Roman" w:hAnsi="Times New Roman" w:cs="Times New Roman"/>
        </w:rPr>
        <w:t xml:space="preserve"> Renumérese la Disposición Transitoria Décima por Sexta y amplíese el plazo a 120 días contados a partir de la presente Ordenanza.</w:t>
      </w:r>
    </w:p>
    <w:p w:rsidR="00515A02" w:rsidRDefault="00515A02" w:rsidP="008D7F22">
      <w:pPr>
        <w:spacing w:after="120" w:line="276" w:lineRule="auto"/>
        <w:jc w:val="both"/>
        <w:rPr>
          <w:rFonts w:ascii="Times New Roman" w:hAnsi="Times New Roman" w:cs="Times New Roman"/>
          <w:b/>
        </w:rPr>
      </w:pPr>
    </w:p>
    <w:p w:rsidR="006535D9" w:rsidRPr="00E724FC" w:rsidRDefault="006535D9" w:rsidP="008D7F22">
      <w:pPr>
        <w:spacing w:after="120" w:line="276" w:lineRule="auto"/>
        <w:jc w:val="both"/>
        <w:rPr>
          <w:rFonts w:ascii="Times New Roman" w:hAnsi="Times New Roman" w:cs="Times New Roman"/>
        </w:rPr>
      </w:pPr>
      <w:r w:rsidRPr="00E724FC">
        <w:rPr>
          <w:rFonts w:ascii="Times New Roman" w:hAnsi="Times New Roman" w:cs="Times New Roman"/>
          <w:b/>
        </w:rPr>
        <w:t>Artículo 1</w:t>
      </w:r>
      <w:r w:rsidR="00E724FC">
        <w:rPr>
          <w:rFonts w:ascii="Times New Roman" w:hAnsi="Times New Roman" w:cs="Times New Roman"/>
          <w:b/>
        </w:rPr>
        <w:t>3</w:t>
      </w:r>
      <w:r w:rsidRPr="00E724FC">
        <w:rPr>
          <w:rFonts w:ascii="Times New Roman" w:hAnsi="Times New Roman" w:cs="Times New Roman"/>
          <w:b/>
        </w:rPr>
        <w:t>.-</w:t>
      </w:r>
      <w:r w:rsidRPr="00E724FC">
        <w:rPr>
          <w:rFonts w:ascii="Times New Roman" w:hAnsi="Times New Roman" w:cs="Times New Roman"/>
        </w:rPr>
        <w:t xml:space="preserve">  Renumérese la Disposición Transitoria Décimo Quinta por Octava y amplíese el plazo a 240 días </w:t>
      </w:r>
      <w:r w:rsidR="00E724FC">
        <w:rPr>
          <w:rFonts w:ascii="Times New Roman" w:hAnsi="Times New Roman" w:cs="Times New Roman"/>
        </w:rPr>
        <w:t>improrrogables,</w:t>
      </w:r>
      <w:r w:rsidR="00EC1D56" w:rsidRPr="00E724FC">
        <w:rPr>
          <w:rFonts w:ascii="Times New Roman" w:hAnsi="Times New Roman" w:cs="Times New Roman"/>
        </w:rPr>
        <w:t xml:space="preserve"> de acuerdo al cronograma adjunto en la presente ordenanza, </w:t>
      </w:r>
      <w:r w:rsidRPr="00E724FC">
        <w:rPr>
          <w:rFonts w:ascii="Times New Roman" w:hAnsi="Times New Roman" w:cs="Times New Roman"/>
        </w:rPr>
        <w:t xml:space="preserve">contados a partir de la sanción de la presente Ordenanza. </w:t>
      </w:r>
    </w:p>
    <w:p w:rsidR="00E724FC" w:rsidRPr="004B1411" w:rsidRDefault="00E724FC" w:rsidP="00686445">
      <w:pPr>
        <w:pStyle w:val="Listaconvietas2"/>
        <w:tabs>
          <w:tab w:val="clear" w:pos="643"/>
        </w:tabs>
        <w:spacing w:after="120" w:line="276" w:lineRule="auto"/>
        <w:ind w:left="0" w:firstLine="0"/>
        <w:rPr>
          <w:sz w:val="22"/>
          <w:szCs w:val="22"/>
        </w:rPr>
      </w:pPr>
    </w:p>
    <w:p w:rsidR="00686445" w:rsidRPr="00AA431F" w:rsidRDefault="006535D9" w:rsidP="00686445">
      <w:pPr>
        <w:pStyle w:val="Listaconvietas2"/>
        <w:tabs>
          <w:tab w:val="clear" w:pos="643"/>
        </w:tabs>
        <w:spacing w:after="120" w:line="276" w:lineRule="auto"/>
        <w:ind w:left="0" w:firstLine="0"/>
        <w:rPr>
          <w:sz w:val="22"/>
          <w:szCs w:val="22"/>
        </w:rPr>
      </w:pPr>
      <w:r w:rsidRPr="00AA431F">
        <w:rPr>
          <w:b/>
          <w:sz w:val="22"/>
          <w:szCs w:val="22"/>
        </w:rPr>
        <w:t>Artículo 1</w:t>
      </w:r>
      <w:r w:rsidR="00E724FC" w:rsidRPr="00AA431F">
        <w:rPr>
          <w:b/>
          <w:sz w:val="22"/>
          <w:szCs w:val="22"/>
        </w:rPr>
        <w:t>4</w:t>
      </w:r>
      <w:r w:rsidRPr="00AA431F">
        <w:rPr>
          <w:b/>
          <w:sz w:val="22"/>
          <w:szCs w:val="22"/>
        </w:rPr>
        <w:t xml:space="preserve">.- Incorpórese la siguiente </w:t>
      </w:r>
      <w:r w:rsidR="00686445" w:rsidRPr="00AA431F">
        <w:rPr>
          <w:b/>
          <w:sz w:val="22"/>
          <w:szCs w:val="22"/>
        </w:rPr>
        <w:t>Disposición Transitoria</w:t>
      </w:r>
      <w:r w:rsidRPr="00AA431F">
        <w:rPr>
          <w:b/>
          <w:sz w:val="22"/>
          <w:szCs w:val="22"/>
        </w:rPr>
        <w:t>:</w:t>
      </w:r>
      <w:r w:rsidR="00686445" w:rsidRPr="00AA431F">
        <w:rPr>
          <w:b/>
          <w:sz w:val="22"/>
          <w:szCs w:val="22"/>
        </w:rPr>
        <w:t xml:space="preserve"> </w:t>
      </w:r>
      <w:r w:rsidRPr="00AA431F">
        <w:rPr>
          <w:b/>
          <w:sz w:val="22"/>
          <w:szCs w:val="22"/>
        </w:rPr>
        <w:t>“Novena</w:t>
      </w:r>
      <w:r w:rsidR="00686445" w:rsidRPr="00AA431F">
        <w:rPr>
          <w:b/>
          <w:sz w:val="22"/>
          <w:szCs w:val="22"/>
        </w:rPr>
        <w:t>.-</w:t>
      </w:r>
      <w:r w:rsidR="00686445" w:rsidRPr="00AA431F">
        <w:rPr>
          <w:sz w:val="22"/>
          <w:szCs w:val="22"/>
        </w:rPr>
        <w:t xml:space="preserve"> La Secretaría responsable del territorio, hábitat y vivienda en el término de 60 días, contados a partir de la sanción de la presente Ordenanza Metropolitana, elaborará el Reglamento para las actividades económicas con uso de </w:t>
      </w:r>
      <w:r w:rsidR="00EC1D56" w:rsidRPr="00AA431F">
        <w:rPr>
          <w:sz w:val="22"/>
          <w:szCs w:val="22"/>
        </w:rPr>
        <w:t xml:space="preserve">suelo </w:t>
      </w:r>
      <w:r w:rsidR="00686445" w:rsidRPr="00AA431F">
        <w:rPr>
          <w:sz w:val="22"/>
          <w:szCs w:val="22"/>
        </w:rPr>
        <w:t>incompatible de tipología CM1A, señaladas en la Disposición General Cuarta</w:t>
      </w:r>
      <w:r w:rsidR="00AA431F" w:rsidRPr="00AA431F">
        <w:rPr>
          <w:sz w:val="22"/>
          <w:szCs w:val="22"/>
        </w:rPr>
        <w:t xml:space="preserve"> de la presente ordenanza,</w:t>
      </w:r>
      <w:r w:rsidR="00686445" w:rsidRPr="00AA431F">
        <w:rPr>
          <w:sz w:val="22"/>
          <w:szCs w:val="22"/>
        </w:rPr>
        <w:t xml:space="preserve"> en coordinación con las entidades municipales competentes. Este instrumento será publicado en la página web institucional del Municipio del Distrito Metropolitano de Quito.</w:t>
      </w:r>
    </w:p>
    <w:p w:rsidR="00686445" w:rsidRPr="00AA431F" w:rsidRDefault="00686445" w:rsidP="00686445">
      <w:pPr>
        <w:pStyle w:val="Listaconvietas2"/>
        <w:tabs>
          <w:tab w:val="clear" w:pos="643"/>
        </w:tabs>
        <w:spacing w:after="120" w:line="276" w:lineRule="auto"/>
        <w:ind w:left="0" w:firstLine="0"/>
        <w:rPr>
          <w:strike/>
          <w:sz w:val="22"/>
          <w:szCs w:val="22"/>
        </w:rPr>
      </w:pPr>
      <w:r w:rsidRPr="00AA431F">
        <w:rPr>
          <w:sz w:val="22"/>
          <w:szCs w:val="22"/>
        </w:rPr>
        <w:t xml:space="preserve">Los propietarios o administradores de dichos establecimientos tendrán un plazo de 90 días, contados a partir de la publicación del Reglamento, para solicitar la LUAE en la Secretaría responsable del territorio, hábitat y vivienda.  </w:t>
      </w:r>
    </w:p>
    <w:p w:rsidR="00686445" w:rsidRPr="00AA431F" w:rsidRDefault="00686445" w:rsidP="00686445">
      <w:pPr>
        <w:pStyle w:val="Listaconvietas2"/>
        <w:tabs>
          <w:tab w:val="clear" w:pos="643"/>
        </w:tabs>
        <w:spacing w:after="120" w:line="276" w:lineRule="auto"/>
        <w:ind w:left="0" w:firstLine="0"/>
        <w:rPr>
          <w:sz w:val="22"/>
          <w:szCs w:val="22"/>
        </w:rPr>
      </w:pPr>
      <w:r w:rsidRPr="00AA431F">
        <w:rPr>
          <w:sz w:val="22"/>
          <w:szCs w:val="22"/>
        </w:rPr>
        <w:t xml:space="preserve">Mientras transcurra el término para la elaboración del reglamento, dichos establecimientos podrán seguir funcionando. </w:t>
      </w:r>
    </w:p>
    <w:p w:rsidR="00AC64DE" w:rsidRPr="00AA431F" w:rsidRDefault="00686445" w:rsidP="00686445">
      <w:pPr>
        <w:pStyle w:val="Listaconvietas2"/>
        <w:tabs>
          <w:tab w:val="clear" w:pos="643"/>
        </w:tabs>
        <w:spacing w:after="120" w:line="276" w:lineRule="auto"/>
        <w:ind w:left="0" w:firstLine="0"/>
        <w:rPr>
          <w:sz w:val="22"/>
          <w:szCs w:val="22"/>
        </w:rPr>
      </w:pPr>
      <w:r w:rsidRPr="00AA431F">
        <w:rPr>
          <w:sz w:val="22"/>
          <w:szCs w:val="22"/>
        </w:rPr>
        <w:t xml:space="preserve">De igual forma, una vez emitido y publicado el reglamento, solo podrán seguir funcionando aquellos establecimientos que hubieren presentado una solicitud de obtención de LUAE. </w:t>
      </w:r>
    </w:p>
    <w:p w:rsidR="00AC64DE" w:rsidRPr="00AA431F" w:rsidRDefault="00AC64DE" w:rsidP="00686445">
      <w:pPr>
        <w:pStyle w:val="Listaconvietas2"/>
        <w:tabs>
          <w:tab w:val="clear" w:pos="643"/>
        </w:tabs>
        <w:spacing w:after="120" w:line="276" w:lineRule="auto"/>
        <w:ind w:left="0" w:firstLine="0"/>
        <w:rPr>
          <w:sz w:val="22"/>
          <w:szCs w:val="22"/>
        </w:rPr>
      </w:pPr>
      <w:r w:rsidRPr="00AA431F">
        <w:rPr>
          <w:sz w:val="22"/>
          <w:szCs w:val="22"/>
        </w:rPr>
        <w:lastRenderedPageBreak/>
        <w:t>Una vez finalizado el proceso especial de licenciamiento, la autoridad administrativa otorgante remitirá el reporte de las LUAE emitidas así como el listado de los establecimientos a l</w:t>
      </w:r>
      <w:r w:rsidR="00E31A0A" w:rsidRPr="00AA431F">
        <w:rPr>
          <w:sz w:val="22"/>
          <w:szCs w:val="22"/>
        </w:rPr>
        <w:t>os cuales se les hubiera neg</w:t>
      </w:r>
      <w:r w:rsidRPr="00AA431F">
        <w:rPr>
          <w:sz w:val="22"/>
          <w:szCs w:val="22"/>
        </w:rPr>
        <w:t xml:space="preserve">ado </w:t>
      </w:r>
      <w:r w:rsidR="00E31A0A" w:rsidRPr="00AA431F">
        <w:rPr>
          <w:sz w:val="22"/>
          <w:szCs w:val="22"/>
        </w:rPr>
        <w:t>el otorgamiento de la LUAE, a</w:t>
      </w:r>
      <w:r w:rsidRPr="00AA431F">
        <w:rPr>
          <w:sz w:val="22"/>
          <w:szCs w:val="22"/>
        </w:rPr>
        <w:t xml:space="preserve"> fin de que la Agencia Metropolitana de Control actúe conforme a sus competencias.</w:t>
      </w:r>
    </w:p>
    <w:p w:rsidR="00AA431F" w:rsidRPr="004B1411" w:rsidRDefault="00AA431F" w:rsidP="00717859">
      <w:pPr>
        <w:pStyle w:val="Textoindependiente"/>
        <w:tabs>
          <w:tab w:val="left" w:pos="2977"/>
        </w:tabs>
        <w:spacing w:line="276" w:lineRule="auto"/>
        <w:jc w:val="both"/>
        <w:rPr>
          <w:sz w:val="22"/>
          <w:szCs w:val="22"/>
        </w:rPr>
      </w:pPr>
    </w:p>
    <w:p w:rsidR="00D40DF1" w:rsidRPr="00AA431F" w:rsidRDefault="00717859" w:rsidP="00511CA0">
      <w:pPr>
        <w:pStyle w:val="Textoindependiente"/>
        <w:tabs>
          <w:tab w:val="left" w:pos="2977"/>
        </w:tabs>
        <w:spacing w:line="276" w:lineRule="auto"/>
        <w:jc w:val="both"/>
        <w:rPr>
          <w:sz w:val="22"/>
          <w:szCs w:val="22"/>
        </w:rPr>
      </w:pPr>
      <w:r w:rsidRPr="00AA431F">
        <w:rPr>
          <w:b/>
          <w:sz w:val="22"/>
          <w:szCs w:val="22"/>
        </w:rPr>
        <w:t xml:space="preserve">Artículo </w:t>
      </w:r>
      <w:r w:rsidR="00AA431F" w:rsidRPr="00AA431F">
        <w:rPr>
          <w:b/>
          <w:sz w:val="22"/>
          <w:szCs w:val="22"/>
        </w:rPr>
        <w:t>15</w:t>
      </w:r>
      <w:r w:rsidRPr="00AA431F">
        <w:rPr>
          <w:b/>
          <w:sz w:val="22"/>
          <w:szCs w:val="22"/>
        </w:rPr>
        <w:t xml:space="preserve">.- Incorpórese la siguiente Disposición Transitoria: “Décima.- </w:t>
      </w:r>
      <w:r w:rsidR="00D40DF1" w:rsidRPr="00AA431F">
        <w:rPr>
          <w:sz w:val="22"/>
          <w:szCs w:val="22"/>
        </w:rPr>
        <w:t xml:space="preserve">Los </w:t>
      </w:r>
      <w:r w:rsidR="00511CA0">
        <w:rPr>
          <w:sz w:val="22"/>
          <w:szCs w:val="22"/>
        </w:rPr>
        <w:t>lotes</w:t>
      </w:r>
      <w:r w:rsidR="00D40DF1" w:rsidRPr="00AA431F">
        <w:rPr>
          <w:sz w:val="22"/>
          <w:szCs w:val="22"/>
        </w:rPr>
        <w:t xml:space="preserve"> comprendidos en un área cuyo radio de influencia es de 150 met</w:t>
      </w:r>
      <w:r w:rsidRPr="00AA431F">
        <w:rPr>
          <w:sz w:val="22"/>
          <w:szCs w:val="22"/>
        </w:rPr>
        <w:t>ros a la redonda, medidos desde</w:t>
      </w:r>
      <w:r w:rsidR="00046B65" w:rsidRPr="00AA431F">
        <w:rPr>
          <w:sz w:val="22"/>
          <w:szCs w:val="22"/>
        </w:rPr>
        <w:t xml:space="preserve"> el centro de la</w:t>
      </w:r>
      <w:r w:rsidR="00D40DF1" w:rsidRPr="00AA431F">
        <w:rPr>
          <w:sz w:val="22"/>
          <w:szCs w:val="22"/>
        </w:rPr>
        <w:t xml:space="preserve"> planta de cloro-gas</w:t>
      </w:r>
      <w:r w:rsidR="00046B65" w:rsidRPr="00AA431F">
        <w:rPr>
          <w:sz w:val="22"/>
          <w:szCs w:val="22"/>
        </w:rPr>
        <w:t xml:space="preserve"> de la planta de tratamiento de agua potable de El Troje</w:t>
      </w:r>
      <w:r w:rsidR="00D40DF1" w:rsidRPr="00AA431F">
        <w:rPr>
          <w:sz w:val="22"/>
          <w:szCs w:val="22"/>
        </w:rPr>
        <w:t>, podrán obtener la LMU 10 y</w:t>
      </w:r>
      <w:r w:rsidR="00B87705" w:rsidRPr="00AA431F">
        <w:rPr>
          <w:sz w:val="22"/>
          <w:szCs w:val="22"/>
        </w:rPr>
        <w:t>/o</w:t>
      </w:r>
      <w:r w:rsidR="00D40DF1" w:rsidRPr="00AA431F">
        <w:rPr>
          <w:sz w:val="22"/>
          <w:szCs w:val="22"/>
        </w:rPr>
        <w:t xml:space="preserve"> LMU 20, </w:t>
      </w:r>
      <w:r w:rsidR="00281887" w:rsidRPr="00AA431F">
        <w:rPr>
          <w:sz w:val="22"/>
          <w:szCs w:val="22"/>
        </w:rPr>
        <w:t xml:space="preserve">en un plazo de 180 días </w:t>
      </w:r>
      <w:r w:rsidR="005A1F3A" w:rsidRPr="00AA431F">
        <w:rPr>
          <w:sz w:val="22"/>
          <w:szCs w:val="22"/>
        </w:rPr>
        <w:t xml:space="preserve">contados a partir </w:t>
      </w:r>
      <w:r w:rsidR="005A1F3A" w:rsidRPr="00066671">
        <w:rPr>
          <w:color w:val="FF0000"/>
          <w:sz w:val="22"/>
          <w:szCs w:val="22"/>
        </w:rPr>
        <w:t xml:space="preserve">de la </w:t>
      </w:r>
      <w:r w:rsidR="00511CA0" w:rsidRPr="00066671">
        <w:rPr>
          <w:color w:val="FF0000"/>
          <w:sz w:val="22"/>
          <w:szCs w:val="22"/>
        </w:rPr>
        <w:t>adjudicación del contrato correspondiente para la implementación del sistema</w:t>
      </w:r>
      <w:r w:rsidR="00511CA0">
        <w:rPr>
          <w:sz w:val="22"/>
          <w:szCs w:val="22"/>
        </w:rPr>
        <w:t>,</w:t>
      </w:r>
      <w:r w:rsidR="005A1F3A" w:rsidRPr="00AA431F">
        <w:rPr>
          <w:sz w:val="22"/>
          <w:szCs w:val="22"/>
        </w:rPr>
        <w:t xml:space="preserve"> </w:t>
      </w:r>
      <w:r w:rsidR="00AA431F" w:rsidRPr="00AA431F">
        <w:rPr>
          <w:sz w:val="22"/>
          <w:szCs w:val="22"/>
        </w:rPr>
        <w:t xml:space="preserve">plazo </w:t>
      </w:r>
      <w:r w:rsidR="00281887" w:rsidRPr="00AA431F">
        <w:rPr>
          <w:sz w:val="22"/>
          <w:szCs w:val="22"/>
        </w:rPr>
        <w:t xml:space="preserve">en el cual </w:t>
      </w:r>
      <w:r w:rsidR="00AA431F" w:rsidRPr="00AA431F">
        <w:rPr>
          <w:sz w:val="22"/>
          <w:szCs w:val="22"/>
        </w:rPr>
        <w:t>la Empresa Pública Metropolitana de Agua Potable y Saneamiento (EPMAPS) deberá haber</w:t>
      </w:r>
      <w:r w:rsidR="00D40DF1" w:rsidRPr="00AA431F">
        <w:rPr>
          <w:sz w:val="22"/>
          <w:szCs w:val="22"/>
        </w:rPr>
        <w:t xml:space="preserve"> implementado el sistema </w:t>
      </w:r>
      <w:r w:rsidR="00AA431F" w:rsidRPr="00AA431F">
        <w:rPr>
          <w:sz w:val="22"/>
          <w:szCs w:val="22"/>
        </w:rPr>
        <w:t>de mitigación de riesgos por efectos de fuga de cloro-gas</w:t>
      </w:r>
      <w:r w:rsidR="005B1C7F">
        <w:rPr>
          <w:sz w:val="22"/>
          <w:szCs w:val="22"/>
        </w:rPr>
        <w:t>.</w:t>
      </w:r>
    </w:p>
    <w:p w:rsidR="009E4735" w:rsidRPr="00814FA4" w:rsidRDefault="00B87705" w:rsidP="009E4735">
      <w:pPr>
        <w:pStyle w:val="Textoindependiente"/>
        <w:tabs>
          <w:tab w:val="left" w:pos="2977"/>
        </w:tabs>
        <w:spacing w:line="276" w:lineRule="auto"/>
        <w:jc w:val="both"/>
        <w:rPr>
          <w:color w:val="FF0000"/>
          <w:sz w:val="22"/>
          <w:szCs w:val="22"/>
        </w:rPr>
      </w:pPr>
      <w:r w:rsidRPr="00AA431F">
        <w:rPr>
          <w:sz w:val="22"/>
          <w:szCs w:val="22"/>
        </w:rPr>
        <w:t>Los IRM mantendrán una nota con la referida afectación</w:t>
      </w:r>
      <w:r w:rsidR="00AA431F">
        <w:rPr>
          <w:sz w:val="22"/>
          <w:szCs w:val="22"/>
        </w:rPr>
        <w:t>,</w:t>
      </w:r>
      <w:r w:rsidRPr="00AA431F">
        <w:rPr>
          <w:sz w:val="22"/>
          <w:szCs w:val="22"/>
        </w:rPr>
        <w:t xml:space="preserve"> hasta que se haya implementado el sistema Scrubber, lo cual será oportunamente notificado por la Empresa Pública Metropolitana de Agua Potable y Saneamiento </w:t>
      </w:r>
      <w:r w:rsidR="00814FA4">
        <w:rPr>
          <w:sz w:val="22"/>
          <w:szCs w:val="22"/>
        </w:rPr>
        <w:t xml:space="preserve">(EPMAPS) </w:t>
      </w:r>
      <w:r w:rsidRPr="00AA431F">
        <w:rPr>
          <w:sz w:val="22"/>
          <w:szCs w:val="22"/>
        </w:rPr>
        <w:t>a la Secretaría encargada del territorio, hábitat y vivienda</w:t>
      </w:r>
      <w:r w:rsidR="00814FA4">
        <w:rPr>
          <w:sz w:val="22"/>
          <w:szCs w:val="22"/>
        </w:rPr>
        <w:t xml:space="preserve">, </w:t>
      </w:r>
      <w:r w:rsidR="00814FA4" w:rsidRPr="00814FA4">
        <w:rPr>
          <w:color w:val="FF0000"/>
          <w:sz w:val="22"/>
          <w:szCs w:val="22"/>
        </w:rPr>
        <w:t>para levantar la afectación</w:t>
      </w:r>
      <w:r w:rsidRPr="00814FA4">
        <w:rPr>
          <w:color w:val="FF0000"/>
          <w:sz w:val="22"/>
          <w:szCs w:val="22"/>
        </w:rPr>
        <w:t>.</w:t>
      </w:r>
    </w:p>
    <w:p w:rsidR="003D1FAE" w:rsidRPr="00E12079" w:rsidRDefault="002F63D2" w:rsidP="003D1FAE">
      <w:pPr>
        <w:spacing w:after="200" w:line="276" w:lineRule="auto"/>
        <w:jc w:val="both"/>
        <w:rPr>
          <w:rFonts w:ascii="Times New Roman" w:hAnsi="Times New Roman" w:cs="Times New Roman"/>
          <w:b/>
        </w:rPr>
      </w:pPr>
      <w:r w:rsidRPr="00E12079">
        <w:rPr>
          <w:rFonts w:ascii="Times New Roman" w:hAnsi="Times New Roman" w:cs="Times New Roman"/>
          <w:b/>
        </w:rPr>
        <w:t xml:space="preserve">Artículo </w:t>
      </w:r>
      <w:r w:rsidR="00CE6C7A">
        <w:rPr>
          <w:rFonts w:ascii="Times New Roman" w:hAnsi="Times New Roman" w:cs="Times New Roman"/>
          <w:b/>
        </w:rPr>
        <w:t>1</w:t>
      </w:r>
      <w:r w:rsidR="00F12487">
        <w:rPr>
          <w:rFonts w:ascii="Times New Roman" w:hAnsi="Times New Roman" w:cs="Times New Roman"/>
          <w:b/>
        </w:rPr>
        <w:t>7</w:t>
      </w:r>
      <w:r w:rsidRPr="00E12079">
        <w:rPr>
          <w:rFonts w:ascii="Times New Roman" w:hAnsi="Times New Roman" w:cs="Times New Roman"/>
          <w:b/>
        </w:rPr>
        <w:t>.- Refórmese el A</w:t>
      </w:r>
      <w:r w:rsidR="00CE6C7A">
        <w:rPr>
          <w:rFonts w:ascii="Times New Roman" w:hAnsi="Times New Roman" w:cs="Times New Roman"/>
          <w:b/>
        </w:rPr>
        <w:t>rtículo</w:t>
      </w:r>
      <w:r w:rsidR="00F12487">
        <w:rPr>
          <w:rFonts w:ascii="Times New Roman" w:hAnsi="Times New Roman" w:cs="Times New Roman"/>
          <w:b/>
        </w:rPr>
        <w:t>…</w:t>
      </w:r>
      <w:r w:rsidR="00F12487" w:rsidRPr="00E12079">
        <w:rPr>
          <w:rFonts w:ascii="Times New Roman" w:hAnsi="Times New Roman" w:cs="Times New Roman"/>
          <w:b/>
        </w:rPr>
        <w:t xml:space="preserve"> (</w:t>
      </w:r>
      <w:r w:rsidR="003D1FAE" w:rsidRPr="00E12079">
        <w:rPr>
          <w:rFonts w:ascii="Times New Roman" w:hAnsi="Times New Roman" w:cs="Times New Roman"/>
          <w:b/>
        </w:rPr>
        <w:t xml:space="preserve">5).- Protección a las </w:t>
      </w:r>
      <w:r w:rsidR="00CE6C7A">
        <w:rPr>
          <w:rFonts w:ascii="Times New Roman" w:hAnsi="Times New Roman" w:cs="Times New Roman"/>
          <w:b/>
        </w:rPr>
        <w:t xml:space="preserve">autorizaciones de edificación, </w:t>
      </w:r>
      <w:r w:rsidR="003D1FAE" w:rsidRPr="00E12079">
        <w:rPr>
          <w:rFonts w:ascii="Times New Roman" w:hAnsi="Times New Roman" w:cs="Times New Roman"/>
          <w:b/>
        </w:rPr>
        <w:t xml:space="preserve">numeral 1, </w:t>
      </w:r>
      <w:r w:rsidRPr="00E12079">
        <w:rPr>
          <w:rFonts w:ascii="Times New Roman" w:hAnsi="Times New Roman" w:cs="Times New Roman"/>
          <w:b/>
        </w:rPr>
        <w:t xml:space="preserve">de la Ordenanza Metropolitana 172 </w:t>
      </w:r>
      <w:r w:rsidR="003D1FAE" w:rsidRPr="00E12079">
        <w:rPr>
          <w:rFonts w:ascii="Times New Roman" w:hAnsi="Times New Roman" w:cs="Times New Roman"/>
          <w:b/>
        </w:rPr>
        <w:t>por el siguiente texto:</w:t>
      </w:r>
    </w:p>
    <w:p w:rsidR="003D1FAE" w:rsidRPr="00CE6C7A" w:rsidRDefault="003D1FAE" w:rsidP="003D1FAE">
      <w:pPr>
        <w:spacing w:after="200" w:line="276" w:lineRule="auto"/>
        <w:jc w:val="both"/>
        <w:rPr>
          <w:rFonts w:ascii="Times New Roman" w:hAnsi="Times New Roman" w:cs="Times New Roman"/>
        </w:rPr>
      </w:pPr>
      <w:r w:rsidRPr="00CE6C7A">
        <w:rPr>
          <w:rFonts w:ascii="Times New Roman" w:hAnsi="Times New Roman" w:cs="Times New Roman"/>
        </w:rPr>
        <w:t>“En consecuencia, el lote mantendrá su zonificación y uso de suelo principal, con los cuales fue aprobada o licenciada la edificación. Se exoneran de esta protección los usos de suelo que generen riesgo o afecten la seguridad de los habitantes</w:t>
      </w:r>
      <w:r w:rsidR="00CE6C7A" w:rsidRPr="00CE6C7A">
        <w:rPr>
          <w:rFonts w:ascii="Times New Roman" w:hAnsi="Times New Roman" w:cs="Times New Roman"/>
        </w:rPr>
        <w:t>”.</w:t>
      </w:r>
    </w:p>
    <w:p w:rsidR="00F12487" w:rsidRPr="00CE6C7A" w:rsidRDefault="00F12487" w:rsidP="00F12487">
      <w:pPr>
        <w:pStyle w:val="Textoindependiente"/>
        <w:tabs>
          <w:tab w:val="left" w:pos="2977"/>
        </w:tabs>
        <w:spacing w:line="276" w:lineRule="auto"/>
        <w:jc w:val="both"/>
        <w:rPr>
          <w:sz w:val="22"/>
          <w:szCs w:val="22"/>
        </w:rPr>
      </w:pPr>
      <w:r w:rsidRPr="00CE6C7A">
        <w:rPr>
          <w:b/>
          <w:sz w:val="22"/>
          <w:szCs w:val="22"/>
        </w:rPr>
        <w:t>Articulo 1</w:t>
      </w:r>
      <w:r>
        <w:rPr>
          <w:b/>
          <w:sz w:val="22"/>
          <w:szCs w:val="22"/>
        </w:rPr>
        <w:t>8</w:t>
      </w:r>
      <w:r w:rsidRPr="00CE6C7A">
        <w:rPr>
          <w:b/>
          <w:sz w:val="22"/>
          <w:szCs w:val="22"/>
        </w:rPr>
        <w:t>.- Agréguese en el Artículo…(52) de la Ordenanza Metropolitana 172, a continuación del numeral 3 el siguiente numeral y texto</w:t>
      </w:r>
      <w:r w:rsidRPr="00CE6C7A">
        <w:rPr>
          <w:sz w:val="22"/>
          <w:szCs w:val="22"/>
        </w:rPr>
        <w:t xml:space="preserve">: “4. En suelos con </w:t>
      </w:r>
      <w:r w:rsidRPr="00765E14">
        <w:rPr>
          <w:sz w:val="22"/>
          <w:szCs w:val="22"/>
        </w:rPr>
        <w:t>clasificación rural,</w:t>
      </w:r>
      <w:r w:rsidRPr="00CE6C7A">
        <w:rPr>
          <w:sz w:val="22"/>
          <w:szCs w:val="22"/>
        </w:rPr>
        <w:t xml:space="preserve"> con usos o proyectos destinados a vivienda, turismo, recreación y alojamiento, que siendo concordantes con los objetivos de conservación y uso sustentable del patrimonio natural, </w:t>
      </w:r>
      <w:r w:rsidR="00765E14">
        <w:rPr>
          <w:sz w:val="22"/>
          <w:szCs w:val="22"/>
        </w:rPr>
        <w:t>permita</w:t>
      </w:r>
      <w:r w:rsidRPr="00CE6C7A">
        <w:rPr>
          <w:sz w:val="22"/>
          <w:szCs w:val="22"/>
        </w:rPr>
        <w:t>n un aprovechamiento del suelo en sus áreas útiles, observando los coeficientes de uso de suelo asignados en las respectivas zonificaciones o en aquellas previstas en el Plan de Uso y Ocupación de Suelo. Las áreas útiles se obtendrán descontando de la superficie del lote, las áreas de afectación, áreas de protección de quebradas, taludes, ríos, áreas especiales de protección  y las áreas que superan los 20° grados de inclinación”.</w:t>
      </w:r>
    </w:p>
    <w:p w:rsidR="00F12487" w:rsidRDefault="00F12487" w:rsidP="00C572F8">
      <w:pPr>
        <w:spacing w:after="0" w:line="240" w:lineRule="auto"/>
        <w:jc w:val="both"/>
        <w:rPr>
          <w:rFonts w:ascii="Times New Roman" w:hAnsi="Times New Roman" w:cs="Times New Roman"/>
          <w:b/>
          <w:lang w:val="es-ES_tradnl" w:eastAsia="es-EC"/>
        </w:rPr>
      </w:pPr>
    </w:p>
    <w:p w:rsidR="00C572F8" w:rsidRPr="00E12079" w:rsidRDefault="00245D50" w:rsidP="00C572F8">
      <w:pPr>
        <w:spacing w:after="0" w:line="240" w:lineRule="auto"/>
        <w:jc w:val="both"/>
        <w:rPr>
          <w:rFonts w:ascii="Times New Roman" w:hAnsi="Times New Roman" w:cs="Times New Roman"/>
          <w:b/>
          <w:lang w:eastAsia="es-EC"/>
        </w:rPr>
      </w:pPr>
      <w:r w:rsidRPr="00E12079">
        <w:rPr>
          <w:rFonts w:ascii="Times New Roman" w:hAnsi="Times New Roman" w:cs="Times New Roman"/>
          <w:b/>
          <w:lang w:eastAsia="es-EC"/>
        </w:rPr>
        <w:t xml:space="preserve">Artículo </w:t>
      </w:r>
      <w:r w:rsidR="00F12487">
        <w:rPr>
          <w:rFonts w:ascii="Times New Roman" w:hAnsi="Times New Roman" w:cs="Times New Roman"/>
          <w:b/>
          <w:lang w:eastAsia="es-EC"/>
        </w:rPr>
        <w:t>19</w:t>
      </w:r>
      <w:r w:rsidRPr="00E12079">
        <w:rPr>
          <w:rFonts w:ascii="Times New Roman" w:hAnsi="Times New Roman" w:cs="Times New Roman"/>
          <w:b/>
          <w:lang w:eastAsia="es-EC"/>
        </w:rPr>
        <w:t xml:space="preserve">.- Agréguese en </w:t>
      </w:r>
      <w:r w:rsidR="00C572F8" w:rsidRPr="00E12079">
        <w:rPr>
          <w:rFonts w:ascii="Times New Roman" w:hAnsi="Times New Roman" w:cs="Times New Roman"/>
          <w:b/>
          <w:lang w:eastAsia="es-EC"/>
        </w:rPr>
        <w:t>el Artículo… (66)</w:t>
      </w:r>
      <w:r w:rsidR="00BA5947" w:rsidRPr="00E12079">
        <w:rPr>
          <w:rFonts w:ascii="Times New Roman" w:hAnsi="Times New Roman" w:cs="Times New Roman"/>
          <w:b/>
          <w:lang w:eastAsia="es-EC"/>
        </w:rPr>
        <w:t xml:space="preserve"> </w:t>
      </w:r>
      <w:r w:rsidR="00BA5947" w:rsidRPr="00E12079">
        <w:rPr>
          <w:rFonts w:ascii="Times New Roman" w:hAnsi="Times New Roman" w:cs="Times New Roman"/>
          <w:b/>
        </w:rPr>
        <w:t>de la Ordenanza Metropolitana 172</w:t>
      </w:r>
      <w:r w:rsidR="00C572F8" w:rsidRPr="00E12079">
        <w:rPr>
          <w:rFonts w:ascii="Times New Roman" w:hAnsi="Times New Roman" w:cs="Times New Roman"/>
          <w:b/>
          <w:lang w:eastAsia="es-EC"/>
        </w:rPr>
        <w:t>,</w:t>
      </w:r>
      <w:r w:rsidRPr="00E12079">
        <w:rPr>
          <w:rFonts w:ascii="Times New Roman" w:hAnsi="Times New Roman" w:cs="Times New Roman"/>
          <w:b/>
          <w:lang w:eastAsia="es-EC"/>
        </w:rPr>
        <w:t xml:space="preserve"> a continuación del literal f),</w:t>
      </w:r>
      <w:r w:rsidR="00C572F8" w:rsidRPr="00E12079">
        <w:rPr>
          <w:rFonts w:ascii="Times New Roman" w:hAnsi="Times New Roman" w:cs="Times New Roman"/>
          <w:b/>
          <w:lang w:eastAsia="es-EC"/>
        </w:rPr>
        <w:t xml:space="preserve"> el siguiente texto:</w:t>
      </w:r>
    </w:p>
    <w:p w:rsidR="00245D50" w:rsidRPr="004B1411" w:rsidRDefault="00245D50" w:rsidP="00C572F8">
      <w:pPr>
        <w:spacing w:after="0" w:line="240" w:lineRule="auto"/>
        <w:jc w:val="both"/>
        <w:rPr>
          <w:rFonts w:ascii="Times New Roman" w:eastAsia="Times New Roman" w:hAnsi="Times New Roman" w:cs="Times New Roman"/>
          <w:bCs/>
          <w:iCs/>
          <w:lang w:eastAsia="es-EC"/>
        </w:rPr>
      </w:pPr>
    </w:p>
    <w:p w:rsidR="00C572F8" w:rsidRPr="00E04AC0" w:rsidRDefault="00C572F8" w:rsidP="00C572F8">
      <w:pPr>
        <w:spacing w:after="0" w:line="240" w:lineRule="auto"/>
        <w:jc w:val="both"/>
        <w:rPr>
          <w:rFonts w:ascii="Times New Roman" w:eastAsia="Times New Roman" w:hAnsi="Times New Roman" w:cs="Times New Roman"/>
          <w:bCs/>
          <w:iCs/>
          <w:lang w:eastAsia="es-EC"/>
        </w:rPr>
      </w:pPr>
      <w:r w:rsidRPr="00E04AC0">
        <w:rPr>
          <w:rFonts w:ascii="Times New Roman" w:eastAsia="Times New Roman" w:hAnsi="Times New Roman" w:cs="Times New Roman"/>
          <w:bCs/>
          <w:iCs/>
          <w:lang w:eastAsia="es-EC"/>
        </w:rPr>
        <w:t>“La Unidad encargada de la Gestión del Patrimonio</w:t>
      </w:r>
      <w:r w:rsidR="00E04AC0" w:rsidRPr="00E04AC0">
        <w:rPr>
          <w:rFonts w:ascii="Times New Roman" w:eastAsia="Times New Roman" w:hAnsi="Times New Roman" w:cs="Times New Roman"/>
          <w:bCs/>
          <w:iCs/>
          <w:lang w:eastAsia="es-EC"/>
        </w:rPr>
        <w:t xml:space="preserve"> perteneciente a la entidad encargada del Territorio, Hábitat y Vivienda</w:t>
      </w:r>
      <w:r w:rsidRPr="00E04AC0">
        <w:rPr>
          <w:rFonts w:ascii="Times New Roman" w:eastAsia="Times New Roman" w:hAnsi="Times New Roman" w:cs="Times New Roman"/>
          <w:bCs/>
          <w:iCs/>
          <w:lang w:eastAsia="es-EC"/>
        </w:rPr>
        <w:t>, en base a lo que dispone la ordenanza</w:t>
      </w:r>
      <w:r w:rsidR="00E04AC0">
        <w:rPr>
          <w:rFonts w:ascii="Times New Roman" w:eastAsia="Times New Roman" w:hAnsi="Times New Roman" w:cs="Times New Roman"/>
          <w:bCs/>
          <w:iCs/>
          <w:lang w:eastAsia="es-EC"/>
        </w:rPr>
        <w:t xml:space="preserve"> específica</w:t>
      </w:r>
      <w:r w:rsidRPr="00E04AC0">
        <w:rPr>
          <w:rFonts w:ascii="Times New Roman" w:eastAsia="Times New Roman" w:hAnsi="Times New Roman" w:cs="Times New Roman"/>
          <w:bCs/>
          <w:iCs/>
          <w:lang w:eastAsia="es-EC"/>
        </w:rPr>
        <w:t xml:space="preserve"> para áreas y bienes patrimoniales </w:t>
      </w:r>
      <w:r w:rsidR="00B152C2" w:rsidRPr="00E04AC0">
        <w:rPr>
          <w:rFonts w:ascii="Times New Roman" w:eastAsia="Times New Roman" w:hAnsi="Times New Roman" w:cs="Times New Roman"/>
          <w:bCs/>
          <w:iCs/>
          <w:lang w:eastAsia="es-EC"/>
        </w:rPr>
        <w:t>o</w:t>
      </w:r>
      <w:r w:rsidRPr="00E04AC0">
        <w:rPr>
          <w:rFonts w:ascii="Times New Roman" w:eastAsia="Times New Roman" w:hAnsi="Times New Roman" w:cs="Times New Roman"/>
          <w:bCs/>
          <w:iCs/>
          <w:lang w:eastAsia="es-EC"/>
        </w:rPr>
        <w:t xml:space="preserve"> previo  a una inspección en el sitio para analizar las características de implantación y de</w:t>
      </w:r>
      <w:r w:rsidR="00E04AC0">
        <w:rPr>
          <w:rFonts w:ascii="Times New Roman" w:eastAsia="Times New Roman" w:hAnsi="Times New Roman" w:cs="Times New Roman"/>
          <w:bCs/>
          <w:iCs/>
          <w:lang w:eastAsia="es-EC"/>
        </w:rPr>
        <w:t xml:space="preserve"> altura existentes en el sector,</w:t>
      </w:r>
      <w:r w:rsidRPr="00E04AC0">
        <w:rPr>
          <w:rFonts w:ascii="Times New Roman" w:eastAsia="Times New Roman" w:hAnsi="Times New Roman" w:cs="Times New Roman"/>
          <w:bCs/>
          <w:iCs/>
          <w:lang w:eastAsia="es-EC"/>
        </w:rPr>
        <w:t xml:space="preserve"> definirá  la delimitación y asignación de datos de usos de suelo y forma de ocupación y edificabilidad para cada caso”.</w:t>
      </w:r>
    </w:p>
    <w:p w:rsidR="00C572F8" w:rsidRPr="00E12079" w:rsidRDefault="00C572F8" w:rsidP="00C572F8">
      <w:pPr>
        <w:spacing w:after="0" w:line="240" w:lineRule="auto"/>
        <w:rPr>
          <w:rFonts w:ascii="Times New Roman" w:eastAsia="Times New Roman" w:hAnsi="Times New Roman" w:cs="Times New Roman"/>
          <w:b/>
          <w:bCs/>
          <w:i/>
          <w:iCs/>
          <w:color w:val="000000"/>
          <w:lang w:eastAsia="es-EC"/>
        </w:rPr>
      </w:pPr>
    </w:p>
    <w:p w:rsidR="00C572F8" w:rsidRPr="00E12079" w:rsidRDefault="00245D50" w:rsidP="00C572F8">
      <w:pPr>
        <w:spacing w:after="0" w:line="240" w:lineRule="auto"/>
        <w:jc w:val="both"/>
        <w:rPr>
          <w:rFonts w:ascii="Times New Roman" w:hAnsi="Times New Roman" w:cs="Times New Roman"/>
          <w:b/>
          <w:lang w:eastAsia="es-EC"/>
        </w:rPr>
      </w:pPr>
      <w:r w:rsidRPr="00E12079">
        <w:rPr>
          <w:rFonts w:ascii="Times New Roman" w:hAnsi="Times New Roman" w:cs="Times New Roman"/>
          <w:b/>
          <w:lang w:eastAsia="es-EC"/>
        </w:rPr>
        <w:t>Artículo 2</w:t>
      </w:r>
      <w:r w:rsidR="000E07D0">
        <w:rPr>
          <w:rFonts w:ascii="Times New Roman" w:hAnsi="Times New Roman" w:cs="Times New Roman"/>
          <w:b/>
          <w:lang w:eastAsia="es-EC"/>
        </w:rPr>
        <w:t>0</w:t>
      </w:r>
      <w:r w:rsidRPr="00E12079">
        <w:rPr>
          <w:rFonts w:ascii="Times New Roman" w:hAnsi="Times New Roman" w:cs="Times New Roman"/>
          <w:b/>
          <w:lang w:eastAsia="es-EC"/>
        </w:rPr>
        <w:t>.- Agréguese e</w:t>
      </w:r>
      <w:r w:rsidR="00C572F8" w:rsidRPr="00E12079">
        <w:rPr>
          <w:rFonts w:ascii="Times New Roman" w:hAnsi="Times New Roman" w:cs="Times New Roman"/>
          <w:b/>
          <w:lang w:eastAsia="es-EC"/>
        </w:rPr>
        <w:t>n el Artículo… (66)</w:t>
      </w:r>
      <w:r w:rsidR="00BA5947" w:rsidRPr="00E12079">
        <w:rPr>
          <w:rFonts w:ascii="Times New Roman" w:hAnsi="Times New Roman" w:cs="Times New Roman"/>
          <w:b/>
          <w:lang w:eastAsia="es-EC"/>
        </w:rPr>
        <w:t xml:space="preserve"> </w:t>
      </w:r>
      <w:r w:rsidR="00BA5947" w:rsidRPr="00E12079">
        <w:rPr>
          <w:rFonts w:ascii="Times New Roman" w:hAnsi="Times New Roman" w:cs="Times New Roman"/>
          <w:b/>
        </w:rPr>
        <w:t>de la Ordenanza Metropolitana 172</w:t>
      </w:r>
      <w:r w:rsidR="00C572F8" w:rsidRPr="00E12079">
        <w:rPr>
          <w:rFonts w:ascii="Times New Roman" w:hAnsi="Times New Roman" w:cs="Times New Roman"/>
          <w:b/>
          <w:lang w:eastAsia="es-EC"/>
        </w:rPr>
        <w:t xml:space="preserve">, a continuación </w:t>
      </w:r>
      <w:r w:rsidR="00E04AC0">
        <w:rPr>
          <w:rFonts w:ascii="Times New Roman" w:hAnsi="Times New Roman" w:cs="Times New Roman"/>
          <w:b/>
          <w:lang w:eastAsia="es-EC"/>
        </w:rPr>
        <w:t xml:space="preserve">y como parte </w:t>
      </w:r>
      <w:r w:rsidR="00C572F8" w:rsidRPr="00E12079">
        <w:rPr>
          <w:rFonts w:ascii="Times New Roman" w:hAnsi="Times New Roman" w:cs="Times New Roman"/>
          <w:b/>
          <w:lang w:eastAsia="es-EC"/>
        </w:rPr>
        <w:t xml:space="preserve">del </w:t>
      </w:r>
      <w:r w:rsidRPr="00E12079">
        <w:rPr>
          <w:rFonts w:ascii="Times New Roman" w:hAnsi="Times New Roman" w:cs="Times New Roman"/>
          <w:b/>
          <w:lang w:eastAsia="es-EC"/>
        </w:rPr>
        <w:t xml:space="preserve">literal g), </w:t>
      </w:r>
      <w:r w:rsidR="00C572F8" w:rsidRPr="00E12079">
        <w:rPr>
          <w:rFonts w:ascii="Times New Roman" w:hAnsi="Times New Roman" w:cs="Times New Roman"/>
          <w:b/>
          <w:lang w:eastAsia="es-EC"/>
        </w:rPr>
        <w:t>el siguiente texto:</w:t>
      </w:r>
    </w:p>
    <w:p w:rsidR="00C572F8" w:rsidRPr="00E12079" w:rsidRDefault="00C572F8" w:rsidP="00C572F8">
      <w:pPr>
        <w:spacing w:after="0" w:line="240" w:lineRule="auto"/>
        <w:rPr>
          <w:rFonts w:ascii="Times New Roman" w:hAnsi="Times New Roman" w:cs="Times New Roman"/>
          <w:lang w:eastAsia="es-EC"/>
        </w:rPr>
      </w:pPr>
    </w:p>
    <w:p w:rsidR="009E7B3A" w:rsidRPr="000E07D0" w:rsidRDefault="008C1A0E" w:rsidP="009E7B3A">
      <w:pPr>
        <w:pStyle w:val="Textocomentario"/>
        <w:jc w:val="both"/>
        <w:rPr>
          <w:rFonts w:ascii="Times New Roman" w:hAnsi="Times New Roman" w:cs="Times New Roman"/>
          <w:sz w:val="22"/>
          <w:szCs w:val="22"/>
        </w:rPr>
      </w:pPr>
      <w:r w:rsidRPr="008C1A0E">
        <w:rPr>
          <w:rFonts w:ascii="Times New Roman" w:hAnsi="Times New Roman" w:cs="Times New Roman"/>
          <w:sz w:val="22"/>
          <w:szCs w:val="22"/>
        </w:rPr>
        <w:t>Lo</w:t>
      </w:r>
      <w:r w:rsidR="009E7B3A" w:rsidRPr="008C1A0E">
        <w:rPr>
          <w:rFonts w:ascii="Times New Roman" w:hAnsi="Times New Roman" w:cs="Times New Roman"/>
          <w:sz w:val="22"/>
          <w:szCs w:val="22"/>
        </w:rPr>
        <w:t>s</w:t>
      </w:r>
      <w:r w:rsidR="009E7B3A" w:rsidRPr="000E07D0">
        <w:rPr>
          <w:rFonts w:ascii="Times New Roman" w:hAnsi="Times New Roman" w:cs="Times New Roman"/>
          <w:sz w:val="22"/>
          <w:szCs w:val="22"/>
        </w:rPr>
        <w:t xml:space="preserve"> predios con zonificación ZC, cuya superficie sea inferior a 10.000 m2 o inferior a 3.000 m2 para predios ubicados en áreas de centralidades debidamente establecidas en el PMDOT, podrán solicitar a la </w:t>
      </w:r>
      <w:r w:rsidR="00E04AC0" w:rsidRPr="000E07D0">
        <w:rPr>
          <w:rFonts w:ascii="Times New Roman" w:hAnsi="Times New Roman" w:cs="Times New Roman"/>
          <w:sz w:val="22"/>
          <w:szCs w:val="22"/>
        </w:rPr>
        <w:t>entidad encargada del Territorio, Hábitat y Vivienda</w:t>
      </w:r>
      <w:r w:rsidR="009E7B3A" w:rsidRPr="000E07D0">
        <w:rPr>
          <w:rFonts w:ascii="Times New Roman" w:hAnsi="Times New Roman" w:cs="Times New Roman"/>
          <w:sz w:val="22"/>
          <w:szCs w:val="22"/>
        </w:rPr>
        <w:t xml:space="preserve"> la asignación de datos de </w:t>
      </w:r>
      <w:r w:rsidR="009E7B3A" w:rsidRPr="000E07D0">
        <w:rPr>
          <w:rFonts w:ascii="Times New Roman" w:hAnsi="Times New Roman" w:cs="Times New Roman"/>
          <w:sz w:val="22"/>
          <w:szCs w:val="22"/>
        </w:rPr>
        <w:lastRenderedPageBreak/>
        <w:t xml:space="preserve">zonificación mediante la presentación de un proyecto urbano-arquitectónico que establezca las condiciones de integración urbanística y vial al entorno. </w:t>
      </w:r>
    </w:p>
    <w:p w:rsidR="009E7B3A" w:rsidRPr="000E07D0" w:rsidRDefault="009E7B3A" w:rsidP="000E07D0">
      <w:pPr>
        <w:pStyle w:val="Textocomentario"/>
        <w:jc w:val="both"/>
        <w:rPr>
          <w:rFonts w:ascii="Times New Roman" w:hAnsi="Times New Roman" w:cs="Times New Roman"/>
          <w:sz w:val="22"/>
          <w:szCs w:val="22"/>
        </w:rPr>
      </w:pPr>
      <w:r w:rsidRPr="000E07D0">
        <w:rPr>
          <w:rFonts w:ascii="Times New Roman" w:hAnsi="Times New Roman" w:cs="Times New Roman"/>
          <w:sz w:val="22"/>
          <w:szCs w:val="22"/>
        </w:rPr>
        <w:t>El proyecto contendrá la propuesta de asignación de datos de uso y ocupación del suelo, derivado de un análisis urbanístico del entorno.</w:t>
      </w:r>
      <w:r w:rsidR="00E04AC0" w:rsidRPr="000E07D0">
        <w:rPr>
          <w:rFonts w:ascii="Times New Roman" w:hAnsi="Times New Roman" w:cs="Times New Roman"/>
          <w:sz w:val="22"/>
          <w:szCs w:val="22"/>
        </w:rPr>
        <w:t xml:space="preserve"> Dichos</w:t>
      </w:r>
      <w:r w:rsidRPr="000E07D0">
        <w:rPr>
          <w:rFonts w:ascii="Times New Roman" w:hAnsi="Times New Roman" w:cs="Times New Roman"/>
          <w:sz w:val="22"/>
          <w:szCs w:val="22"/>
        </w:rPr>
        <w:t xml:space="preserve"> datos serán asignados en concordancia con los requerimientos del proyecto</w:t>
      </w:r>
      <w:r w:rsidR="00E04AC0" w:rsidRPr="000E07D0">
        <w:rPr>
          <w:rFonts w:ascii="Times New Roman" w:hAnsi="Times New Roman" w:cs="Times New Roman"/>
          <w:sz w:val="22"/>
          <w:szCs w:val="22"/>
        </w:rPr>
        <w:t xml:space="preserve"> y del entorno,</w:t>
      </w:r>
      <w:r w:rsidRPr="000E07D0">
        <w:rPr>
          <w:rFonts w:ascii="Times New Roman" w:hAnsi="Times New Roman" w:cs="Times New Roman"/>
          <w:sz w:val="22"/>
          <w:szCs w:val="22"/>
        </w:rPr>
        <w:t xml:space="preserve"> siempre y cuando </w:t>
      </w:r>
      <w:r w:rsidR="00E04AC0" w:rsidRPr="000E07D0">
        <w:rPr>
          <w:rFonts w:ascii="Times New Roman" w:hAnsi="Times New Roman" w:cs="Times New Roman"/>
          <w:sz w:val="22"/>
          <w:szCs w:val="22"/>
        </w:rPr>
        <w:t>el proyecto</w:t>
      </w:r>
      <w:r w:rsidRPr="000E07D0">
        <w:rPr>
          <w:rFonts w:ascii="Times New Roman" w:hAnsi="Times New Roman" w:cs="Times New Roman"/>
          <w:sz w:val="22"/>
          <w:szCs w:val="22"/>
        </w:rPr>
        <w:t xml:space="preserve"> prevea</w:t>
      </w:r>
      <w:r w:rsidR="00E04AC0" w:rsidRPr="000E07D0">
        <w:rPr>
          <w:rFonts w:ascii="Times New Roman" w:hAnsi="Times New Roman" w:cs="Times New Roman"/>
          <w:sz w:val="22"/>
          <w:szCs w:val="22"/>
        </w:rPr>
        <w:t xml:space="preserve"> </w:t>
      </w:r>
      <w:r w:rsidRPr="000E07D0">
        <w:rPr>
          <w:rFonts w:ascii="Times New Roman" w:hAnsi="Times New Roman" w:cs="Times New Roman"/>
          <w:sz w:val="22"/>
          <w:szCs w:val="22"/>
        </w:rPr>
        <w:t xml:space="preserve">aportes urbanísticos en uno o varios de los siguientes aspectos, en función de las </w:t>
      </w:r>
      <w:r w:rsidR="00900856" w:rsidRPr="000E07D0">
        <w:rPr>
          <w:rFonts w:ascii="Times New Roman" w:hAnsi="Times New Roman" w:cs="Times New Roman"/>
          <w:sz w:val="22"/>
          <w:szCs w:val="22"/>
        </w:rPr>
        <w:t>particularidades</w:t>
      </w:r>
      <w:r w:rsidRPr="000E07D0">
        <w:rPr>
          <w:rFonts w:ascii="Times New Roman" w:hAnsi="Times New Roman" w:cs="Times New Roman"/>
          <w:sz w:val="22"/>
          <w:szCs w:val="22"/>
        </w:rPr>
        <w:t xml:space="preserve"> de cada caso:</w:t>
      </w:r>
      <w:r w:rsidR="000E07D0" w:rsidRPr="000E07D0">
        <w:rPr>
          <w:rFonts w:ascii="Times New Roman" w:hAnsi="Times New Roman" w:cs="Times New Roman"/>
          <w:sz w:val="22"/>
          <w:szCs w:val="22"/>
        </w:rPr>
        <w:t xml:space="preserve"> </w:t>
      </w:r>
      <w:r w:rsidR="00E04AC0" w:rsidRPr="000E07D0">
        <w:rPr>
          <w:rFonts w:ascii="Times New Roman" w:hAnsi="Times New Roman" w:cs="Times New Roman"/>
          <w:sz w:val="22"/>
          <w:szCs w:val="22"/>
        </w:rPr>
        <w:t>Áreas verdes</w:t>
      </w:r>
      <w:r w:rsidRPr="000E07D0">
        <w:rPr>
          <w:rFonts w:ascii="Times New Roman" w:hAnsi="Times New Roman" w:cs="Times New Roman"/>
          <w:sz w:val="22"/>
          <w:szCs w:val="22"/>
        </w:rPr>
        <w:t xml:space="preserve">, </w:t>
      </w:r>
      <w:r w:rsidR="000E07D0" w:rsidRPr="000E07D0">
        <w:rPr>
          <w:rFonts w:ascii="Times New Roman" w:hAnsi="Times New Roman" w:cs="Times New Roman"/>
          <w:sz w:val="22"/>
          <w:szCs w:val="22"/>
        </w:rPr>
        <w:t>E</w:t>
      </w:r>
      <w:r w:rsidRPr="000E07D0">
        <w:rPr>
          <w:rFonts w:ascii="Times New Roman" w:hAnsi="Times New Roman" w:cs="Times New Roman"/>
          <w:sz w:val="22"/>
          <w:szCs w:val="22"/>
        </w:rPr>
        <w:t>quipamientos públicos o privados</w:t>
      </w:r>
      <w:r w:rsidR="000E07D0" w:rsidRPr="000E07D0">
        <w:rPr>
          <w:rFonts w:ascii="Times New Roman" w:hAnsi="Times New Roman" w:cs="Times New Roman"/>
          <w:sz w:val="22"/>
          <w:szCs w:val="22"/>
        </w:rPr>
        <w:t xml:space="preserve"> y/o e</w:t>
      </w:r>
      <w:r w:rsidRPr="000E07D0">
        <w:rPr>
          <w:rFonts w:ascii="Times New Roman" w:hAnsi="Times New Roman" w:cs="Times New Roman"/>
          <w:sz w:val="22"/>
          <w:szCs w:val="22"/>
        </w:rPr>
        <w:t>spacio público y vías que aseguren o mejoren la conectividad del sector.</w:t>
      </w:r>
    </w:p>
    <w:p w:rsidR="009E7B3A" w:rsidRPr="000E07D0" w:rsidRDefault="009E7B3A" w:rsidP="009E7B3A">
      <w:pPr>
        <w:pStyle w:val="Textocomentario"/>
        <w:jc w:val="both"/>
        <w:rPr>
          <w:rFonts w:ascii="Times New Roman" w:hAnsi="Times New Roman" w:cs="Times New Roman"/>
          <w:sz w:val="22"/>
          <w:szCs w:val="22"/>
        </w:rPr>
      </w:pPr>
      <w:r w:rsidRPr="000E07D0">
        <w:rPr>
          <w:rFonts w:ascii="Times New Roman" w:hAnsi="Times New Roman" w:cs="Times New Roman"/>
          <w:sz w:val="22"/>
          <w:szCs w:val="22"/>
        </w:rPr>
        <w:t xml:space="preserve">En caso de que el proyecto prevea el fraccionamiento del suelo o requiera la apertura de nuevas vías, se garantizará que estas cesiones de suelo se hagan de forma gratuita y obligatoria a favor del </w:t>
      </w:r>
      <w:r w:rsidR="000E07D0" w:rsidRPr="000E07D0">
        <w:rPr>
          <w:rFonts w:ascii="Times New Roman" w:hAnsi="Times New Roman" w:cs="Times New Roman"/>
          <w:sz w:val="22"/>
          <w:szCs w:val="22"/>
        </w:rPr>
        <w:t>municipio,</w:t>
      </w:r>
      <w:r w:rsidRPr="000E07D0">
        <w:rPr>
          <w:rFonts w:ascii="Times New Roman" w:hAnsi="Times New Roman" w:cs="Times New Roman"/>
          <w:sz w:val="22"/>
          <w:szCs w:val="22"/>
        </w:rPr>
        <w:t xml:space="preserve"> observando los porcentajes de áreas verdes y equipamiento previstos en la normativa.</w:t>
      </w:r>
    </w:p>
    <w:p w:rsidR="009E7B3A" w:rsidRPr="000E07D0" w:rsidRDefault="009E7B3A" w:rsidP="009E7B3A">
      <w:pPr>
        <w:pStyle w:val="Textocomentario"/>
        <w:jc w:val="both"/>
        <w:rPr>
          <w:rFonts w:ascii="Times New Roman" w:hAnsi="Times New Roman" w:cs="Times New Roman"/>
          <w:sz w:val="22"/>
          <w:szCs w:val="22"/>
        </w:rPr>
      </w:pPr>
      <w:r w:rsidRPr="000E07D0">
        <w:rPr>
          <w:rFonts w:ascii="Times New Roman" w:hAnsi="Times New Roman" w:cs="Times New Roman"/>
          <w:sz w:val="22"/>
          <w:szCs w:val="22"/>
        </w:rPr>
        <w:t xml:space="preserve">La </w:t>
      </w:r>
      <w:r w:rsidR="000E07D0" w:rsidRPr="000E07D0">
        <w:rPr>
          <w:rFonts w:ascii="Times New Roman" w:hAnsi="Times New Roman" w:cs="Times New Roman"/>
          <w:sz w:val="22"/>
          <w:szCs w:val="22"/>
        </w:rPr>
        <w:t>entidad encargada del Territorio, Hábitat y Vivienda</w:t>
      </w:r>
      <w:r w:rsidRPr="000E07D0">
        <w:rPr>
          <w:rFonts w:ascii="Times New Roman" w:hAnsi="Times New Roman" w:cs="Times New Roman"/>
          <w:sz w:val="22"/>
          <w:szCs w:val="22"/>
        </w:rPr>
        <w:t xml:space="preserve"> emitirá un informe técnico del proyecto, el cual contendrá las asignaciones de zonificación propuestas para el predio. Este informe sustentará un proyecto de resolución que será remitido a la Comisión de Uso de Suelo previo a la aprobación por parte del Concejo Metropolitano.</w:t>
      </w:r>
    </w:p>
    <w:p w:rsidR="009E7B3A" w:rsidRPr="000E07D0" w:rsidRDefault="009E7B3A" w:rsidP="009E7B3A">
      <w:pPr>
        <w:pStyle w:val="Textocomentario"/>
        <w:jc w:val="both"/>
        <w:rPr>
          <w:rFonts w:ascii="Times New Roman" w:hAnsi="Times New Roman" w:cs="Times New Roman"/>
          <w:sz w:val="22"/>
          <w:szCs w:val="22"/>
        </w:rPr>
      </w:pPr>
      <w:r w:rsidRPr="000E07D0">
        <w:rPr>
          <w:rFonts w:ascii="Times New Roman" w:hAnsi="Times New Roman" w:cs="Times New Roman"/>
          <w:sz w:val="22"/>
          <w:szCs w:val="22"/>
        </w:rPr>
        <w:t xml:space="preserve">Los predios cuya superficie sea superior a 10.000 m2 o superior a 3.000 m2 para predios ubicados en áreas de centralidades debidamente establecidas en el PMDOT, </w:t>
      </w:r>
      <w:r w:rsidR="00150221" w:rsidRPr="00150221">
        <w:rPr>
          <w:rFonts w:ascii="Times New Roman" w:hAnsi="Times New Roman" w:cs="Times New Roman"/>
          <w:color w:val="0070C0"/>
          <w:sz w:val="22"/>
          <w:szCs w:val="22"/>
        </w:rPr>
        <w:t>pudiendo entre otros</w:t>
      </w:r>
      <w:r w:rsidR="00150221">
        <w:rPr>
          <w:rFonts w:ascii="Times New Roman" w:hAnsi="Times New Roman" w:cs="Times New Roman"/>
          <w:sz w:val="22"/>
          <w:szCs w:val="22"/>
        </w:rPr>
        <w:t xml:space="preserve"> </w:t>
      </w:r>
      <w:r w:rsidRPr="000E07D0">
        <w:rPr>
          <w:rFonts w:ascii="Times New Roman" w:hAnsi="Times New Roman" w:cs="Times New Roman"/>
          <w:sz w:val="22"/>
          <w:szCs w:val="22"/>
        </w:rPr>
        <w:t xml:space="preserve"> solicitar la asignación de datos de zonificación mediante la presentación de un proyecto urbanístico arquitectónico especial (PUAE) bajo los procedimientos y normativa previstos para tal efecto.</w:t>
      </w:r>
    </w:p>
    <w:p w:rsidR="00C572F8" w:rsidRPr="00E12079" w:rsidRDefault="00C572F8" w:rsidP="00C572F8">
      <w:pPr>
        <w:spacing w:after="0" w:line="240" w:lineRule="auto"/>
        <w:jc w:val="both"/>
        <w:rPr>
          <w:rFonts w:ascii="Times New Roman" w:hAnsi="Times New Roman" w:cs="Times New Roman"/>
          <w:lang w:eastAsia="es-EC"/>
        </w:rPr>
      </w:pPr>
    </w:p>
    <w:p w:rsidR="00F12487" w:rsidRPr="00CE6C7A" w:rsidRDefault="00F12487" w:rsidP="00F12487">
      <w:pPr>
        <w:pStyle w:val="Textoindependiente"/>
        <w:tabs>
          <w:tab w:val="left" w:pos="2977"/>
        </w:tabs>
        <w:spacing w:line="276" w:lineRule="auto"/>
        <w:jc w:val="both"/>
        <w:rPr>
          <w:sz w:val="22"/>
          <w:szCs w:val="22"/>
        </w:rPr>
      </w:pPr>
      <w:r w:rsidRPr="00CE6C7A">
        <w:rPr>
          <w:b/>
          <w:sz w:val="22"/>
          <w:szCs w:val="22"/>
        </w:rPr>
        <w:t xml:space="preserve">Artículo </w:t>
      </w:r>
      <w:r w:rsidR="000E07D0">
        <w:rPr>
          <w:b/>
          <w:sz w:val="22"/>
          <w:szCs w:val="22"/>
        </w:rPr>
        <w:t>21</w:t>
      </w:r>
      <w:r w:rsidRPr="00CE6C7A">
        <w:rPr>
          <w:b/>
          <w:sz w:val="22"/>
          <w:szCs w:val="22"/>
        </w:rPr>
        <w:t>.-</w:t>
      </w:r>
      <w:r w:rsidRPr="00CE6C7A">
        <w:rPr>
          <w:sz w:val="22"/>
          <w:szCs w:val="22"/>
        </w:rPr>
        <w:t xml:space="preserve"> Sustitúyase el numeral 3 del Artículo 112 de la Ordenanza Metropolitana No. 172 que establece el Régimen Administrativo del Suelo en el Distrito Metropolitano de Quito, reformado parcialmente por la Ordenanza Metropolitana 127 de fecha 25 de julio de 2016, por el siguiente texto: </w:t>
      </w:r>
    </w:p>
    <w:p w:rsidR="00F12487" w:rsidRPr="00CE6C7A" w:rsidRDefault="00F12487" w:rsidP="00F12487">
      <w:pPr>
        <w:spacing w:after="120" w:line="276" w:lineRule="auto"/>
        <w:jc w:val="both"/>
        <w:rPr>
          <w:rFonts w:ascii="Times New Roman" w:hAnsi="Times New Roman" w:cs="Times New Roman"/>
          <w:lang w:val="es-ES"/>
        </w:rPr>
      </w:pPr>
      <w:r w:rsidRPr="00CE6C7A">
        <w:rPr>
          <w:rFonts w:ascii="Times New Roman" w:hAnsi="Times New Roman" w:cs="Times New Roman"/>
          <w:lang w:val="es-ES"/>
        </w:rPr>
        <w:t xml:space="preserve">“3. En lotes con clasificación de suelo urbano o rural, </w:t>
      </w:r>
      <w:r w:rsidRPr="0025483C">
        <w:rPr>
          <w:rFonts w:ascii="Times New Roman" w:hAnsi="Times New Roman" w:cs="Times New Roman"/>
          <w:lang w:val="es-ES"/>
        </w:rPr>
        <w:t xml:space="preserve">con uso de suelo principal Protección Ecológica/Conservación del Patrimonio Natural (PE/CPN) </w:t>
      </w:r>
      <w:r w:rsidR="00A864DF" w:rsidRPr="0025483C">
        <w:rPr>
          <w:rFonts w:ascii="Times New Roman" w:hAnsi="Times New Roman" w:cs="Times New Roman"/>
          <w:color w:val="FF0000"/>
          <w:lang w:val="es-ES"/>
        </w:rPr>
        <w:t>exceptuando las asignaciones de zonificación A31 (PQ)</w:t>
      </w:r>
      <w:r w:rsidR="005E3D72" w:rsidRPr="0025483C">
        <w:rPr>
          <w:rFonts w:ascii="Times New Roman" w:hAnsi="Times New Roman" w:cs="Times New Roman"/>
          <w:color w:val="FF0000"/>
          <w:lang w:val="es-ES"/>
        </w:rPr>
        <w:t>,</w:t>
      </w:r>
      <w:r w:rsidR="00A864DF" w:rsidRPr="0025483C">
        <w:rPr>
          <w:rFonts w:ascii="Times New Roman" w:hAnsi="Times New Roman" w:cs="Times New Roman"/>
          <w:lang w:val="es-ES"/>
        </w:rPr>
        <w:t xml:space="preserve"> </w:t>
      </w:r>
      <w:r w:rsidRPr="00370AB5">
        <w:rPr>
          <w:rFonts w:ascii="Times New Roman" w:hAnsi="Times New Roman" w:cs="Times New Roman"/>
          <w:color w:val="FF0000"/>
          <w:lang w:val="es-ES"/>
        </w:rPr>
        <w:t xml:space="preserve">no cambiará su uso de suelo </w:t>
      </w:r>
      <w:r w:rsidR="00243236" w:rsidRPr="00370AB5">
        <w:rPr>
          <w:rFonts w:ascii="Times New Roman" w:hAnsi="Times New Roman" w:cs="Times New Roman"/>
          <w:color w:val="FF0000"/>
          <w:lang w:val="es-ES"/>
        </w:rPr>
        <w:t>ni las asignaciones de edificabilidad</w:t>
      </w:r>
      <w:r w:rsidRPr="0025483C">
        <w:rPr>
          <w:rFonts w:ascii="Times New Roman" w:hAnsi="Times New Roman" w:cs="Times New Roman"/>
          <w:lang w:val="es-ES"/>
        </w:rPr>
        <w:t>,</w:t>
      </w:r>
      <w:r w:rsidRPr="00CE6C7A">
        <w:rPr>
          <w:rFonts w:ascii="Times New Roman" w:hAnsi="Times New Roman" w:cs="Times New Roman"/>
          <w:lang w:val="es-ES"/>
        </w:rPr>
        <w:t xml:space="preserve"> siempre y cuando no se encuentren en zonas de protección definidas por la legislación nacional o local, deberán cumplir las siguientes condiciones: </w:t>
      </w:r>
    </w:p>
    <w:p w:rsidR="00F12487" w:rsidRPr="00CE6C7A" w:rsidRDefault="00F12487" w:rsidP="00F12487">
      <w:pPr>
        <w:numPr>
          <w:ilvl w:val="0"/>
          <w:numId w:val="3"/>
        </w:numPr>
        <w:spacing w:after="120" w:line="276" w:lineRule="auto"/>
        <w:contextualSpacing/>
        <w:jc w:val="both"/>
        <w:rPr>
          <w:rFonts w:ascii="Times New Roman" w:hAnsi="Times New Roman" w:cs="Times New Roman"/>
          <w:lang w:val="es-ES"/>
        </w:rPr>
      </w:pPr>
      <w:r w:rsidRPr="00CE6C7A">
        <w:rPr>
          <w:rFonts w:ascii="Times New Roman" w:hAnsi="Times New Roman" w:cs="Times New Roman"/>
          <w:lang w:val="es-ES"/>
        </w:rPr>
        <w:t>Se permitirá el desarrollo de proyectos residenciales, turísticos, recreativos y de alojamiento;</w:t>
      </w:r>
    </w:p>
    <w:p w:rsidR="00F12487" w:rsidRPr="00CE6C7A" w:rsidRDefault="00F12487" w:rsidP="00F12487">
      <w:pPr>
        <w:pStyle w:val="Prrafodelista"/>
        <w:numPr>
          <w:ilvl w:val="0"/>
          <w:numId w:val="3"/>
        </w:numPr>
        <w:spacing w:after="120" w:line="276" w:lineRule="auto"/>
        <w:contextualSpacing/>
        <w:jc w:val="both"/>
        <w:rPr>
          <w:sz w:val="22"/>
          <w:szCs w:val="22"/>
          <w:lang w:val="es-ES"/>
        </w:rPr>
      </w:pPr>
      <w:r w:rsidRPr="00CE6C7A">
        <w:rPr>
          <w:sz w:val="22"/>
          <w:szCs w:val="22"/>
          <w:lang w:val="es-ES"/>
        </w:rPr>
        <w:t>El área neta o útil se obtendrá descontando las áreas de afectación, áreas de protección de quebradas, taludes, ríos, áreas especiales de protección  y las áreas que superan los 20° grados de inclinación;</w:t>
      </w:r>
    </w:p>
    <w:p w:rsidR="00F12487" w:rsidRPr="00CE6C7A" w:rsidRDefault="00F12487" w:rsidP="00F12487">
      <w:pPr>
        <w:pStyle w:val="Prrafodelista"/>
        <w:numPr>
          <w:ilvl w:val="0"/>
          <w:numId w:val="3"/>
        </w:numPr>
        <w:spacing w:after="120" w:line="276" w:lineRule="auto"/>
        <w:contextualSpacing/>
        <w:jc w:val="both"/>
        <w:rPr>
          <w:sz w:val="22"/>
          <w:szCs w:val="22"/>
          <w:lang w:val="es-ES"/>
        </w:rPr>
      </w:pPr>
      <w:r w:rsidRPr="00CE6C7A">
        <w:rPr>
          <w:sz w:val="22"/>
          <w:szCs w:val="22"/>
          <w:lang w:val="es-ES"/>
        </w:rPr>
        <w:t>Las áreas no utilizables, como las de protección de quebradas, taludes, ríos, áreas especiales de protección y las áreas que superan los 20° grados podrán incorporarse a las áreas comunales exigidas por la normativa vigente y se someterán a un plan de conservación con la finalidad de conservar el suelo y la biodiversidad del sector;</w:t>
      </w:r>
    </w:p>
    <w:p w:rsidR="00F12487" w:rsidRPr="00CE6C7A" w:rsidRDefault="00F12487" w:rsidP="00F12487">
      <w:pPr>
        <w:numPr>
          <w:ilvl w:val="0"/>
          <w:numId w:val="3"/>
        </w:numPr>
        <w:spacing w:after="120" w:line="276" w:lineRule="auto"/>
        <w:contextualSpacing/>
        <w:jc w:val="both"/>
        <w:rPr>
          <w:rFonts w:ascii="Times New Roman" w:hAnsi="Times New Roman" w:cs="Times New Roman"/>
          <w:lang w:val="es-ES"/>
        </w:rPr>
      </w:pPr>
      <w:r w:rsidRPr="00CE6C7A">
        <w:rPr>
          <w:rFonts w:ascii="Times New Roman" w:hAnsi="Times New Roman" w:cs="Times New Roman"/>
          <w:lang w:val="es-ES"/>
        </w:rPr>
        <w:t>Se podrá utilizar como máximo el 5% del COS en Planta Baja y el 10 % del COS Total del área neta o útil del lote, en dos (2) pisos de altura y no se permitirán subsuelos;</w:t>
      </w:r>
    </w:p>
    <w:p w:rsidR="00F12487" w:rsidRPr="00CE6C7A" w:rsidRDefault="00F12487" w:rsidP="00F12487">
      <w:pPr>
        <w:numPr>
          <w:ilvl w:val="0"/>
          <w:numId w:val="3"/>
        </w:numPr>
        <w:spacing w:after="120" w:line="276" w:lineRule="auto"/>
        <w:contextualSpacing/>
        <w:jc w:val="both"/>
        <w:rPr>
          <w:rFonts w:ascii="Times New Roman" w:hAnsi="Times New Roman" w:cs="Times New Roman"/>
          <w:lang w:val="es-ES"/>
        </w:rPr>
      </w:pPr>
      <w:r w:rsidRPr="00CE6C7A">
        <w:rPr>
          <w:rFonts w:ascii="Times New Roman" w:hAnsi="Times New Roman" w:cs="Times New Roman"/>
          <w:lang w:val="es-ES"/>
        </w:rPr>
        <w:t>La determinación del número total de viviendas en función del COS Total utilizable, resultará de la aplicación de la siguiente fórmula:</w:t>
      </w:r>
    </w:p>
    <w:p w:rsidR="00F12487" w:rsidRPr="00CE6C7A" w:rsidRDefault="00F12487" w:rsidP="00F12487">
      <w:pPr>
        <w:spacing w:after="120" w:line="276" w:lineRule="auto"/>
        <w:ind w:left="720"/>
        <w:jc w:val="both"/>
        <w:rPr>
          <w:rFonts w:ascii="Times New Roman" w:hAnsi="Times New Roman" w:cs="Times New Roman"/>
          <w:lang w:val="es-ES"/>
        </w:rPr>
      </w:pPr>
    </w:p>
    <w:p w:rsidR="00F12487" w:rsidRPr="00CE6C7A" w:rsidRDefault="00F12487" w:rsidP="00F12487">
      <w:pPr>
        <w:spacing w:after="120" w:line="276" w:lineRule="auto"/>
        <w:ind w:firstLine="708"/>
        <w:jc w:val="both"/>
        <w:rPr>
          <w:rFonts w:ascii="Times New Roman" w:hAnsi="Times New Roman" w:cs="Times New Roman"/>
          <w:u w:val="single"/>
          <w:lang w:val="es-ES"/>
        </w:rPr>
      </w:pPr>
      <w:r w:rsidRPr="00CE6C7A">
        <w:rPr>
          <w:rFonts w:ascii="Times New Roman" w:hAnsi="Times New Roman" w:cs="Times New Roman"/>
          <w:lang w:val="es-ES"/>
        </w:rPr>
        <w:t xml:space="preserve">Unidades de vivienda (UV)= </w:t>
      </w:r>
      <w:r w:rsidRPr="00CE6C7A">
        <w:rPr>
          <w:rFonts w:ascii="Times New Roman" w:hAnsi="Times New Roman" w:cs="Times New Roman"/>
          <w:u w:val="single"/>
          <w:lang w:val="es-ES"/>
        </w:rPr>
        <w:t>Área neta o útil (ha.) x Densidad neta (hab/ha)</w:t>
      </w:r>
    </w:p>
    <w:p w:rsidR="00F12487" w:rsidRPr="00CE6C7A" w:rsidRDefault="00F12487" w:rsidP="00F12487">
      <w:pPr>
        <w:spacing w:after="120" w:line="276" w:lineRule="auto"/>
        <w:jc w:val="both"/>
        <w:rPr>
          <w:rFonts w:ascii="Times New Roman" w:hAnsi="Times New Roman" w:cs="Times New Roman"/>
          <w:lang w:val="es-ES"/>
        </w:rPr>
      </w:pPr>
      <w:r w:rsidRPr="00CE6C7A">
        <w:rPr>
          <w:rFonts w:ascii="Times New Roman" w:hAnsi="Times New Roman" w:cs="Times New Roman"/>
          <w:lang w:val="es-ES"/>
        </w:rPr>
        <w:tab/>
      </w:r>
      <w:r w:rsidRPr="00CE6C7A">
        <w:rPr>
          <w:rFonts w:ascii="Times New Roman" w:hAnsi="Times New Roman" w:cs="Times New Roman"/>
          <w:lang w:val="es-ES"/>
        </w:rPr>
        <w:tab/>
      </w:r>
      <w:r w:rsidRPr="00CE6C7A">
        <w:rPr>
          <w:rFonts w:ascii="Times New Roman" w:hAnsi="Times New Roman" w:cs="Times New Roman"/>
          <w:lang w:val="es-ES"/>
        </w:rPr>
        <w:tab/>
      </w:r>
      <w:r w:rsidRPr="00CE6C7A">
        <w:rPr>
          <w:rFonts w:ascii="Times New Roman" w:hAnsi="Times New Roman" w:cs="Times New Roman"/>
          <w:lang w:val="es-ES"/>
        </w:rPr>
        <w:tab/>
        <w:t xml:space="preserve">      </w:t>
      </w:r>
      <w:r w:rsidRPr="00CE6C7A">
        <w:rPr>
          <w:rFonts w:ascii="Times New Roman" w:hAnsi="Times New Roman" w:cs="Times New Roman"/>
          <w:lang w:val="es-ES"/>
        </w:rPr>
        <w:tab/>
        <w:t>Índice de Composición Familiar (hab/viv)</w:t>
      </w:r>
    </w:p>
    <w:p w:rsidR="00F12487" w:rsidRPr="00CE6C7A" w:rsidRDefault="00F12487" w:rsidP="00F12487">
      <w:pPr>
        <w:spacing w:after="120" w:line="276" w:lineRule="auto"/>
        <w:ind w:firstLine="708"/>
        <w:jc w:val="both"/>
        <w:rPr>
          <w:rFonts w:ascii="Times New Roman" w:hAnsi="Times New Roman" w:cs="Times New Roman"/>
          <w:lang w:val="es-ES"/>
        </w:rPr>
      </w:pPr>
      <w:r w:rsidRPr="00CE6C7A">
        <w:rPr>
          <w:rFonts w:ascii="Times New Roman" w:hAnsi="Times New Roman" w:cs="Times New Roman"/>
          <w:lang w:val="es-ES"/>
        </w:rPr>
        <w:lastRenderedPageBreak/>
        <w:t>Los datos constantes son los siguientes:</w:t>
      </w:r>
    </w:p>
    <w:p w:rsidR="00F12487" w:rsidRPr="00CE6C7A" w:rsidRDefault="00F12487" w:rsidP="00F12487">
      <w:pPr>
        <w:spacing w:after="120" w:line="276" w:lineRule="auto"/>
        <w:ind w:firstLine="708"/>
        <w:jc w:val="both"/>
        <w:rPr>
          <w:rFonts w:ascii="Times New Roman" w:hAnsi="Times New Roman" w:cs="Times New Roman"/>
          <w:lang w:val="es-ES"/>
        </w:rPr>
      </w:pPr>
      <w:r w:rsidRPr="00CE6C7A">
        <w:rPr>
          <w:rFonts w:ascii="Times New Roman" w:hAnsi="Times New Roman" w:cs="Times New Roman"/>
          <w:lang w:val="es-ES"/>
        </w:rPr>
        <w:t>Densidad neta promedio en sectores rurales de Quito = 31.6 hab/ha</w:t>
      </w:r>
    </w:p>
    <w:p w:rsidR="00F12487" w:rsidRPr="00CE6C7A" w:rsidRDefault="00F12487" w:rsidP="00F12487">
      <w:pPr>
        <w:spacing w:after="120" w:line="276" w:lineRule="auto"/>
        <w:ind w:firstLine="708"/>
        <w:jc w:val="both"/>
        <w:rPr>
          <w:rFonts w:ascii="Times New Roman" w:hAnsi="Times New Roman" w:cs="Times New Roman"/>
          <w:lang w:val="es-ES"/>
        </w:rPr>
      </w:pPr>
      <w:r w:rsidRPr="00CE6C7A">
        <w:rPr>
          <w:rFonts w:ascii="Times New Roman" w:hAnsi="Times New Roman" w:cs="Times New Roman"/>
          <w:lang w:val="es-ES"/>
        </w:rPr>
        <w:t>Índice de composición familiar promedio en sectores rurales de Quito= 3.49 hab</w:t>
      </w:r>
    </w:p>
    <w:p w:rsidR="00F12487" w:rsidRPr="00CE6C7A" w:rsidRDefault="00F12487" w:rsidP="00F12487">
      <w:pPr>
        <w:pStyle w:val="Prrafodelista"/>
        <w:numPr>
          <w:ilvl w:val="0"/>
          <w:numId w:val="3"/>
        </w:numPr>
        <w:spacing w:after="120" w:line="276" w:lineRule="auto"/>
        <w:contextualSpacing/>
        <w:jc w:val="both"/>
        <w:rPr>
          <w:sz w:val="22"/>
          <w:szCs w:val="22"/>
          <w:lang w:val="es-ES"/>
        </w:rPr>
      </w:pPr>
      <w:r w:rsidRPr="00CE6C7A">
        <w:rPr>
          <w:sz w:val="22"/>
          <w:szCs w:val="22"/>
          <w:lang w:val="es-ES"/>
        </w:rPr>
        <w:t>Deberán cumplir con las medidas de seguridad constructiva sismo resistente y de mitigación de riesgos aprobadas por las entidades competentes, sin perjuicio del cumplimiento de la normativa nacional y reglas técnicas contenidas en las ordenanzas vigentes;</w:t>
      </w:r>
    </w:p>
    <w:p w:rsidR="00F12487" w:rsidRPr="00CE6C7A" w:rsidRDefault="00F12487" w:rsidP="00F12487">
      <w:pPr>
        <w:pStyle w:val="Prrafodelista"/>
        <w:numPr>
          <w:ilvl w:val="0"/>
          <w:numId w:val="3"/>
        </w:numPr>
        <w:spacing w:after="120" w:line="276" w:lineRule="auto"/>
        <w:contextualSpacing/>
        <w:jc w:val="both"/>
        <w:rPr>
          <w:sz w:val="22"/>
          <w:szCs w:val="22"/>
          <w:lang w:val="es-ES"/>
        </w:rPr>
      </w:pPr>
      <w:r w:rsidRPr="00CE6C7A">
        <w:rPr>
          <w:sz w:val="22"/>
          <w:szCs w:val="22"/>
          <w:lang w:val="es-ES"/>
        </w:rPr>
        <w:t xml:space="preserve">Las propuestas de los proyectos a ser declarados en propiedad horizontal, en caso de no contar con las factibilidades de servicios básicos, deberán presentar los estudios y propuestas alternativas de auto abastecimiento sostenible para la implementación de dichos servicios de infraestructura (agua potabilizada, alcantarillado, energía eléctrica, recolección y tratamiento de residuos sólidos) validados por las respectivas empresas y el informe de viabilidad emitido por la Secretaría responsable del ambiente. </w:t>
      </w:r>
    </w:p>
    <w:p w:rsidR="00F12487" w:rsidRPr="00CE6C7A" w:rsidRDefault="00F12487" w:rsidP="00F12487">
      <w:pPr>
        <w:pStyle w:val="Prrafodelista"/>
        <w:numPr>
          <w:ilvl w:val="0"/>
          <w:numId w:val="3"/>
        </w:numPr>
        <w:spacing w:after="120" w:line="276" w:lineRule="auto"/>
        <w:contextualSpacing/>
        <w:jc w:val="both"/>
        <w:rPr>
          <w:sz w:val="22"/>
          <w:szCs w:val="22"/>
          <w:lang w:val="es-ES"/>
        </w:rPr>
      </w:pPr>
      <w:r w:rsidRPr="00CE6C7A">
        <w:rPr>
          <w:sz w:val="22"/>
          <w:szCs w:val="22"/>
          <w:lang w:val="es-ES"/>
        </w:rPr>
        <w:t>Estos proyectos se sujetarán al procedimiento especial de licenciamiento y requerirán un informe preceptivo emitido por la Secretaría responsable del Territorio, Hábitat y Vivienda, para su posterior revisión en las Entidades Colaboradoras y la obtención de la Licencia Metropolitana Urbanística LMU 20 en las Administraciones Zonales competentes.”</w:t>
      </w:r>
    </w:p>
    <w:p w:rsidR="009314E6" w:rsidRPr="00CD225D" w:rsidRDefault="009314E6" w:rsidP="009314E6">
      <w:pPr>
        <w:spacing w:after="0" w:line="240" w:lineRule="auto"/>
        <w:jc w:val="both"/>
        <w:rPr>
          <w:rFonts w:ascii="Times New Roman" w:hAnsi="Times New Roman" w:cs="Times New Roman"/>
          <w:bCs/>
          <w:color w:val="0070C0"/>
          <w:lang w:val="es-ES" w:eastAsia="es-EC"/>
        </w:rPr>
      </w:pPr>
      <w:r w:rsidRPr="00CD225D">
        <w:rPr>
          <w:rFonts w:ascii="Times New Roman" w:hAnsi="Times New Roman" w:cs="Times New Roman"/>
          <w:bCs/>
          <w:color w:val="0070C0"/>
          <w:lang w:val="es-ES" w:eastAsia="es-EC"/>
        </w:rPr>
        <w:t xml:space="preserve">Art. 22.- Refórmese el Art. 9 de la Ordenanza Metropolitana No. 060 que Crea y Regula el Sistema de Transporte Público  </w:t>
      </w:r>
      <w:r w:rsidR="007C77C4">
        <w:rPr>
          <w:rFonts w:ascii="Times New Roman" w:hAnsi="Times New Roman" w:cs="Times New Roman"/>
          <w:bCs/>
          <w:color w:val="0070C0"/>
          <w:lang w:val="es-ES" w:eastAsia="es-EC"/>
        </w:rPr>
        <w:t>d</w:t>
      </w:r>
      <w:r w:rsidRPr="00CD225D">
        <w:rPr>
          <w:rFonts w:ascii="Times New Roman" w:hAnsi="Times New Roman" w:cs="Times New Roman"/>
          <w:bCs/>
          <w:color w:val="0070C0"/>
          <w:lang w:val="es-ES" w:eastAsia="es-EC"/>
        </w:rPr>
        <w:t xml:space="preserve">e Pasajeros </w:t>
      </w:r>
      <w:r w:rsidR="007C77C4">
        <w:rPr>
          <w:rFonts w:ascii="Times New Roman" w:hAnsi="Times New Roman" w:cs="Times New Roman"/>
          <w:bCs/>
          <w:color w:val="0070C0"/>
          <w:lang w:val="es-ES" w:eastAsia="es-EC"/>
        </w:rPr>
        <w:t>p</w:t>
      </w:r>
      <w:r w:rsidRPr="00CD225D">
        <w:rPr>
          <w:rFonts w:ascii="Times New Roman" w:hAnsi="Times New Roman" w:cs="Times New Roman"/>
          <w:bCs/>
          <w:color w:val="0070C0"/>
          <w:lang w:val="es-ES" w:eastAsia="es-EC"/>
        </w:rPr>
        <w:t xml:space="preserve">or Teleférico, Funicular </w:t>
      </w:r>
      <w:r w:rsidR="007C77C4">
        <w:rPr>
          <w:rFonts w:ascii="Times New Roman" w:hAnsi="Times New Roman" w:cs="Times New Roman"/>
          <w:bCs/>
          <w:color w:val="0070C0"/>
          <w:lang w:val="es-ES" w:eastAsia="es-EC"/>
        </w:rPr>
        <w:t>y</w:t>
      </w:r>
      <w:r w:rsidRPr="00CD225D">
        <w:rPr>
          <w:rFonts w:ascii="Times New Roman" w:hAnsi="Times New Roman" w:cs="Times New Roman"/>
          <w:bCs/>
          <w:color w:val="0070C0"/>
          <w:lang w:val="es-ES" w:eastAsia="es-EC"/>
        </w:rPr>
        <w:t xml:space="preserve"> </w:t>
      </w:r>
      <w:r w:rsidR="007C77C4">
        <w:rPr>
          <w:rFonts w:ascii="Times New Roman" w:hAnsi="Times New Roman" w:cs="Times New Roman"/>
          <w:bCs/>
          <w:color w:val="0070C0"/>
          <w:lang w:val="es-ES" w:eastAsia="es-EC"/>
        </w:rPr>
        <w:t>o</w:t>
      </w:r>
      <w:r w:rsidRPr="00CD225D">
        <w:rPr>
          <w:rFonts w:ascii="Times New Roman" w:hAnsi="Times New Roman" w:cs="Times New Roman"/>
          <w:bCs/>
          <w:color w:val="0070C0"/>
          <w:lang w:val="es-ES" w:eastAsia="es-EC"/>
        </w:rPr>
        <w:t xml:space="preserve">tros Medios Similares - Quito Cables, por el siguiente texto: El  uso de suelo principal  </w:t>
      </w:r>
      <w:r w:rsidRPr="005C34B6">
        <w:rPr>
          <w:rFonts w:ascii="Times New Roman" w:hAnsi="Times New Roman" w:cs="Times New Roman"/>
          <w:bCs/>
          <w:color w:val="FF0000"/>
          <w:lang w:val="es-ES" w:eastAsia="es-EC"/>
        </w:rPr>
        <w:t>y/o complementarios</w:t>
      </w:r>
      <w:r w:rsidRPr="00CD225D">
        <w:rPr>
          <w:rFonts w:ascii="Times New Roman" w:hAnsi="Times New Roman" w:cs="Times New Roman"/>
          <w:bCs/>
          <w:color w:val="0070C0"/>
          <w:lang w:val="es-ES" w:eastAsia="es-EC"/>
        </w:rPr>
        <w:t xml:space="preserve"> aplicable a los predios donde se implantarán las paradas y estaciones del subsistema de transporte de pasajeros será: equipamiento cuyo cambio de uso de suelo se hará mediante la respectiva ordenanza previo informe de la Comisión de Uso de Suelo.</w:t>
      </w:r>
    </w:p>
    <w:p w:rsidR="009314E6" w:rsidRPr="00CD225D" w:rsidRDefault="009314E6" w:rsidP="009314E6">
      <w:pPr>
        <w:spacing w:after="0" w:line="240" w:lineRule="auto"/>
        <w:jc w:val="both"/>
        <w:rPr>
          <w:rFonts w:ascii="Times New Roman" w:hAnsi="Times New Roman" w:cs="Times New Roman"/>
          <w:bCs/>
          <w:color w:val="0070C0"/>
          <w:lang w:val="es-ES" w:eastAsia="es-EC"/>
        </w:rPr>
      </w:pPr>
    </w:p>
    <w:p w:rsidR="00B35892" w:rsidRPr="00CD225D" w:rsidRDefault="009314E6" w:rsidP="009314E6">
      <w:pPr>
        <w:spacing w:after="0" w:line="240" w:lineRule="auto"/>
        <w:jc w:val="both"/>
        <w:rPr>
          <w:rFonts w:ascii="Times New Roman" w:hAnsi="Times New Roman" w:cs="Times New Roman"/>
          <w:bCs/>
          <w:color w:val="0070C0"/>
          <w:lang w:val="es-ES" w:eastAsia="es-EC"/>
        </w:rPr>
      </w:pPr>
      <w:r w:rsidRPr="00CD225D">
        <w:rPr>
          <w:rFonts w:ascii="Times New Roman" w:hAnsi="Times New Roman" w:cs="Times New Roman"/>
          <w:bCs/>
          <w:color w:val="0070C0"/>
          <w:lang w:val="es-ES" w:eastAsia="es-EC"/>
        </w:rPr>
        <w:t>El uso de suelo equipamiento será compatible con comercios y servicios de carácter barrial, sectorial y zonal.</w:t>
      </w:r>
    </w:p>
    <w:p w:rsidR="00B35892" w:rsidRPr="00F12487" w:rsidRDefault="00B35892" w:rsidP="00B35892">
      <w:pPr>
        <w:spacing w:after="0" w:line="240" w:lineRule="auto"/>
        <w:jc w:val="both"/>
        <w:rPr>
          <w:rFonts w:ascii="Times New Roman" w:hAnsi="Times New Roman" w:cs="Times New Roman"/>
          <w:bCs/>
          <w:color w:val="000000" w:themeColor="text1"/>
          <w:lang w:val="es-ES" w:eastAsia="es-EC"/>
        </w:rPr>
      </w:pPr>
    </w:p>
    <w:p w:rsidR="000E07D0" w:rsidRPr="005659B0" w:rsidRDefault="004F76AD" w:rsidP="00C572F8">
      <w:pPr>
        <w:spacing w:after="0" w:line="240" w:lineRule="auto"/>
        <w:jc w:val="both"/>
        <w:rPr>
          <w:rFonts w:ascii="Times New Roman" w:hAnsi="Times New Roman" w:cs="Times New Roman"/>
          <w:b/>
          <w:bCs/>
          <w:lang w:eastAsia="es-EC"/>
        </w:rPr>
      </w:pPr>
      <w:r w:rsidRPr="005659B0">
        <w:rPr>
          <w:rFonts w:ascii="Times New Roman" w:hAnsi="Times New Roman" w:cs="Times New Roman"/>
          <w:b/>
          <w:bCs/>
          <w:lang w:eastAsia="es-EC"/>
        </w:rPr>
        <w:t>D</w:t>
      </w:r>
      <w:r w:rsidR="000E07D0" w:rsidRPr="005659B0">
        <w:rPr>
          <w:rFonts w:ascii="Times New Roman" w:hAnsi="Times New Roman" w:cs="Times New Roman"/>
          <w:b/>
          <w:bCs/>
          <w:lang w:eastAsia="es-EC"/>
        </w:rPr>
        <w:t>isposiciones Generales</w:t>
      </w:r>
      <w:r w:rsidR="006A0D6F" w:rsidRPr="005659B0">
        <w:rPr>
          <w:rFonts w:ascii="Times New Roman" w:hAnsi="Times New Roman" w:cs="Times New Roman"/>
          <w:b/>
          <w:bCs/>
          <w:lang w:eastAsia="es-EC"/>
        </w:rPr>
        <w:t>:</w:t>
      </w:r>
      <w:r w:rsidR="000E07D0" w:rsidRPr="005659B0">
        <w:rPr>
          <w:rFonts w:ascii="Times New Roman" w:hAnsi="Times New Roman" w:cs="Times New Roman"/>
          <w:b/>
          <w:bCs/>
          <w:lang w:eastAsia="es-EC"/>
        </w:rPr>
        <w:t xml:space="preserve"> </w:t>
      </w:r>
    </w:p>
    <w:p w:rsidR="000E07D0" w:rsidRPr="006A0D6F" w:rsidRDefault="000E07D0" w:rsidP="00C572F8">
      <w:pPr>
        <w:spacing w:after="0" w:line="240" w:lineRule="auto"/>
        <w:jc w:val="both"/>
        <w:rPr>
          <w:rFonts w:ascii="Times New Roman" w:hAnsi="Times New Roman" w:cs="Times New Roman"/>
          <w:bCs/>
          <w:lang w:eastAsia="es-EC"/>
        </w:rPr>
      </w:pPr>
    </w:p>
    <w:p w:rsidR="009A130B" w:rsidRPr="00E164C4" w:rsidRDefault="009A130B" w:rsidP="00C572F8">
      <w:pPr>
        <w:spacing w:after="0" w:line="240" w:lineRule="auto"/>
        <w:jc w:val="both"/>
        <w:rPr>
          <w:rFonts w:ascii="Times New Roman" w:hAnsi="Times New Roman" w:cs="Times New Roman"/>
          <w:color w:val="0070C0"/>
        </w:rPr>
      </w:pPr>
      <w:r w:rsidRPr="00E164C4">
        <w:rPr>
          <w:rFonts w:ascii="Times New Roman" w:hAnsi="Times New Roman" w:cs="Times New Roman"/>
          <w:b/>
          <w:bCs/>
          <w:color w:val="0070C0"/>
          <w:lang w:eastAsia="es-EC"/>
        </w:rPr>
        <w:t>Incorpórese la Disposición General Primera con el siguiente texto:</w:t>
      </w:r>
      <w:r w:rsidRPr="00E164C4">
        <w:rPr>
          <w:rFonts w:ascii="Times New Roman" w:hAnsi="Times New Roman" w:cs="Times New Roman"/>
          <w:color w:val="0070C0"/>
        </w:rPr>
        <w:t xml:space="preserve">  </w:t>
      </w:r>
      <w:r w:rsidR="005C34B6" w:rsidRPr="00E164C4">
        <w:rPr>
          <w:rFonts w:ascii="Times New Roman" w:hAnsi="Times New Roman" w:cs="Times New Roman"/>
          <w:color w:val="FF0000"/>
        </w:rPr>
        <w:t>La e</w:t>
      </w:r>
      <w:r w:rsidR="009314E6" w:rsidRPr="00E164C4">
        <w:rPr>
          <w:rFonts w:ascii="Times New Roman" w:hAnsi="Times New Roman" w:cs="Times New Roman"/>
          <w:color w:val="FF0000"/>
        </w:rPr>
        <w:t>ntidad rectora</w:t>
      </w:r>
      <w:r w:rsidR="009314E6" w:rsidRPr="00E164C4">
        <w:rPr>
          <w:rFonts w:ascii="Times New Roman" w:hAnsi="Times New Roman" w:cs="Times New Roman"/>
          <w:color w:val="0070C0"/>
        </w:rPr>
        <w:t xml:space="preserve"> del territorio, hábitat y vivienda, asignará los usos de suelo, zonificaciones, edificabilidad y afectaciones de las líneas del  Sistema de Transporte Público  De Pasajeros Por Teleférico, Funicular Y Otros Medios Similares  y su área de influencia, a los lotes y predios comprendidos en sus trazados, derivados de la respectiva ordenanza, la cual será aprobada por el Concejo Metropolitano previo informe de la Comisión de Uso de Suelo.</w:t>
      </w:r>
    </w:p>
    <w:p w:rsidR="009314E6" w:rsidRDefault="009314E6" w:rsidP="00C572F8">
      <w:pPr>
        <w:spacing w:after="0" w:line="240" w:lineRule="auto"/>
        <w:jc w:val="both"/>
        <w:rPr>
          <w:rFonts w:ascii="Times New Roman" w:hAnsi="Times New Roman" w:cs="Times New Roman"/>
          <w:b/>
          <w:bCs/>
          <w:lang w:eastAsia="es-EC"/>
        </w:rPr>
      </w:pPr>
    </w:p>
    <w:p w:rsidR="004F76AD" w:rsidRPr="006A0D6F" w:rsidRDefault="009A130B" w:rsidP="00C572F8">
      <w:pPr>
        <w:spacing w:after="0" w:line="240" w:lineRule="auto"/>
        <w:jc w:val="both"/>
        <w:rPr>
          <w:rFonts w:ascii="Times New Roman" w:hAnsi="Times New Roman" w:cs="Times New Roman"/>
          <w:bCs/>
          <w:lang w:eastAsia="es-EC"/>
        </w:rPr>
      </w:pPr>
      <w:r w:rsidRPr="009A130B">
        <w:rPr>
          <w:rFonts w:ascii="Times New Roman" w:hAnsi="Times New Roman" w:cs="Times New Roman"/>
          <w:b/>
          <w:bCs/>
          <w:color w:val="FF0000"/>
          <w:lang w:eastAsia="es-EC"/>
        </w:rPr>
        <w:t>Segunda</w:t>
      </w:r>
      <w:r>
        <w:rPr>
          <w:rFonts w:ascii="Times New Roman" w:hAnsi="Times New Roman" w:cs="Times New Roman"/>
          <w:b/>
          <w:bCs/>
          <w:lang w:eastAsia="es-EC"/>
        </w:rPr>
        <w:t xml:space="preserve"> </w:t>
      </w:r>
      <w:r w:rsidR="000E07D0" w:rsidRPr="009A130B">
        <w:rPr>
          <w:rFonts w:ascii="Times New Roman" w:hAnsi="Times New Roman" w:cs="Times New Roman"/>
          <w:b/>
          <w:bCs/>
          <w:strike/>
          <w:lang w:eastAsia="es-EC"/>
        </w:rPr>
        <w:t>Primera.</w:t>
      </w:r>
      <w:r w:rsidR="000E07D0" w:rsidRPr="006A0D6F">
        <w:rPr>
          <w:rFonts w:ascii="Times New Roman" w:hAnsi="Times New Roman" w:cs="Times New Roman"/>
          <w:b/>
          <w:bCs/>
          <w:lang w:eastAsia="es-EC"/>
        </w:rPr>
        <w:t>-</w:t>
      </w:r>
      <w:r w:rsidR="000E07D0" w:rsidRPr="006A0D6F">
        <w:rPr>
          <w:rFonts w:ascii="Times New Roman" w:hAnsi="Times New Roman" w:cs="Times New Roman"/>
          <w:bCs/>
          <w:lang w:eastAsia="es-EC"/>
        </w:rPr>
        <w:t xml:space="preserve"> </w:t>
      </w:r>
      <w:r w:rsidR="00A67787">
        <w:rPr>
          <w:rFonts w:ascii="Times New Roman" w:hAnsi="Times New Roman" w:cs="Times New Roman"/>
          <w:bCs/>
          <w:lang w:eastAsia="es-EC"/>
        </w:rPr>
        <w:t>Sustitúyase</w:t>
      </w:r>
      <w:r w:rsidR="000E07D0" w:rsidRPr="006A0D6F">
        <w:rPr>
          <w:rFonts w:ascii="Times New Roman" w:hAnsi="Times New Roman" w:cs="Times New Roman"/>
          <w:bCs/>
          <w:lang w:eastAsia="es-EC"/>
        </w:rPr>
        <w:t xml:space="preserve"> el mapa PUOS Z2-2 de la ordenanza metropolitana No. </w:t>
      </w:r>
      <w:r w:rsidR="00004F8D">
        <w:rPr>
          <w:rFonts w:ascii="Times New Roman" w:hAnsi="Times New Roman" w:cs="Times New Roman"/>
          <w:bCs/>
          <w:lang w:eastAsia="es-EC"/>
        </w:rPr>
        <w:t>192</w:t>
      </w:r>
      <w:r w:rsidR="000E07D0" w:rsidRPr="006A0D6F">
        <w:rPr>
          <w:rFonts w:ascii="Times New Roman" w:hAnsi="Times New Roman" w:cs="Times New Roman"/>
          <w:bCs/>
          <w:lang w:eastAsia="es-EC"/>
        </w:rPr>
        <w:t xml:space="preserve"> Reformatoria de la Ordenanza Metropolitana No. 127 que aprueba el Plan de Uso y </w:t>
      </w:r>
      <w:r w:rsidR="009C19AA" w:rsidRPr="006A0D6F">
        <w:rPr>
          <w:rFonts w:ascii="Times New Roman" w:hAnsi="Times New Roman" w:cs="Times New Roman"/>
          <w:bCs/>
          <w:lang w:eastAsia="es-EC"/>
        </w:rPr>
        <w:t>Ocupación</w:t>
      </w:r>
      <w:r w:rsidR="000E07D0" w:rsidRPr="006A0D6F">
        <w:rPr>
          <w:rFonts w:ascii="Times New Roman" w:hAnsi="Times New Roman" w:cs="Times New Roman"/>
          <w:bCs/>
          <w:lang w:eastAsia="es-EC"/>
        </w:rPr>
        <w:t xml:space="preserve"> de Suelo, </w:t>
      </w:r>
      <w:r w:rsidR="00A67787">
        <w:rPr>
          <w:rFonts w:ascii="Times New Roman" w:hAnsi="Times New Roman" w:cs="Times New Roman"/>
          <w:bCs/>
          <w:lang w:eastAsia="es-EC"/>
        </w:rPr>
        <w:t xml:space="preserve">incorporando </w:t>
      </w:r>
      <w:r w:rsidR="000E07D0" w:rsidRPr="006A0D6F">
        <w:rPr>
          <w:rFonts w:ascii="Times New Roman" w:hAnsi="Times New Roman" w:cs="Times New Roman"/>
          <w:bCs/>
          <w:lang w:eastAsia="es-EC"/>
        </w:rPr>
        <w:t>los polígonos correspondientes a las zonificaciones A36, A37 y A38</w:t>
      </w:r>
      <w:r w:rsidR="009C19AA" w:rsidRPr="006A0D6F">
        <w:rPr>
          <w:rFonts w:ascii="Times New Roman" w:hAnsi="Times New Roman" w:cs="Times New Roman"/>
          <w:bCs/>
          <w:lang w:eastAsia="es-EC"/>
        </w:rPr>
        <w:t xml:space="preserve"> de vivienda multifamiliar,</w:t>
      </w:r>
      <w:r w:rsidR="000E07D0" w:rsidRPr="006A0D6F">
        <w:rPr>
          <w:rFonts w:ascii="Times New Roman" w:hAnsi="Times New Roman" w:cs="Times New Roman"/>
          <w:bCs/>
          <w:lang w:eastAsia="es-EC"/>
        </w:rPr>
        <w:t xml:space="preserve"> </w:t>
      </w:r>
      <w:r w:rsidR="009C19AA" w:rsidRPr="006A0D6F">
        <w:rPr>
          <w:rFonts w:ascii="Times New Roman" w:hAnsi="Times New Roman" w:cs="Times New Roman"/>
          <w:bCs/>
          <w:lang w:eastAsia="es-EC"/>
        </w:rPr>
        <w:t xml:space="preserve">en concordancia con </w:t>
      </w:r>
      <w:r w:rsidR="009F1891" w:rsidRPr="006A0D6F">
        <w:rPr>
          <w:rFonts w:ascii="Times New Roman" w:hAnsi="Times New Roman" w:cs="Times New Roman"/>
          <w:bCs/>
          <w:lang w:eastAsia="es-EC"/>
        </w:rPr>
        <w:t xml:space="preserve">las </w:t>
      </w:r>
      <w:r w:rsidR="009C19AA" w:rsidRPr="006A0D6F">
        <w:rPr>
          <w:rFonts w:ascii="Times New Roman" w:hAnsi="Times New Roman" w:cs="Times New Roman"/>
          <w:bCs/>
          <w:lang w:eastAsia="es-EC"/>
        </w:rPr>
        <w:t>zonificaci</w:t>
      </w:r>
      <w:r w:rsidR="009F1891" w:rsidRPr="006A0D6F">
        <w:rPr>
          <w:rFonts w:ascii="Times New Roman" w:hAnsi="Times New Roman" w:cs="Times New Roman"/>
          <w:bCs/>
          <w:lang w:eastAsia="es-EC"/>
        </w:rPr>
        <w:t>ones y regulaciones</w:t>
      </w:r>
      <w:r w:rsidR="009C19AA" w:rsidRPr="006A0D6F">
        <w:rPr>
          <w:rFonts w:ascii="Times New Roman" w:hAnsi="Times New Roman" w:cs="Times New Roman"/>
          <w:bCs/>
          <w:lang w:eastAsia="es-EC"/>
        </w:rPr>
        <w:t xml:space="preserve"> </w:t>
      </w:r>
      <w:r w:rsidR="009F1891" w:rsidRPr="006A0D6F">
        <w:rPr>
          <w:rFonts w:ascii="Times New Roman" w:hAnsi="Times New Roman" w:cs="Times New Roman"/>
          <w:bCs/>
          <w:lang w:eastAsia="es-EC"/>
        </w:rPr>
        <w:t>previstas</w:t>
      </w:r>
      <w:r w:rsidR="009C19AA" w:rsidRPr="006A0D6F">
        <w:rPr>
          <w:rFonts w:ascii="Times New Roman" w:hAnsi="Times New Roman" w:cs="Times New Roman"/>
          <w:bCs/>
          <w:lang w:eastAsia="es-EC"/>
        </w:rPr>
        <w:t xml:space="preserve"> en el Anexo de la presente ordenanza.</w:t>
      </w:r>
    </w:p>
    <w:p w:rsidR="009F1891" w:rsidRPr="004B1411" w:rsidRDefault="009F1891" w:rsidP="00C572F8">
      <w:pPr>
        <w:spacing w:after="0" w:line="240" w:lineRule="auto"/>
        <w:jc w:val="both"/>
        <w:rPr>
          <w:rFonts w:ascii="Times New Roman" w:hAnsi="Times New Roman" w:cs="Times New Roman"/>
          <w:bCs/>
          <w:lang w:eastAsia="es-EC"/>
        </w:rPr>
      </w:pPr>
    </w:p>
    <w:p w:rsidR="00AC107A" w:rsidRDefault="009A130B" w:rsidP="00C572F8">
      <w:pPr>
        <w:spacing w:after="0" w:line="240" w:lineRule="auto"/>
        <w:jc w:val="both"/>
        <w:rPr>
          <w:rFonts w:ascii="Times New Roman" w:hAnsi="Times New Roman" w:cs="Times New Roman"/>
          <w:bCs/>
          <w:lang w:eastAsia="es-EC"/>
        </w:rPr>
      </w:pPr>
      <w:r w:rsidRPr="009A130B">
        <w:rPr>
          <w:rFonts w:ascii="Times New Roman" w:hAnsi="Times New Roman" w:cs="Times New Roman"/>
          <w:b/>
          <w:bCs/>
          <w:color w:val="FF0000"/>
          <w:lang w:eastAsia="es-EC"/>
        </w:rPr>
        <w:t>Tercera</w:t>
      </w:r>
      <w:r>
        <w:rPr>
          <w:rFonts w:ascii="Times New Roman" w:hAnsi="Times New Roman" w:cs="Times New Roman"/>
          <w:b/>
          <w:bCs/>
          <w:lang w:eastAsia="es-EC"/>
        </w:rPr>
        <w:t xml:space="preserve"> </w:t>
      </w:r>
      <w:r w:rsidR="009F1891" w:rsidRPr="009A130B">
        <w:rPr>
          <w:rFonts w:ascii="Times New Roman" w:hAnsi="Times New Roman" w:cs="Times New Roman"/>
          <w:b/>
          <w:bCs/>
          <w:strike/>
          <w:lang w:eastAsia="es-EC"/>
        </w:rPr>
        <w:t>Segunda.</w:t>
      </w:r>
      <w:r w:rsidR="009F1891" w:rsidRPr="006A0D6F">
        <w:rPr>
          <w:rFonts w:ascii="Times New Roman" w:hAnsi="Times New Roman" w:cs="Times New Roman"/>
          <w:b/>
          <w:bCs/>
          <w:lang w:eastAsia="es-EC"/>
        </w:rPr>
        <w:t>-</w:t>
      </w:r>
      <w:r w:rsidR="009F1891" w:rsidRPr="006A0D6F">
        <w:rPr>
          <w:rFonts w:ascii="Times New Roman" w:hAnsi="Times New Roman" w:cs="Times New Roman"/>
          <w:bCs/>
          <w:lang w:eastAsia="es-EC"/>
        </w:rPr>
        <w:t xml:space="preserve"> </w:t>
      </w:r>
      <w:r w:rsidR="00AC107A">
        <w:rPr>
          <w:rFonts w:ascii="Times New Roman" w:hAnsi="Times New Roman" w:cs="Times New Roman"/>
          <w:bCs/>
          <w:lang w:eastAsia="es-EC"/>
        </w:rPr>
        <w:t>Sustitúyase</w:t>
      </w:r>
      <w:r w:rsidR="00AC107A" w:rsidRPr="006A0D6F">
        <w:rPr>
          <w:rFonts w:ascii="Times New Roman" w:hAnsi="Times New Roman" w:cs="Times New Roman"/>
          <w:bCs/>
          <w:lang w:eastAsia="es-EC"/>
        </w:rPr>
        <w:t xml:space="preserve"> </w:t>
      </w:r>
      <w:r w:rsidR="00AC107A">
        <w:rPr>
          <w:rFonts w:ascii="Times New Roman" w:hAnsi="Times New Roman" w:cs="Times New Roman"/>
          <w:bCs/>
          <w:lang w:eastAsia="es-EC"/>
        </w:rPr>
        <w:t>e</w:t>
      </w:r>
      <w:r w:rsidR="00D566AD">
        <w:rPr>
          <w:rFonts w:ascii="Times New Roman" w:hAnsi="Times New Roman" w:cs="Times New Roman"/>
          <w:bCs/>
          <w:lang w:eastAsia="es-EC"/>
        </w:rPr>
        <w:t xml:space="preserve">l </w:t>
      </w:r>
      <w:r w:rsidR="00AC107A" w:rsidRPr="00D566AD">
        <w:rPr>
          <w:rFonts w:ascii="Times New Roman" w:hAnsi="Times New Roman" w:cs="Times New Roman"/>
          <w:bCs/>
          <w:lang w:eastAsia="es-EC"/>
        </w:rPr>
        <w:t>documento que contiene el Plan de Uso y Ocupación del Suelo y su anexo que corresponde al Clasificador Internacional Industrial Uniforme (CIIU) vigente para el Distrito Metropolitano de Quito, que son parte del Anexo Único del Plan Metropolitano de Desarrollo y Ordenamiento Territorial</w:t>
      </w:r>
      <w:r w:rsidR="00D566AD">
        <w:rPr>
          <w:rFonts w:ascii="Times New Roman" w:hAnsi="Times New Roman" w:cs="Times New Roman"/>
          <w:bCs/>
          <w:lang w:eastAsia="es-EC"/>
        </w:rPr>
        <w:t xml:space="preserve"> por el anexo denominado Plan de Uso y Ocupación de Suelo y </w:t>
      </w:r>
      <w:r w:rsidR="00AC107A">
        <w:rPr>
          <w:rFonts w:ascii="Times New Roman" w:hAnsi="Times New Roman" w:cs="Times New Roman"/>
          <w:bCs/>
          <w:lang w:eastAsia="es-EC"/>
        </w:rPr>
        <w:t xml:space="preserve">el </w:t>
      </w:r>
      <w:r w:rsidR="00AC107A" w:rsidRPr="006A0D6F">
        <w:rPr>
          <w:rFonts w:ascii="Times New Roman" w:hAnsi="Times New Roman" w:cs="Times New Roman"/>
          <w:bCs/>
          <w:lang w:eastAsia="es-EC"/>
        </w:rPr>
        <w:t>ap</w:t>
      </w:r>
      <w:r w:rsidR="00AC107A">
        <w:rPr>
          <w:rFonts w:ascii="Times New Roman" w:hAnsi="Times New Roman" w:cs="Times New Roman"/>
          <w:bCs/>
          <w:lang w:eastAsia="es-EC"/>
        </w:rPr>
        <w:t>éndice que contiene</w:t>
      </w:r>
      <w:r w:rsidR="00AC107A" w:rsidRPr="006A0D6F">
        <w:rPr>
          <w:rFonts w:ascii="Times New Roman" w:hAnsi="Times New Roman" w:cs="Times New Roman"/>
          <w:bCs/>
          <w:lang w:eastAsia="es-EC"/>
        </w:rPr>
        <w:t xml:space="preserve"> el listado de actividades del Clasificador Internacional Industrial Uniforme (CIIU); los cuadros de las tipologías de las actividades económicas y el cuadro de usos de suelo y sus relaciones de compatibilidad con actividades económicas y/o equipamientos.  </w:t>
      </w:r>
    </w:p>
    <w:p w:rsidR="009A130B" w:rsidRDefault="009A130B" w:rsidP="00C572F8">
      <w:pPr>
        <w:spacing w:after="0" w:line="240" w:lineRule="auto"/>
        <w:jc w:val="both"/>
        <w:rPr>
          <w:rFonts w:ascii="Times New Roman" w:hAnsi="Times New Roman" w:cs="Times New Roman"/>
          <w:bCs/>
          <w:lang w:eastAsia="es-EC"/>
        </w:rPr>
      </w:pPr>
    </w:p>
    <w:p w:rsidR="005279A8" w:rsidRPr="00164EA6" w:rsidRDefault="005279A8" w:rsidP="008D7F22">
      <w:pPr>
        <w:tabs>
          <w:tab w:val="left" w:pos="2977"/>
        </w:tabs>
        <w:autoSpaceDE w:val="0"/>
        <w:autoSpaceDN w:val="0"/>
        <w:adjustRightInd w:val="0"/>
        <w:spacing w:after="120" w:line="276" w:lineRule="auto"/>
        <w:jc w:val="both"/>
        <w:rPr>
          <w:rFonts w:ascii="Times New Roman" w:hAnsi="Times New Roman" w:cs="Times New Roman"/>
          <w:color w:val="FF0000"/>
        </w:rPr>
      </w:pPr>
      <w:r w:rsidRPr="00164EA6">
        <w:rPr>
          <w:rFonts w:ascii="Times New Roman" w:hAnsi="Times New Roman" w:cs="Times New Roman"/>
          <w:b/>
          <w:color w:val="FF0000"/>
        </w:rPr>
        <w:t xml:space="preserve">Incorpórese la Disposición General </w:t>
      </w:r>
      <w:r w:rsidR="009A130B">
        <w:rPr>
          <w:rFonts w:ascii="Times New Roman" w:hAnsi="Times New Roman" w:cs="Times New Roman"/>
          <w:b/>
          <w:color w:val="FF0000"/>
        </w:rPr>
        <w:t>Cuarta</w:t>
      </w:r>
      <w:r w:rsidRPr="00164EA6">
        <w:rPr>
          <w:rFonts w:ascii="Times New Roman" w:hAnsi="Times New Roman" w:cs="Times New Roman"/>
          <w:b/>
          <w:color w:val="FF0000"/>
        </w:rPr>
        <w:t xml:space="preserve"> con el siguiente texto</w:t>
      </w:r>
      <w:r w:rsidRPr="00164EA6">
        <w:rPr>
          <w:rFonts w:ascii="Times New Roman" w:hAnsi="Times New Roman" w:cs="Times New Roman"/>
          <w:color w:val="FF0000"/>
        </w:rPr>
        <w:t xml:space="preserve">: </w:t>
      </w:r>
      <w:r w:rsidR="00685438" w:rsidRPr="00164EA6">
        <w:rPr>
          <w:rFonts w:ascii="Times New Roman" w:hAnsi="Times New Roman" w:cs="Times New Roman"/>
          <w:color w:val="FF0000"/>
        </w:rPr>
        <w:t>“</w:t>
      </w:r>
      <w:r w:rsidRPr="00164EA6">
        <w:rPr>
          <w:rFonts w:ascii="Times New Roman" w:hAnsi="Times New Roman" w:cs="Times New Roman"/>
          <w:color w:val="FF0000"/>
        </w:rPr>
        <w:t xml:space="preserve">La Secretaría encargada del Territorio, Hábitat y Vivienda </w:t>
      </w:r>
      <w:r w:rsidR="00685438" w:rsidRPr="00164EA6">
        <w:rPr>
          <w:rFonts w:ascii="Times New Roman" w:hAnsi="Times New Roman" w:cs="Times New Roman"/>
          <w:color w:val="FF0000"/>
        </w:rPr>
        <w:t xml:space="preserve">cada 90 días </w:t>
      </w:r>
      <w:r w:rsidRPr="00164EA6">
        <w:rPr>
          <w:rFonts w:ascii="Times New Roman" w:hAnsi="Times New Roman" w:cs="Times New Roman"/>
          <w:color w:val="FF0000"/>
        </w:rPr>
        <w:t xml:space="preserve">enviará los informes de avance de los Planes Especiales </w:t>
      </w:r>
      <w:r w:rsidR="00685438" w:rsidRPr="00164EA6">
        <w:rPr>
          <w:rFonts w:ascii="Times New Roman" w:hAnsi="Times New Roman" w:cs="Times New Roman"/>
          <w:color w:val="FF0000"/>
        </w:rPr>
        <w:t xml:space="preserve">previstos en la presente ordenanza </w:t>
      </w:r>
      <w:r w:rsidRPr="00164EA6">
        <w:rPr>
          <w:rFonts w:ascii="Times New Roman" w:hAnsi="Times New Roman" w:cs="Times New Roman"/>
          <w:color w:val="FF0000"/>
        </w:rPr>
        <w:t>a la Comisión de Uso de Suelo</w:t>
      </w:r>
      <w:r w:rsidR="00685438" w:rsidRPr="00164EA6">
        <w:rPr>
          <w:rFonts w:ascii="Times New Roman" w:hAnsi="Times New Roman" w:cs="Times New Roman"/>
          <w:color w:val="FF0000"/>
        </w:rPr>
        <w:t xml:space="preserve"> para su conocimiento.”</w:t>
      </w:r>
    </w:p>
    <w:p w:rsidR="00BA4AC2" w:rsidRPr="00164EA6" w:rsidRDefault="005279A8" w:rsidP="00BA4AC2">
      <w:pPr>
        <w:tabs>
          <w:tab w:val="left" w:pos="2977"/>
        </w:tabs>
        <w:autoSpaceDE w:val="0"/>
        <w:autoSpaceDN w:val="0"/>
        <w:adjustRightInd w:val="0"/>
        <w:spacing w:after="120" w:line="276" w:lineRule="auto"/>
        <w:jc w:val="both"/>
        <w:rPr>
          <w:rFonts w:ascii="Times New Roman" w:hAnsi="Times New Roman" w:cs="Times New Roman"/>
          <w:color w:val="FF0000"/>
        </w:rPr>
      </w:pPr>
      <w:r w:rsidRPr="00164EA6">
        <w:rPr>
          <w:rFonts w:ascii="Times New Roman" w:hAnsi="Times New Roman" w:cs="Times New Roman"/>
          <w:b/>
          <w:color w:val="FF0000"/>
        </w:rPr>
        <w:t xml:space="preserve">Incorpórese la Disposición General </w:t>
      </w:r>
      <w:r w:rsidR="009A130B">
        <w:rPr>
          <w:rFonts w:ascii="Times New Roman" w:hAnsi="Times New Roman" w:cs="Times New Roman"/>
          <w:b/>
          <w:color w:val="FF0000"/>
        </w:rPr>
        <w:t>Quinta</w:t>
      </w:r>
      <w:r w:rsidRPr="00164EA6">
        <w:rPr>
          <w:rFonts w:ascii="Times New Roman" w:hAnsi="Times New Roman" w:cs="Times New Roman"/>
          <w:b/>
          <w:color w:val="FF0000"/>
        </w:rPr>
        <w:t xml:space="preserve"> con el siguiente texto</w:t>
      </w:r>
      <w:r w:rsidRPr="00164EA6">
        <w:rPr>
          <w:rFonts w:ascii="Times New Roman" w:hAnsi="Times New Roman" w:cs="Times New Roman"/>
          <w:color w:val="FF0000"/>
        </w:rPr>
        <w:t>:</w:t>
      </w:r>
      <w:r w:rsidR="00BA4AC2" w:rsidRPr="00164EA6">
        <w:rPr>
          <w:rFonts w:ascii="Times New Roman" w:hAnsi="Times New Roman" w:cs="Times New Roman"/>
          <w:color w:val="FF0000"/>
        </w:rPr>
        <w:t xml:space="preserve"> Incorpórese al mapa PUOS P2 de Áreas de Protección Especial, el área de protección de</w:t>
      </w:r>
      <w:r w:rsidR="005D7E2E" w:rsidRPr="00164EA6">
        <w:rPr>
          <w:rFonts w:ascii="Times New Roman" w:hAnsi="Times New Roman" w:cs="Times New Roman"/>
          <w:color w:val="FF0000"/>
        </w:rPr>
        <w:t>l</w:t>
      </w:r>
      <w:r w:rsidR="00BA4AC2" w:rsidRPr="00164EA6">
        <w:rPr>
          <w:rFonts w:ascii="Times New Roman" w:hAnsi="Times New Roman" w:cs="Times New Roman"/>
          <w:color w:val="FF0000"/>
        </w:rPr>
        <w:t xml:space="preserve"> Beaterio correspondiente a la franja de protección definida en base a la norma</w:t>
      </w:r>
      <w:r w:rsidR="00E75942">
        <w:rPr>
          <w:rFonts w:ascii="Times New Roman" w:hAnsi="Times New Roman" w:cs="Times New Roman"/>
          <w:color w:val="FF0000"/>
        </w:rPr>
        <w:t xml:space="preserve"> </w:t>
      </w:r>
      <w:r w:rsidR="00BA4AC2" w:rsidRPr="00164EA6">
        <w:rPr>
          <w:rFonts w:ascii="Times New Roman" w:hAnsi="Times New Roman" w:cs="Times New Roman"/>
          <w:color w:val="FF0000"/>
        </w:rPr>
        <w:t>técnica</w:t>
      </w:r>
      <w:r w:rsidR="00E75942">
        <w:rPr>
          <w:rFonts w:ascii="Times New Roman" w:hAnsi="Times New Roman" w:cs="Times New Roman"/>
          <w:color w:val="FF0000"/>
        </w:rPr>
        <w:t xml:space="preserve"> internacional</w:t>
      </w:r>
      <w:r w:rsidR="00BA4AC2" w:rsidRPr="00164EA6">
        <w:rPr>
          <w:rFonts w:ascii="Times New Roman" w:hAnsi="Times New Roman" w:cs="Times New Roman"/>
          <w:color w:val="FF0000"/>
        </w:rPr>
        <w:t xml:space="preserve"> </w:t>
      </w:r>
      <w:r w:rsidR="00BA4AC2" w:rsidRPr="00652392">
        <w:rPr>
          <w:rFonts w:ascii="Times New Roman" w:hAnsi="Times New Roman" w:cs="Times New Roman"/>
          <w:color w:val="FF0000"/>
          <w:highlight w:val="yellow"/>
        </w:rPr>
        <w:t>NFPA30</w:t>
      </w:r>
      <w:r w:rsidR="00BA4AC2" w:rsidRPr="00164EA6">
        <w:rPr>
          <w:rFonts w:ascii="Times New Roman" w:hAnsi="Times New Roman" w:cs="Times New Roman"/>
          <w:color w:val="FF0000"/>
        </w:rPr>
        <w:t xml:space="preserve"> </w:t>
      </w:r>
      <w:r w:rsidR="00E75942">
        <w:rPr>
          <w:rFonts w:ascii="Times New Roman" w:hAnsi="Times New Roman" w:cs="Times New Roman"/>
          <w:color w:val="FF0000"/>
        </w:rPr>
        <w:t xml:space="preserve">Código de líquidos inflamable y combustible Decreto Ejecutivo 1215, artículo 25 literal c.) de fecha 13 de febrero de 2001; </w:t>
      </w:r>
      <w:r w:rsidR="00BA4AC2" w:rsidRPr="00164EA6">
        <w:rPr>
          <w:rFonts w:ascii="Times New Roman" w:hAnsi="Times New Roman" w:cs="Times New Roman"/>
          <w:color w:val="FF0000"/>
        </w:rPr>
        <w:t xml:space="preserve">en la cual se prohíbe </w:t>
      </w:r>
      <w:r w:rsidR="005D7E2E" w:rsidRPr="00164EA6">
        <w:rPr>
          <w:rFonts w:ascii="Times New Roman" w:hAnsi="Times New Roman" w:cs="Times New Roman"/>
          <w:color w:val="FF0000"/>
        </w:rPr>
        <w:t>toda construcción</w:t>
      </w:r>
      <w:r w:rsidR="00BA4AC2" w:rsidRPr="00164EA6">
        <w:rPr>
          <w:rFonts w:ascii="Times New Roman" w:hAnsi="Times New Roman" w:cs="Times New Roman"/>
          <w:color w:val="FF0000"/>
        </w:rPr>
        <w:t xml:space="preserve"> y el desarrollo de todo tipo de actividades.</w:t>
      </w:r>
    </w:p>
    <w:p w:rsidR="00D01485" w:rsidRDefault="005D7E2E" w:rsidP="00BA4AC2">
      <w:pPr>
        <w:tabs>
          <w:tab w:val="left" w:pos="2977"/>
        </w:tabs>
        <w:autoSpaceDE w:val="0"/>
        <w:autoSpaceDN w:val="0"/>
        <w:adjustRightInd w:val="0"/>
        <w:spacing w:after="120" w:line="276" w:lineRule="auto"/>
        <w:jc w:val="both"/>
        <w:rPr>
          <w:rFonts w:ascii="Times New Roman" w:hAnsi="Times New Roman" w:cs="Times New Roman"/>
          <w:color w:val="0070C0"/>
        </w:rPr>
      </w:pPr>
      <w:r w:rsidRPr="00CD225D">
        <w:rPr>
          <w:rFonts w:ascii="Times New Roman" w:hAnsi="Times New Roman" w:cs="Times New Roman"/>
          <w:b/>
          <w:color w:val="0070C0"/>
        </w:rPr>
        <w:t xml:space="preserve">Incorpórese la Disposición General </w:t>
      </w:r>
      <w:r w:rsidR="009A130B" w:rsidRPr="00CD225D">
        <w:rPr>
          <w:rFonts w:ascii="Times New Roman" w:hAnsi="Times New Roman" w:cs="Times New Roman"/>
          <w:b/>
          <w:color w:val="0070C0"/>
        </w:rPr>
        <w:t>Sexta</w:t>
      </w:r>
      <w:r w:rsidRPr="00CD225D">
        <w:rPr>
          <w:rFonts w:ascii="Times New Roman" w:hAnsi="Times New Roman" w:cs="Times New Roman"/>
          <w:b/>
          <w:color w:val="0070C0"/>
        </w:rPr>
        <w:t xml:space="preserve"> con el siguiente texto</w:t>
      </w:r>
      <w:r w:rsidRPr="00CD225D">
        <w:rPr>
          <w:rFonts w:ascii="Times New Roman" w:hAnsi="Times New Roman" w:cs="Times New Roman"/>
          <w:color w:val="0070C0"/>
        </w:rPr>
        <w:t>: Incorpórese en los mapas PUOS U2-2</w:t>
      </w:r>
      <w:r w:rsidR="00682F51" w:rsidRPr="00CD225D">
        <w:rPr>
          <w:rFonts w:ascii="Times New Roman" w:hAnsi="Times New Roman" w:cs="Times New Roman"/>
          <w:color w:val="0070C0"/>
        </w:rPr>
        <w:t xml:space="preserve"> de uso principal del suelo</w:t>
      </w:r>
      <w:r w:rsidRPr="00CD225D">
        <w:rPr>
          <w:rFonts w:ascii="Times New Roman" w:hAnsi="Times New Roman" w:cs="Times New Roman"/>
          <w:color w:val="0070C0"/>
        </w:rPr>
        <w:t xml:space="preserve"> y PUOS Z2-2</w:t>
      </w:r>
      <w:r w:rsidR="00682F51" w:rsidRPr="00CD225D">
        <w:rPr>
          <w:rFonts w:ascii="Times New Roman" w:hAnsi="Times New Roman" w:cs="Times New Roman"/>
          <w:color w:val="0070C0"/>
        </w:rPr>
        <w:t xml:space="preserve"> de ocupación y edificabilidad</w:t>
      </w:r>
      <w:r w:rsidRPr="00CD225D">
        <w:rPr>
          <w:rFonts w:ascii="Times New Roman" w:hAnsi="Times New Roman" w:cs="Times New Roman"/>
          <w:color w:val="0070C0"/>
        </w:rPr>
        <w:t xml:space="preserve">, </w:t>
      </w:r>
      <w:r w:rsidR="00BA4AC2" w:rsidRPr="00CD225D">
        <w:rPr>
          <w:rFonts w:ascii="Times New Roman" w:hAnsi="Times New Roman" w:cs="Times New Roman"/>
          <w:color w:val="0070C0"/>
        </w:rPr>
        <w:t xml:space="preserve">las modificaciones </w:t>
      </w:r>
      <w:r w:rsidRPr="00CD225D">
        <w:rPr>
          <w:rFonts w:ascii="Times New Roman" w:hAnsi="Times New Roman" w:cs="Times New Roman"/>
          <w:color w:val="0070C0"/>
        </w:rPr>
        <w:t xml:space="preserve">aplicables a los polígonos situados en el flanco oriental </w:t>
      </w:r>
      <w:r w:rsidR="00CD225D" w:rsidRPr="00652392">
        <w:rPr>
          <w:rFonts w:ascii="Times New Roman" w:hAnsi="Times New Roman" w:cs="Times New Roman"/>
          <w:color w:val="FF0000"/>
        </w:rPr>
        <w:t xml:space="preserve">manteniendo </w:t>
      </w:r>
      <w:r w:rsidR="00652392">
        <w:rPr>
          <w:rFonts w:ascii="Times New Roman" w:hAnsi="Times New Roman" w:cs="Times New Roman"/>
          <w:color w:val="FF0000"/>
        </w:rPr>
        <w:t xml:space="preserve">el derecho de vía </w:t>
      </w:r>
      <w:r w:rsidR="00CD225D" w:rsidRPr="00652392">
        <w:rPr>
          <w:rFonts w:ascii="Times New Roman" w:hAnsi="Times New Roman" w:cs="Times New Roman"/>
          <w:color w:val="FF0000"/>
        </w:rPr>
        <w:t xml:space="preserve">de la </w:t>
      </w:r>
      <w:r w:rsidRPr="00652392">
        <w:rPr>
          <w:rFonts w:ascii="Times New Roman" w:hAnsi="Times New Roman" w:cs="Times New Roman"/>
          <w:color w:val="FF0000"/>
        </w:rPr>
        <w:t>línea férrea</w:t>
      </w:r>
      <w:r w:rsidR="001A5112" w:rsidRPr="00CD225D">
        <w:rPr>
          <w:rFonts w:ascii="Times New Roman" w:hAnsi="Times New Roman" w:cs="Times New Roman"/>
          <w:color w:val="0070C0"/>
        </w:rPr>
        <w:t xml:space="preserve"> adyacente a la plataforma de almacenamiento de combustibles del Beaterio según los siguientes datos: Uso de suelo principal RU1 Residencial urbano 1 y zonificación D3 (D203-80).</w:t>
      </w:r>
    </w:p>
    <w:p w:rsidR="0083507C" w:rsidRPr="0083507C" w:rsidRDefault="008D36F3" w:rsidP="0083507C">
      <w:pPr>
        <w:tabs>
          <w:tab w:val="left" w:pos="2977"/>
        </w:tabs>
        <w:autoSpaceDE w:val="0"/>
        <w:autoSpaceDN w:val="0"/>
        <w:adjustRightInd w:val="0"/>
        <w:spacing w:after="120" w:line="276" w:lineRule="auto"/>
        <w:jc w:val="both"/>
        <w:rPr>
          <w:rFonts w:ascii="Times New Roman" w:hAnsi="Times New Roman" w:cs="Times New Roman"/>
          <w:color w:val="FF0000"/>
        </w:rPr>
      </w:pPr>
      <w:r>
        <w:rPr>
          <w:rFonts w:ascii="Times New Roman" w:hAnsi="Times New Roman" w:cs="Times New Roman"/>
          <w:color w:val="FF0000"/>
        </w:rPr>
        <w:t>Incorpórese</w:t>
      </w:r>
      <w:r w:rsidR="00BC257D">
        <w:rPr>
          <w:rFonts w:ascii="Times New Roman" w:hAnsi="Times New Roman" w:cs="Times New Roman"/>
          <w:color w:val="FF0000"/>
        </w:rPr>
        <w:t xml:space="preserve"> en el mapa PUOS P2</w:t>
      </w:r>
      <w:r>
        <w:rPr>
          <w:rFonts w:ascii="Times New Roman" w:hAnsi="Times New Roman" w:cs="Times New Roman"/>
          <w:color w:val="FF0000"/>
        </w:rPr>
        <w:t xml:space="preserve"> de áreas de Protección Especial</w:t>
      </w:r>
      <w:r w:rsidR="00BC257D">
        <w:rPr>
          <w:rFonts w:ascii="Times New Roman" w:hAnsi="Times New Roman" w:cs="Times New Roman"/>
          <w:color w:val="FF0000"/>
        </w:rPr>
        <w:t xml:space="preserve">, </w:t>
      </w:r>
      <w:r>
        <w:rPr>
          <w:rFonts w:ascii="Times New Roman" w:hAnsi="Times New Roman" w:cs="Times New Roman"/>
          <w:color w:val="FF0000"/>
        </w:rPr>
        <w:t xml:space="preserve">una franja perimetral de 100 m de ancho  </w:t>
      </w:r>
      <w:r w:rsidR="0083507C" w:rsidRPr="0083507C">
        <w:rPr>
          <w:rFonts w:ascii="Times New Roman" w:hAnsi="Times New Roman" w:cs="Times New Roman"/>
          <w:color w:val="FF0000"/>
        </w:rPr>
        <w:t>medidos desde el límite del lindero de la terminal del Beaterio, en el cual se prohíbe la construcción de plantas industriales, almacenamiento de sustancias combustibles, inflamables o explosivas, así como montaje de instalaciones eléctricas, centrales térmicas y líneas de transmisión eléctrica.</w:t>
      </w:r>
    </w:p>
    <w:p w:rsidR="0083507C" w:rsidRPr="0083507C" w:rsidRDefault="00791EFC" w:rsidP="0083507C">
      <w:pPr>
        <w:tabs>
          <w:tab w:val="left" w:pos="2977"/>
        </w:tabs>
        <w:autoSpaceDE w:val="0"/>
        <w:autoSpaceDN w:val="0"/>
        <w:adjustRightInd w:val="0"/>
        <w:spacing w:after="120" w:line="276" w:lineRule="auto"/>
        <w:jc w:val="both"/>
        <w:rPr>
          <w:rFonts w:ascii="Times New Roman" w:hAnsi="Times New Roman" w:cs="Times New Roman"/>
          <w:color w:val="FF0000"/>
        </w:rPr>
      </w:pPr>
      <w:r>
        <w:rPr>
          <w:rFonts w:ascii="Times New Roman" w:hAnsi="Times New Roman" w:cs="Times New Roman"/>
          <w:color w:val="FF0000"/>
        </w:rPr>
        <w:t>I</w:t>
      </w:r>
      <w:r w:rsidR="0047224A">
        <w:rPr>
          <w:rFonts w:ascii="Times New Roman" w:hAnsi="Times New Roman" w:cs="Times New Roman"/>
          <w:color w:val="FF0000"/>
        </w:rPr>
        <w:t xml:space="preserve">ncorpórese </w:t>
      </w:r>
      <w:r>
        <w:rPr>
          <w:rFonts w:ascii="Times New Roman" w:hAnsi="Times New Roman" w:cs="Times New Roman"/>
          <w:color w:val="FF0000"/>
        </w:rPr>
        <w:t xml:space="preserve">además </w:t>
      </w:r>
      <w:r w:rsidR="0047224A">
        <w:rPr>
          <w:rFonts w:ascii="Times New Roman" w:hAnsi="Times New Roman" w:cs="Times New Roman"/>
          <w:color w:val="FF0000"/>
        </w:rPr>
        <w:t xml:space="preserve">en el mapa </w:t>
      </w:r>
      <w:r w:rsidR="0047224A" w:rsidRPr="0047224A">
        <w:rPr>
          <w:rFonts w:ascii="Times New Roman" w:hAnsi="Times New Roman" w:cs="Times New Roman"/>
          <w:color w:val="FF0000"/>
        </w:rPr>
        <w:t xml:space="preserve">PUOS P2 de áreas de </w:t>
      </w:r>
      <w:r w:rsidR="00142C5C">
        <w:rPr>
          <w:rFonts w:ascii="Times New Roman" w:hAnsi="Times New Roman" w:cs="Times New Roman"/>
          <w:color w:val="FF0000"/>
        </w:rPr>
        <w:t xml:space="preserve">Protección Especial, una franja </w:t>
      </w:r>
      <w:r>
        <w:rPr>
          <w:rFonts w:ascii="Times New Roman" w:hAnsi="Times New Roman" w:cs="Times New Roman"/>
          <w:color w:val="FF0000"/>
        </w:rPr>
        <w:t xml:space="preserve">de 100 m de ancho, superpuesta a la descrita en el párrafo anterior, </w:t>
      </w:r>
      <w:r w:rsidR="00142C5C">
        <w:rPr>
          <w:rFonts w:ascii="Times New Roman" w:hAnsi="Times New Roman" w:cs="Times New Roman"/>
          <w:color w:val="FF0000"/>
        </w:rPr>
        <w:t>que tiene las siguientes longitudes: hacia el sur</w:t>
      </w:r>
      <w:r w:rsidR="005B1C7F">
        <w:rPr>
          <w:rFonts w:ascii="Times New Roman" w:hAnsi="Times New Roman" w:cs="Times New Roman"/>
          <w:color w:val="FF0000"/>
        </w:rPr>
        <w:t xml:space="preserve"> 605,27m, </w:t>
      </w:r>
      <w:r w:rsidR="00142C5C">
        <w:rPr>
          <w:rFonts w:ascii="Times New Roman" w:hAnsi="Times New Roman" w:cs="Times New Roman"/>
          <w:color w:val="FF0000"/>
        </w:rPr>
        <w:t xml:space="preserve">hacia el oeste </w:t>
      </w:r>
      <w:r w:rsidR="005B1C7F">
        <w:rPr>
          <w:rFonts w:ascii="Times New Roman" w:hAnsi="Times New Roman" w:cs="Times New Roman"/>
          <w:color w:val="FF0000"/>
        </w:rPr>
        <w:t>500,65 m</w:t>
      </w:r>
      <w:r w:rsidR="00142C5C">
        <w:rPr>
          <w:rFonts w:ascii="Times New Roman" w:hAnsi="Times New Roman" w:cs="Times New Roman"/>
          <w:color w:val="FF0000"/>
        </w:rPr>
        <w:t xml:space="preserve">, </w:t>
      </w:r>
      <w:r>
        <w:rPr>
          <w:rFonts w:ascii="Times New Roman" w:hAnsi="Times New Roman" w:cs="Times New Roman"/>
          <w:color w:val="FF0000"/>
        </w:rPr>
        <w:t>considerada como z</w:t>
      </w:r>
      <w:r w:rsidR="0083507C" w:rsidRPr="0083507C">
        <w:rPr>
          <w:rFonts w:ascii="Times New Roman" w:hAnsi="Times New Roman" w:cs="Times New Roman"/>
          <w:color w:val="FF0000"/>
        </w:rPr>
        <w:t xml:space="preserve">ona de seguridad por aplicación  de la norma </w:t>
      </w:r>
      <w:r w:rsidR="00E75942" w:rsidRPr="00164EA6">
        <w:rPr>
          <w:rFonts w:ascii="Times New Roman" w:hAnsi="Times New Roman" w:cs="Times New Roman"/>
          <w:color w:val="FF0000"/>
        </w:rPr>
        <w:t>técnica</w:t>
      </w:r>
      <w:r w:rsidR="00E75942">
        <w:rPr>
          <w:rFonts w:ascii="Times New Roman" w:hAnsi="Times New Roman" w:cs="Times New Roman"/>
          <w:color w:val="FF0000"/>
        </w:rPr>
        <w:t xml:space="preserve"> internacional</w:t>
      </w:r>
      <w:r w:rsidR="00E75942" w:rsidRPr="00164EA6">
        <w:rPr>
          <w:rFonts w:ascii="Times New Roman" w:hAnsi="Times New Roman" w:cs="Times New Roman"/>
          <w:color w:val="FF0000"/>
        </w:rPr>
        <w:t xml:space="preserve"> </w:t>
      </w:r>
      <w:r w:rsidR="00E75942" w:rsidRPr="00F574AA">
        <w:rPr>
          <w:rFonts w:ascii="Times New Roman" w:hAnsi="Times New Roman" w:cs="Times New Roman"/>
          <w:color w:val="FF0000"/>
        </w:rPr>
        <w:t>NFPA30</w:t>
      </w:r>
      <w:r w:rsidR="00E75942" w:rsidRPr="00164EA6">
        <w:rPr>
          <w:rFonts w:ascii="Times New Roman" w:hAnsi="Times New Roman" w:cs="Times New Roman"/>
          <w:color w:val="FF0000"/>
        </w:rPr>
        <w:t xml:space="preserve"> </w:t>
      </w:r>
      <w:r w:rsidR="00E75942">
        <w:rPr>
          <w:rFonts w:ascii="Times New Roman" w:hAnsi="Times New Roman" w:cs="Times New Roman"/>
          <w:color w:val="FF0000"/>
        </w:rPr>
        <w:t>Código de líquidos inflamable y combustible</w:t>
      </w:r>
      <w:r w:rsidR="00040B69">
        <w:rPr>
          <w:rFonts w:ascii="Times New Roman" w:hAnsi="Times New Roman" w:cs="Times New Roman"/>
          <w:color w:val="FF0000"/>
        </w:rPr>
        <w:t>,</w:t>
      </w:r>
      <w:r w:rsidR="00E75942">
        <w:rPr>
          <w:rFonts w:ascii="Times New Roman" w:hAnsi="Times New Roman" w:cs="Times New Roman"/>
          <w:color w:val="FF0000"/>
        </w:rPr>
        <w:t xml:space="preserve"> Decreto Ejecutivo 1215, artículo 25 literal c.) de fecha 13 de febrero de 2001, </w:t>
      </w:r>
      <w:r>
        <w:rPr>
          <w:rFonts w:ascii="Times New Roman" w:hAnsi="Times New Roman" w:cs="Times New Roman"/>
          <w:color w:val="FF0000"/>
        </w:rPr>
        <w:t>en la cual se prohíben</w:t>
      </w:r>
      <w:r w:rsidR="0083507C" w:rsidRPr="0083507C">
        <w:rPr>
          <w:rFonts w:ascii="Times New Roman" w:hAnsi="Times New Roman" w:cs="Times New Roman"/>
          <w:color w:val="FF0000"/>
        </w:rPr>
        <w:t xml:space="preserve"> todo tipo de construcciones y el desarrollo de todo tipo de actividad</w:t>
      </w:r>
      <w:r w:rsidR="00F10527">
        <w:rPr>
          <w:rFonts w:ascii="Times New Roman" w:hAnsi="Times New Roman" w:cs="Times New Roman"/>
          <w:color w:val="FF0000"/>
        </w:rPr>
        <w:t>es</w:t>
      </w:r>
      <w:r w:rsidR="0083507C" w:rsidRPr="0083507C">
        <w:rPr>
          <w:rFonts w:ascii="Times New Roman" w:hAnsi="Times New Roman" w:cs="Times New Roman"/>
          <w:color w:val="FF0000"/>
        </w:rPr>
        <w:t>.</w:t>
      </w:r>
    </w:p>
    <w:p w:rsidR="00216068" w:rsidRDefault="00AA6041" w:rsidP="0083507C">
      <w:pPr>
        <w:tabs>
          <w:tab w:val="left" w:pos="2977"/>
        </w:tabs>
        <w:autoSpaceDE w:val="0"/>
        <w:autoSpaceDN w:val="0"/>
        <w:adjustRightInd w:val="0"/>
        <w:spacing w:after="120" w:line="276" w:lineRule="auto"/>
        <w:jc w:val="both"/>
        <w:rPr>
          <w:rFonts w:ascii="Times New Roman" w:hAnsi="Times New Roman" w:cs="Times New Roman"/>
          <w:color w:val="FF0000"/>
        </w:rPr>
      </w:pPr>
      <w:r w:rsidRPr="00164EA6">
        <w:rPr>
          <w:rFonts w:ascii="Times New Roman" w:hAnsi="Times New Roman" w:cs="Times New Roman"/>
          <w:b/>
          <w:color w:val="FF0000"/>
        </w:rPr>
        <w:t>Incorpórese</w:t>
      </w:r>
      <w:r w:rsidR="00216068" w:rsidRPr="00164EA6">
        <w:rPr>
          <w:rFonts w:ascii="Times New Roman" w:hAnsi="Times New Roman" w:cs="Times New Roman"/>
          <w:b/>
          <w:color w:val="FF0000"/>
        </w:rPr>
        <w:t xml:space="preserve"> la Disposición General </w:t>
      </w:r>
      <w:r w:rsidR="009A130B" w:rsidRPr="00164EA6">
        <w:rPr>
          <w:rFonts w:ascii="Times New Roman" w:hAnsi="Times New Roman" w:cs="Times New Roman"/>
          <w:b/>
          <w:color w:val="FF0000"/>
        </w:rPr>
        <w:t>Sé</w:t>
      </w:r>
      <w:r w:rsidR="009A130B">
        <w:rPr>
          <w:rFonts w:ascii="Times New Roman" w:hAnsi="Times New Roman" w:cs="Times New Roman"/>
          <w:b/>
          <w:color w:val="FF0000"/>
        </w:rPr>
        <w:t xml:space="preserve">ptima </w:t>
      </w:r>
      <w:r w:rsidR="00216068" w:rsidRPr="00164EA6">
        <w:rPr>
          <w:rFonts w:ascii="Times New Roman" w:hAnsi="Times New Roman" w:cs="Times New Roman"/>
          <w:b/>
          <w:color w:val="FF0000"/>
        </w:rPr>
        <w:t>con el siguiente texto:</w:t>
      </w:r>
      <w:r w:rsidR="00216068" w:rsidRPr="00164EA6">
        <w:rPr>
          <w:rFonts w:ascii="Times New Roman" w:hAnsi="Times New Roman" w:cs="Times New Roman"/>
          <w:color w:val="FF0000"/>
        </w:rPr>
        <w:t xml:space="preserve"> La Secretaría </w:t>
      </w:r>
      <w:r w:rsidR="00CD225D">
        <w:rPr>
          <w:rFonts w:ascii="Times New Roman" w:hAnsi="Times New Roman" w:cs="Times New Roman"/>
          <w:color w:val="FF0000"/>
        </w:rPr>
        <w:t>encargada del te</w:t>
      </w:r>
      <w:r w:rsidR="00A9400C" w:rsidRPr="00164EA6">
        <w:rPr>
          <w:rFonts w:ascii="Times New Roman" w:hAnsi="Times New Roman" w:cs="Times New Roman"/>
          <w:color w:val="FF0000"/>
        </w:rPr>
        <w:t>rritorio</w:t>
      </w:r>
      <w:r w:rsidR="00216068" w:rsidRPr="00164EA6">
        <w:rPr>
          <w:rFonts w:ascii="Times New Roman" w:hAnsi="Times New Roman" w:cs="Times New Roman"/>
          <w:color w:val="FF0000"/>
        </w:rPr>
        <w:t xml:space="preserve">, </w:t>
      </w:r>
      <w:r w:rsidR="00CD225D">
        <w:rPr>
          <w:rFonts w:ascii="Times New Roman" w:hAnsi="Times New Roman" w:cs="Times New Roman"/>
          <w:color w:val="FF0000"/>
        </w:rPr>
        <w:t>h</w:t>
      </w:r>
      <w:r w:rsidR="00216068" w:rsidRPr="00164EA6">
        <w:rPr>
          <w:rFonts w:ascii="Times New Roman" w:hAnsi="Times New Roman" w:cs="Times New Roman"/>
          <w:color w:val="FF0000"/>
        </w:rPr>
        <w:t xml:space="preserve">ábitat y </w:t>
      </w:r>
      <w:r w:rsidR="00CD225D">
        <w:rPr>
          <w:rFonts w:ascii="Times New Roman" w:hAnsi="Times New Roman" w:cs="Times New Roman"/>
          <w:color w:val="FF0000"/>
        </w:rPr>
        <w:t>v</w:t>
      </w:r>
      <w:r w:rsidR="00216068" w:rsidRPr="00164EA6">
        <w:rPr>
          <w:rFonts w:ascii="Times New Roman" w:hAnsi="Times New Roman" w:cs="Times New Roman"/>
          <w:color w:val="FF0000"/>
        </w:rPr>
        <w:t xml:space="preserve">ivienda actualizará la cartografía relacionada al PUOS conforme la aprobación de ordenanzas y resoluciones que </w:t>
      </w:r>
      <w:r w:rsidR="00A9400C" w:rsidRPr="00164EA6">
        <w:rPr>
          <w:rFonts w:ascii="Times New Roman" w:hAnsi="Times New Roman" w:cs="Times New Roman"/>
          <w:color w:val="FF0000"/>
        </w:rPr>
        <w:t>modifiquen</w:t>
      </w:r>
      <w:r w:rsidR="00216068" w:rsidRPr="00164EA6">
        <w:rPr>
          <w:rFonts w:ascii="Times New Roman" w:hAnsi="Times New Roman" w:cs="Times New Roman"/>
          <w:color w:val="FF0000"/>
        </w:rPr>
        <w:t xml:space="preserve"> las asignaciones de uso principal de suelo y </w:t>
      </w:r>
      <w:r w:rsidR="00A9400C" w:rsidRPr="00164EA6">
        <w:rPr>
          <w:rFonts w:ascii="Times New Roman" w:hAnsi="Times New Roman" w:cs="Times New Roman"/>
          <w:color w:val="FF0000"/>
        </w:rPr>
        <w:t xml:space="preserve">zonificación por forma de ocupación y edificabilidad, así como los trazados viales aprobados o </w:t>
      </w:r>
      <w:r w:rsidR="00E75942">
        <w:rPr>
          <w:rFonts w:ascii="Times New Roman" w:hAnsi="Times New Roman" w:cs="Times New Roman"/>
          <w:color w:val="FF0000"/>
        </w:rPr>
        <w:t xml:space="preserve">las </w:t>
      </w:r>
      <w:r w:rsidR="00A9400C" w:rsidRPr="00164EA6">
        <w:rPr>
          <w:rFonts w:ascii="Times New Roman" w:hAnsi="Times New Roman" w:cs="Times New Roman"/>
          <w:color w:val="FF0000"/>
        </w:rPr>
        <w:t>modificaciones a las áreas de protección especial, dichos cambios se registrarán en la herramienta tecnológica prevista para tal efecto.</w:t>
      </w:r>
      <w:r w:rsidR="003F4C39">
        <w:rPr>
          <w:rFonts w:ascii="Times New Roman" w:hAnsi="Times New Roman" w:cs="Times New Roman"/>
          <w:color w:val="FF0000"/>
        </w:rPr>
        <w:t xml:space="preserve"> </w:t>
      </w:r>
    </w:p>
    <w:p w:rsidR="002A63E3" w:rsidRPr="005548DD" w:rsidRDefault="002A63E3" w:rsidP="0083507C">
      <w:pPr>
        <w:tabs>
          <w:tab w:val="left" w:pos="2977"/>
        </w:tabs>
        <w:autoSpaceDE w:val="0"/>
        <w:autoSpaceDN w:val="0"/>
        <w:adjustRightInd w:val="0"/>
        <w:spacing w:after="120" w:line="276" w:lineRule="auto"/>
        <w:jc w:val="both"/>
        <w:rPr>
          <w:rFonts w:ascii="Times New Roman" w:hAnsi="Times New Roman" w:cs="Times New Roman"/>
          <w:color w:val="FF0000"/>
        </w:rPr>
      </w:pPr>
      <w:r w:rsidRPr="00F574AA">
        <w:rPr>
          <w:rFonts w:ascii="Times New Roman" w:hAnsi="Times New Roman" w:cs="Times New Roman"/>
          <w:b/>
          <w:color w:val="FF0000"/>
        </w:rPr>
        <w:t>Incorpórese la Disposición General Octava con el siguiente texto:</w:t>
      </w:r>
      <w:r w:rsidR="00731C13" w:rsidRPr="00F574AA">
        <w:rPr>
          <w:rFonts w:ascii="Times New Roman" w:hAnsi="Times New Roman" w:cs="Times New Roman"/>
          <w:b/>
          <w:color w:val="FF0000"/>
        </w:rPr>
        <w:t xml:space="preserve"> </w:t>
      </w:r>
      <w:r w:rsidR="00731C13" w:rsidRPr="00F574AA">
        <w:rPr>
          <w:rFonts w:ascii="Times New Roman" w:hAnsi="Times New Roman" w:cs="Times New Roman"/>
          <w:color w:val="FF0000"/>
        </w:rPr>
        <w:t>La Dirección de Gestión de Riesgos</w:t>
      </w:r>
      <w:r w:rsidR="005548DD" w:rsidRPr="00F574AA">
        <w:rPr>
          <w:rFonts w:ascii="Times New Roman" w:hAnsi="Times New Roman" w:cs="Times New Roman"/>
          <w:color w:val="FF0000"/>
        </w:rPr>
        <w:t>, de manera permanente realizará los análisis de los sectores identificados como zonas de riesgo por subsidencia (hundimiento)</w:t>
      </w:r>
      <w:r w:rsidR="005548DD" w:rsidRPr="00F574AA">
        <w:rPr>
          <w:rFonts w:ascii="Times New Roman" w:hAnsi="Times New Roman" w:cs="Times New Roman"/>
          <w:color w:val="FF0000"/>
          <w:lang w:val="es-ES_tradnl"/>
        </w:rPr>
        <w:t xml:space="preserve">, </w:t>
      </w:r>
      <w:r w:rsidR="005152A9" w:rsidRPr="00F574AA">
        <w:rPr>
          <w:rFonts w:ascii="Times New Roman" w:hAnsi="Times New Roman" w:cs="Times New Roman"/>
          <w:color w:val="FF0000"/>
          <w:lang w:val="es-ES_tradnl"/>
        </w:rPr>
        <w:t xml:space="preserve">información que enviará </w:t>
      </w:r>
      <w:r w:rsidR="004D0ECA" w:rsidRPr="00F574AA">
        <w:rPr>
          <w:rFonts w:ascii="Times New Roman" w:hAnsi="Times New Roman" w:cs="Times New Roman"/>
          <w:color w:val="FF0000"/>
          <w:lang w:val="es-ES_tradnl"/>
        </w:rPr>
        <w:t xml:space="preserve">con </w:t>
      </w:r>
      <w:r w:rsidR="005548DD" w:rsidRPr="00F574AA">
        <w:rPr>
          <w:rFonts w:ascii="Times New Roman" w:hAnsi="Times New Roman" w:cs="Times New Roman"/>
          <w:color w:val="FF0000"/>
          <w:lang w:val="es-ES_tradnl"/>
        </w:rPr>
        <w:t>las respectivas recomendaciones en materia de uso y ocupación del suelo</w:t>
      </w:r>
      <w:r w:rsidR="004D0ECA" w:rsidRPr="00F574AA">
        <w:rPr>
          <w:rFonts w:ascii="Times New Roman" w:hAnsi="Times New Roman" w:cs="Times New Roman"/>
          <w:color w:val="FF0000"/>
          <w:lang w:val="es-ES_tradnl"/>
        </w:rPr>
        <w:t xml:space="preserve"> a</w:t>
      </w:r>
      <w:r w:rsidR="005548DD" w:rsidRPr="00F574AA">
        <w:rPr>
          <w:rFonts w:ascii="Times New Roman" w:hAnsi="Times New Roman" w:cs="Times New Roman"/>
          <w:color w:val="FF0000"/>
          <w:lang w:val="es-ES_tradnl"/>
        </w:rPr>
        <w:t xml:space="preserve"> la Secretaría responsable del Territorio, Hábitat y Vivienda, </w:t>
      </w:r>
      <w:r w:rsidR="004D0ECA" w:rsidRPr="00F574AA">
        <w:rPr>
          <w:rFonts w:ascii="Times New Roman" w:hAnsi="Times New Roman" w:cs="Times New Roman"/>
          <w:color w:val="FF0000"/>
          <w:lang w:val="es-ES_tradnl"/>
        </w:rPr>
        <w:t xml:space="preserve">la que </w:t>
      </w:r>
      <w:r w:rsidR="005548DD" w:rsidRPr="00F574AA">
        <w:rPr>
          <w:rFonts w:ascii="Times New Roman" w:hAnsi="Times New Roman" w:cs="Times New Roman"/>
          <w:color w:val="FF0000"/>
          <w:lang w:val="es-ES_tradnl"/>
        </w:rPr>
        <w:t>pondrá a consideración de la Comisión de Uso de Suelo, previo a la aprobación del Concejo Metropolitano, las modificaciones a las asignaciones de uso de suelo, forma de ocupación y edificabilidad constantes en el PUOS.</w:t>
      </w:r>
    </w:p>
    <w:p w:rsidR="002A63E3" w:rsidRDefault="002A63E3" w:rsidP="0083507C">
      <w:pPr>
        <w:tabs>
          <w:tab w:val="left" w:pos="2977"/>
        </w:tabs>
        <w:autoSpaceDE w:val="0"/>
        <w:autoSpaceDN w:val="0"/>
        <w:adjustRightInd w:val="0"/>
        <w:spacing w:after="120" w:line="276" w:lineRule="auto"/>
        <w:jc w:val="both"/>
        <w:rPr>
          <w:rFonts w:ascii="Times New Roman" w:hAnsi="Times New Roman" w:cs="Times New Roman"/>
          <w:b/>
          <w:color w:val="FF0000"/>
        </w:rPr>
      </w:pPr>
    </w:p>
    <w:p w:rsidR="008D7F22" w:rsidRPr="00E12079" w:rsidRDefault="008D7F22" w:rsidP="008D7F22">
      <w:pPr>
        <w:tabs>
          <w:tab w:val="left" w:pos="2977"/>
        </w:tabs>
        <w:autoSpaceDE w:val="0"/>
        <w:autoSpaceDN w:val="0"/>
        <w:adjustRightInd w:val="0"/>
        <w:spacing w:after="120" w:line="276" w:lineRule="auto"/>
        <w:jc w:val="both"/>
        <w:rPr>
          <w:rFonts w:ascii="Times New Roman" w:hAnsi="Times New Roman" w:cs="Times New Roman"/>
          <w:b/>
        </w:rPr>
      </w:pPr>
      <w:r w:rsidRPr="00E12079">
        <w:rPr>
          <w:rFonts w:ascii="Times New Roman" w:hAnsi="Times New Roman" w:cs="Times New Roman"/>
          <w:b/>
        </w:rPr>
        <w:t>Disposiciones  Finales:</w:t>
      </w:r>
    </w:p>
    <w:p w:rsidR="008D7F22" w:rsidRPr="00E12079" w:rsidRDefault="006A0D6F" w:rsidP="008D7F22">
      <w:pPr>
        <w:tabs>
          <w:tab w:val="left" w:pos="2977"/>
        </w:tabs>
        <w:autoSpaceDE w:val="0"/>
        <w:autoSpaceDN w:val="0"/>
        <w:adjustRightInd w:val="0"/>
        <w:spacing w:after="120" w:line="276" w:lineRule="auto"/>
        <w:jc w:val="both"/>
        <w:rPr>
          <w:rFonts w:ascii="Times New Roman" w:hAnsi="Times New Roman" w:cs="Times New Roman"/>
          <w:b/>
        </w:rPr>
      </w:pPr>
      <w:r>
        <w:rPr>
          <w:rFonts w:ascii="Times New Roman" w:hAnsi="Times New Roman" w:cs="Times New Roman"/>
          <w:b/>
        </w:rPr>
        <w:t>Primera</w:t>
      </w:r>
      <w:r w:rsidR="008D7F22" w:rsidRPr="00E12079">
        <w:rPr>
          <w:rFonts w:ascii="Times New Roman" w:hAnsi="Times New Roman" w:cs="Times New Roman"/>
          <w:b/>
        </w:rPr>
        <w:t xml:space="preserve">.- </w:t>
      </w:r>
      <w:r w:rsidR="008D7F22" w:rsidRPr="00710236">
        <w:rPr>
          <w:rFonts w:ascii="Times New Roman" w:hAnsi="Times New Roman" w:cs="Times New Roman"/>
          <w:color w:val="FF0000"/>
        </w:rPr>
        <w:t xml:space="preserve">Las </w:t>
      </w:r>
      <w:r w:rsidR="00710236" w:rsidRPr="00710236">
        <w:rPr>
          <w:rFonts w:ascii="Times New Roman" w:hAnsi="Times New Roman" w:cs="Times New Roman"/>
          <w:color w:val="FF0000"/>
        </w:rPr>
        <w:t>asignaciones de uso principal del suelo, forma de ocupación y edificabilidad constantes en el</w:t>
      </w:r>
      <w:r w:rsidR="008D7F22" w:rsidRPr="00710236">
        <w:rPr>
          <w:rFonts w:ascii="Times New Roman" w:hAnsi="Times New Roman" w:cs="Times New Roman"/>
          <w:color w:val="FF0000"/>
        </w:rPr>
        <w:t xml:space="preserve"> PUOS</w:t>
      </w:r>
      <w:r w:rsidR="008D7F22" w:rsidRPr="00E12079">
        <w:rPr>
          <w:rFonts w:ascii="Times New Roman" w:hAnsi="Times New Roman" w:cs="Times New Roman"/>
        </w:rPr>
        <w:t xml:space="preserve"> </w:t>
      </w:r>
      <w:r w:rsidR="008D7F22" w:rsidRPr="00AA6041">
        <w:rPr>
          <w:rFonts w:ascii="Times New Roman" w:hAnsi="Times New Roman" w:cs="Times New Roman"/>
        </w:rPr>
        <w:t xml:space="preserve">prevalecerán sobre toda norma </w:t>
      </w:r>
      <w:r w:rsidR="00DF30A0" w:rsidRPr="00AA6041">
        <w:rPr>
          <w:rFonts w:ascii="Times New Roman" w:hAnsi="Times New Roman" w:cs="Times New Roman"/>
        </w:rPr>
        <w:t xml:space="preserve">de igual o </w:t>
      </w:r>
      <w:r w:rsidR="00A67787" w:rsidRPr="00AA6041">
        <w:rPr>
          <w:rFonts w:ascii="Times New Roman" w:hAnsi="Times New Roman" w:cs="Times New Roman"/>
        </w:rPr>
        <w:t xml:space="preserve">de </w:t>
      </w:r>
      <w:r w:rsidR="00DF30A0" w:rsidRPr="00AA6041">
        <w:rPr>
          <w:rFonts w:ascii="Times New Roman" w:hAnsi="Times New Roman" w:cs="Times New Roman"/>
        </w:rPr>
        <w:t>menor</w:t>
      </w:r>
      <w:r w:rsidR="009F1891" w:rsidRPr="00AA6041">
        <w:rPr>
          <w:rFonts w:ascii="Times New Roman" w:hAnsi="Times New Roman" w:cs="Times New Roman"/>
        </w:rPr>
        <w:t xml:space="preserve"> jerarquía</w:t>
      </w:r>
      <w:r w:rsidR="009F1891">
        <w:rPr>
          <w:rFonts w:ascii="Times New Roman" w:hAnsi="Times New Roman" w:cs="Times New Roman"/>
        </w:rPr>
        <w:t xml:space="preserve"> que se le </w:t>
      </w:r>
      <w:r w:rsidR="009F1891">
        <w:rPr>
          <w:rFonts w:ascii="Times New Roman" w:hAnsi="Times New Roman" w:cs="Times New Roman"/>
        </w:rPr>
        <w:lastRenderedPageBreak/>
        <w:t xml:space="preserve">oponga, </w:t>
      </w:r>
      <w:r w:rsidR="00005C33" w:rsidRPr="009F1891">
        <w:rPr>
          <w:rFonts w:ascii="Times New Roman" w:hAnsi="Times New Roman" w:cs="Times New Roman"/>
        </w:rPr>
        <w:t>exceptuando</w:t>
      </w:r>
      <w:r w:rsidR="00005C33" w:rsidRPr="00E12079">
        <w:rPr>
          <w:rFonts w:ascii="Times New Roman" w:hAnsi="Times New Roman" w:cs="Times New Roman"/>
        </w:rPr>
        <w:t xml:space="preserve"> </w:t>
      </w:r>
      <w:r w:rsidR="007E3182" w:rsidRPr="007E3182">
        <w:rPr>
          <w:rFonts w:ascii="Times New Roman" w:hAnsi="Times New Roman" w:cs="Times New Roman"/>
          <w:color w:val="FF0000"/>
        </w:rPr>
        <w:t>los barrios que se aprueben mediante ordenanzas</w:t>
      </w:r>
      <w:r w:rsidR="007E3182">
        <w:rPr>
          <w:rFonts w:ascii="Times New Roman" w:hAnsi="Times New Roman" w:cs="Times New Roman"/>
        </w:rPr>
        <w:t xml:space="preserve"> </w:t>
      </w:r>
      <w:r w:rsidR="007E3182" w:rsidRPr="007E3182">
        <w:rPr>
          <w:rFonts w:ascii="Times New Roman" w:hAnsi="Times New Roman" w:cs="Times New Roman"/>
          <w:color w:val="FF0000"/>
        </w:rPr>
        <w:t>y</w:t>
      </w:r>
      <w:r w:rsidR="007E3182">
        <w:rPr>
          <w:rFonts w:ascii="Times New Roman" w:hAnsi="Times New Roman" w:cs="Times New Roman"/>
        </w:rPr>
        <w:t xml:space="preserve"> </w:t>
      </w:r>
      <w:r>
        <w:rPr>
          <w:rFonts w:ascii="Times New Roman" w:hAnsi="Times New Roman" w:cs="Times New Roman"/>
        </w:rPr>
        <w:t xml:space="preserve">las que rigen a los </w:t>
      </w:r>
      <w:r w:rsidR="002208C2" w:rsidRPr="00E12079">
        <w:rPr>
          <w:rFonts w:ascii="Times New Roman" w:hAnsi="Times New Roman" w:cs="Times New Roman"/>
        </w:rPr>
        <w:t xml:space="preserve">Planes </w:t>
      </w:r>
      <w:r w:rsidR="004F3514" w:rsidRPr="00E12079">
        <w:rPr>
          <w:rFonts w:ascii="Times New Roman" w:hAnsi="Times New Roman" w:cs="Times New Roman"/>
        </w:rPr>
        <w:t xml:space="preserve">Parciales, Planes </w:t>
      </w:r>
      <w:r w:rsidR="002208C2" w:rsidRPr="00E12079">
        <w:rPr>
          <w:rFonts w:ascii="Times New Roman" w:hAnsi="Times New Roman" w:cs="Times New Roman"/>
        </w:rPr>
        <w:t>Especiales y P</w:t>
      </w:r>
      <w:r w:rsidR="004F3514" w:rsidRPr="00E12079">
        <w:rPr>
          <w:rFonts w:ascii="Times New Roman" w:hAnsi="Times New Roman" w:cs="Times New Roman"/>
        </w:rPr>
        <w:t xml:space="preserve">royectos </w:t>
      </w:r>
      <w:r w:rsidR="003E1EC2" w:rsidRPr="00E12079">
        <w:rPr>
          <w:rFonts w:ascii="Times New Roman" w:hAnsi="Times New Roman" w:cs="Times New Roman"/>
        </w:rPr>
        <w:t>Urbanísti</w:t>
      </w:r>
      <w:r w:rsidR="009F1891">
        <w:rPr>
          <w:rFonts w:ascii="Times New Roman" w:hAnsi="Times New Roman" w:cs="Times New Roman"/>
        </w:rPr>
        <w:t>cos Arquitectónicos Especiales (</w:t>
      </w:r>
      <w:r w:rsidR="003E1EC2" w:rsidRPr="00E12079">
        <w:rPr>
          <w:rFonts w:ascii="Times New Roman" w:hAnsi="Times New Roman" w:cs="Times New Roman"/>
        </w:rPr>
        <w:t>P</w:t>
      </w:r>
      <w:r w:rsidR="002208C2" w:rsidRPr="00E12079">
        <w:rPr>
          <w:rFonts w:ascii="Times New Roman" w:hAnsi="Times New Roman" w:cs="Times New Roman"/>
        </w:rPr>
        <w:t>UAE</w:t>
      </w:r>
      <w:r w:rsidR="009F1891">
        <w:rPr>
          <w:rFonts w:ascii="Times New Roman" w:hAnsi="Times New Roman" w:cs="Times New Roman"/>
        </w:rPr>
        <w:t>)</w:t>
      </w:r>
      <w:r w:rsidR="004F3514" w:rsidRPr="00E12079">
        <w:rPr>
          <w:rFonts w:ascii="Times New Roman" w:hAnsi="Times New Roman" w:cs="Times New Roman"/>
        </w:rPr>
        <w:t>.</w:t>
      </w:r>
    </w:p>
    <w:p w:rsidR="008D7F22" w:rsidRPr="00E12079" w:rsidRDefault="006A0D6F" w:rsidP="008D7F22">
      <w:pPr>
        <w:tabs>
          <w:tab w:val="left" w:pos="2977"/>
        </w:tabs>
        <w:spacing w:after="120" w:line="276" w:lineRule="auto"/>
        <w:jc w:val="both"/>
        <w:rPr>
          <w:rFonts w:ascii="Times New Roman" w:hAnsi="Times New Roman" w:cs="Times New Roman"/>
          <w:b/>
        </w:rPr>
      </w:pPr>
      <w:r>
        <w:rPr>
          <w:rFonts w:ascii="Times New Roman" w:hAnsi="Times New Roman" w:cs="Times New Roman"/>
          <w:b/>
        </w:rPr>
        <w:t>Segunda</w:t>
      </w:r>
      <w:r w:rsidR="008D7F22" w:rsidRPr="00E12079">
        <w:rPr>
          <w:rFonts w:ascii="Times New Roman" w:hAnsi="Times New Roman" w:cs="Times New Roman"/>
          <w:b/>
        </w:rPr>
        <w:t xml:space="preserve">.- </w:t>
      </w:r>
      <w:r>
        <w:rPr>
          <w:rFonts w:ascii="Times New Roman" w:hAnsi="Times New Roman" w:cs="Times New Roman"/>
        </w:rPr>
        <w:t>La presente ordenanza y sus anexos, una vez sancionados,</w:t>
      </w:r>
      <w:r w:rsidR="008D7F22" w:rsidRPr="00E12079">
        <w:rPr>
          <w:rFonts w:ascii="Times New Roman" w:hAnsi="Times New Roman" w:cs="Times New Roman"/>
        </w:rPr>
        <w:t xml:space="preserve"> será</w:t>
      </w:r>
      <w:r>
        <w:rPr>
          <w:rFonts w:ascii="Times New Roman" w:hAnsi="Times New Roman" w:cs="Times New Roman"/>
        </w:rPr>
        <w:t>n</w:t>
      </w:r>
      <w:r w:rsidR="008D7F22" w:rsidRPr="00E12079">
        <w:rPr>
          <w:rFonts w:ascii="Times New Roman" w:hAnsi="Times New Roman" w:cs="Times New Roman"/>
        </w:rPr>
        <w:t xml:space="preserve"> inmediatamente protocolizado</w:t>
      </w:r>
      <w:r>
        <w:rPr>
          <w:rFonts w:ascii="Times New Roman" w:hAnsi="Times New Roman" w:cs="Times New Roman"/>
        </w:rPr>
        <w:t>s</w:t>
      </w:r>
      <w:r w:rsidR="008D7F22" w:rsidRPr="00E12079">
        <w:rPr>
          <w:rFonts w:ascii="Times New Roman" w:hAnsi="Times New Roman" w:cs="Times New Roman"/>
        </w:rPr>
        <w:t xml:space="preserve"> ante Notario Público del cantón Quito por parte de la Secretaría General del Concejo del Distrito Metropolitano de Quito.</w:t>
      </w:r>
    </w:p>
    <w:p w:rsidR="008D7F22" w:rsidRPr="00E12079" w:rsidRDefault="006A0D6F" w:rsidP="008D7F22">
      <w:pPr>
        <w:tabs>
          <w:tab w:val="left" w:pos="2977"/>
        </w:tabs>
        <w:spacing w:after="120" w:line="276" w:lineRule="auto"/>
        <w:jc w:val="both"/>
        <w:rPr>
          <w:rFonts w:ascii="Times New Roman" w:hAnsi="Times New Roman" w:cs="Times New Roman"/>
        </w:rPr>
      </w:pPr>
      <w:r>
        <w:rPr>
          <w:rFonts w:ascii="Times New Roman" w:hAnsi="Times New Roman" w:cs="Times New Roman"/>
          <w:b/>
        </w:rPr>
        <w:t>Tercera</w:t>
      </w:r>
      <w:r w:rsidR="008D7F22" w:rsidRPr="00E12079">
        <w:rPr>
          <w:rFonts w:ascii="Times New Roman" w:hAnsi="Times New Roman" w:cs="Times New Roman"/>
          <w:b/>
        </w:rPr>
        <w:t xml:space="preserve">.- </w:t>
      </w:r>
      <w:r w:rsidR="008D7F22" w:rsidRPr="00E12079">
        <w:rPr>
          <w:rFonts w:ascii="Times New Roman" w:hAnsi="Times New Roman" w:cs="Times New Roman"/>
        </w:rPr>
        <w:t>Esta ordenanza entrará en vigencia a partir de la fecha de su sanción, sin perjuicio de su publicación en la Gaceta Oficial y página web institucional de la municipalidad.</w:t>
      </w:r>
    </w:p>
    <w:p w:rsidR="00B7466D" w:rsidRPr="00E12079" w:rsidRDefault="00B7466D" w:rsidP="00B7466D">
      <w:pPr>
        <w:pStyle w:val="Cuadrculaclara-nfasis31"/>
        <w:tabs>
          <w:tab w:val="left" w:pos="2410"/>
        </w:tabs>
        <w:suppressAutoHyphens w:val="0"/>
        <w:spacing w:before="240" w:line="276" w:lineRule="auto"/>
        <w:ind w:left="0"/>
        <w:jc w:val="both"/>
        <w:rPr>
          <w:rFonts w:ascii="Times New Roman" w:hAnsi="Times New Roman" w:cs="Times New Roman"/>
          <w:sz w:val="22"/>
          <w:szCs w:val="22"/>
        </w:rPr>
      </w:pPr>
      <w:r w:rsidRPr="00E12079">
        <w:rPr>
          <w:rFonts w:ascii="Times New Roman" w:hAnsi="Times New Roman" w:cs="Times New Roman"/>
          <w:sz w:val="22"/>
          <w:szCs w:val="22"/>
        </w:rPr>
        <w:t xml:space="preserve">Dada, en la Sala de Sesiones del Concejo Metropolitano de Quito, el </w:t>
      </w:r>
      <w:r w:rsidR="007A7C8E" w:rsidRPr="00E12079">
        <w:rPr>
          <w:rFonts w:ascii="Times New Roman" w:hAnsi="Times New Roman" w:cs="Times New Roman"/>
          <w:sz w:val="22"/>
          <w:szCs w:val="22"/>
        </w:rPr>
        <w:t>xx</w:t>
      </w:r>
      <w:r w:rsidRPr="00E12079">
        <w:rPr>
          <w:rFonts w:ascii="Times New Roman" w:hAnsi="Times New Roman" w:cs="Times New Roman"/>
          <w:sz w:val="22"/>
          <w:szCs w:val="22"/>
        </w:rPr>
        <w:t xml:space="preserve"> de </w:t>
      </w:r>
      <w:r w:rsidR="007A7C8E" w:rsidRPr="00E12079">
        <w:rPr>
          <w:rFonts w:ascii="Times New Roman" w:hAnsi="Times New Roman" w:cs="Times New Roman"/>
          <w:sz w:val="22"/>
          <w:szCs w:val="22"/>
        </w:rPr>
        <w:t>xx</w:t>
      </w:r>
      <w:r w:rsidR="000E2937" w:rsidRPr="00E12079">
        <w:rPr>
          <w:rFonts w:ascii="Times New Roman" w:hAnsi="Times New Roman" w:cs="Times New Roman"/>
          <w:sz w:val="22"/>
          <w:szCs w:val="22"/>
        </w:rPr>
        <w:t xml:space="preserve"> </w:t>
      </w:r>
      <w:r w:rsidRPr="00E12079">
        <w:rPr>
          <w:rFonts w:ascii="Times New Roman" w:hAnsi="Times New Roman" w:cs="Times New Roman"/>
          <w:sz w:val="22"/>
          <w:szCs w:val="22"/>
        </w:rPr>
        <w:t>de 201</w:t>
      </w:r>
      <w:r w:rsidR="007A7C8E" w:rsidRPr="00E12079">
        <w:rPr>
          <w:rFonts w:ascii="Times New Roman" w:hAnsi="Times New Roman" w:cs="Times New Roman"/>
          <w:sz w:val="22"/>
          <w:szCs w:val="22"/>
        </w:rPr>
        <w:t>7</w:t>
      </w:r>
      <w:r w:rsidRPr="00E12079">
        <w:rPr>
          <w:rFonts w:ascii="Times New Roman" w:hAnsi="Times New Roman" w:cs="Times New Roman"/>
          <w:sz w:val="22"/>
          <w:szCs w:val="22"/>
        </w:rPr>
        <w:t>.</w:t>
      </w:r>
    </w:p>
    <w:p w:rsidR="00B7466D" w:rsidRPr="00E12079" w:rsidRDefault="00B7466D" w:rsidP="00B7466D">
      <w:pPr>
        <w:pStyle w:val="Textopredeterminado"/>
        <w:shd w:val="clear" w:color="auto" w:fill="FFFFFF"/>
        <w:jc w:val="both"/>
        <w:rPr>
          <w:sz w:val="22"/>
          <w:szCs w:val="22"/>
        </w:rPr>
      </w:pPr>
    </w:p>
    <w:p w:rsidR="007A7C8E" w:rsidRPr="00E12079" w:rsidRDefault="007A7C8E" w:rsidP="00B7466D">
      <w:pPr>
        <w:pStyle w:val="Textopredeterminado"/>
        <w:shd w:val="clear" w:color="auto" w:fill="FFFFFF"/>
        <w:jc w:val="both"/>
        <w:rPr>
          <w:sz w:val="22"/>
          <w:szCs w:val="22"/>
        </w:rPr>
      </w:pPr>
    </w:p>
    <w:p w:rsidR="002B7291" w:rsidRPr="00E12079" w:rsidRDefault="002B7291" w:rsidP="00B7466D">
      <w:pPr>
        <w:pStyle w:val="Textopredeterminado"/>
        <w:shd w:val="clear" w:color="auto" w:fill="FFFFFF"/>
        <w:jc w:val="both"/>
        <w:rPr>
          <w:sz w:val="22"/>
          <w:szCs w:val="22"/>
        </w:rPr>
      </w:pPr>
    </w:p>
    <w:p w:rsidR="000E2937" w:rsidRPr="00E12079" w:rsidRDefault="000E2937" w:rsidP="00B7466D">
      <w:pPr>
        <w:pStyle w:val="Textopredeterminado"/>
        <w:shd w:val="clear" w:color="auto" w:fill="FFFFFF"/>
        <w:jc w:val="both"/>
        <w:rPr>
          <w:sz w:val="22"/>
          <w:szCs w:val="22"/>
        </w:rPr>
      </w:pPr>
    </w:p>
    <w:tbl>
      <w:tblPr>
        <w:tblW w:w="10899" w:type="dxa"/>
        <w:jc w:val="center"/>
        <w:tblLook w:val="04A0" w:firstRow="1" w:lastRow="0" w:firstColumn="1" w:lastColumn="0" w:noHBand="0" w:noVBand="1"/>
      </w:tblPr>
      <w:tblGrid>
        <w:gridCol w:w="5575"/>
        <w:gridCol w:w="5324"/>
      </w:tblGrid>
      <w:tr w:rsidR="00B7466D" w:rsidRPr="00E12079" w:rsidTr="00B7466D">
        <w:trPr>
          <w:jc w:val="center"/>
        </w:trPr>
        <w:tc>
          <w:tcPr>
            <w:tcW w:w="5575" w:type="dxa"/>
            <w:hideMark/>
          </w:tcPr>
          <w:p w:rsidR="00B7466D" w:rsidRPr="00E12079" w:rsidRDefault="007A7C8E" w:rsidP="00B7466D">
            <w:pPr>
              <w:pStyle w:val="Textopredeterminado"/>
              <w:jc w:val="center"/>
              <w:rPr>
                <w:sz w:val="22"/>
                <w:szCs w:val="22"/>
              </w:rPr>
            </w:pPr>
            <w:r w:rsidRPr="00E12079">
              <w:rPr>
                <w:sz w:val="22"/>
                <w:szCs w:val="22"/>
              </w:rPr>
              <w:t>Dr</w:t>
            </w:r>
            <w:r w:rsidR="00B7466D" w:rsidRPr="00E12079">
              <w:rPr>
                <w:sz w:val="22"/>
                <w:szCs w:val="22"/>
              </w:rPr>
              <w:t xml:space="preserve">. </w:t>
            </w:r>
            <w:r w:rsidRPr="00E12079">
              <w:rPr>
                <w:sz w:val="22"/>
                <w:szCs w:val="22"/>
              </w:rPr>
              <w:t>Eduardo del Pozo</w:t>
            </w:r>
          </w:p>
          <w:p w:rsidR="00B7466D" w:rsidRPr="00E12079" w:rsidRDefault="00B7466D" w:rsidP="007A7C8E">
            <w:pPr>
              <w:pStyle w:val="Textopredeterminado"/>
              <w:jc w:val="center"/>
              <w:rPr>
                <w:b/>
                <w:sz w:val="22"/>
                <w:szCs w:val="22"/>
              </w:rPr>
            </w:pPr>
            <w:r w:rsidRPr="00E12079">
              <w:rPr>
                <w:b/>
                <w:sz w:val="22"/>
                <w:szCs w:val="22"/>
              </w:rPr>
              <w:t>Primer Vicepresident</w:t>
            </w:r>
            <w:r w:rsidR="007A7C8E" w:rsidRPr="00E12079">
              <w:rPr>
                <w:b/>
                <w:sz w:val="22"/>
                <w:szCs w:val="22"/>
              </w:rPr>
              <w:t>e</w:t>
            </w:r>
            <w:r w:rsidRPr="00E12079">
              <w:rPr>
                <w:b/>
                <w:sz w:val="22"/>
                <w:szCs w:val="22"/>
              </w:rPr>
              <w:t xml:space="preserve"> del Concejo Metropolitano de Quito</w:t>
            </w:r>
          </w:p>
        </w:tc>
        <w:tc>
          <w:tcPr>
            <w:tcW w:w="5324" w:type="dxa"/>
            <w:hideMark/>
          </w:tcPr>
          <w:p w:rsidR="00B7466D" w:rsidRPr="00E12079" w:rsidRDefault="00B7466D" w:rsidP="00B7466D">
            <w:pPr>
              <w:pStyle w:val="Textopredeterminado"/>
              <w:jc w:val="center"/>
              <w:rPr>
                <w:sz w:val="22"/>
                <w:szCs w:val="22"/>
              </w:rPr>
            </w:pPr>
            <w:r w:rsidRPr="00E12079">
              <w:rPr>
                <w:sz w:val="22"/>
                <w:szCs w:val="22"/>
              </w:rPr>
              <w:t xml:space="preserve">Abg. </w:t>
            </w:r>
            <w:r w:rsidR="004F1522" w:rsidRPr="00E12079">
              <w:rPr>
                <w:sz w:val="22"/>
                <w:szCs w:val="22"/>
              </w:rPr>
              <w:t>Diego Cevallos Salgado</w:t>
            </w:r>
          </w:p>
          <w:p w:rsidR="00B7466D" w:rsidRPr="00E12079" w:rsidRDefault="004F1522" w:rsidP="00B7466D">
            <w:pPr>
              <w:pStyle w:val="Textopredeterminado"/>
              <w:jc w:val="center"/>
              <w:rPr>
                <w:b/>
                <w:sz w:val="22"/>
                <w:szCs w:val="22"/>
              </w:rPr>
            </w:pPr>
            <w:r w:rsidRPr="00E12079">
              <w:rPr>
                <w:b/>
                <w:sz w:val="22"/>
                <w:szCs w:val="22"/>
              </w:rPr>
              <w:t xml:space="preserve">Secretario </w:t>
            </w:r>
            <w:r w:rsidR="00B7466D" w:rsidRPr="00E12079">
              <w:rPr>
                <w:b/>
                <w:sz w:val="22"/>
                <w:szCs w:val="22"/>
              </w:rPr>
              <w:t>General del Concejo Metropolitano de Quito</w:t>
            </w:r>
            <w:r w:rsidRPr="00E12079">
              <w:rPr>
                <w:b/>
                <w:sz w:val="22"/>
                <w:szCs w:val="22"/>
              </w:rPr>
              <w:t xml:space="preserve"> </w:t>
            </w:r>
          </w:p>
          <w:p w:rsidR="008572B3" w:rsidRPr="00E12079" w:rsidRDefault="008572B3" w:rsidP="00B7466D">
            <w:pPr>
              <w:pStyle w:val="Textopredeterminado"/>
              <w:jc w:val="center"/>
              <w:rPr>
                <w:b/>
                <w:sz w:val="22"/>
                <w:szCs w:val="22"/>
              </w:rPr>
            </w:pPr>
          </w:p>
          <w:p w:rsidR="002B7291" w:rsidRPr="00E12079" w:rsidRDefault="002B7291" w:rsidP="008D7F22">
            <w:pPr>
              <w:pStyle w:val="Textopredeterminado"/>
              <w:rPr>
                <w:b/>
                <w:sz w:val="22"/>
                <w:szCs w:val="22"/>
              </w:rPr>
            </w:pPr>
          </w:p>
          <w:p w:rsidR="000E2937" w:rsidRPr="00E12079" w:rsidRDefault="000E2937" w:rsidP="008D7F22">
            <w:pPr>
              <w:pStyle w:val="Textopredeterminado"/>
              <w:rPr>
                <w:b/>
                <w:sz w:val="22"/>
                <w:szCs w:val="22"/>
              </w:rPr>
            </w:pPr>
          </w:p>
        </w:tc>
      </w:tr>
    </w:tbl>
    <w:p w:rsidR="00B7466D" w:rsidRPr="00E12079" w:rsidRDefault="00B7466D" w:rsidP="00B7466D">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E12079">
        <w:rPr>
          <w:rFonts w:ascii="Times New Roman" w:eastAsia="MS Mincho" w:hAnsi="Times New Roman"/>
          <w:b/>
          <w:bCs/>
          <w:sz w:val="22"/>
          <w:szCs w:val="22"/>
        </w:rPr>
        <w:t>CERTIFICADO DE DISCUSIÓN</w:t>
      </w:r>
    </w:p>
    <w:p w:rsidR="00B7466D" w:rsidRPr="00E12079" w:rsidRDefault="00B7466D" w:rsidP="00B7466D">
      <w:pPr>
        <w:pStyle w:val="Textosinformato"/>
        <w:jc w:val="both"/>
        <w:rPr>
          <w:rFonts w:ascii="Times New Roman" w:eastAsia="MS Mincho" w:hAnsi="Times New Roman"/>
          <w:sz w:val="22"/>
          <w:szCs w:val="22"/>
        </w:rPr>
      </w:pPr>
    </w:p>
    <w:p w:rsidR="00B7466D" w:rsidRPr="00E12079" w:rsidRDefault="00D7237A" w:rsidP="00B7466D">
      <w:pPr>
        <w:pStyle w:val="Textosinformato"/>
        <w:spacing w:line="276" w:lineRule="auto"/>
        <w:jc w:val="both"/>
        <w:rPr>
          <w:rFonts w:ascii="Times New Roman" w:eastAsia="MS Mincho" w:hAnsi="Times New Roman"/>
          <w:sz w:val="22"/>
          <w:szCs w:val="22"/>
        </w:rPr>
      </w:pPr>
      <w:r w:rsidRPr="00E12079">
        <w:rPr>
          <w:rFonts w:ascii="Times New Roman" w:eastAsia="MS Mincho" w:hAnsi="Times New Roman"/>
          <w:sz w:val="22"/>
          <w:szCs w:val="22"/>
        </w:rPr>
        <w:t>El</w:t>
      </w:r>
      <w:r w:rsidR="00B7466D" w:rsidRPr="00E12079">
        <w:rPr>
          <w:rFonts w:ascii="Times New Roman" w:eastAsia="MS Mincho" w:hAnsi="Times New Roman"/>
          <w:sz w:val="22"/>
          <w:szCs w:val="22"/>
        </w:rPr>
        <w:t xml:space="preserve"> infrascrit</w:t>
      </w:r>
      <w:r w:rsidRPr="00E12079">
        <w:rPr>
          <w:rFonts w:ascii="Times New Roman" w:eastAsia="MS Mincho" w:hAnsi="Times New Roman"/>
          <w:sz w:val="22"/>
          <w:szCs w:val="22"/>
        </w:rPr>
        <w:t>o</w:t>
      </w:r>
      <w:r w:rsidR="00B7466D" w:rsidRPr="00E12079">
        <w:rPr>
          <w:rFonts w:ascii="Times New Roman" w:eastAsia="MS Mincho" w:hAnsi="Times New Roman"/>
          <w:sz w:val="22"/>
          <w:szCs w:val="22"/>
        </w:rPr>
        <w:t xml:space="preserve"> Secretari</w:t>
      </w:r>
      <w:r w:rsidRPr="00E12079">
        <w:rPr>
          <w:rFonts w:ascii="Times New Roman" w:eastAsia="MS Mincho" w:hAnsi="Times New Roman"/>
          <w:sz w:val="22"/>
          <w:szCs w:val="22"/>
        </w:rPr>
        <w:t>o</w:t>
      </w:r>
      <w:r w:rsidR="00B7466D" w:rsidRPr="00E12079">
        <w:rPr>
          <w:rFonts w:ascii="Times New Roman" w:eastAsia="MS Mincho" w:hAnsi="Times New Roman"/>
          <w:sz w:val="22"/>
          <w:szCs w:val="22"/>
        </w:rPr>
        <w:t xml:space="preserve"> General del Concejo Metropolitano de Quito, certifica que la presente ordenanza fue discutida y aprobada en dos debates, en sesiones de </w:t>
      </w:r>
      <w:r w:rsidR="007A7C8E" w:rsidRPr="00E12079">
        <w:rPr>
          <w:rFonts w:ascii="Times New Roman" w:eastAsia="MS Mincho" w:hAnsi="Times New Roman"/>
          <w:sz w:val="22"/>
          <w:szCs w:val="22"/>
        </w:rPr>
        <w:t>xx</w:t>
      </w:r>
      <w:r w:rsidR="00DA407A" w:rsidRPr="00E12079">
        <w:rPr>
          <w:rFonts w:ascii="Times New Roman" w:eastAsia="MS Mincho" w:hAnsi="Times New Roman"/>
          <w:sz w:val="22"/>
          <w:szCs w:val="22"/>
        </w:rPr>
        <w:t xml:space="preserve"> </w:t>
      </w:r>
      <w:r w:rsidR="00496C22" w:rsidRPr="00E12079">
        <w:rPr>
          <w:rFonts w:ascii="Times New Roman" w:eastAsia="MS Mincho" w:hAnsi="Times New Roman"/>
          <w:sz w:val="22"/>
          <w:szCs w:val="22"/>
        </w:rPr>
        <w:t>y</w:t>
      </w:r>
      <w:r w:rsidR="00DA407A" w:rsidRPr="00E12079">
        <w:rPr>
          <w:rFonts w:ascii="Times New Roman" w:eastAsia="MS Mincho" w:hAnsi="Times New Roman"/>
          <w:sz w:val="22"/>
          <w:szCs w:val="22"/>
        </w:rPr>
        <w:t xml:space="preserve"> </w:t>
      </w:r>
      <w:r w:rsidR="007A7C8E" w:rsidRPr="00E12079">
        <w:rPr>
          <w:rFonts w:ascii="Times New Roman" w:eastAsia="MS Mincho" w:hAnsi="Times New Roman"/>
          <w:sz w:val="22"/>
          <w:szCs w:val="22"/>
        </w:rPr>
        <w:t>xx</w:t>
      </w:r>
      <w:r w:rsidR="00DA407A" w:rsidRPr="00E12079">
        <w:rPr>
          <w:rFonts w:ascii="Times New Roman" w:eastAsia="MS Mincho" w:hAnsi="Times New Roman"/>
          <w:sz w:val="22"/>
          <w:szCs w:val="22"/>
        </w:rPr>
        <w:t xml:space="preserve"> </w:t>
      </w:r>
      <w:r w:rsidR="00B7466D" w:rsidRPr="00E12079">
        <w:rPr>
          <w:rFonts w:ascii="Times New Roman" w:eastAsia="MS Mincho" w:hAnsi="Times New Roman"/>
          <w:sz w:val="22"/>
          <w:szCs w:val="22"/>
        </w:rPr>
        <w:t xml:space="preserve">de </w:t>
      </w:r>
      <w:r w:rsidR="007A7C8E" w:rsidRPr="00E12079">
        <w:rPr>
          <w:rFonts w:ascii="Times New Roman" w:eastAsia="MS Mincho" w:hAnsi="Times New Roman"/>
          <w:sz w:val="22"/>
          <w:szCs w:val="22"/>
        </w:rPr>
        <w:t xml:space="preserve">xx </w:t>
      </w:r>
      <w:r w:rsidR="00B7466D" w:rsidRPr="00E12079">
        <w:rPr>
          <w:rFonts w:ascii="Times New Roman" w:eastAsia="MS Mincho" w:hAnsi="Times New Roman"/>
          <w:sz w:val="22"/>
          <w:szCs w:val="22"/>
        </w:rPr>
        <w:t>de 201</w:t>
      </w:r>
      <w:r w:rsidR="007A7C8E" w:rsidRPr="00E12079">
        <w:rPr>
          <w:rFonts w:ascii="Times New Roman" w:eastAsia="MS Mincho" w:hAnsi="Times New Roman"/>
          <w:sz w:val="22"/>
          <w:szCs w:val="22"/>
        </w:rPr>
        <w:t>7</w:t>
      </w:r>
      <w:r w:rsidR="00B7466D" w:rsidRPr="00E12079">
        <w:rPr>
          <w:rFonts w:ascii="Times New Roman" w:eastAsia="MS Mincho" w:hAnsi="Times New Roman"/>
          <w:sz w:val="22"/>
          <w:szCs w:val="22"/>
        </w:rPr>
        <w:t>.- Quito,</w:t>
      </w:r>
    </w:p>
    <w:p w:rsidR="000E2937" w:rsidRPr="00E12079" w:rsidRDefault="000E2937" w:rsidP="00B7466D">
      <w:pPr>
        <w:pStyle w:val="Textosinformato"/>
        <w:jc w:val="both"/>
        <w:rPr>
          <w:rFonts w:ascii="Times New Roman" w:eastAsia="MS Mincho" w:hAnsi="Times New Roman"/>
          <w:sz w:val="22"/>
          <w:szCs w:val="22"/>
        </w:rPr>
      </w:pPr>
    </w:p>
    <w:p w:rsidR="00DA407A" w:rsidRPr="00E12079" w:rsidRDefault="00DA407A" w:rsidP="00B7466D">
      <w:pPr>
        <w:pStyle w:val="Textosinformato"/>
        <w:jc w:val="both"/>
        <w:rPr>
          <w:rFonts w:ascii="Times New Roman" w:eastAsia="MS Mincho" w:hAnsi="Times New Roman"/>
          <w:sz w:val="22"/>
          <w:szCs w:val="22"/>
        </w:rPr>
      </w:pPr>
    </w:p>
    <w:p w:rsidR="007A7C8E" w:rsidRPr="00E12079" w:rsidRDefault="007A7C8E" w:rsidP="00B7466D">
      <w:pPr>
        <w:pStyle w:val="Textosinformato"/>
        <w:jc w:val="both"/>
        <w:rPr>
          <w:rFonts w:ascii="Times New Roman" w:eastAsia="MS Mincho" w:hAnsi="Times New Roman"/>
          <w:sz w:val="22"/>
          <w:szCs w:val="22"/>
        </w:rPr>
      </w:pPr>
    </w:p>
    <w:p w:rsidR="007A7C8E" w:rsidRPr="00E12079" w:rsidRDefault="007A7C8E" w:rsidP="00B7466D">
      <w:pPr>
        <w:pStyle w:val="Textosinformato"/>
        <w:jc w:val="both"/>
        <w:rPr>
          <w:rFonts w:ascii="Times New Roman" w:eastAsia="MS Mincho" w:hAnsi="Times New Roman"/>
          <w:sz w:val="22"/>
          <w:szCs w:val="22"/>
        </w:rPr>
      </w:pPr>
    </w:p>
    <w:p w:rsidR="00B7466D" w:rsidRPr="00E12079" w:rsidRDefault="00B7466D" w:rsidP="00B7466D">
      <w:pPr>
        <w:pStyle w:val="Textosinformato"/>
        <w:jc w:val="center"/>
        <w:rPr>
          <w:rFonts w:ascii="Times New Roman" w:eastAsia="MS Mincho" w:hAnsi="Times New Roman"/>
          <w:sz w:val="22"/>
          <w:szCs w:val="22"/>
        </w:rPr>
      </w:pPr>
      <w:r w:rsidRPr="00E12079">
        <w:rPr>
          <w:rFonts w:ascii="Times New Roman" w:eastAsia="MS Mincho" w:hAnsi="Times New Roman"/>
          <w:sz w:val="22"/>
          <w:szCs w:val="22"/>
        </w:rPr>
        <w:t xml:space="preserve">Abg. </w:t>
      </w:r>
      <w:r w:rsidR="007A7C8E" w:rsidRPr="00E12079">
        <w:rPr>
          <w:rFonts w:ascii="Times New Roman" w:eastAsia="MS Mincho" w:hAnsi="Times New Roman"/>
          <w:sz w:val="22"/>
          <w:szCs w:val="22"/>
        </w:rPr>
        <w:t>Diego Cevallos Salgado</w:t>
      </w:r>
    </w:p>
    <w:p w:rsidR="00B7466D" w:rsidRPr="00E12079" w:rsidRDefault="00B7466D" w:rsidP="00B7466D">
      <w:pPr>
        <w:pStyle w:val="Textosinformato"/>
        <w:jc w:val="center"/>
        <w:rPr>
          <w:rFonts w:ascii="Times New Roman" w:eastAsia="MS Mincho" w:hAnsi="Times New Roman"/>
          <w:b/>
          <w:bCs/>
          <w:sz w:val="22"/>
          <w:szCs w:val="22"/>
        </w:rPr>
      </w:pPr>
      <w:r w:rsidRPr="00E12079">
        <w:rPr>
          <w:rFonts w:ascii="Times New Roman" w:eastAsia="MS Mincho" w:hAnsi="Times New Roman"/>
          <w:b/>
          <w:bCs/>
          <w:sz w:val="22"/>
          <w:szCs w:val="22"/>
        </w:rPr>
        <w:t>SECRETARI</w:t>
      </w:r>
      <w:r w:rsidR="00D7237A" w:rsidRPr="00E12079">
        <w:rPr>
          <w:rFonts w:ascii="Times New Roman" w:eastAsia="MS Mincho" w:hAnsi="Times New Roman"/>
          <w:b/>
          <w:bCs/>
          <w:sz w:val="22"/>
          <w:szCs w:val="22"/>
        </w:rPr>
        <w:t>O</w:t>
      </w:r>
      <w:r w:rsidRPr="00E12079">
        <w:rPr>
          <w:rFonts w:ascii="Times New Roman" w:eastAsia="MS Mincho" w:hAnsi="Times New Roman"/>
          <w:b/>
          <w:bCs/>
          <w:sz w:val="22"/>
          <w:szCs w:val="22"/>
        </w:rPr>
        <w:t xml:space="preserve"> GENERAL DEL CONCEJO METROPOLITANO DE QUITO</w:t>
      </w:r>
    </w:p>
    <w:p w:rsidR="00370715" w:rsidRPr="00E12079" w:rsidRDefault="00370715" w:rsidP="00B7466D">
      <w:pPr>
        <w:pStyle w:val="Textosinformato"/>
        <w:jc w:val="center"/>
        <w:rPr>
          <w:rFonts w:ascii="Times New Roman" w:eastAsia="MS Mincho" w:hAnsi="Times New Roman"/>
          <w:b/>
          <w:bCs/>
          <w:sz w:val="22"/>
          <w:szCs w:val="22"/>
        </w:rPr>
      </w:pPr>
    </w:p>
    <w:p w:rsidR="007A7C8E" w:rsidRPr="00E12079" w:rsidRDefault="007A7C8E" w:rsidP="00B7466D">
      <w:pPr>
        <w:pStyle w:val="Textosinformato"/>
        <w:jc w:val="center"/>
        <w:rPr>
          <w:rFonts w:ascii="Times New Roman" w:eastAsia="MS Mincho" w:hAnsi="Times New Roman"/>
          <w:b/>
          <w:bCs/>
          <w:sz w:val="22"/>
          <w:szCs w:val="22"/>
        </w:rPr>
      </w:pPr>
    </w:p>
    <w:p w:rsidR="00B7466D" w:rsidRPr="00E12079" w:rsidRDefault="00B7466D" w:rsidP="00B7466D">
      <w:pPr>
        <w:pStyle w:val="Textosinformato"/>
        <w:jc w:val="center"/>
        <w:rPr>
          <w:rFonts w:ascii="Times New Roman" w:eastAsia="MS Mincho" w:hAnsi="Times New Roman"/>
          <w:sz w:val="22"/>
          <w:szCs w:val="22"/>
        </w:rPr>
      </w:pPr>
      <w:r w:rsidRPr="00E12079">
        <w:rPr>
          <w:rFonts w:ascii="Times New Roman" w:eastAsia="MS Mincho" w:hAnsi="Times New Roman"/>
          <w:b/>
          <w:bCs/>
          <w:sz w:val="22"/>
          <w:szCs w:val="22"/>
        </w:rPr>
        <w:t>ALCALDÍA DEL DISTRITO METROPOLITANO.-</w:t>
      </w:r>
      <w:r w:rsidRPr="00E12079">
        <w:rPr>
          <w:rFonts w:ascii="Times New Roman" w:eastAsia="MS Mincho" w:hAnsi="Times New Roman"/>
          <w:sz w:val="22"/>
          <w:szCs w:val="22"/>
        </w:rPr>
        <w:t xml:space="preserve">  Distrito Metropolitano de Quito,</w:t>
      </w:r>
    </w:p>
    <w:p w:rsidR="00B7466D" w:rsidRPr="00E12079" w:rsidRDefault="00B7466D" w:rsidP="00B7466D">
      <w:pPr>
        <w:pStyle w:val="Textosinformato"/>
        <w:jc w:val="center"/>
        <w:rPr>
          <w:rFonts w:ascii="Times New Roman" w:eastAsia="MS Mincho" w:hAnsi="Times New Roman"/>
          <w:b/>
          <w:sz w:val="22"/>
          <w:szCs w:val="22"/>
        </w:rPr>
      </w:pPr>
    </w:p>
    <w:p w:rsidR="00B7466D" w:rsidRPr="00E12079" w:rsidRDefault="00B7466D" w:rsidP="00B7466D">
      <w:pPr>
        <w:pStyle w:val="Textosinformato"/>
        <w:jc w:val="center"/>
        <w:rPr>
          <w:rFonts w:ascii="Times New Roman" w:eastAsia="MS Mincho" w:hAnsi="Times New Roman"/>
          <w:b/>
          <w:sz w:val="22"/>
          <w:szCs w:val="22"/>
        </w:rPr>
      </w:pPr>
      <w:r w:rsidRPr="00E12079">
        <w:rPr>
          <w:rFonts w:ascii="Times New Roman" w:eastAsia="MS Mincho" w:hAnsi="Times New Roman"/>
          <w:b/>
          <w:sz w:val="22"/>
          <w:szCs w:val="22"/>
        </w:rPr>
        <w:t>EJECÚTESE:</w:t>
      </w:r>
    </w:p>
    <w:p w:rsidR="00B7466D" w:rsidRPr="00E12079" w:rsidRDefault="00B7466D" w:rsidP="00B7466D">
      <w:pPr>
        <w:pStyle w:val="Textosinformato"/>
        <w:jc w:val="center"/>
        <w:rPr>
          <w:rFonts w:ascii="Times New Roman" w:eastAsia="MS Mincho" w:hAnsi="Times New Roman"/>
          <w:sz w:val="22"/>
          <w:szCs w:val="22"/>
        </w:rPr>
      </w:pPr>
    </w:p>
    <w:p w:rsidR="000E2937" w:rsidRPr="00E12079" w:rsidRDefault="000E2937" w:rsidP="00B7466D">
      <w:pPr>
        <w:pStyle w:val="Textosinformato"/>
        <w:jc w:val="center"/>
        <w:rPr>
          <w:rFonts w:ascii="Times New Roman" w:eastAsia="MS Mincho" w:hAnsi="Times New Roman"/>
          <w:sz w:val="22"/>
          <w:szCs w:val="22"/>
        </w:rPr>
      </w:pPr>
    </w:p>
    <w:p w:rsidR="00B7466D" w:rsidRPr="00E12079" w:rsidRDefault="00B7466D" w:rsidP="00B7466D">
      <w:pPr>
        <w:pStyle w:val="Textosinformato"/>
        <w:jc w:val="center"/>
        <w:rPr>
          <w:rFonts w:ascii="Times New Roman" w:eastAsia="MS Mincho" w:hAnsi="Times New Roman"/>
          <w:sz w:val="22"/>
          <w:szCs w:val="22"/>
        </w:rPr>
      </w:pPr>
    </w:p>
    <w:p w:rsidR="00B7466D" w:rsidRPr="00E12079" w:rsidRDefault="00B7466D" w:rsidP="00B7466D">
      <w:pPr>
        <w:pStyle w:val="Textosinformato"/>
        <w:jc w:val="center"/>
        <w:rPr>
          <w:rFonts w:ascii="Times New Roman" w:eastAsia="MS Mincho" w:hAnsi="Times New Roman"/>
          <w:sz w:val="22"/>
          <w:szCs w:val="22"/>
        </w:rPr>
      </w:pPr>
    </w:p>
    <w:p w:rsidR="00B7466D" w:rsidRPr="00E12079" w:rsidRDefault="00B7466D" w:rsidP="00B7466D">
      <w:pPr>
        <w:pStyle w:val="Textosinformato"/>
        <w:jc w:val="center"/>
        <w:rPr>
          <w:rFonts w:ascii="Times New Roman" w:eastAsia="MS Mincho" w:hAnsi="Times New Roman"/>
          <w:sz w:val="22"/>
          <w:szCs w:val="22"/>
        </w:rPr>
      </w:pPr>
      <w:r w:rsidRPr="00E12079">
        <w:rPr>
          <w:rFonts w:ascii="Times New Roman" w:eastAsia="MS Mincho" w:hAnsi="Times New Roman"/>
          <w:sz w:val="22"/>
          <w:szCs w:val="22"/>
        </w:rPr>
        <w:t>Dr. Mauricio Rodas Espinel</w:t>
      </w:r>
    </w:p>
    <w:p w:rsidR="00B7466D" w:rsidRPr="00E12079" w:rsidRDefault="00B7466D" w:rsidP="00B7466D">
      <w:pPr>
        <w:pStyle w:val="Textosinformato"/>
        <w:jc w:val="center"/>
        <w:rPr>
          <w:rFonts w:ascii="Times New Roman" w:eastAsia="MS Mincho" w:hAnsi="Times New Roman"/>
          <w:b/>
          <w:bCs/>
          <w:sz w:val="22"/>
          <w:szCs w:val="22"/>
        </w:rPr>
      </w:pPr>
      <w:r w:rsidRPr="00E12079">
        <w:rPr>
          <w:rFonts w:ascii="Times New Roman" w:eastAsia="MS Mincho" w:hAnsi="Times New Roman"/>
          <w:b/>
          <w:bCs/>
          <w:sz w:val="22"/>
          <w:szCs w:val="22"/>
        </w:rPr>
        <w:t>ALCALDE DEL DISTRITO METROPOLITANO DE QUITO</w:t>
      </w:r>
    </w:p>
    <w:p w:rsidR="00B7466D" w:rsidRPr="00E12079" w:rsidRDefault="00B7466D" w:rsidP="00B7466D">
      <w:pPr>
        <w:pStyle w:val="Textosinformato"/>
        <w:jc w:val="center"/>
        <w:rPr>
          <w:rFonts w:ascii="Times New Roman" w:eastAsia="MS Mincho" w:hAnsi="Times New Roman"/>
          <w:sz w:val="22"/>
          <w:szCs w:val="22"/>
        </w:rPr>
      </w:pPr>
    </w:p>
    <w:p w:rsidR="00B7466D" w:rsidRPr="00E12079" w:rsidRDefault="00B7466D" w:rsidP="00B7466D">
      <w:pPr>
        <w:pStyle w:val="Textosinformato"/>
        <w:spacing w:line="276" w:lineRule="auto"/>
        <w:jc w:val="both"/>
        <w:rPr>
          <w:rFonts w:ascii="Times New Roman" w:eastAsia="MS Mincho" w:hAnsi="Times New Roman"/>
          <w:sz w:val="22"/>
          <w:szCs w:val="22"/>
        </w:rPr>
      </w:pPr>
      <w:r w:rsidRPr="00E12079">
        <w:rPr>
          <w:rFonts w:ascii="Times New Roman" w:eastAsia="MS Mincho" w:hAnsi="Times New Roman"/>
          <w:b/>
          <w:bCs/>
          <w:sz w:val="22"/>
          <w:szCs w:val="22"/>
        </w:rPr>
        <w:t>CERTIFICO,</w:t>
      </w:r>
      <w:r w:rsidRPr="00E12079">
        <w:rPr>
          <w:rFonts w:ascii="Times New Roman" w:eastAsia="MS Mincho" w:hAnsi="Times New Roman"/>
          <w:sz w:val="22"/>
          <w:szCs w:val="22"/>
        </w:rPr>
        <w:t xml:space="preserve"> que la presente ordenanza fue sancionada por el Dr. Mauricio Rodas Espinel, Alcalde  del Distrito Metropolitano de Quito, el</w:t>
      </w:r>
    </w:p>
    <w:p w:rsidR="00B7466D" w:rsidRPr="00E12079" w:rsidRDefault="00B7466D" w:rsidP="00B7466D">
      <w:pPr>
        <w:pStyle w:val="Textosinformato"/>
        <w:tabs>
          <w:tab w:val="right" w:pos="8504"/>
        </w:tabs>
        <w:spacing w:line="276" w:lineRule="auto"/>
        <w:jc w:val="both"/>
        <w:rPr>
          <w:rFonts w:ascii="Times New Roman" w:eastAsia="MS Mincho" w:hAnsi="Times New Roman"/>
          <w:sz w:val="22"/>
          <w:szCs w:val="22"/>
        </w:rPr>
      </w:pPr>
      <w:r w:rsidRPr="00E12079">
        <w:rPr>
          <w:rFonts w:ascii="Times New Roman" w:eastAsia="MS Mincho" w:hAnsi="Times New Roman"/>
          <w:sz w:val="22"/>
          <w:szCs w:val="22"/>
        </w:rPr>
        <w:t>.- Distrito Metropolitano de Quito,</w:t>
      </w:r>
    </w:p>
    <w:p w:rsidR="00B7466D" w:rsidRPr="00E12079" w:rsidRDefault="00B7466D" w:rsidP="00B7466D">
      <w:pPr>
        <w:pStyle w:val="Textosinformato"/>
        <w:jc w:val="center"/>
        <w:rPr>
          <w:rFonts w:ascii="Times New Roman" w:eastAsia="MS Mincho" w:hAnsi="Times New Roman"/>
          <w:sz w:val="22"/>
          <w:szCs w:val="22"/>
        </w:rPr>
      </w:pPr>
    </w:p>
    <w:p w:rsidR="00B7466D" w:rsidRPr="00E12079" w:rsidRDefault="00B7466D" w:rsidP="00B7466D">
      <w:pPr>
        <w:pStyle w:val="Textosinformato"/>
        <w:jc w:val="center"/>
        <w:rPr>
          <w:rFonts w:ascii="Times New Roman" w:eastAsia="MS Mincho" w:hAnsi="Times New Roman"/>
          <w:sz w:val="22"/>
          <w:szCs w:val="22"/>
        </w:rPr>
      </w:pPr>
    </w:p>
    <w:p w:rsidR="00B7466D" w:rsidRPr="00E12079" w:rsidRDefault="00B7466D" w:rsidP="00B7466D">
      <w:pPr>
        <w:pStyle w:val="Textosinformato"/>
        <w:jc w:val="center"/>
        <w:rPr>
          <w:rFonts w:ascii="Times New Roman" w:eastAsia="MS Mincho" w:hAnsi="Times New Roman"/>
          <w:sz w:val="22"/>
          <w:szCs w:val="22"/>
        </w:rPr>
      </w:pPr>
    </w:p>
    <w:p w:rsidR="00B7466D" w:rsidRPr="00E12079" w:rsidRDefault="00B7466D" w:rsidP="00B7466D">
      <w:pPr>
        <w:pStyle w:val="Textosinformato"/>
        <w:jc w:val="center"/>
        <w:rPr>
          <w:rFonts w:ascii="Times New Roman" w:eastAsia="MS Mincho" w:hAnsi="Times New Roman"/>
          <w:sz w:val="22"/>
          <w:szCs w:val="22"/>
        </w:rPr>
      </w:pPr>
      <w:r w:rsidRPr="00E12079">
        <w:rPr>
          <w:rFonts w:ascii="Times New Roman" w:eastAsia="MS Mincho" w:hAnsi="Times New Roman"/>
          <w:sz w:val="22"/>
          <w:szCs w:val="22"/>
        </w:rPr>
        <w:t xml:space="preserve">Abg. </w:t>
      </w:r>
      <w:r w:rsidR="007A7C8E" w:rsidRPr="00E12079">
        <w:rPr>
          <w:rFonts w:ascii="Times New Roman" w:eastAsia="MS Mincho" w:hAnsi="Times New Roman"/>
          <w:sz w:val="22"/>
          <w:szCs w:val="22"/>
        </w:rPr>
        <w:t>Diego Cevallos Salgado</w:t>
      </w:r>
    </w:p>
    <w:p w:rsidR="00B7466D" w:rsidRPr="00E12079" w:rsidRDefault="00B7466D" w:rsidP="00B7466D">
      <w:pPr>
        <w:pStyle w:val="Textosinformato"/>
        <w:jc w:val="center"/>
        <w:rPr>
          <w:rFonts w:ascii="Times New Roman" w:eastAsia="MS Mincho" w:hAnsi="Times New Roman"/>
          <w:b/>
          <w:bCs/>
          <w:sz w:val="22"/>
          <w:szCs w:val="22"/>
        </w:rPr>
      </w:pPr>
      <w:r w:rsidRPr="00E12079">
        <w:rPr>
          <w:rFonts w:ascii="Times New Roman" w:eastAsia="MS Mincho" w:hAnsi="Times New Roman"/>
          <w:b/>
          <w:bCs/>
          <w:sz w:val="22"/>
          <w:szCs w:val="22"/>
        </w:rPr>
        <w:t>SECRETARI</w:t>
      </w:r>
      <w:r w:rsidR="00D7237A" w:rsidRPr="00E12079">
        <w:rPr>
          <w:rFonts w:ascii="Times New Roman" w:eastAsia="MS Mincho" w:hAnsi="Times New Roman"/>
          <w:b/>
          <w:bCs/>
          <w:sz w:val="22"/>
          <w:szCs w:val="22"/>
        </w:rPr>
        <w:t>O</w:t>
      </w:r>
      <w:r w:rsidRPr="00E12079">
        <w:rPr>
          <w:rFonts w:ascii="Times New Roman" w:eastAsia="MS Mincho" w:hAnsi="Times New Roman"/>
          <w:b/>
          <w:bCs/>
          <w:sz w:val="22"/>
          <w:szCs w:val="22"/>
        </w:rPr>
        <w:t xml:space="preserve"> GENERAL DEL CONCEJO METROPOLITANO DE QUITO</w:t>
      </w:r>
    </w:p>
    <w:sectPr w:rsidR="00B7466D" w:rsidRPr="00E12079" w:rsidSect="00123FE0">
      <w:headerReference w:type="default" r:id="rId8"/>
      <w:footerReference w:type="default" r:id="rId9"/>
      <w:pgSz w:w="11907" w:h="16839" w:code="9"/>
      <w:pgMar w:top="1417" w:right="1417"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7B2" w:rsidRDefault="003427B2" w:rsidP="00EA1685">
      <w:pPr>
        <w:spacing w:after="0" w:line="240" w:lineRule="auto"/>
      </w:pPr>
      <w:r>
        <w:separator/>
      </w:r>
    </w:p>
  </w:endnote>
  <w:endnote w:type="continuationSeparator" w:id="0">
    <w:p w:rsidR="003427B2" w:rsidRDefault="003427B2" w:rsidP="00EA1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461931"/>
      <w:docPartObj>
        <w:docPartGallery w:val="Page Numbers (Bottom of Page)"/>
        <w:docPartUnique/>
      </w:docPartObj>
    </w:sdtPr>
    <w:sdtEndPr/>
    <w:sdtContent>
      <w:sdt>
        <w:sdtPr>
          <w:id w:val="-124324645"/>
          <w:docPartObj>
            <w:docPartGallery w:val="Page Numbers (Top of Page)"/>
            <w:docPartUnique/>
          </w:docPartObj>
        </w:sdtPr>
        <w:sdtEndPr/>
        <w:sdtContent>
          <w:p w:rsidR="00BA4AC2" w:rsidRDefault="00BA4AC2">
            <w:pPr>
              <w:pStyle w:val="Piedepgina"/>
              <w:jc w:val="right"/>
            </w:pPr>
            <w:r w:rsidRPr="00637B39">
              <w:rPr>
                <w:rFonts w:ascii="Palatino Linotype" w:hAnsi="Palatino Linotype"/>
                <w:lang w:val="es-ES"/>
              </w:rPr>
              <w:t xml:space="preserve">Página </w:t>
            </w:r>
            <w:r w:rsidRPr="00637B39">
              <w:rPr>
                <w:rFonts w:ascii="Palatino Linotype" w:hAnsi="Palatino Linotype"/>
                <w:b/>
                <w:bCs/>
              </w:rPr>
              <w:fldChar w:fldCharType="begin"/>
            </w:r>
            <w:r w:rsidRPr="00637B39">
              <w:rPr>
                <w:rFonts w:ascii="Palatino Linotype" w:hAnsi="Palatino Linotype"/>
                <w:b/>
                <w:bCs/>
              </w:rPr>
              <w:instrText>PAGE</w:instrText>
            </w:r>
            <w:r w:rsidRPr="00637B39">
              <w:rPr>
                <w:rFonts w:ascii="Palatino Linotype" w:hAnsi="Palatino Linotype"/>
                <w:b/>
                <w:bCs/>
              </w:rPr>
              <w:fldChar w:fldCharType="separate"/>
            </w:r>
            <w:r w:rsidR="00FF34FB">
              <w:rPr>
                <w:rFonts w:ascii="Palatino Linotype" w:hAnsi="Palatino Linotype"/>
                <w:b/>
                <w:bCs/>
                <w:noProof/>
              </w:rPr>
              <w:t>1</w:t>
            </w:r>
            <w:r w:rsidRPr="00637B39">
              <w:rPr>
                <w:rFonts w:ascii="Palatino Linotype" w:hAnsi="Palatino Linotype"/>
                <w:b/>
                <w:bCs/>
              </w:rPr>
              <w:fldChar w:fldCharType="end"/>
            </w:r>
            <w:r w:rsidRPr="00637B39">
              <w:rPr>
                <w:rFonts w:ascii="Palatino Linotype" w:hAnsi="Palatino Linotype"/>
                <w:lang w:val="es-ES"/>
              </w:rPr>
              <w:t xml:space="preserve"> de </w:t>
            </w:r>
            <w:r>
              <w:rPr>
                <w:rFonts w:ascii="Palatino Linotype" w:hAnsi="Palatino Linotype"/>
                <w:lang w:val="es-ES"/>
              </w:rPr>
              <w:t>16</w:t>
            </w:r>
          </w:p>
        </w:sdtContent>
      </w:sdt>
    </w:sdtContent>
  </w:sdt>
  <w:p w:rsidR="00BA4AC2" w:rsidRDefault="00BA4A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7B2" w:rsidRDefault="003427B2" w:rsidP="00EA1685">
      <w:pPr>
        <w:spacing w:after="0" w:line="240" w:lineRule="auto"/>
      </w:pPr>
      <w:r>
        <w:separator/>
      </w:r>
    </w:p>
  </w:footnote>
  <w:footnote w:type="continuationSeparator" w:id="0">
    <w:p w:rsidR="003427B2" w:rsidRDefault="003427B2" w:rsidP="00EA1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AC2" w:rsidRPr="004E51E6" w:rsidRDefault="00BA4AC2">
    <w:pPr>
      <w:pStyle w:val="Encabezado"/>
      <w:rPr>
        <w:lang w:val="es-ES_tradnl"/>
      </w:rPr>
    </w:pPr>
  </w:p>
  <w:p w:rsidR="00BA4AC2" w:rsidRDefault="00BA4A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D5E6F8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47940EB"/>
    <w:multiLevelType w:val="hybridMultilevel"/>
    <w:tmpl w:val="F112040C"/>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BC2377E"/>
    <w:multiLevelType w:val="hybridMultilevel"/>
    <w:tmpl w:val="0F020D8A"/>
    <w:lvl w:ilvl="0" w:tplc="B7388916">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C8A426B"/>
    <w:multiLevelType w:val="hybridMultilevel"/>
    <w:tmpl w:val="98EABC1C"/>
    <w:lvl w:ilvl="0" w:tplc="300A000D">
      <w:start w:val="1"/>
      <w:numFmt w:val="bullet"/>
      <w:lvlText w:val=""/>
      <w:lvlJc w:val="left"/>
      <w:pPr>
        <w:ind w:left="2172" w:hanging="360"/>
      </w:pPr>
      <w:rPr>
        <w:rFonts w:ascii="Wingdings" w:hAnsi="Wingdings" w:hint="default"/>
      </w:rPr>
    </w:lvl>
    <w:lvl w:ilvl="1" w:tplc="300A0003" w:tentative="1">
      <w:start w:val="1"/>
      <w:numFmt w:val="bullet"/>
      <w:lvlText w:val="o"/>
      <w:lvlJc w:val="left"/>
      <w:pPr>
        <w:ind w:left="2892" w:hanging="360"/>
      </w:pPr>
      <w:rPr>
        <w:rFonts w:ascii="Courier New" w:hAnsi="Courier New" w:cs="Courier New" w:hint="default"/>
      </w:rPr>
    </w:lvl>
    <w:lvl w:ilvl="2" w:tplc="300A0005" w:tentative="1">
      <w:start w:val="1"/>
      <w:numFmt w:val="bullet"/>
      <w:lvlText w:val=""/>
      <w:lvlJc w:val="left"/>
      <w:pPr>
        <w:ind w:left="3612" w:hanging="360"/>
      </w:pPr>
      <w:rPr>
        <w:rFonts w:ascii="Wingdings" w:hAnsi="Wingdings" w:hint="default"/>
      </w:rPr>
    </w:lvl>
    <w:lvl w:ilvl="3" w:tplc="300A0001" w:tentative="1">
      <w:start w:val="1"/>
      <w:numFmt w:val="bullet"/>
      <w:lvlText w:val=""/>
      <w:lvlJc w:val="left"/>
      <w:pPr>
        <w:ind w:left="4332" w:hanging="360"/>
      </w:pPr>
      <w:rPr>
        <w:rFonts w:ascii="Symbol" w:hAnsi="Symbol" w:hint="default"/>
      </w:rPr>
    </w:lvl>
    <w:lvl w:ilvl="4" w:tplc="300A0003" w:tentative="1">
      <w:start w:val="1"/>
      <w:numFmt w:val="bullet"/>
      <w:lvlText w:val="o"/>
      <w:lvlJc w:val="left"/>
      <w:pPr>
        <w:ind w:left="5052" w:hanging="360"/>
      </w:pPr>
      <w:rPr>
        <w:rFonts w:ascii="Courier New" w:hAnsi="Courier New" w:cs="Courier New" w:hint="default"/>
      </w:rPr>
    </w:lvl>
    <w:lvl w:ilvl="5" w:tplc="300A0005" w:tentative="1">
      <w:start w:val="1"/>
      <w:numFmt w:val="bullet"/>
      <w:lvlText w:val=""/>
      <w:lvlJc w:val="left"/>
      <w:pPr>
        <w:ind w:left="5772" w:hanging="360"/>
      </w:pPr>
      <w:rPr>
        <w:rFonts w:ascii="Wingdings" w:hAnsi="Wingdings" w:hint="default"/>
      </w:rPr>
    </w:lvl>
    <w:lvl w:ilvl="6" w:tplc="300A0001" w:tentative="1">
      <w:start w:val="1"/>
      <w:numFmt w:val="bullet"/>
      <w:lvlText w:val=""/>
      <w:lvlJc w:val="left"/>
      <w:pPr>
        <w:ind w:left="6492" w:hanging="360"/>
      </w:pPr>
      <w:rPr>
        <w:rFonts w:ascii="Symbol" w:hAnsi="Symbol" w:hint="default"/>
      </w:rPr>
    </w:lvl>
    <w:lvl w:ilvl="7" w:tplc="300A0003" w:tentative="1">
      <w:start w:val="1"/>
      <w:numFmt w:val="bullet"/>
      <w:lvlText w:val="o"/>
      <w:lvlJc w:val="left"/>
      <w:pPr>
        <w:ind w:left="7212" w:hanging="360"/>
      </w:pPr>
      <w:rPr>
        <w:rFonts w:ascii="Courier New" w:hAnsi="Courier New" w:cs="Courier New" w:hint="default"/>
      </w:rPr>
    </w:lvl>
    <w:lvl w:ilvl="8" w:tplc="300A0005" w:tentative="1">
      <w:start w:val="1"/>
      <w:numFmt w:val="bullet"/>
      <w:lvlText w:val=""/>
      <w:lvlJc w:val="left"/>
      <w:pPr>
        <w:ind w:left="7932" w:hanging="360"/>
      </w:pPr>
      <w:rPr>
        <w:rFonts w:ascii="Wingdings" w:hAnsi="Wingdings" w:hint="default"/>
      </w:rPr>
    </w:lvl>
  </w:abstractNum>
  <w:abstractNum w:abstractNumId="4" w15:restartNumberingAfterBreak="0">
    <w:nsid w:val="0EE0558E"/>
    <w:multiLevelType w:val="multilevel"/>
    <w:tmpl w:val="2D7445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9B5D25"/>
    <w:multiLevelType w:val="hybridMultilevel"/>
    <w:tmpl w:val="26B42796"/>
    <w:lvl w:ilvl="0" w:tplc="341EA902">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10D54BF"/>
    <w:multiLevelType w:val="hybridMultilevel"/>
    <w:tmpl w:val="2EB40EA8"/>
    <w:lvl w:ilvl="0" w:tplc="C4B00B92">
      <w:start w:val="1"/>
      <w:numFmt w:val="lowerLetter"/>
      <w:lvlText w:val="%1)"/>
      <w:lvlJc w:val="left"/>
      <w:pPr>
        <w:ind w:left="5100" w:hanging="705"/>
      </w:pPr>
      <w:rPr>
        <w:rFonts w:hint="default"/>
        <w:b/>
      </w:rPr>
    </w:lvl>
    <w:lvl w:ilvl="1" w:tplc="04090019" w:tentative="1">
      <w:start w:val="1"/>
      <w:numFmt w:val="lowerLetter"/>
      <w:lvlText w:val="%2."/>
      <w:lvlJc w:val="left"/>
      <w:pPr>
        <w:ind w:left="5475" w:hanging="360"/>
      </w:pPr>
    </w:lvl>
    <w:lvl w:ilvl="2" w:tplc="0409001B" w:tentative="1">
      <w:start w:val="1"/>
      <w:numFmt w:val="lowerRoman"/>
      <w:lvlText w:val="%3."/>
      <w:lvlJc w:val="right"/>
      <w:pPr>
        <w:ind w:left="6195" w:hanging="180"/>
      </w:pPr>
    </w:lvl>
    <w:lvl w:ilvl="3" w:tplc="0409000F" w:tentative="1">
      <w:start w:val="1"/>
      <w:numFmt w:val="decimal"/>
      <w:lvlText w:val="%4."/>
      <w:lvlJc w:val="left"/>
      <w:pPr>
        <w:ind w:left="6915" w:hanging="360"/>
      </w:pPr>
    </w:lvl>
    <w:lvl w:ilvl="4" w:tplc="04090019" w:tentative="1">
      <w:start w:val="1"/>
      <w:numFmt w:val="lowerLetter"/>
      <w:lvlText w:val="%5."/>
      <w:lvlJc w:val="left"/>
      <w:pPr>
        <w:ind w:left="7635" w:hanging="360"/>
      </w:pPr>
    </w:lvl>
    <w:lvl w:ilvl="5" w:tplc="0409001B" w:tentative="1">
      <w:start w:val="1"/>
      <w:numFmt w:val="lowerRoman"/>
      <w:lvlText w:val="%6."/>
      <w:lvlJc w:val="right"/>
      <w:pPr>
        <w:ind w:left="8355" w:hanging="180"/>
      </w:pPr>
    </w:lvl>
    <w:lvl w:ilvl="6" w:tplc="0409000F" w:tentative="1">
      <w:start w:val="1"/>
      <w:numFmt w:val="decimal"/>
      <w:lvlText w:val="%7."/>
      <w:lvlJc w:val="left"/>
      <w:pPr>
        <w:ind w:left="9075" w:hanging="360"/>
      </w:pPr>
    </w:lvl>
    <w:lvl w:ilvl="7" w:tplc="04090019" w:tentative="1">
      <w:start w:val="1"/>
      <w:numFmt w:val="lowerLetter"/>
      <w:lvlText w:val="%8."/>
      <w:lvlJc w:val="left"/>
      <w:pPr>
        <w:ind w:left="9795" w:hanging="360"/>
      </w:pPr>
    </w:lvl>
    <w:lvl w:ilvl="8" w:tplc="0409001B" w:tentative="1">
      <w:start w:val="1"/>
      <w:numFmt w:val="lowerRoman"/>
      <w:lvlText w:val="%9."/>
      <w:lvlJc w:val="right"/>
      <w:pPr>
        <w:ind w:left="10515" w:hanging="180"/>
      </w:pPr>
    </w:lvl>
  </w:abstractNum>
  <w:abstractNum w:abstractNumId="7" w15:restartNumberingAfterBreak="0">
    <w:nsid w:val="12AF0314"/>
    <w:multiLevelType w:val="hybridMultilevel"/>
    <w:tmpl w:val="BFF0EF2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5232666"/>
    <w:multiLevelType w:val="hybridMultilevel"/>
    <w:tmpl w:val="9E8843F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541067C"/>
    <w:multiLevelType w:val="hybridMultilevel"/>
    <w:tmpl w:val="698A629C"/>
    <w:lvl w:ilvl="0" w:tplc="915E53A8">
      <w:start w:val="1"/>
      <w:numFmt w:val="lowerLetter"/>
      <w:lvlText w:val="%1)"/>
      <w:lvlJc w:val="left"/>
      <w:pPr>
        <w:ind w:left="1068" w:hanging="360"/>
      </w:pPr>
      <w:rPr>
        <w:rFonts w:hint="default"/>
        <w:b/>
        <w:color w:val="auto"/>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0" w15:restartNumberingAfterBreak="0">
    <w:nsid w:val="156204F3"/>
    <w:multiLevelType w:val="multilevel"/>
    <w:tmpl w:val="78D64B4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1972DC"/>
    <w:multiLevelType w:val="hybridMultilevel"/>
    <w:tmpl w:val="3F4A6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79F534F"/>
    <w:multiLevelType w:val="hybridMultilevel"/>
    <w:tmpl w:val="D2140440"/>
    <w:lvl w:ilvl="0" w:tplc="60EEEC86">
      <w:start w:val="1"/>
      <w:numFmt w:val="lowerLetter"/>
      <w:lvlText w:val="%1)"/>
      <w:lvlJc w:val="left"/>
      <w:pPr>
        <w:ind w:left="720" w:hanging="360"/>
      </w:pPr>
      <w:rPr>
        <w:rFonts w:hint="default"/>
        <w:b/>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19591602"/>
    <w:multiLevelType w:val="hybridMultilevel"/>
    <w:tmpl w:val="BBA4F1C4"/>
    <w:lvl w:ilvl="0" w:tplc="3B582326">
      <w:start w:val="4"/>
      <w:numFmt w:val="bullet"/>
      <w:lvlText w:val="-"/>
      <w:lvlJc w:val="left"/>
      <w:pPr>
        <w:ind w:left="720" w:hanging="360"/>
      </w:pPr>
      <w:rPr>
        <w:rFonts w:ascii="Calibri" w:eastAsia="Calibri"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19AF01C6"/>
    <w:multiLevelType w:val="hybridMultilevel"/>
    <w:tmpl w:val="E314F7E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1ADD3DCF"/>
    <w:multiLevelType w:val="hybridMultilevel"/>
    <w:tmpl w:val="7346C9C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1BAE2020"/>
    <w:multiLevelType w:val="hybridMultilevel"/>
    <w:tmpl w:val="21B43B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1F1B795C"/>
    <w:multiLevelType w:val="hybridMultilevel"/>
    <w:tmpl w:val="2364367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1FAA7409"/>
    <w:multiLevelType w:val="hybridMultilevel"/>
    <w:tmpl w:val="9F66BB4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23DE2DDD"/>
    <w:multiLevelType w:val="multilevel"/>
    <w:tmpl w:val="EB965E74"/>
    <w:lvl w:ilvl="0">
      <w:start w:val="1"/>
      <w:numFmt w:val="decimal"/>
      <w:pStyle w:val="Ttulo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4A652B"/>
    <w:multiLevelType w:val="hybridMultilevel"/>
    <w:tmpl w:val="894CA380"/>
    <w:lvl w:ilvl="0" w:tplc="F852EA6C">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2E8442B9"/>
    <w:multiLevelType w:val="hybridMultilevel"/>
    <w:tmpl w:val="C29202C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339C23B7"/>
    <w:multiLevelType w:val="hybridMultilevel"/>
    <w:tmpl w:val="C4F0DD24"/>
    <w:lvl w:ilvl="0" w:tplc="300A0003">
      <w:start w:val="1"/>
      <w:numFmt w:val="bullet"/>
      <w:lvlText w:val="o"/>
      <w:lvlJc w:val="left"/>
      <w:pPr>
        <w:ind w:left="2138" w:hanging="360"/>
      </w:pPr>
      <w:rPr>
        <w:rFonts w:ascii="Courier New" w:hAnsi="Courier New" w:cs="Courier New" w:hint="default"/>
      </w:rPr>
    </w:lvl>
    <w:lvl w:ilvl="1" w:tplc="300A0003" w:tentative="1">
      <w:start w:val="1"/>
      <w:numFmt w:val="bullet"/>
      <w:lvlText w:val="o"/>
      <w:lvlJc w:val="left"/>
      <w:pPr>
        <w:ind w:left="2858" w:hanging="360"/>
      </w:pPr>
      <w:rPr>
        <w:rFonts w:ascii="Courier New" w:hAnsi="Courier New" w:cs="Courier New" w:hint="default"/>
      </w:rPr>
    </w:lvl>
    <w:lvl w:ilvl="2" w:tplc="300A0005" w:tentative="1">
      <w:start w:val="1"/>
      <w:numFmt w:val="bullet"/>
      <w:lvlText w:val=""/>
      <w:lvlJc w:val="left"/>
      <w:pPr>
        <w:ind w:left="3578" w:hanging="360"/>
      </w:pPr>
      <w:rPr>
        <w:rFonts w:ascii="Wingdings" w:hAnsi="Wingdings" w:hint="default"/>
      </w:rPr>
    </w:lvl>
    <w:lvl w:ilvl="3" w:tplc="300A0001" w:tentative="1">
      <w:start w:val="1"/>
      <w:numFmt w:val="bullet"/>
      <w:lvlText w:val=""/>
      <w:lvlJc w:val="left"/>
      <w:pPr>
        <w:ind w:left="4298" w:hanging="360"/>
      </w:pPr>
      <w:rPr>
        <w:rFonts w:ascii="Symbol" w:hAnsi="Symbol" w:hint="default"/>
      </w:rPr>
    </w:lvl>
    <w:lvl w:ilvl="4" w:tplc="300A0003" w:tentative="1">
      <w:start w:val="1"/>
      <w:numFmt w:val="bullet"/>
      <w:lvlText w:val="o"/>
      <w:lvlJc w:val="left"/>
      <w:pPr>
        <w:ind w:left="5018" w:hanging="360"/>
      </w:pPr>
      <w:rPr>
        <w:rFonts w:ascii="Courier New" w:hAnsi="Courier New" w:cs="Courier New" w:hint="default"/>
      </w:rPr>
    </w:lvl>
    <w:lvl w:ilvl="5" w:tplc="300A0005" w:tentative="1">
      <w:start w:val="1"/>
      <w:numFmt w:val="bullet"/>
      <w:lvlText w:val=""/>
      <w:lvlJc w:val="left"/>
      <w:pPr>
        <w:ind w:left="5738" w:hanging="360"/>
      </w:pPr>
      <w:rPr>
        <w:rFonts w:ascii="Wingdings" w:hAnsi="Wingdings" w:hint="default"/>
      </w:rPr>
    </w:lvl>
    <w:lvl w:ilvl="6" w:tplc="300A0001" w:tentative="1">
      <w:start w:val="1"/>
      <w:numFmt w:val="bullet"/>
      <w:lvlText w:val=""/>
      <w:lvlJc w:val="left"/>
      <w:pPr>
        <w:ind w:left="6458" w:hanging="360"/>
      </w:pPr>
      <w:rPr>
        <w:rFonts w:ascii="Symbol" w:hAnsi="Symbol" w:hint="default"/>
      </w:rPr>
    </w:lvl>
    <w:lvl w:ilvl="7" w:tplc="300A0003" w:tentative="1">
      <w:start w:val="1"/>
      <w:numFmt w:val="bullet"/>
      <w:lvlText w:val="o"/>
      <w:lvlJc w:val="left"/>
      <w:pPr>
        <w:ind w:left="7178" w:hanging="360"/>
      </w:pPr>
      <w:rPr>
        <w:rFonts w:ascii="Courier New" w:hAnsi="Courier New" w:cs="Courier New" w:hint="default"/>
      </w:rPr>
    </w:lvl>
    <w:lvl w:ilvl="8" w:tplc="300A0005" w:tentative="1">
      <w:start w:val="1"/>
      <w:numFmt w:val="bullet"/>
      <w:lvlText w:val=""/>
      <w:lvlJc w:val="left"/>
      <w:pPr>
        <w:ind w:left="7898" w:hanging="360"/>
      </w:pPr>
      <w:rPr>
        <w:rFonts w:ascii="Wingdings" w:hAnsi="Wingdings" w:hint="default"/>
      </w:rPr>
    </w:lvl>
  </w:abstractNum>
  <w:abstractNum w:abstractNumId="23" w15:restartNumberingAfterBreak="0">
    <w:nsid w:val="45B97BF3"/>
    <w:multiLevelType w:val="hybridMultilevel"/>
    <w:tmpl w:val="3044211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472509F2"/>
    <w:multiLevelType w:val="hybridMultilevel"/>
    <w:tmpl w:val="DF18256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489D7416"/>
    <w:multiLevelType w:val="hybridMultilevel"/>
    <w:tmpl w:val="C220BB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49A3425A"/>
    <w:multiLevelType w:val="multilevel"/>
    <w:tmpl w:val="D5746AE2"/>
    <w:lvl w:ilvl="0">
      <w:start w:val="1"/>
      <w:numFmt w:val="decimal"/>
      <w:lvlText w:val="%1."/>
      <w:lvlJc w:val="left"/>
      <w:pPr>
        <w:ind w:left="720" w:hanging="360"/>
      </w:pPr>
    </w:lvl>
    <w:lvl w:ilvl="1">
      <w:start w:val="1"/>
      <w:numFmt w:val="decimal"/>
      <w:isLgl/>
      <w:lvlText w:val="%1.%2"/>
      <w:lvlJc w:val="left"/>
      <w:pPr>
        <w:ind w:left="1212" w:hanging="420"/>
      </w:pPr>
      <w:rPr>
        <w:rFonts w:hint="default"/>
        <w:b/>
      </w:rPr>
    </w:lvl>
    <w:lvl w:ilvl="2">
      <w:start w:val="1"/>
      <w:numFmt w:val="decimal"/>
      <w:isLgl/>
      <w:lvlText w:val="%1.%2.%3"/>
      <w:lvlJc w:val="left"/>
      <w:pPr>
        <w:ind w:left="1944" w:hanging="720"/>
      </w:pPr>
      <w:rPr>
        <w:rFonts w:hint="default"/>
        <w:b/>
        <w:sz w:val="22"/>
        <w:szCs w:val="22"/>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27" w15:restartNumberingAfterBreak="0">
    <w:nsid w:val="4ABA0895"/>
    <w:multiLevelType w:val="hybridMultilevel"/>
    <w:tmpl w:val="DD28ED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4AF37FE1"/>
    <w:multiLevelType w:val="hybridMultilevel"/>
    <w:tmpl w:val="A07AEEA0"/>
    <w:lvl w:ilvl="0" w:tplc="FE824890">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4B5668EB"/>
    <w:multiLevelType w:val="hybridMultilevel"/>
    <w:tmpl w:val="EE140D1C"/>
    <w:lvl w:ilvl="0" w:tplc="69822530">
      <w:start w:val="1"/>
      <w:numFmt w:val="lowerLetter"/>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500B72BE"/>
    <w:multiLevelType w:val="hybridMultilevel"/>
    <w:tmpl w:val="6EAC470C"/>
    <w:lvl w:ilvl="0" w:tplc="30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DB525B"/>
    <w:multiLevelType w:val="hybridMultilevel"/>
    <w:tmpl w:val="8B3E69EE"/>
    <w:lvl w:ilvl="0" w:tplc="300A0001">
      <w:start w:val="1"/>
      <w:numFmt w:val="bullet"/>
      <w:lvlText w:val=""/>
      <w:lvlJc w:val="left"/>
      <w:pPr>
        <w:ind w:left="720" w:hanging="360"/>
      </w:pPr>
      <w:rPr>
        <w:rFonts w:ascii="Symbol" w:hAnsi="Symbol" w:hint="default"/>
      </w:rPr>
    </w:lvl>
    <w:lvl w:ilvl="1" w:tplc="3D844C54">
      <w:start w:val="1"/>
      <w:numFmt w:val="bullet"/>
      <w:lvlText w:val="o"/>
      <w:lvlJc w:val="left"/>
      <w:pPr>
        <w:ind w:left="1440" w:hanging="360"/>
      </w:pPr>
      <w:rPr>
        <w:rFonts w:ascii="Courier New" w:hAnsi="Courier New" w:cs="Courier New" w:hint="default"/>
        <w:strike w:val="0"/>
        <w:color w:val="auto"/>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54B2686D"/>
    <w:multiLevelType w:val="hybridMultilevel"/>
    <w:tmpl w:val="9864A7F6"/>
    <w:lvl w:ilvl="0" w:tplc="2468F37C">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5EEB31CD"/>
    <w:multiLevelType w:val="hybridMultilevel"/>
    <w:tmpl w:val="62FE0E4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5FFA3993"/>
    <w:multiLevelType w:val="hybridMultilevel"/>
    <w:tmpl w:val="DCDC8D4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5" w15:restartNumberingAfterBreak="0">
    <w:nsid w:val="65A06AD9"/>
    <w:multiLevelType w:val="hybridMultilevel"/>
    <w:tmpl w:val="2FECBC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705A0C01"/>
    <w:multiLevelType w:val="hybridMultilevel"/>
    <w:tmpl w:val="7346C9C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72920B3B"/>
    <w:multiLevelType w:val="hybridMultilevel"/>
    <w:tmpl w:val="814A78E0"/>
    <w:lvl w:ilvl="0" w:tplc="04090003">
      <w:start w:val="1"/>
      <w:numFmt w:val="bullet"/>
      <w:lvlText w:val="o"/>
      <w:lvlJc w:val="left"/>
      <w:pPr>
        <w:ind w:left="1213" w:hanging="360"/>
      </w:pPr>
      <w:rPr>
        <w:rFonts w:ascii="Courier New" w:hAnsi="Courier New" w:cs="Courier New"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38" w15:restartNumberingAfterBreak="0">
    <w:nsid w:val="73361EDC"/>
    <w:multiLevelType w:val="hybridMultilevel"/>
    <w:tmpl w:val="1B70E8DE"/>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9" w15:restartNumberingAfterBreak="0">
    <w:nsid w:val="7FDD0878"/>
    <w:multiLevelType w:val="hybridMultilevel"/>
    <w:tmpl w:val="4940B1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8"/>
  </w:num>
  <w:num w:numId="4">
    <w:abstractNumId w:val="29"/>
  </w:num>
  <w:num w:numId="5">
    <w:abstractNumId w:val="9"/>
  </w:num>
  <w:num w:numId="6">
    <w:abstractNumId w:val="5"/>
  </w:num>
  <w:num w:numId="7">
    <w:abstractNumId w:val="38"/>
  </w:num>
  <w:num w:numId="8">
    <w:abstractNumId w:val="6"/>
  </w:num>
  <w:num w:numId="9">
    <w:abstractNumId w:val="1"/>
  </w:num>
  <w:num w:numId="10">
    <w:abstractNumId w:val="37"/>
  </w:num>
  <w:num w:numId="11">
    <w:abstractNumId w:val="0"/>
  </w:num>
  <w:num w:numId="12">
    <w:abstractNumId w:val="31"/>
  </w:num>
  <w:num w:numId="13">
    <w:abstractNumId w:val="20"/>
  </w:num>
  <w:num w:numId="14">
    <w:abstractNumId w:val="23"/>
  </w:num>
  <w:num w:numId="15">
    <w:abstractNumId w:val="30"/>
  </w:num>
  <w:num w:numId="16">
    <w:abstractNumId w:val="3"/>
  </w:num>
  <w:num w:numId="17">
    <w:abstractNumId w:val="12"/>
  </w:num>
  <w:num w:numId="18">
    <w:abstractNumId w:val="27"/>
  </w:num>
  <w:num w:numId="19">
    <w:abstractNumId w:val="8"/>
  </w:num>
  <w:num w:numId="20">
    <w:abstractNumId w:val="35"/>
  </w:num>
  <w:num w:numId="21">
    <w:abstractNumId w:val="25"/>
  </w:num>
  <w:num w:numId="22">
    <w:abstractNumId w:val="21"/>
  </w:num>
  <w:num w:numId="23">
    <w:abstractNumId w:val="14"/>
  </w:num>
  <w:num w:numId="24">
    <w:abstractNumId w:val="18"/>
  </w:num>
  <w:num w:numId="25">
    <w:abstractNumId w:val="13"/>
  </w:num>
  <w:num w:numId="26">
    <w:abstractNumId w:val="22"/>
  </w:num>
  <w:num w:numId="27">
    <w:abstractNumId w:val="4"/>
  </w:num>
  <w:num w:numId="28">
    <w:abstractNumId w:val="19"/>
  </w:num>
  <w:num w:numId="29">
    <w:abstractNumId w:val="26"/>
  </w:num>
  <w:num w:numId="30">
    <w:abstractNumId w:val="10"/>
  </w:num>
  <w:num w:numId="31">
    <w:abstractNumId w:val="17"/>
  </w:num>
  <w:num w:numId="32">
    <w:abstractNumId w:val="39"/>
  </w:num>
  <w:num w:numId="33">
    <w:abstractNumId w:val="16"/>
  </w:num>
  <w:num w:numId="34">
    <w:abstractNumId w:val="34"/>
  </w:num>
  <w:num w:numId="35">
    <w:abstractNumId w:val="33"/>
  </w:num>
  <w:num w:numId="36">
    <w:abstractNumId w:val="32"/>
  </w:num>
  <w:num w:numId="37">
    <w:abstractNumId w:val="11"/>
  </w:num>
  <w:num w:numId="38">
    <w:abstractNumId w:val="15"/>
  </w:num>
  <w:num w:numId="39">
    <w:abstractNumId w:val="24"/>
  </w:num>
  <w:num w:numId="40">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AC"/>
    <w:rsid w:val="00000BC4"/>
    <w:rsid w:val="000048EF"/>
    <w:rsid w:val="00004F8D"/>
    <w:rsid w:val="00005C33"/>
    <w:rsid w:val="00005F4A"/>
    <w:rsid w:val="00006A4F"/>
    <w:rsid w:val="00007657"/>
    <w:rsid w:val="00011721"/>
    <w:rsid w:val="00012CB2"/>
    <w:rsid w:val="00014A95"/>
    <w:rsid w:val="0001656C"/>
    <w:rsid w:val="00016CBB"/>
    <w:rsid w:val="000208D0"/>
    <w:rsid w:val="00021BA4"/>
    <w:rsid w:val="0003197E"/>
    <w:rsid w:val="000325D1"/>
    <w:rsid w:val="00037320"/>
    <w:rsid w:val="00037D8C"/>
    <w:rsid w:val="00040B69"/>
    <w:rsid w:val="00042024"/>
    <w:rsid w:val="000455A5"/>
    <w:rsid w:val="00046B65"/>
    <w:rsid w:val="00046E39"/>
    <w:rsid w:val="00047DC3"/>
    <w:rsid w:val="00050140"/>
    <w:rsid w:val="00050B7D"/>
    <w:rsid w:val="00050D04"/>
    <w:rsid w:val="00051DF9"/>
    <w:rsid w:val="000521AB"/>
    <w:rsid w:val="00053466"/>
    <w:rsid w:val="00056068"/>
    <w:rsid w:val="000609AA"/>
    <w:rsid w:val="00062294"/>
    <w:rsid w:val="00065F10"/>
    <w:rsid w:val="00066671"/>
    <w:rsid w:val="00066B75"/>
    <w:rsid w:val="00066DD7"/>
    <w:rsid w:val="00070D04"/>
    <w:rsid w:val="00072E0E"/>
    <w:rsid w:val="00074594"/>
    <w:rsid w:val="00075715"/>
    <w:rsid w:val="00075F61"/>
    <w:rsid w:val="0007610A"/>
    <w:rsid w:val="00076BD6"/>
    <w:rsid w:val="0007759D"/>
    <w:rsid w:val="00083F44"/>
    <w:rsid w:val="00086F4B"/>
    <w:rsid w:val="00086FE3"/>
    <w:rsid w:val="000958BB"/>
    <w:rsid w:val="00096029"/>
    <w:rsid w:val="000A0AE4"/>
    <w:rsid w:val="000A0BA0"/>
    <w:rsid w:val="000A399D"/>
    <w:rsid w:val="000A3F41"/>
    <w:rsid w:val="000A5343"/>
    <w:rsid w:val="000A5B97"/>
    <w:rsid w:val="000A6A9A"/>
    <w:rsid w:val="000B0CB6"/>
    <w:rsid w:val="000B3C30"/>
    <w:rsid w:val="000B467F"/>
    <w:rsid w:val="000B7FFC"/>
    <w:rsid w:val="000C061D"/>
    <w:rsid w:val="000C2AAD"/>
    <w:rsid w:val="000C31CB"/>
    <w:rsid w:val="000C3F63"/>
    <w:rsid w:val="000C4A27"/>
    <w:rsid w:val="000C546A"/>
    <w:rsid w:val="000C649C"/>
    <w:rsid w:val="000D175E"/>
    <w:rsid w:val="000D6808"/>
    <w:rsid w:val="000D7424"/>
    <w:rsid w:val="000E07D0"/>
    <w:rsid w:val="000E0854"/>
    <w:rsid w:val="000E2937"/>
    <w:rsid w:val="000E5462"/>
    <w:rsid w:val="000E67E5"/>
    <w:rsid w:val="000E6D54"/>
    <w:rsid w:val="000E7F59"/>
    <w:rsid w:val="000F1309"/>
    <w:rsid w:val="000F1B9F"/>
    <w:rsid w:val="000F38B7"/>
    <w:rsid w:val="00100C34"/>
    <w:rsid w:val="00101021"/>
    <w:rsid w:val="00103C4B"/>
    <w:rsid w:val="0010456A"/>
    <w:rsid w:val="00104BAA"/>
    <w:rsid w:val="00104CBD"/>
    <w:rsid w:val="00111DA9"/>
    <w:rsid w:val="001127EC"/>
    <w:rsid w:val="00116C1D"/>
    <w:rsid w:val="0012274B"/>
    <w:rsid w:val="00123FE0"/>
    <w:rsid w:val="001254C1"/>
    <w:rsid w:val="0013303B"/>
    <w:rsid w:val="00133534"/>
    <w:rsid w:val="00134849"/>
    <w:rsid w:val="001364F5"/>
    <w:rsid w:val="00137188"/>
    <w:rsid w:val="00137191"/>
    <w:rsid w:val="00137703"/>
    <w:rsid w:val="00137D9E"/>
    <w:rsid w:val="001416CF"/>
    <w:rsid w:val="00142C1D"/>
    <w:rsid w:val="00142C5C"/>
    <w:rsid w:val="00146A84"/>
    <w:rsid w:val="00147F25"/>
    <w:rsid w:val="00150221"/>
    <w:rsid w:val="00150BF2"/>
    <w:rsid w:val="00161793"/>
    <w:rsid w:val="00162B1A"/>
    <w:rsid w:val="00163629"/>
    <w:rsid w:val="00164140"/>
    <w:rsid w:val="00164EA6"/>
    <w:rsid w:val="0016722A"/>
    <w:rsid w:val="00173225"/>
    <w:rsid w:val="00174388"/>
    <w:rsid w:val="001758F7"/>
    <w:rsid w:val="00181CC5"/>
    <w:rsid w:val="00183D48"/>
    <w:rsid w:val="00184EE8"/>
    <w:rsid w:val="00187310"/>
    <w:rsid w:val="00190D70"/>
    <w:rsid w:val="00194148"/>
    <w:rsid w:val="00196E6D"/>
    <w:rsid w:val="00197C7E"/>
    <w:rsid w:val="001A0892"/>
    <w:rsid w:val="001A2122"/>
    <w:rsid w:val="001A400B"/>
    <w:rsid w:val="001A5112"/>
    <w:rsid w:val="001A629F"/>
    <w:rsid w:val="001A6F6E"/>
    <w:rsid w:val="001B3BDE"/>
    <w:rsid w:val="001B6202"/>
    <w:rsid w:val="001B665C"/>
    <w:rsid w:val="001B74E0"/>
    <w:rsid w:val="001C1634"/>
    <w:rsid w:val="001C2B05"/>
    <w:rsid w:val="001C5446"/>
    <w:rsid w:val="001C7AE0"/>
    <w:rsid w:val="001D1416"/>
    <w:rsid w:val="001D30A7"/>
    <w:rsid w:val="001D54DE"/>
    <w:rsid w:val="001D5DEB"/>
    <w:rsid w:val="001E26E2"/>
    <w:rsid w:val="001E5C31"/>
    <w:rsid w:val="001E763D"/>
    <w:rsid w:val="001E7F4B"/>
    <w:rsid w:val="001E7FE9"/>
    <w:rsid w:val="001F1144"/>
    <w:rsid w:val="001F2610"/>
    <w:rsid w:val="001F27E7"/>
    <w:rsid w:val="001F3E1B"/>
    <w:rsid w:val="001F5BCA"/>
    <w:rsid w:val="00201BD5"/>
    <w:rsid w:val="00203B6B"/>
    <w:rsid w:val="00207D00"/>
    <w:rsid w:val="002102DC"/>
    <w:rsid w:val="002104B8"/>
    <w:rsid w:val="00211A33"/>
    <w:rsid w:val="00211F0D"/>
    <w:rsid w:val="00213925"/>
    <w:rsid w:val="00216068"/>
    <w:rsid w:val="002208C2"/>
    <w:rsid w:val="00223AA2"/>
    <w:rsid w:val="00224C69"/>
    <w:rsid w:val="00230FE7"/>
    <w:rsid w:val="002328B1"/>
    <w:rsid w:val="00233195"/>
    <w:rsid w:val="00233A5E"/>
    <w:rsid w:val="00234AB2"/>
    <w:rsid w:val="002351A0"/>
    <w:rsid w:val="002351AF"/>
    <w:rsid w:val="00235940"/>
    <w:rsid w:val="00241406"/>
    <w:rsid w:val="00243236"/>
    <w:rsid w:val="00245799"/>
    <w:rsid w:val="00245805"/>
    <w:rsid w:val="00245D50"/>
    <w:rsid w:val="00247239"/>
    <w:rsid w:val="002510AE"/>
    <w:rsid w:val="0025483C"/>
    <w:rsid w:val="00254944"/>
    <w:rsid w:val="002558F0"/>
    <w:rsid w:val="0025607C"/>
    <w:rsid w:val="00260315"/>
    <w:rsid w:val="00260E7A"/>
    <w:rsid w:val="002616EE"/>
    <w:rsid w:val="00263094"/>
    <w:rsid w:val="00264EBE"/>
    <w:rsid w:val="00266CE7"/>
    <w:rsid w:val="00272D6E"/>
    <w:rsid w:val="0027303D"/>
    <w:rsid w:val="00273247"/>
    <w:rsid w:val="00273EC4"/>
    <w:rsid w:val="002750D2"/>
    <w:rsid w:val="002753BE"/>
    <w:rsid w:val="00275672"/>
    <w:rsid w:val="00275D64"/>
    <w:rsid w:val="00276B2B"/>
    <w:rsid w:val="00281887"/>
    <w:rsid w:val="00282AE3"/>
    <w:rsid w:val="00284E6A"/>
    <w:rsid w:val="00293138"/>
    <w:rsid w:val="00293163"/>
    <w:rsid w:val="0029374D"/>
    <w:rsid w:val="0029614F"/>
    <w:rsid w:val="00297280"/>
    <w:rsid w:val="002A132B"/>
    <w:rsid w:val="002A2211"/>
    <w:rsid w:val="002A2B9F"/>
    <w:rsid w:val="002A4924"/>
    <w:rsid w:val="002A516D"/>
    <w:rsid w:val="002A5AE5"/>
    <w:rsid w:val="002A63E3"/>
    <w:rsid w:val="002A7E90"/>
    <w:rsid w:val="002B208F"/>
    <w:rsid w:val="002B21BC"/>
    <w:rsid w:val="002B52DC"/>
    <w:rsid w:val="002B7291"/>
    <w:rsid w:val="002C1104"/>
    <w:rsid w:val="002C346B"/>
    <w:rsid w:val="002C5002"/>
    <w:rsid w:val="002C5884"/>
    <w:rsid w:val="002C5DB6"/>
    <w:rsid w:val="002C6D48"/>
    <w:rsid w:val="002D09A1"/>
    <w:rsid w:val="002D0FD2"/>
    <w:rsid w:val="002D3856"/>
    <w:rsid w:val="002D490A"/>
    <w:rsid w:val="002D5833"/>
    <w:rsid w:val="002D6FB3"/>
    <w:rsid w:val="002D70CA"/>
    <w:rsid w:val="002D7E26"/>
    <w:rsid w:val="002E23F0"/>
    <w:rsid w:val="002E4476"/>
    <w:rsid w:val="002E468E"/>
    <w:rsid w:val="002F1857"/>
    <w:rsid w:val="002F2C49"/>
    <w:rsid w:val="002F2E5B"/>
    <w:rsid w:val="002F359B"/>
    <w:rsid w:val="002F370C"/>
    <w:rsid w:val="002F63D2"/>
    <w:rsid w:val="00300F18"/>
    <w:rsid w:val="00311B39"/>
    <w:rsid w:val="003123A1"/>
    <w:rsid w:val="00320DF3"/>
    <w:rsid w:val="00323885"/>
    <w:rsid w:val="00324C02"/>
    <w:rsid w:val="0032531E"/>
    <w:rsid w:val="00327C20"/>
    <w:rsid w:val="0033014F"/>
    <w:rsid w:val="003320D4"/>
    <w:rsid w:val="00333B44"/>
    <w:rsid w:val="003360C8"/>
    <w:rsid w:val="00336A60"/>
    <w:rsid w:val="00336B36"/>
    <w:rsid w:val="00337FDA"/>
    <w:rsid w:val="00340C71"/>
    <w:rsid w:val="003415C0"/>
    <w:rsid w:val="00341778"/>
    <w:rsid w:val="003427B2"/>
    <w:rsid w:val="00346EA6"/>
    <w:rsid w:val="003503E7"/>
    <w:rsid w:val="00352F8C"/>
    <w:rsid w:val="00353294"/>
    <w:rsid w:val="00354181"/>
    <w:rsid w:val="00356588"/>
    <w:rsid w:val="00363424"/>
    <w:rsid w:val="00364056"/>
    <w:rsid w:val="00370715"/>
    <w:rsid w:val="00370AB5"/>
    <w:rsid w:val="003717FB"/>
    <w:rsid w:val="00371A83"/>
    <w:rsid w:val="00372ABA"/>
    <w:rsid w:val="00375C0C"/>
    <w:rsid w:val="00375CEA"/>
    <w:rsid w:val="00380B07"/>
    <w:rsid w:val="00382553"/>
    <w:rsid w:val="00382782"/>
    <w:rsid w:val="00386F88"/>
    <w:rsid w:val="00390235"/>
    <w:rsid w:val="00390DFD"/>
    <w:rsid w:val="00390E87"/>
    <w:rsid w:val="00391B47"/>
    <w:rsid w:val="0039444A"/>
    <w:rsid w:val="00396473"/>
    <w:rsid w:val="003A1A15"/>
    <w:rsid w:val="003B3DB6"/>
    <w:rsid w:val="003B46BB"/>
    <w:rsid w:val="003B4DE3"/>
    <w:rsid w:val="003B51E7"/>
    <w:rsid w:val="003B6891"/>
    <w:rsid w:val="003B6CCE"/>
    <w:rsid w:val="003C1C8B"/>
    <w:rsid w:val="003C26C8"/>
    <w:rsid w:val="003C3C54"/>
    <w:rsid w:val="003C3FE5"/>
    <w:rsid w:val="003D019E"/>
    <w:rsid w:val="003D1FAE"/>
    <w:rsid w:val="003D5B53"/>
    <w:rsid w:val="003D631D"/>
    <w:rsid w:val="003E17DE"/>
    <w:rsid w:val="003E1A03"/>
    <w:rsid w:val="003E1EC2"/>
    <w:rsid w:val="003E5D3A"/>
    <w:rsid w:val="003E75A4"/>
    <w:rsid w:val="003F12F4"/>
    <w:rsid w:val="003F21A0"/>
    <w:rsid w:val="003F4C39"/>
    <w:rsid w:val="003F566B"/>
    <w:rsid w:val="003F57C4"/>
    <w:rsid w:val="003F5916"/>
    <w:rsid w:val="003F5D43"/>
    <w:rsid w:val="003F7371"/>
    <w:rsid w:val="00401F4B"/>
    <w:rsid w:val="00402359"/>
    <w:rsid w:val="00402F34"/>
    <w:rsid w:val="00404843"/>
    <w:rsid w:val="004048DE"/>
    <w:rsid w:val="0040685C"/>
    <w:rsid w:val="004075AF"/>
    <w:rsid w:val="00407855"/>
    <w:rsid w:val="004113EF"/>
    <w:rsid w:val="004119E0"/>
    <w:rsid w:val="00420AB5"/>
    <w:rsid w:val="004223AB"/>
    <w:rsid w:val="004240D5"/>
    <w:rsid w:val="00434800"/>
    <w:rsid w:val="004362DE"/>
    <w:rsid w:val="00442A1A"/>
    <w:rsid w:val="004437BB"/>
    <w:rsid w:val="00454472"/>
    <w:rsid w:val="00454E09"/>
    <w:rsid w:val="004565C3"/>
    <w:rsid w:val="00456AC8"/>
    <w:rsid w:val="00456D9E"/>
    <w:rsid w:val="00457B52"/>
    <w:rsid w:val="004603F2"/>
    <w:rsid w:val="004626C7"/>
    <w:rsid w:val="00467723"/>
    <w:rsid w:val="0047224A"/>
    <w:rsid w:val="004809C2"/>
    <w:rsid w:val="00485379"/>
    <w:rsid w:val="00485C00"/>
    <w:rsid w:val="00486B19"/>
    <w:rsid w:val="004878B9"/>
    <w:rsid w:val="00491993"/>
    <w:rsid w:val="00491E14"/>
    <w:rsid w:val="00492B40"/>
    <w:rsid w:val="00493B45"/>
    <w:rsid w:val="00494752"/>
    <w:rsid w:val="00494CC1"/>
    <w:rsid w:val="00494F31"/>
    <w:rsid w:val="00495AB6"/>
    <w:rsid w:val="00496C22"/>
    <w:rsid w:val="004A11F1"/>
    <w:rsid w:val="004A3F7A"/>
    <w:rsid w:val="004A46C8"/>
    <w:rsid w:val="004A6E17"/>
    <w:rsid w:val="004A7C31"/>
    <w:rsid w:val="004B1411"/>
    <w:rsid w:val="004B1BE1"/>
    <w:rsid w:val="004B2852"/>
    <w:rsid w:val="004B3721"/>
    <w:rsid w:val="004B4F61"/>
    <w:rsid w:val="004B50C2"/>
    <w:rsid w:val="004C10F9"/>
    <w:rsid w:val="004C5671"/>
    <w:rsid w:val="004D0382"/>
    <w:rsid w:val="004D0ECA"/>
    <w:rsid w:val="004D0F26"/>
    <w:rsid w:val="004D2B65"/>
    <w:rsid w:val="004D30EF"/>
    <w:rsid w:val="004D3A37"/>
    <w:rsid w:val="004D3AA5"/>
    <w:rsid w:val="004D4021"/>
    <w:rsid w:val="004D4455"/>
    <w:rsid w:val="004D4B90"/>
    <w:rsid w:val="004D5C45"/>
    <w:rsid w:val="004D6D18"/>
    <w:rsid w:val="004E0487"/>
    <w:rsid w:val="004E3562"/>
    <w:rsid w:val="004E7006"/>
    <w:rsid w:val="004F1522"/>
    <w:rsid w:val="004F2A77"/>
    <w:rsid w:val="004F3498"/>
    <w:rsid w:val="004F3514"/>
    <w:rsid w:val="004F427C"/>
    <w:rsid w:val="004F42B6"/>
    <w:rsid w:val="004F629E"/>
    <w:rsid w:val="004F6CD9"/>
    <w:rsid w:val="004F759F"/>
    <w:rsid w:val="004F76AD"/>
    <w:rsid w:val="00501626"/>
    <w:rsid w:val="00501B17"/>
    <w:rsid w:val="005059BA"/>
    <w:rsid w:val="00506FD7"/>
    <w:rsid w:val="005075CC"/>
    <w:rsid w:val="00510073"/>
    <w:rsid w:val="00511A89"/>
    <w:rsid w:val="00511CA0"/>
    <w:rsid w:val="005152A9"/>
    <w:rsid w:val="00515A02"/>
    <w:rsid w:val="0051759A"/>
    <w:rsid w:val="00521EB5"/>
    <w:rsid w:val="00522210"/>
    <w:rsid w:val="00522288"/>
    <w:rsid w:val="00522CA9"/>
    <w:rsid w:val="00523EC8"/>
    <w:rsid w:val="005279A8"/>
    <w:rsid w:val="00531355"/>
    <w:rsid w:val="00535E56"/>
    <w:rsid w:val="00540ADF"/>
    <w:rsid w:val="0055066D"/>
    <w:rsid w:val="005539A7"/>
    <w:rsid w:val="005548DD"/>
    <w:rsid w:val="005607E7"/>
    <w:rsid w:val="00564069"/>
    <w:rsid w:val="005659B0"/>
    <w:rsid w:val="00566B01"/>
    <w:rsid w:val="00574FA2"/>
    <w:rsid w:val="00575F96"/>
    <w:rsid w:val="005769B6"/>
    <w:rsid w:val="005771A2"/>
    <w:rsid w:val="005776B5"/>
    <w:rsid w:val="00577E11"/>
    <w:rsid w:val="00581353"/>
    <w:rsid w:val="0058136E"/>
    <w:rsid w:val="00581CD4"/>
    <w:rsid w:val="0058313E"/>
    <w:rsid w:val="005851FF"/>
    <w:rsid w:val="005917AD"/>
    <w:rsid w:val="0059436C"/>
    <w:rsid w:val="00597267"/>
    <w:rsid w:val="005A0F7C"/>
    <w:rsid w:val="005A1B31"/>
    <w:rsid w:val="005A1F3A"/>
    <w:rsid w:val="005A2698"/>
    <w:rsid w:val="005A3BBE"/>
    <w:rsid w:val="005A4F85"/>
    <w:rsid w:val="005A53F2"/>
    <w:rsid w:val="005A5D33"/>
    <w:rsid w:val="005A6587"/>
    <w:rsid w:val="005A7965"/>
    <w:rsid w:val="005B178B"/>
    <w:rsid w:val="005B1C7F"/>
    <w:rsid w:val="005B2E30"/>
    <w:rsid w:val="005B3FED"/>
    <w:rsid w:val="005C16EF"/>
    <w:rsid w:val="005C25B7"/>
    <w:rsid w:val="005C34B6"/>
    <w:rsid w:val="005C71BE"/>
    <w:rsid w:val="005D0791"/>
    <w:rsid w:val="005D180E"/>
    <w:rsid w:val="005D262E"/>
    <w:rsid w:val="005D27EA"/>
    <w:rsid w:val="005D30FB"/>
    <w:rsid w:val="005D3116"/>
    <w:rsid w:val="005D554A"/>
    <w:rsid w:val="005D6233"/>
    <w:rsid w:val="005D6E1D"/>
    <w:rsid w:val="005D7E2E"/>
    <w:rsid w:val="005E055F"/>
    <w:rsid w:val="005E23B5"/>
    <w:rsid w:val="005E37BD"/>
    <w:rsid w:val="005E3D72"/>
    <w:rsid w:val="005F1594"/>
    <w:rsid w:val="005F26B9"/>
    <w:rsid w:val="0060020A"/>
    <w:rsid w:val="00601A35"/>
    <w:rsid w:val="0060486B"/>
    <w:rsid w:val="00611C43"/>
    <w:rsid w:val="0061333F"/>
    <w:rsid w:val="00615136"/>
    <w:rsid w:val="00616600"/>
    <w:rsid w:val="006219B4"/>
    <w:rsid w:val="0062273F"/>
    <w:rsid w:val="006259A4"/>
    <w:rsid w:val="0063125A"/>
    <w:rsid w:val="00632EF9"/>
    <w:rsid w:val="00636962"/>
    <w:rsid w:val="00637B39"/>
    <w:rsid w:val="00643E5E"/>
    <w:rsid w:val="00647ECF"/>
    <w:rsid w:val="00652392"/>
    <w:rsid w:val="006535D9"/>
    <w:rsid w:val="0065404A"/>
    <w:rsid w:val="00654990"/>
    <w:rsid w:val="00654BFB"/>
    <w:rsid w:val="006555A5"/>
    <w:rsid w:val="006605E4"/>
    <w:rsid w:val="0066148B"/>
    <w:rsid w:val="0066184F"/>
    <w:rsid w:val="0066221C"/>
    <w:rsid w:val="0066563B"/>
    <w:rsid w:val="00666B2B"/>
    <w:rsid w:val="00667628"/>
    <w:rsid w:val="006676CA"/>
    <w:rsid w:val="006704E4"/>
    <w:rsid w:val="00670B13"/>
    <w:rsid w:val="00671FD2"/>
    <w:rsid w:val="00677824"/>
    <w:rsid w:val="00680C7F"/>
    <w:rsid w:val="00682F51"/>
    <w:rsid w:val="0068333B"/>
    <w:rsid w:val="00685438"/>
    <w:rsid w:val="00686445"/>
    <w:rsid w:val="00696132"/>
    <w:rsid w:val="006A0D6F"/>
    <w:rsid w:val="006A2E37"/>
    <w:rsid w:val="006A524D"/>
    <w:rsid w:val="006B1B5A"/>
    <w:rsid w:val="006B6E10"/>
    <w:rsid w:val="006C1500"/>
    <w:rsid w:val="006C17E8"/>
    <w:rsid w:val="006C252F"/>
    <w:rsid w:val="006C2BDC"/>
    <w:rsid w:val="006C3295"/>
    <w:rsid w:val="006C3BF9"/>
    <w:rsid w:val="006C54E5"/>
    <w:rsid w:val="006D2B79"/>
    <w:rsid w:val="006D487C"/>
    <w:rsid w:val="006D4E85"/>
    <w:rsid w:val="006D506B"/>
    <w:rsid w:val="006E2F77"/>
    <w:rsid w:val="006E45D2"/>
    <w:rsid w:val="006E5B75"/>
    <w:rsid w:val="006E7CB4"/>
    <w:rsid w:val="006F1300"/>
    <w:rsid w:val="007009AC"/>
    <w:rsid w:val="00700ADC"/>
    <w:rsid w:val="00702468"/>
    <w:rsid w:val="00703CEC"/>
    <w:rsid w:val="00703E2E"/>
    <w:rsid w:val="007055EA"/>
    <w:rsid w:val="00705EBB"/>
    <w:rsid w:val="00710236"/>
    <w:rsid w:val="00712475"/>
    <w:rsid w:val="007128FB"/>
    <w:rsid w:val="00717859"/>
    <w:rsid w:val="00723C73"/>
    <w:rsid w:val="0072449E"/>
    <w:rsid w:val="0072520B"/>
    <w:rsid w:val="007263F5"/>
    <w:rsid w:val="00727F63"/>
    <w:rsid w:val="00731C13"/>
    <w:rsid w:val="00735C86"/>
    <w:rsid w:val="007377C4"/>
    <w:rsid w:val="0074270C"/>
    <w:rsid w:val="00742BF5"/>
    <w:rsid w:val="0074687E"/>
    <w:rsid w:val="007500D3"/>
    <w:rsid w:val="00751536"/>
    <w:rsid w:val="00751919"/>
    <w:rsid w:val="00755842"/>
    <w:rsid w:val="007574EE"/>
    <w:rsid w:val="00760B5D"/>
    <w:rsid w:val="00760BA6"/>
    <w:rsid w:val="007617EF"/>
    <w:rsid w:val="00761B7F"/>
    <w:rsid w:val="00761FFE"/>
    <w:rsid w:val="00762F8C"/>
    <w:rsid w:val="00764F4E"/>
    <w:rsid w:val="00765E14"/>
    <w:rsid w:val="0077083C"/>
    <w:rsid w:val="00772C3C"/>
    <w:rsid w:val="00773489"/>
    <w:rsid w:val="007764D2"/>
    <w:rsid w:val="00776C95"/>
    <w:rsid w:val="00777E9E"/>
    <w:rsid w:val="00781426"/>
    <w:rsid w:val="00783A3D"/>
    <w:rsid w:val="00784D27"/>
    <w:rsid w:val="00785050"/>
    <w:rsid w:val="00786161"/>
    <w:rsid w:val="00791EFC"/>
    <w:rsid w:val="00793A41"/>
    <w:rsid w:val="00794152"/>
    <w:rsid w:val="00794786"/>
    <w:rsid w:val="00794C01"/>
    <w:rsid w:val="00795E14"/>
    <w:rsid w:val="0079621B"/>
    <w:rsid w:val="0079718F"/>
    <w:rsid w:val="00797ABA"/>
    <w:rsid w:val="00797D65"/>
    <w:rsid w:val="007A0689"/>
    <w:rsid w:val="007A1161"/>
    <w:rsid w:val="007A2C21"/>
    <w:rsid w:val="007A6A87"/>
    <w:rsid w:val="007A6DB8"/>
    <w:rsid w:val="007A7C8E"/>
    <w:rsid w:val="007B0815"/>
    <w:rsid w:val="007B1D17"/>
    <w:rsid w:val="007B2B84"/>
    <w:rsid w:val="007B2EA3"/>
    <w:rsid w:val="007B56C3"/>
    <w:rsid w:val="007B72D2"/>
    <w:rsid w:val="007C28A1"/>
    <w:rsid w:val="007C4416"/>
    <w:rsid w:val="007C494E"/>
    <w:rsid w:val="007C594F"/>
    <w:rsid w:val="007C6028"/>
    <w:rsid w:val="007C77C4"/>
    <w:rsid w:val="007D01B6"/>
    <w:rsid w:val="007D0E57"/>
    <w:rsid w:val="007D250C"/>
    <w:rsid w:val="007D290F"/>
    <w:rsid w:val="007D370F"/>
    <w:rsid w:val="007D4393"/>
    <w:rsid w:val="007D4872"/>
    <w:rsid w:val="007D4C1A"/>
    <w:rsid w:val="007E1B1F"/>
    <w:rsid w:val="007E3182"/>
    <w:rsid w:val="007E4AFE"/>
    <w:rsid w:val="007E64D1"/>
    <w:rsid w:val="007F1930"/>
    <w:rsid w:val="007F3190"/>
    <w:rsid w:val="007F7210"/>
    <w:rsid w:val="007F7C54"/>
    <w:rsid w:val="00802A62"/>
    <w:rsid w:val="00802F99"/>
    <w:rsid w:val="00804DBD"/>
    <w:rsid w:val="0080546F"/>
    <w:rsid w:val="00806605"/>
    <w:rsid w:val="008070F1"/>
    <w:rsid w:val="0081146A"/>
    <w:rsid w:val="00811974"/>
    <w:rsid w:val="00811977"/>
    <w:rsid w:val="0081371F"/>
    <w:rsid w:val="00814C78"/>
    <w:rsid w:val="00814FA4"/>
    <w:rsid w:val="00816C05"/>
    <w:rsid w:val="00825837"/>
    <w:rsid w:val="00826517"/>
    <w:rsid w:val="00833131"/>
    <w:rsid w:val="0083507C"/>
    <w:rsid w:val="008374EF"/>
    <w:rsid w:val="00844DF2"/>
    <w:rsid w:val="0085004F"/>
    <w:rsid w:val="0085159C"/>
    <w:rsid w:val="0085283A"/>
    <w:rsid w:val="00852ED3"/>
    <w:rsid w:val="00856264"/>
    <w:rsid w:val="0085667B"/>
    <w:rsid w:val="008572B3"/>
    <w:rsid w:val="00857584"/>
    <w:rsid w:val="008618AB"/>
    <w:rsid w:val="00864888"/>
    <w:rsid w:val="00867FEF"/>
    <w:rsid w:val="008706D4"/>
    <w:rsid w:val="00871007"/>
    <w:rsid w:val="00874E0B"/>
    <w:rsid w:val="00875176"/>
    <w:rsid w:val="008755C0"/>
    <w:rsid w:val="00877F5E"/>
    <w:rsid w:val="00883580"/>
    <w:rsid w:val="00883D2D"/>
    <w:rsid w:val="0088550C"/>
    <w:rsid w:val="008868CA"/>
    <w:rsid w:val="00892EF9"/>
    <w:rsid w:val="008932C5"/>
    <w:rsid w:val="00894527"/>
    <w:rsid w:val="00894C01"/>
    <w:rsid w:val="008967D5"/>
    <w:rsid w:val="00896C59"/>
    <w:rsid w:val="008A0766"/>
    <w:rsid w:val="008A1FAF"/>
    <w:rsid w:val="008A3647"/>
    <w:rsid w:val="008A39DD"/>
    <w:rsid w:val="008B02EE"/>
    <w:rsid w:val="008B23DD"/>
    <w:rsid w:val="008B57F2"/>
    <w:rsid w:val="008C01C7"/>
    <w:rsid w:val="008C1084"/>
    <w:rsid w:val="008C1A0E"/>
    <w:rsid w:val="008C6F02"/>
    <w:rsid w:val="008C6F9D"/>
    <w:rsid w:val="008C733C"/>
    <w:rsid w:val="008D0ADD"/>
    <w:rsid w:val="008D1DAA"/>
    <w:rsid w:val="008D36F3"/>
    <w:rsid w:val="008D3739"/>
    <w:rsid w:val="008D6E67"/>
    <w:rsid w:val="008D7B2F"/>
    <w:rsid w:val="008D7F22"/>
    <w:rsid w:val="008E1A13"/>
    <w:rsid w:val="008E279D"/>
    <w:rsid w:val="008E3767"/>
    <w:rsid w:val="008E714F"/>
    <w:rsid w:val="008E7544"/>
    <w:rsid w:val="008F4372"/>
    <w:rsid w:val="008F6B63"/>
    <w:rsid w:val="00900856"/>
    <w:rsid w:val="00903A29"/>
    <w:rsid w:val="00903D5E"/>
    <w:rsid w:val="0090652A"/>
    <w:rsid w:val="00907450"/>
    <w:rsid w:val="00910B80"/>
    <w:rsid w:val="0091228A"/>
    <w:rsid w:val="00917DD9"/>
    <w:rsid w:val="00924F44"/>
    <w:rsid w:val="00925D66"/>
    <w:rsid w:val="00925F29"/>
    <w:rsid w:val="0092690C"/>
    <w:rsid w:val="0093032B"/>
    <w:rsid w:val="009314E6"/>
    <w:rsid w:val="00935169"/>
    <w:rsid w:val="00936F08"/>
    <w:rsid w:val="009417D5"/>
    <w:rsid w:val="00942F8F"/>
    <w:rsid w:val="00947315"/>
    <w:rsid w:val="00952799"/>
    <w:rsid w:val="00953444"/>
    <w:rsid w:val="009550F8"/>
    <w:rsid w:val="009561DC"/>
    <w:rsid w:val="00957DF2"/>
    <w:rsid w:val="0096114C"/>
    <w:rsid w:val="00962F0D"/>
    <w:rsid w:val="00966747"/>
    <w:rsid w:val="009667B3"/>
    <w:rsid w:val="009734E9"/>
    <w:rsid w:val="00973A67"/>
    <w:rsid w:val="009747E1"/>
    <w:rsid w:val="00975E00"/>
    <w:rsid w:val="00977ADF"/>
    <w:rsid w:val="0098091C"/>
    <w:rsid w:val="00984A55"/>
    <w:rsid w:val="00987EC0"/>
    <w:rsid w:val="0099146D"/>
    <w:rsid w:val="009921AB"/>
    <w:rsid w:val="00993F75"/>
    <w:rsid w:val="0099638A"/>
    <w:rsid w:val="00997453"/>
    <w:rsid w:val="009A0604"/>
    <w:rsid w:val="009A0BD3"/>
    <w:rsid w:val="009A130B"/>
    <w:rsid w:val="009A3A3F"/>
    <w:rsid w:val="009A5CBA"/>
    <w:rsid w:val="009A652A"/>
    <w:rsid w:val="009A7DB0"/>
    <w:rsid w:val="009B3441"/>
    <w:rsid w:val="009B365F"/>
    <w:rsid w:val="009B3F4B"/>
    <w:rsid w:val="009B40B1"/>
    <w:rsid w:val="009B59ED"/>
    <w:rsid w:val="009B68A5"/>
    <w:rsid w:val="009B6B4E"/>
    <w:rsid w:val="009C02EE"/>
    <w:rsid w:val="009C0D25"/>
    <w:rsid w:val="009C19AA"/>
    <w:rsid w:val="009C4445"/>
    <w:rsid w:val="009C5C27"/>
    <w:rsid w:val="009C7C7D"/>
    <w:rsid w:val="009D0C19"/>
    <w:rsid w:val="009D16E9"/>
    <w:rsid w:val="009D3AE7"/>
    <w:rsid w:val="009D567E"/>
    <w:rsid w:val="009D6EA4"/>
    <w:rsid w:val="009E1540"/>
    <w:rsid w:val="009E1F5B"/>
    <w:rsid w:val="009E4735"/>
    <w:rsid w:val="009E64F3"/>
    <w:rsid w:val="009E7B3A"/>
    <w:rsid w:val="009F0F30"/>
    <w:rsid w:val="009F1891"/>
    <w:rsid w:val="009F1E37"/>
    <w:rsid w:val="009F26F6"/>
    <w:rsid w:val="009F34F5"/>
    <w:rsid w:val="009F4880"/>
    <w:rsid w:val="009F673F"/>
    <w:rsid w:val="009F682B"/>
    <w:rsid w:val="00A020D1"/>
    <w:rsid w:val="00A04EE9"/>
    <w:rsid w:val="00A06423"/>
    <w:rsid w:val="00A066FD"/>
    <w:rsid w:val="00A1091A"/>
    <w:rsid w:val="00A10C5E"/>
    <w:rsid w:val="00A12976"/>
    <w:rsid w:val="00A133A8"/>
    <w:rsid w:val="00A20ED0"/>
    <w:rsid w:val="00A22B4E"/>
    <w:rsid w:val="00A252D1"/>
    <w:rsid w:val="00A27019"/>
    <w:rsid w:val="00A31DC1"/>
    <w:rsid w:val="00A34EA0"/>
    <w:rsid w:val="00A37C7F"/>
    <w:rsid w:val="00A4139A"/>
    <w:rsid w:val="00A41F4E"/>
    <w:rsid w:val="00A44BE6"/>
    <w:rsid w:val="00A50A16"/>
    <w:rsid w:val="00A52058"/>
    <w:rsid w:val="00A53990"/>
    <w:rsid w:val="00A607A0"/>
    <w:rsid w:val="00A62A2D"/>
    <w:rsid w:val="00A65481"/>
    <w:rsid w:val="00A675BB"/>
    <w:rsid w:val="00A67787"/>
    <w:rsid w:val="00A67850"/>
    <w:rsid w:val="00A71A3A"/>
    <w:rsid w:val="00A76D12"/>
    <w:rsid w:val="00A76D24"/>
    <w:rsid w:val="00A80700"/>
    <w:rsid w:val="00A82070"/>
    <w:rsid w:val="00A85748"/>
    <w:rsid w:val="00A864DF"/>
    <w:rsid w:val="00A87240"/>
    <w:rsid w:val="00A8779D"/>
    <w:rsid w:val="00A923A2"/>
    <w:rsid w:val="00A9400C"/>
    <w:rsid w:val="00A96430"/>
    <w:rsid w:val="00A96ED0"/>
    <w:rsid w:val="00AA024A"/>
    <w:rsid w:val="00AA0D62"/>
    <w:rsid w:val="00AA1146"/>
    <w:rsid w:val="00AA38F8"/>
    <w:rsid w:val="00AA431F"/>
    <w:rsid w:val="00AA5CA9"/>
    <w:rsid w:val="00AA6041"/>
    <w:rsid w:val="00AA663C"/>
    <w:rsid w:val="00AB00EB"/>
    <w:rsid w:val="00AB1A19"/>
    <w:rsid w:val="00AB2B3A"/>
    <w:rsid w:val="00AB5F41"/>
    <w:rsid w:val="00AB62A3"/>
    <w:rsid w:val="00AC02A2"/>
    <w:rsid w:val="00AC107A"/>
    <w:rsid w:val="00AC4A80"/>
    <w:rsid w:val="00AC64DE"/>
    <w:rsid w:val="00AC6FCF"/>
    <w:rsid w:val="00AD1322"/>
    <w:rsid w:val="00AD3790"/>
    <w:rsid w:val="00AD48FC"/>
    <w:rsid w:val="00AE1B21"/>
    <w:rsid w:val="00AE5946"/>
    <w:rsid w:val="00AE6B35"/>
    <w:rsid w:val="00AF31EE"/>
    <w:rsid w:val="00AF36A7"/>
    <w:rsid w:val="00AF50B6"/>
    <w:rsid w:val="00AF541D"/>
    <w:rsid w:val="00B00ED6"/>
    <w:rsid w:val="00B0467C"/>
    <w:rsid w:val="00B04BCC"/>
    <w:rsid w:val="00B057E8"/>
    <w:rsid w:val="00B06F5C"/>
    <w:rsid w:val="00B10D95"/>
    <w:rsid w:val="00B10DC6"/>
    <w:rsid w:val="00B14DE7"/>
    <w:rsid w:val="00B152C2"/>
    <w:rsid w:val="00B17AFE"/>
    <w:rsid w:val="00B262B0"/>
    <w:rsid w:val="00B30D92"/>
    <w:rsid w:val="00B34397"/>
    <w:rsid w:val="00B34E0E"/>
    <w:rsid w:val="00B356D3"/>
    <w:rsid w:val="00B35892"/>
    <w:rsid w:val="00B36D56"/>
    <w:rsid w:val="00B42169"/>
    <w:rsid w:val="00B459FB"/>
    <w:rsid w:val="00B46E79"/>
    <w:rsid w:val="00B47018"/>
    <w:rsid w:val="00B47438"/>
    <w:rsid w:val="00B47B65"/>
    <w:rsid w:val="00B504D3"/>
    <w:rsid w:val="00B508C7"/>
    <w:rsid w:val="00B545FC"/>
    <w:rsid w:val="00B605F3"/>
    <w:rsid w:val="00B6128E"/>
    <w:rsid w:val="00B652F2"/>
    <w:rsid w:val="00B678C3"/>
    <w:rsid w:val="00B732F7"/>
    <w:rsid w:val="00B73A29"/>
    <w:rsid w:val="00B7466D"/>
    <w:rsid w:val="00B763B7"/>
    <w:rsid w:val="00B76D14"/>
    <w:rsid w:val="00B76F82"/>
    <w:rsid w:val="00B7714E"/>
    <w:rsid w:val="00B77935"/>
    <w:rsid w:val="00B8269E"/>
    <w:rsid w:val="00B83EE4"/>
    <w:rsid w:val="00B84454"/>
    <w:rsid w:val="00B87705"/>
    <w:rsid w:val="00B9051B"/>
    <w:rsid w:val="00B913EB"/>
    <w:rsid w:val="00B97BAA"/>
    <w:rsid w:val="00BA304F"/>
    <w:rsid w:val="00BA4AC2"/>
    <w:rsid w:val="00BA5947"/>
    <w:rsid w:val="00BB4AE7"/>
    <w:rsid w:val="00BB61E4"/>
    <w:rsid w:val="00BB6BD1"/>
    <w:rsid w:val="00BB733F"/>
    <w:rsid w:val="00BB7528"/>
    <w:rsid w:val="00BC2198"/>
    <w:rsid w:val="00BC257D"/>
    <w:rsid w:val="00BC4730"/>
    <w:rsid w:val="00BC62D6"/>
    <w:rsid w:val="00BC71A5"/>
    <w:rsid w:val="00BD1BFA"/>
    <w:rsid w:val="00BD1DD2"/>
    <w:rsid w:val="00BD363A"/>
    <w:rsid w:val="00BD4925"/>
    <w:rsid w:val="00BF1A80"/>
    <w:rsid w:val="00BF449F"/>
    <w:rsid w:val="00BF6778"/>
    <w:rsid w:val="00BF7D67"/>
    <w:rsid w:val="00C00522"/>
    <w:rsid w:val="00C04ADE"/>
    <w:rsid w:val="00C11175"/>
    <w:rsid w:val="00C15856"/>
    <w:rsid w:val="00C16CE8"/>
    <w:rsid w:val="00C24D9F"/>
    <w:rsid w:val="00C251A8"/>
    <w:rsid w:val="00C27F58"/>
    <w:rsid w:val="00C403AD"/>
    <w:rsid w:val="00C43036"/>
    <w:rsid w:val="00C44E9E"/>
    <w:rsid w:val="00C45E40"/>
    <w:rsid w:val="00C52EAF"/>
    <w:rsid w:val="00C5428F"/>
    <w:rsid w:val="00C5501F"/>
    <w:rsid w:val="00C55311"/>
    <w:rsid w:val="00C572F8"/>
    <w:rsid w:val="00C574EF"/>
    <w:rsid w:val="00C61A7F"/>
    <w:rsid w:val="00C64C9B"/>
    <w:rsid w:val="00C666B8"/>
    <w:rsid w:val="00C67515"/>
    <w:rsid w:val="00C67583"/>
    <w:rsid w:val="00C67601"/>
    <w:rsid w:val="00C67D2C"/>
    <w:rsid w:val="00C72F1D"/>
    <w:rsid w:val="00C7474B"/>
    <w:rsid w:val="00C74D10"/>
    <w:rsid w:val="00C76AF4"/>
    <w:rsid w:val="00C80088"/>
    <w:rsid w:val="00C82118"/>
    <w:rsid w:val="00C8542E"/>
    <w:rsid w:val="00C92A59"/>
    <w:rsid w:val="00CA1973"/>
    <w:rsid w:val="00CA3652"/>
    <w:rsid w:val="00CA4686"/>
    <w:rsid w:val="00CA4DDA"/>
    <w:rsid w:val="00CB4FD4"/>
    <w:rsid w:val="00CB72AC"/>
    <w:rsid w:val="00CB7F5F"/>
    <w:rsid w:val="00CC026C"/>
    <w:rsid w:val="00CC42F0"/>
    <w:rsid w:val="00CC6428"/>
    <w:rsid w:val="00CC7642"/>
    <w:rsid w:val="00CD0F12"/>
    <w:rsid w:val="00CD225D"/>
    <w:rsid w:val="00CD2383"/>
    <w:rsid w:val="00CD3A3E"/>
    <w:rsid w:val="00CD40FE"/>
    <w:rsid w:val="00CD66CD"/>
    <w:rsid w:val="00CD7C49"/>
    <w:rsid w:val="00CE1133"/>
    <w:rsid w:val="00CE22FE"/>
    <w:rsid w:val="00CE5EFB"/>
    <w:rsid w:val="00CE6C7A"/>
    <w:rsid w:val="00CF2948"/>
    <w:rsid w:val="00CF2E76"/>
    <w:rsid w:val="00D00EC8"/>
    <w:rsid w:val="00D01485"/>
    <w:rsid w:val="00D01ED2"/>
    <w:rsid w:val="00D10DA3"/>
    <w:rsid w:val="00D12D05"/>
    <w:rsid w:val="00D150D0"/>
    <w:rsid w:val="00D16775"/>
    <w:rsid w:val="00D23029"/>
    <w:rsid w:val="00D23F9B"/>
    <w:rsid w:val="00D31A4D"/>
    <w:rsid w:val="00D329AA"/>
    <w:rsid w:val="00D360FF"/>
    <w:rsid w:val="00D40DF1"/>
    <w:rsid w:val="00D4148E"/>
    <w:rsid w:val="00D41FB2"/>
    <w:rsid w:val="00D423DE"/>
    <w:rsid w:val="00D42E00"/>
    <w:rsid w:val="00D451E7"/>
    <w:rsid w:val="00D466EA"/>
    <w:rsid w:val="00D46763"/>
    <w:rsid w:val="00D474A0"/>
    <w:rsid w:val="00D50823"/>
    <w:rsid w:val="00D52EFA"/>
    <w:rsid w:val="00D53212"/>
    <w:rsid w:val="00D53B44"/>
    <w:rsid w:val="00D5431F"/>
    <w:rsid w:val="00D562EE"/>
    <w:rsid w:val="00D566AD"/>
    <w:rsid w:val="00D61BB2"/>
    <w:rsid w:val="00D61F13"/>
    <w:rsid w:val="00D627C9"/>
    <w:rsid w:val="00D658D1"/>
    <w:rsid w:val="00D65C29"/>
    <w:rsid w:val="00D71804"/>
    <w:rsid w:val="00D7237A"/>
    <w:rsid w:val="00D759D4"/>
    <w:rsid w:val="00D76761"/>
    <w:rsid w:val="00D77491"/>
    <w:rsid w:val="00D77B7B"/>
    <w:rsid w:val="00D80BBD"/>
    <w:rsid w:val="00D9067D"/>
    <w:rsid w:val="00D90EB1"/>
    <w:rsid w:val="00D954D3"/>
    <w:rsid w:val="00D97C46"/>
    <w:rsid w:val="00DA311A"/>
    <w:rsid w:val="00DA407A"/>
    <w:rsid w:val="00DA5A46"/>
    <w:rsid w:val="00DB085F"/>
    <w:rsid w:val="00DB2474"/>
    <w:rsid w:val="00DB2BE3"/>
    <w:rsid w:val="00DB44D0"/>
    <w:rsid w:val="00DB4E48"/>
    <w:rsid w:val="00DB726F"/>
    <w:rsid w:val="00DB7C27"/>
    <w:rsid w:val="00DC0131"/>
    <w:rsid w:val="00DC0EF0"/>
    <w:rsid w:val="00DC7D79"/>
    <w:rsid w:val="00DD22EE"/>
    <w:rsid w:val="00DD3DC2"/>
    <w:rsid w:val="00DD45C4"/>
    <w:rsid w:val="00DD558B"/>
    <w:rsid w:val="00DE0FBA"/>
    <w:rsid w:val="00DE1025"/>
    <w:rsid w:val="00DE1073"/>
    <w:rsid w:val="00DE1F8F"/>
    <w:rsid w:val="00DE4C99"/>
    <w:rsid w:val="00DE5660"/>
    <w:rsid w:val="00DE5883"/>
    <w:rsid w:val="00DE6FB9"/>
    <w:rsid w:val="00DF0D50"/>
    <w:rsid w:val="00DF1D70"/>
    <w:rsid w:val="00DF20DC"/>
    <w:rsid w:val="00DF30A0"/>
    <w:rsid w:val="00DF32A3"/>
    <w:rsid w:val="00DF5BDA"/>
    <w:rsid w:val="00DF6825"/>
    <w:rsid w:val="00E0343F"/>
    <w:rsid w:val="00E04AC0"/>
    <w:rsid w:val="00E062D5"/>
    <w:rsid w:val="00E10118"/>
    <w:rsid w:val="00E12079"/>
    <w:rsid w:val="00E158F3"/>
    <w:rsid w:val="00E164C4"/>
    <w:rsid w:val="00E16A00"/>
    <w:rsid w:val="00E200A8"/>
    <w:rsid w:val="00E21348"/>
    <w:rsid w:val="00E22D8E"/>
    <w:rsid w:val="00E231BC"/>
    <w:rsid w:val="00E2588E"/>
    <w:rsid w:val="00E30B0C"/>
    <w:rsid w:val="00E30FCE"/>
    <w:rsid w:val="00E31A0A"/>
    <w:rsid w:val="00E31B97"/>
    <w:rsid w:val="00E3230A"/>
    <w:rsid w:val="00E335B9"/>
    <w:rsid w:val="00E33E23"/>
    <w:rsid w:val="00E35C63"/>
    <w:rsid w:val="00E40543"/>
    <w:rsid w:val="00E412C5"/>
    <w:rsid w:val="00E419FC"/>
    <w:rsid w:val="00E51F61"/>
    <w:rsid w:val="00E53611"/>
    <w:rsid w:val="00E56EBE"/>
    <w:rsid w:val="00E60817"/>
    <w:rsid w:val="00E62178"/>
    <w:rsid w:val="00E62E54"/>
    <w:rsid w:val="00E66A6D"/>
    <w:rsid w:val="00E724FC"/>
    <w:rsid w:val="00E7290A"/>
    <w:rsid w:val="00E72A8A"/>
    <w:rsid w:val="00E73E09"/>
    <w:rsid w:val="00E75942"/>
    <w:rsid w:val="00E7691A"/>
    <w:rsid w:val="00E76F7A"/>
    <w:rsid w:val="00E81191"/>
    <w:rsid w:val="00E82840"/>
    <w:rsid w:val="00E83BA5"/>
    <w:rsid w:val="00E87242"/>
    <w:rsid w:val="00E87F35"/>
    <w:rsid w:val="00E90F8A"/>
    <w:rsid w:val="00E96465"/>
    <w:rsid w:val="00E96576"/>
    <w:rsid w:val="00E97B0B"/>
    <w:rsid w:val="00EA0B94"/>
    <w:rsid w:val="00EA1227"/>
    <w:rsid w:val="00EA1685"/>
    <w:rsid w:val="00EA1F06"/>
    <w:rsid w:val="00EB460F"/>
    <w:rsid w:val="00EC014C"/>
    <w:rsid w:val="00EC074D"/>
    <w:rsid w:val="00EC0C31"/>
    <w:rsid w:val="00EC149A"/>
    <w:rsid w:val="00EC1D56"/>
    <w:rsid w:val="00EC2A6A"/>
    <w:rsid w:val="00EC2B80"/>
    <w:rsid w:val="00EC697A"/>
    <w:rsid w:val="00EC7A7D"/>
    <w:rsid w:val="00EC7BB7"/>
    <w:rsid w:val="00ED08E5"/>
    <w:rsid w:val="00ED1323"/>
    <w:rsid w:val="00ED180D"/>
    <w:rsid w:val="00EE05EF"/>
    <w:rsid w:val="00EE2646"/>
    <w:rsid w:val="00EE6958"/>
    <w:rsid w:val="00EE7360"/>
    <w:rsid w:val="00EF1A87"/>
    <w:rsid w:val="00EF1F5A"/>
    <w:rsid w:val="00EF2805"/>
    <w:rsid w:val="00EF466F"/>
    <w:rsid w:val="00F011D7"/>
    <w:rsid w:val="00F014DE"/>
    <w:rsid w:val="00F0249E"/>
    <w:rsid w:val="00F025BB"/>
    <w:rsid w:val="00F0291B"/>
    <w:rsid w:val="00F029B0"/>
    <w:rsid w:val="00F0600C"/>
    <w:rsid w:val="00F10527"/>
    <w:rsid w:val="00F121EE"/>
    <w:rsid w:val="00F12487"/>
    <w:rsid w:val="00F124E8"/>
    <w:rsid w:val="00F16CC4"/>
    <w:rsid w:val="00F2007C"/>
    <w:rsid w:val="00F21678"/>
    <w:rsid w:val="00F2287C"/>
    <w:rsid w:val="00F22B37"/>
    <w:rsid w:val="00F23C4D"/>
    <w:rsid w:val="00F31371"/>
    <w:rsid w:val="00F32962"/>
    <w:rsid w:val="00F35BCF"/>
    <w:rsid w:val="00F41078"/>
    <w:rsid w:val="00F43293"/>
    <w:rsid w:val="00F444FC"/>
    <w:rsid w:val="00F44DD6"/>
    <w:rsid w:val="00F4674B"/>
    <w:rsid w:val="00F46CFF"/>
    <w:rsid w:val="00F5317E"/>
    <w:rsid w:val="00F54BE4"/>
    <w:rsid w:val="00F5542F"/>
    <w:rsid w:val="00F56BE7"/>
    <w:rsid w:val="00F574AA"/>
    <w:rsid w:val="00F613CB"/>
    <w:rsid w:val="00F61E08"/>
    <w:rsid w:val="00F666F9"/>
    <w:rsid w:val="00F71E1F"/>
    <w:rsid w:val="00F73722"/>
    <w:rsid w:val="00F76422"/>
    <w:rsid w:val="00F76D02"/>
    <w:rsid w:val="00F77C9F"/>
    <w:rsid w:val="00F83B4B"/>
    <w:rsid w:val="00F846C6"/>
    <w:rsid w:val="00F86A62"/>
    <w:rsid w:val="00F87C70"/>
    <w:rsid w:val="00F911E3"/>
    <w:rsid w:val="00F937BC"/>
    <w:rsid w:val="00F93E9E"/>
    <w:rsid w:val="00F9412D"/>
    <w:rsid w:val="00F959D1"/>
    <w:rsid w:val="00F961AC"/>
    <w:rsid w:val="00F967F3"/>
    <w:rsid w:val="00F96910"/>
    <w:rsid w:val="00F9744E"/>
    <w:rsid w:val="00FA1C03"/>
    <w:rsid w:val="00FA1FE3"/>
    <w:rsid w:val="00FA24B6"/>
    <w:rsid w:val="00FA5FF5"/>
    <w:rsid w:val="00FB09FB"/>
    <w:rsid w:val="00FB0D57"/>
    <w:rsid w:val="00FB1904"/>
    <w:rsid w:val="00FB231B"/>
    <w:rsid w:val="00FB395A"/>
    <w:rsid w:val="00FB6997"/>
    <w:rsid w:val="00FC02DB"/>
    <w:rsid w:val="00FC1FCF"/>
    <w:rsid w:val="00FC66EE"/>
    <w:rsid w:val="00FC68E5"/>
    <w:rsid w:val="00FC6D8C"/>
    <w:rsid w:val="00FD05AA"/>
    <w:rsid w:val="00FD08DE"/>
    <w:rsid w:val="00FD7CAC"/>
    <w:rsid w:val="00FD7DA6"/>
    <w:rsid w:val="00FE25F4"/>
    <w:rsid w:val="00FE3CC0"/>
    <w:rsid w:val="00FE61AE"/>
    <w:rsid w:val="00FE665B"/>
    <w:rsid w:val="00FE7F52"/>
    <w:rsid w:val="00FF297A"/>
    <w:rsid w:val="00FF2A78"/>
    <w:rsid w:val="00FF312D"/>
    <w:rsid w:val="00FF34FB"/>
    <w:rsid w:val="00FF6CC1"/>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D50E894-1973-40C2-9651-59E59935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2AC"/>
    <w:pPr>
      <w:spacing w:after="160" w:line="259" w:lineRule="auto"/>
    </w:pPr>
  </w:style>
  <w:style w:type="paragraph" w:styleId="Ttulo1">
    <w:name w:val="heading 1"/>
    <w:basedOn w:val="Normal"/>
    <w:next w:val="Normal"/>
    <w:link w:val="Ttulo1Car"/>
    <w:uiPriority w:val="9"/>
    <w:qFormat/>
    <w:rsid w:val="00B746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746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autoRedefine/>
    <w:qFormat/>
    <w:rsid w:val="00B7466D"/>
    <w:pPr>
      <w:keepNext/>
      <w:widowControl w:val="0"/>
      <w:numPr>
        <w:numId w:val="28"/>
      </w:numPr>
      <w:tabs>
        <w:tab w:val="left" w:pos="-720"/>
      </w:tabs>
      <w:suppressAutoHyphens/>
      <w:spacing w:after="0" w:line="240" w:lineRule="auto"/>
      <w:jc w:val="center"/>
      <w:outlineLvl w:val="2"/>
    </w:pPr>
    <w:rPr>
      <w:rFonts w:ascii="Tahoma" w:eastAsia="Times New Roman" w:hAnsi="Tahoma" w:cs="Tahoma"/>
      <w:b/>
      <w:bCs/>
      <w:spacing w:val="-3"/>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466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7466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B7466D"/>
    <w:rPr>
      <w:rFonts w:ascii="Tahoma" w:eastAsia="Times New Roman" w:hAnsi="Tahoma" w:cs="Tahoma"/>
      <w:b/>
      <w:bCs/>
      <w:spacing w:val="-3"/>
      <w:sz w:val="20"/>
      <w:szCs w:val="20"/>
      <w:lang w:val="en-US" w:eastAsia="es-ES"/>
    </w:rPr>
  </w:style>
  <w:style w:type="paragraph" w:styleId="Textoindependiente">
    <w:name w:val="Body Text"/>
    <w:basedOn w:val="Normal"/>
    <w:link w:val="TextoindependienteCar"/>
    <w:rsid w:val="00CB72AC"/>
    <w:pPr>
      <w:widowControl w:val="0"/>
      <w:suppressAutoHyphens/>
      <w:spacing w:after="120" w:line="240" w:lineRule="auto"/>
    </w:pPr>
    <w:rPr>
      <w:rFonts w:ascii="Times New Roman" w:eastAsia="Arial Unicode MS" w:hAnsi="Times New Roman" w:cs="Times New Roman"/>
      <w:sz w:val="24"/>
      <w:szCs w:val="24"/>
      <w:lang w:val="es-ES_tradnl" w:eastAsia="es-EC"/>
    </w:rPr>
  </w:style>
  <w:style w:type="character" w:customStyle="1" w:styleId="TextoindependienteCar">
    <w:name w:val="Texto independiente Car"/>
    <w:basedOn w:val="Fuentedeprrafopredeter"/>
    <w:link w:val="Textoindependiente"/>
    <w:rsid w:val="00CB72AC"/>
    <w:rPr>
      <w:rFonts w:ascii="Times New Roman" w:eastAsia="Arial Unicode MS" w:hAnsi="Times New Roman" w:cs="Times New Roman"/>
      <w:sz w:val="24"/>
      <w:szCs w:val="24"/>
      <w:lang w:val="es-ES_tradnl" w:eastAsia="es-EC"/>
    </w:rPr>
  </w:style>
  <w:style w:type="paragraph" w:styleId="Puesto">
    <w:name w:val="Title"/>
    <w:basedOn w:val="Normal"/>
    <w:link w:val="TtuloCar"/>
    <w:qFormat/>
    <w:rsid w:val="00CB72AC"/>
    <w:pPr>
      <w:tabs>
        <w:tab w:val="left" w:pos="1050"/>
      </w:tabs>
      <w:spacing w:after="0" w:line="360" w:lineRule="auto"/>
      <w:jc w:val="center"/>
    </w:pPr>
    <w:rPr>
      <w:rFonts w:ascii="Times New Roman" w:eastAsia="Times New Roman" w:hAnsi="Times New Roman" w:cs="Times New Roman"/>
      <w:b/>
      <w:sz w:val="28"/>
      <w:szCs w:val="24"/>
      <w:lang w:val="es-ES_tradnl" w:eastAsia="es-ES"/>
    </w:rPr>
  </w:style>
  <w:style w:type="character" w:customStyle="1" w:styleId="TtuloCar">
    <w:name w:val="Título Car"/>
    <w:basedOn w:val="Fuentedeprrafopredeter"/>
    <w:link w:val="Puesto"/>
    <w:rsid w:val="00CB72AC"/>
    <w:rPr>
      <w:rFonts w:ascii="Times New Roman" w:eastAsia="Times New Roman" w:hAnsi="Times New Roman" w:cs="Times New Roman"/>
      <w:b/>
      <w:sz w:val="28"/>
      <w:szCs w:val="24"/>
      <w:lang w:val="es-ES_tradnl" w:eastAsia="es-ES"/>
    </w:rPr>
  </w:style>
  <w:style w:type="paragraph" w:styleId="Prrafodelista">
    <w:name w:val="List Paragraph"/>
    <w:basedOn w:val="Normal"/>
    <w:uiPriority w:val="34"/>
    <w:qFormat/>
    <w:rsid w:val="00454472"/>
    <w:pPr>
      <w:widowControl w:val="0"/>
      <w:suppressAutoHyphens/>
      <w:spacing w:after="0" w:line="240" w:lineRule="auto"/>
      <w:ind w:left="708"/>
    </w:pPr>
    <w:rPr>
      <w:rFonts w:ascii="Times New Roman" w:eastAsia="Arial Unicode MS" w:hAnsi="Times New Roman" w:cs="Times New Roman"/>
      <w:sz w:val="24"/>
      <w:szCs w:val="24"/>
      <w:lang w:val="es-ES_tradnl" w:eastAsia="es-EC"/>
    </w:rPr>
  </w:style>
  <w:style w:type="paragraph" w:styleId="Textodeglobo">
    <w:name w:val="Balloon Text"/>
    <w:basedOn w:val="Normal"/>
    <w:link w:val="TextodegloboCar"/>
    <w:uiPriority w:val="99"/>
    <w:semiHidden/>
    <w:unhideWhenUsed/>
    <w:rsid w:val="003E5D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D3A"/>
    <w:rPr>
      <w:rFonts w:ascii="Tahoma" w:hAnsi="Tahoma" w:cs="Tahoma"/>
      <w:sz w:val="16"/>
      <w:szCs w:val="16"/>
    </w:rPr>
  </w:style>
  <w:style w:type="paragraph" w:styleId="Listaconvietas2">
    <w:name w:val="List Bullet 2"/>
    <w:basedOn w:val="Normal"/>
    <w:rsid w:val="005059BA"/>
    <w:pPr>
      <w:tabs>
        <w:tab w:val="num" w:pos="643"/>
      </w:tabs>
      <w:spacing w:after="0" w:line="240" w:lineRule="auto"/>
      <w:ind w:left="643" w:hanging="360"/>
      <w:jc w:val="both"/>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8E714F"/>
    <w:rPr>
      <w:sz w:val="16"/>
      <w:szCs w:val="16"/>
    </w:rPr>
  </w:style>
  <w:style w:type="paragraph" w:styleId="Textocomentario">
    <w:name w:val="annotation text"/>
    <w:basedOn w:val="Normal"/>
    <w:link w:val="TextocomentarioCar"/>
    <w:uiPriority w:val="99"/>
    <w:semiHidden/>
    <w:unhideWhenUsed/>
    <w:rsid w:val="008E71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714F"/>
    <w:rPr>
      <w:sz w:val="20"/>
      <w:szCs w:val="20"/>
    </w:rPr>
  </w:style>
  <w:style w:type="paragraph" w:styleId="Asuntodelcomentario">
    <w:name w:val="annotation subject"/>
    <w:basedOn w:val="Textocomentario"/>
    <w:next w:val="Textocomentario"/>
    <w:link w:val="AsuntodelcomentarioCar"/>
    <w:uiPriority w:val="99"/>
    <w:semiHidden/>
    <w:unhideWhenUsed/>
    <w:rsid w:val="008E714F"/>
    <w:rPr>
      <w:b/>
      <w:bCs/>
    </w:rPr>
  </w:style>
  <w:style w:type="character" w:customStyle="1" w:styleId="AsuntodelcomentarioCar">
    <w:name w:val="Asunto del comentario Car"/>
    <w:basedOn w:val="TextocomentarioCar"/>
    <w:link w:val="Asuntodelcomentario"/>
    <w:uiPriority w:val="99"/>
    <w:semiHidden/>
    <w:rsid w:val="008E714F"/>
    <w:rPr>
      <w:b/>
      <w:bCs/>
      <w:sz w:val="20"/>
      <w:szCs w:val="20"/>
    </w:rPr>
  </w:style>
  <w:style w:type="paragraph" w:styleId="Lista">
    <w:name w:val="List"/>
    <w:basedOn w:val="Normal"/>
    <w:uiPriority w:val="99"/>
    <w:unhideWhenUsed/>
    <w:rsid w:val="00F71E1F"/>
    <w:pPr>
      <w:ind w:left="283" w:hanging="283"/>
      <w:contextualSpacing/>
    </w:pPr>
  </w:style>
  <w:style w:type="paragraph" w:styleId="Lista2">
    <w:name w:val="List 2"/>
    <w:basedOn w:val="Normal"/>
    <w:unhideWhenUsed/>
    <w:rsid w:val="00F71E1F"/>
    <w:pPr>
      <w:ind w:left="566" w:hanging="283"/>
      <w:contextualSpacing/>
    </w:pPr>
  </w:style>
  <w:style w:type="paragraph" w:styleId="Saludo">
    <w:name w:val="Salutation"/>
    <w:basedOn w:val="Normal"/>
    <w:next w:val="Normal"/>
    <w:link w:val="SaludoCar"/>
    <w:uiPriority w:val="99"/>
    <w:unhideWhenUsed/>
    <w:rsid w:val="00F71E1F"/>
  </w:style>
  <w:style w:type="character" w:customStyle="1" w:styleId="SaludoCar">
    <w:name w:val="Saludo Car"/>
    <w:basedOn w:val="Fuentedeprrafopredeter"/>
    <w:link w:val="Saludo"/>
    <w:uiPriority w:val="99"/>
    <w:rsid w:val="00F71E1F"/>
  </w:style>
  <w:style w:type="paragraph" w:styleId="Sangradetextonormal">
    <w:name w:val="Body Text Indent"/>
    <w:basedOn w:val="Normal"/>
    <w:link w:val="SangradetextonormalCar"/>
    <w:uiPriority w:val="99"/>
    <w:unhideWhenUsed/>
    <w:rsid w:val="00F71E1F"/>
    <w:pPr>
      <w:spacing w:after="120"/>
      <w:ind w:left="283"/>
    </w:pPr>
  </w:style>
  <w:style w:type="character" w:customStyle="1" w:styleId="SangradetextonormalCar">
    <w:name w:val="Sangría de texto normal Car"/>
    <w:basedOn w:val="Fuentedeprrafopredeter"/>
    <w:link w:val="Sangradetextonormal"/>
    <w:uiPriority w:val="99"/>
    <w:rsid w:val="00F71E1F"/>
  </w:style>
  <w:style w:type="paragraph" w:styleId="Textoindependienteprimerasangra2">
    <w:name w:val="Body Text First Indent 2"/>
    <w:basedOn w:val="Sangradetextonormal"/>
    <w:link w:val="Textoindependienteprimerasangra2Car"/>
    <w:unhideWhenUsed/>
    <w:rsid w:val="00F71E1F"/>
    <w:pPr>
      <w:spacing w:after="160"/>
      <w:ind w:left="360" w:firstLine="360"/>
    </w:pPr>
  </w:style>
  <w:style w:type="character" w:customStyle="1" w:styleId="Textoindependienteprimerasangra2Car">
    <w:name w:val="Texto independiente primera sangría 2 Car"/>
    <w:basedOn w:val="SangradetextonormalCar"/>
    <w:link w:val="Textoindependienteprimerasangra2"/>
    <w:rsid w:val="00F71E1F"/>
  </w:style>
  <w:style w:type="paragraph" w:styleId="Encabezado">
    <w:name w:val="header"/>
    <w:basedOn w:val="Normal"/>
    <w:link w:val="EncabezadoCar"/>
    <w:uiPriority w:val="99"/>
    <w:unhideWhenUsed/>
    <w:rsid w:val="00EA16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1685"/>
  </w:style>
  <w:style w:type="paragraph" w:styleId="Piedepgina">
    <w:name w:val="footer"/>
    <w:basedOn w:val="Normal"/>
    <w:link w:val="PiedepginaCar"/>
    <w:uiPriority w:val="99"/>
    <w:unhideWhenUsed/>
    <w:rsid w:val="00EA16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1685"/>
  </w:style>
  <w:style w:type="paragraph" w:customStyle="1" w:styleId="Textopredeterminado">
    <w:name w:val="Texto predeterminado"/>
    <w:basedOn w:val="Normal"/>
    <w:rsid w:val="00B7466D"/>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es-ES"/>
    </w:rPr>
  </w:style>
  <w:style w:type="paragraph" w:styleId="Textosinformato">
    <w:name w:val="Plain Text"/>
    <w:basedOn w:val="Normal"/>
    <w:link w:val="TextosinformatoCar"/>
    <w:rsid w:val="00B7466D"/>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B7466D"/>
    <w:rPr>
      <w:rFonts w:ascii="Courier New" w:eastAsia="Times New Roman" w:hAnsi="Courier New" w:cs="Times New Roman"/>
      <w:sz w:val="20"/>
      <w:szCs w:val="20"/>
      <w:lang w:val="es-ES" w:eastAsia="es-ES"/>
    </w:rPr>
  </w:style>
  <w:style w:type="character" w:customStyle="1" w:styleId="Cuadrculaclara-nfasis3Car">
    <w:name w:val="Cuadrícula clara - Énfasis 3 Car"/>
    <w:link w:val="Cuadrculaclara-nfasis31"/>
    <w:uiPriority w:val="34"/>
    <w:locked/>
    <w:rsid w:val="00B7466D"/>
    <w:rPr>
      <w:rFonts w:ascii="Arial Unicode MS" w:eastAsia="Arial Unicode MS" w:hAnsi="Arial Unicode MS" w:cs="Arial Unicode MS"/>
      <w:kern w:val="2"/>
      <w:sz w:val="24"/>
      <w:szCs w:val="24"/>
      <w:lang w:val="es-ES_tradnl" w:eastAsia="ar-SA"/>
    </w:rPr>
  </w:style>
  <w:style w:type="paragraph" w:customStyle="1" w:styleId="Cuadrculaclara-nfasis31">
    <w:name w:val="Cuadrícula clara - Énfasis 31"/>
    <w:basedOn w:val="Normal"/>
    <w:link w:val="Cuadrculaclara-nfasis3Car"/>
    <w:uiPriority w:val="34"/>
    <w:qFormat/>
    <w:rsid w:val="00B7466D"/>
    <w:pPr>
      <w:suppressAutoHyphens/>
      <w:spacing w:after="0" w:line="100" w:lineRule="atLeast"/>
      <w:ind w:left="708"/>
    </w:pPr>
    <w:rPr>
      <w:rFonts w:ascii="Arial Unicode MS" w:eastAsia="Arial Unicode MS" w:hAnsi="Arial Unicode MS" w:cs="Arial Unicode MS"/>
      <w:kern w:val="2"/>
      <w:sz w:val="24"/>
      <w:szCs w:val="24"/>
      <w:lang w:val="es-ES_tradnl" w:eastAsia="ar-SA"/>
    </w:rPr>
  </w:style>
  <w:style w:type="paragraph" w:styleId="Textoindependiente2">
    <w:name w:val="Body Text 2"/>
    <w:basedOn w:val="Normal"/>
    <w:link w:val="Textoindependiente2Car"/>
    <w:uiPriority w:val="99"/>
    <w:semiHidden/>
    <w:unhideWhenUsed/>
    <w:rsid w:val="00B7466D"/>
    <w:pPr>
      <w:spacing w:after="120" w:line="480" w:lineRule="auto"/>
    </w:pPr>
  </w:style>
  <w:style w:type="character" w:customStyle="1" w:styleId="Textoindependiente2Car">
    <w:name w:val="Texto independiente 2 Car"/>
    <w:basedOn w:val="Fuentedeprrafopredeter"/>
    <w:link w:val="Textoindependiente2"/>
    <w:uiPriority w:val="99"/>
    <w:semiHidden/>
    <w:rsid w:val="00B7466D"/>
  </w:style>
  <w:style w:type="paragraph" w:styleId="Textonotapie">
    <w:name w:val="footnote text"/>
    <w:basedOn w:val="Normal"/>
    <w:link w:val="TextonotapieCar"/>
    <w:semiHidden/>
    <w:rsid w:val="00B7466D"/>
    <w:pPr>
      <w:spacing w:after="0" w:line="240" w:lineRule="auto"/>
      <w:jc w:val="both"/>
    </w:pPr>
    <w:rPr>
      <w:rFonts w:ascii="Times New Roman" w:eastAsia="Times New Roman" w:hAnsi="Times New Roman" w:cs="Times New Roman"/>
      <w:sz w:val="24"/>
      <w:szCs w:val="24"/>
      <w:lang w:eastAsia="es-ES"/>
    </w:rPr>
  </w:style>
  <w:style w:type="character" w:customStyle="1" w:styleId="TextonotapieCar">
    <w:name w:val="Texto nota pie Car"/>
    <w:basedOn w:val="Fuentedeprrafopredeter"/>
    <w:link w:val="Textonotapie"/>
    <w:semiHidden/>
    <w:rsid w:val="00B7466D"/>
    <w:rPr>
      <w:rFonts w:ascii="Times New Roman" w:eastAsia="Times New Roman" w:hAnsi="Times New Roman" w:cs="Times New Roman"/>
      <w:sz w:val="24"/>
      <w:szCs w:val="24"/>
      <w:lang w:eastAsia="es-ES"/>
    </w:rPr>
  </w:style>
  <w:style w:type="paragraph" w:customStyle="1" w:styleId="Textoindependiente1">
    <w:name w:val="Texto independiente1"/>
    <w:basedOn w:val="Normal"/>
    <w:semiHidden/>
    <w:rsid w:val="00B7466D"/>
    <w:pPr>
      <w:widowControl w:val="0"/>
      <w:spacing w:after="0" w:line="240" w:lineRule="auto"/>
      <w:jc w:val="both"/>
    </w:pPr>
    <w:rPr>
      <w:rFonts w:ascii="Helvetica" w:eastAsia="Times New Roman" w:hAnsi="Helvetica" w:cs="Times New Roman"/>
      <w:b/>
      <w:sz w:val="24"/>
      <w:szCs w:val="24"/>
      <w:lang w:eastAsia="es-ES"/>
    </w:rPr>
  </w:style>
  <w:style w:type="paragraph" w:customStyle="1" w:styleId="BodyText21">
    <w:name w:val="Body Text 21"/>
    <w:basedOn w:val="Normal"/>
    <w:semiHidden/>
    <w:rsid w:val="00B7466D"/>
    <w:pPr>
      <w:widowControl w:val="0"/>
      <w:tabs>
        <w:tab w:val="left" w:pos="4536"/>
      </w:tabs>
      <w:spacing w:after="0" w:line="240" w:lineRule="auto"/>
      <w:jc w:val="both"/>
    </w:pPr>
    <w:rPr>
      <w:rFonts w:ascii="Times New Roman" w:eastAsia="Times New Roman" w:hAnsi="Times New Roman" w:cs="Times New Roman"/>
      <w:szCs w:val="24"/>
      <w:lang w:eastAsia="es-ES"/>
    </w:rPr>
  </w:style>
  <w:style w:type="paragraph" w:customStyle="1" w:styleId="Textodenotaalpie">
    <w:name w:val="Texto de nota al pie"/>
    <w:basedOn w:val="Normal"/>
    <w:semiHidden/>
    <w:rsid w:val="00B7466D"/>
    <w:pPr>
      <w:widowControl w:val="0"/>
      <w:tabs>
        <w:tab w:val="left" w:pos="-720"/>
      </w:tabs>
      <w:suppressAutoHyphens/>
      <w:spacing w:after="0" w:line="240" w:lineRule="auto"/>
      <w:jc w:val="both"/>
    </w:pPr>
    <w:rPr>
      <w:rFonts w:ascii="Times New Roman" w:eastAsia="Times New Roman" w:hAnsi="Times New Roman" w:cs="Times New Roman"/>
      <w:spacing w:val="-3"/>
      <w:sz w:val="24"/>
      <w:szCs w:val="24"/>
      <w:lang w:val="es-SV" w:eastAsia="es-ES"/>
    </w:rPr>
  </w:style>
  <w:style w:type="paragraph" w:styleId="Listaconvietas3">
    <w:name w:val="List Bullet 3"/>
    <w:basedOn w:val="Normal"/>
    <w:uiPriority w:val="99"/>
    <w:semiHidden/>
    <w:unhideWhenUsed/>
    <w:rsid w:val="00B7466D"/>
    <w:pPr>
      <w:numPr>
        <w:numId w:val="11"/>
      </w:numPr>
      <w:contextualSpacing/>
    </w:pPr>
  </w:style>
  <w:style w:type="paragraph" w:styleId="Textoindependiente3">
    <w:name w:val="Body Text 3"/>
    <w:basedOn w:val="Normal"/>
    <w:link w:val="Textoindependiente3Car"/>
    <w:uiPriority w:val="99"/>
    <w:semiHidden/>
    <w:unhideWhenUsed/>
    <w:rsid w:val="00B7466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7466D"/>
    <w:rPr>
      <w:sz w:val="16"/>
      <w:szCs w:val="16"/>
    </w:rPr>
  </w:style>
  <w:style w:type="paragraph" w:customStyle="1" w:styleId="Style20">
    <w:name w:val="Style 20"/>
    <w:uiPriority w:val="99"/>
    <w:rsid w:val="00B7466D"/>
    <w:pPr>
      <w:widowControl w:val="0"/>
      <w:autoSpaceDE w:val="0"/>
      <w:autoSpaceDN w:val="0"/>
      <w:spacing w:before="216" w:after="0" w:line="240" w:lineRule="auto"/>
      <w:jc w:val="both"/>
    </w:pPr>
    <w:rPr>
      <w:rFonts w:ascii="Times New Roman" w:eastAsia="Times New Roman" w:hAnsi="Times New Roman" w:cs="Times New Roman"/>
      <w:sz w:val="24"/>
      <w:szCs w:val="24"/>
      <w:lang w:val="en-US" w:eastAsia="es-ES"/>
    </w:rPr>
  </w:style>
  <w:style w:type="paragraph" w:customStyle="1" w:styleId="Style1">
    <w:name w:val="Style 1"/>
    <w:uiPriority w:val="99"/>
    <w:rsid w:val="00B7466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Body1">
    <w:name w:val="Body 1"/>
    <w:autoRedefine/>
    <w:rsid w:val="00B7466D"/>
    <w:pPr>
      <w:tabs>
        <w:tab w:val="left" w:pos="1160"/>
      </w:tabs>
      <w:spacing w:after="0"/>
      <w:jc w:val="both"/>
      <w:outlineLvl w:val="0"/>
    </w:pPr>
    <w:rPr>
      <w:rFonts w:ascii="Arial Narrow" w:eastAsia="ヒラギノ角ゴ Pro W3" w:hAnsi="Arial Narrow" w:cs="Tahoma"/>
      <w:color w:val="0000FF"/>
      <w:sz w:val="20"/>
      <w:szCs w:val="20"/>
      <w:lang w:eastAsia="es-ES"/>
    </w:rPr>
  </w:style>
  <w:style w:type="character" w:customStyle="1" w:styleId="CharacterStyle1">
    <w:name w:val="Character Style 1"/>
    <w:uiPriority w:val="99"/>
    <w:rsid w:val="00B7466D"/>
    <w:rPr>
      <w:sz w:val="20"/>
      <w:szCs w:val="20"/>
    </w:rPr>
  </w:style>
  <w:style w:type="paragraph" w:customStyle="1" w:styleId="Style2">
    <w:name w:val="Style 2"/>
    <w:uiPriority w:val="99"/>
    <w:rsid w:val="00B7466D"/>
    <w:pPr>
      <w:widowControl w:val="0"/>
      <w:autoSpaceDE w:val="0"/>
      <w:autoSpaceDN w:val="0"/>
      <w:spacing w:before="252" w:after="0" w:line="240" w:lineRule="auto"/>
      <w:jc w:val="both"/>
    </w:pPr>
    <w:rPr>
      <w:rFonts w:ascii="Times New Roman" w:eastAsia="Times New Roman" w:hAnsi="Times New Roman" w:cs="Times New Roman"/>
      <w:sz w:val="24"/>
      <w:szCs w:val="24"/>
      <w:lang w:val="en-US" w:eastAsia="es-ES"/>
    </w:rPr>
  </w:style>
  <w:style w:type="character" w:customStyle="1" w:styleId="TextodecuerpoCar">
    <w:name w:val="Texto de cuerpo Car"/>
    <w:basedOn w:val="Fuentedeprrafopredeter"/>
    <w:rsid w:val="00B7466D"/>
    <w:rPr>
      <w:rFonts w:ascii="Times New Roman" w:eastAsia="Arial Unicode MS" w:hAnsi="Times New Roman" w:cs="Times New Roman"/>
      <w:sz w:val="24"/>
      <w:szCs w:val="24"/>
      <w:lang w:val="es-ES_tradnl" w:eastAsia="es-EC"/>
    </w:rPr>
  </w:style>
  <w:style w:type="paragraph" w:styleId="Descripcin">
    <w:name w:val="caption"/>
    <w:basedOn w:val="Normal"/>
    <w:next w:val="Normal"/>
    <w:uiPriority w:val="35"/>
    <w:unhideWhenUsed/>
    <w:qFormat/>
    <w:rsid w:val="00B7466D"/>
    <w:pPr>
      <w:spacing w:after="200" w:line="240" w:lineRule="auto"/>
    </w:pPr>
    <w:rPr>
      <w:b/>
      <w:bCs/>
      <w:color w:val="4F81BD" w:themeColor="accent1"/>
      <w:sz w:val="18"/>
      <w:szCs w:val="18"/>
    </w:rPr>
  </w:style>
  <w:style w:type="paragraph" w:styleId="TtulodeTDC">
    <w:name w:val="TOC Heading"/>
    <w:basedOn w:val="Ttulo1"/>
    <w:next w:val="Normal"/>
    <w:uiPriority w:val="39"/>
    <w:semiHidden/>
    <w:unhideWhenUsed/>
    <w:qFormat/>
    <w:rsid w:val="00B7466D"/>
    <w:pPr>
      <w:spacing w:line="276" w:lineRule="auto"/>
      <w:outlineLvl w:val="9"/>
    </w:pPr>
    <w:rPr>
      <w:lang w:eastAsia="es-EC"/>
    </w:rPr>
  </w:style>
  <w:style w:type="paragraph" w:styleId="TDC1">
    <w:name w:val="toc 1"/>
    <w:basedOn w:val="Normal"/>
    <w:next w:val="Normal"/>
    <w:autoRedefine/>
    <w:uiPriority w:val="39"/>
    <w:unhideWhenUsed/>
    <w:rsid w:val="00B7466D"/>
    <w:pPr>
      <w:spacing w:after="100"/>
    </w:pPr>
  </w:style>
  <w:style w:type="paragraph" w:styleId="TDC2">
    <w:name w:val="toc 2"/>
    <w:basedOn w:val="Normal"/>
    <w:next w:val="Normal"/>
    <w:autoRedefine/>
    <w:uiPriority w:val="39"/>
    <w:unhideWhenUsed/>
    <w:rsid w:val="00B7466D"/>
    <w:pPr>
      <w:spacing w:after="100"/>
      <w:ind w:left="220"/>
    </w:pPr>
  </w:style>
  <w:style w:type="paragraph" w:styleId="TDC3">
    <w:name w:val="toc 3"/>
    <w:basedOn w:val="Normal"/>
    <w:next w:val="Normal"/>
    <w:autoRedefine/>
    <w:uiPriority w:val="39"/>
    <w:unhideWhenUsed/>
    <w:rsid w:val="00B7466D"/>
    <w:pPr>
      <w:spacing w:after="100"/>
      <w:ind w:left="440"/>
    </w:pPr>
  </w:style>
  <w:style w:type="character" w:styleId="Hipervnculo">
    <w:name w:val="Hyperlink"/>
    <w:basedOn w:val="Fuentedeprrafopredeter"/>
    <w:uiPriority w:val="99"/>
    <w:unhideWhenUsed/>
    <w:rsid w:val="00B7466D"/>
    <w:rPr>
      <w:color w:val="0000FF" w:themeColor="hyperlink"/>
      <w:u w:val="single"/>
    </w:rPr>
  </w:style>
  <w:style w:type="paragraph" w:styleId="NormalWeb">
    <w:name w:val="Normal (Web)"/>
    <w:basedOn w:val="Normal"/>
    <w:uiPriority w:val="99"/>
    <w:semiHidden/>
    <w:unhideWhenUsed/>
    <w:rsid w:val="003D1FAE"/>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39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18EE2-7723-470E-9E29-76076746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7284</Words>
  <Characters>40063</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de Lourdes González Vásquez</dc:creator>
  <cp:lastModifiedBy>Veronica Patricia Loachamin Jarrin</cp:lastModifiedBy>
  <cp:revision>2</cp:revision>
  <cp:lastPrinted>2017-12-20T14:01:00Z</cp:lastPrinted>
  <dcterms:created xsi:type="dcterms:W3CDTF">2018-02-02T14:45:00Z</dcterms:created>
  <dcterms:modified xsi:type="dcterms:W3CDTF">2018-02-02T14:45:00Z</dcterms:modified>
</cp:coreProperties>
</file>