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A7" w:rsidRDefault="00F045A7" w:rsidP="005C05D4">
      <w:pPr>
        <w:spacing w:after="0" w:line="240" w:lineRule="auto"/>
        <w:jc w:val="both"/>
        <w:rPr>
          <w:sz w:val="20"/>
          <w:szCs w:val="20"/>
        </w:rPr>
      </w:pPr>
      <w:bookmarkStart w:id="0" w:name="_GoBack"/>
      <w:r w:rsidRPr="006767FE">
        <w:rPr>
          <w:b/>
          <w:sz w:val="20"/>
          <w:szCs w:val="20"/>
        </w:rPr>
        <w:t>Disposición Transitoria Primera: Actividades económicas preexistentes en uso de suelo prohibido.-</w:t>
      </w:r>
      <w:r w:rsidRPr="006767FE">
        <w:rPr>
          <w:sz w:val="20"/>
          <w:szCs w:val="20"/>
        </w:rPr>
        <w:t xml:space="preserve"> Las actividades económicas correspondientes a las diferentes tipologías, que de acuerdo al uso d</w:t>
      </w:r>
      <w:r w:rsidR="002B6BD5">
        <w:rPr>
          <w:sz w:val="20"/>
          <w:szCs w:val="20"/>
        </w:rPr>
        <w:t>e suelo vigente sean prohibidas</w:t>
      </w:r>
      <w:r w:rsidRPr="006767FE">
        <w:rPr>
          <w:sz w:val="20"/>
          <w:szCs w:val="20"/>
        </w:rPr>
        <w:t xml:space="preserve"> y/o no cumplan condiciones de implantación, de conformidad con lo previsto en el PUOS; podrán permanecer en su ubicación actual, siempre y cuando cumplan al menos una de las condiciones señaladas a continuación:</w:t>
      </w:r>
    </w:p>
    <w:p w:rsidR="00E76CB0" w:rsidRDefault="00E76CB0" w:rsidP="005C05D4">
      <w:pPr>
        <w:spacing w:after="0" w:line="240" w:lineRule="auto"/>
        <w:jc w:val="both"/>
        <w:rPr>
          <w:sz w:val="20"/>
          <w:szCs w:val="20"/>
        </w:rPr>
      </w:pPr>
    </w:p>
    <w:p w:rsidR="00F045A7" w:rsidRDefault="00F045A7" w:rsidP="005C05D4">
      <w:pPr>
        <w:spacing w:after="0" w:line="240" w:lineRule="auto"/>
        <w:jc w:val="both"/>
        <w:rPr>
          <w:sz w:val="20"/>
          <w:szCs w:val="20"/>
        </w:rPr>
      </w:pPr>
      <w:r w:rsidRPr="006767FE">
        <w:rPr>
          <w:sz w:val="20"/>
          <w:szCs w:val="20"/>
        </w:rPr>
        <w:t>a) Haber obtenido una o más autorizaciones de cualquier autoridad pública competente para emitir permisos de funcionamiento, que evidencien que han venido realizando la misma actividad económica con anterioridad al año 2012, en el mismo lote, predio y/o establecimiento.</w:t>
      </w:r>
    </w:p>
    <w:p w:rsidR="00F045A7" w:rsidRDefault="00F045A7" w:rsidP="005C05D4">
      <w:pPr>
        <w:spacing w:after="0" w:line="240" w:lineRule="auto"/>
        <w:jc w:val="both"/>
        <w:rPr>
          <w:sz w:val="20"/>
          <w:szCs w:val="20"/>
        </w:rPr>
      </w:pPr>
    </w:p>
    <w:p w:rsidR="00F045A7" w:rsidRDefault="00F045A7" w:rsidP="005C05D4">
      <w:pPr>
        <w:spacing w:after="0" w:line="240" w:lineRule="auto"/>
        <w:jc w:val="both"/>
        <w:rPr>
          <w:sz w:val="20"/>
          <w:szCs w:val="20"/>
        </w:rPr>
      </w:pPr>
      <w:r w:rsidRPr="006767FE">
        <w:rPr>
          <w:sz w:val="20"/>
          <w:szCs w:val="20"/>
        </w:rPr>
        <w:t xml:space="preserve">b) Haber obtenido una o más licencias metropolitanas únicas para actividades económicas (LUAE), antes de la sanción de la presente ordenanza. </w:t>
      </w:r>
    </w:p>
    <w:p w:rsidR="00F045A7" w:rsidRDefault="00F045A7" w:rsidP="005C05D4">
      <w:pPr>
        <w:spacing w:after="0" w:line="240" w:lineRule="auto"/>
        <w:jc w:val="both"/>
        <w:rPr>
          <w:sz w:val="20"/>
          <w:szCs w:val="20"/>
        </w:rPr>
      </w:pPr>
    </w:p>
    <w:p w:rsidR="00F045A7" w:rsidRDefault="00F045A7" w:rsidP="005C05D4">
      <w:pPr>
        <w:spacing w:after="0" w:line="240" w:lineRule="auto"/>
        <w:jc w:val="both"/>
        <w:rPr>
          <w:sz w:val="20"/>
          <w:szCs w:val="20"/>
        </w:rPr>
      </w:pPr>
      <w:r>
        <w:rPr>
          <w:sz w:val="20"/>
          <w:szCs w:val="20"/>
        </w:rPr>
        <w:t xml:space="preserve">Para el caso de las actividades económicas consideradas dentro de la tipología CM1A (casas de cita, lenocinios, prostíbulos, cabarets, espectáculos en  vivo para adultos) que cumplan con los literales a) o b) de esta disposición podrán seguir funcionando en los usos de suelo correspondiente a RU3 y M en todo el Distrito Metropolitano de Quito y adicionalmente en RU2 en la Zona Turística La Mariscal, para lo cual </w:t>
      </w:r>
      <w:r w:rsidR="00385E09">
        <w:rPr>
          <w:sz w:val="20"/>
          <w:szCs w:val="20"/>
        </w:rPr>
        <w:t>se someterán al procedimiento especial de licenciamiento para el otorgamiento de la LUAE respectiva previo al cumplimiento de las condiciones técnicas determinadas para este tipo de actividades</w:t>
      </w:r>
      <w:r w:rsidR="00B13E10">
        <w:rPr>
          <w:sz w:val="20"/>
          <w:szCs w:val="20"/>
        </w:rPr>
        <w:t xml:space="preserve"> en el respectivo Reglamento</w:t>
      </w:r>
      <w:r w:rsidR="00385E09">
        <w:rPr>
          <w:sz w:val="20"/>
          <w:szCs w:val="20"/>
        </w:rPr>
        <w:t xml:space="preserve"> que será elaborado por la Secretaria de Territorio, Hábitat y Vivienda conjuntamente con las dependencias involucradas</w:t>
      </w:r>
      <w:r w:rsidR="002B6BD5">
        <w:rPr>
          <w:sz w:val="20"/>
          <w:szCs w:val="20"/>
        </w:rPr>
        <w:t>,</w:t>
      </w:r>
      <w:r w:rsidR="00385E09">
        <w:rPr>
          <w:sz w:val="20"/>
          <w:szCs w:val="20"/>
        </w:rPr>
        <w:t xml:space="preserve"> dentro del plazo de 30 días contados a partir de la sanción de la presente ordenanza. </w:t>
      </w:r>
    </w:p>
    <w:p w:rsidR="00385E09" w:rsidRDefault="00385E09" w:rsidP="005C05D4">
      <w:pPr>
        <w:spacing w:after="0" w:line="240" w:lineRule="auto"/>
        <w:jc w:val="both"/>
        <w:rPr>
          <w:sz w:val="20"/>
          <w:szCs w:val="20"/>
        </w:rPr>
      </w:pPr>
    </w:p>
    <w:p w:rsidR="00385E09" w:rsidRDefault="00385E09" w:rsidP="005C05D4">
      <w:pPr>
        <w:spacing w:after="0" w:line="240" w:lineRule="auto"/>
        <w:jc w:val="both"/>
        <w:rPr>
          <w:sz w:val="20"/>
          <w:szCs w:val="20"/>
        </w:rPr>
      </w:pPr>
      <w:r>
        <w:rPr>
          <w:sz w:val="20"/>
          <w:szCs w:val="20"/>
        </w:rPr>
        <w:t>Para el caso de las actividades económicas consideradas dentro de la tipología CM1A (casas de cita, lenocinios, prostíbulos, cabarets, espectáculos en  vivo para adultos) que cumplan con los literales a) o b) de esta disposición</w:t>
      </w:r>
      <w:r w:rsidR="002B6BD5">
        <w:rPr>
          <w:sz w:val="20"/>
          <w:szCs w:val="20"/>
        </w:rPr>
        <w:t>,</w:t>
      </w:r>
      <w:r>
        <w:rPr>
          <w:sz w:val="20"/>
          <w:szCs w:val="20"/>
        </w:rPr>
        <w:t xml:space="preserve"> </w:t>
      </w:r>
      <w:r>
        <w:rPr>
          <w:sz w:val="20"/>
          <w:szCs w:val="20"/>
        </w:rPr>
        <w:t xml:space="preserve">implantadas en usos de suelo correspondientes a RU2, AR, PE, </w:t>
      </w:r>
      <w:r w:rsidR="002B6BD5">
        <w:rPr>
          <w:sz w:val="20"/>
          <w:szCs w:val="20"/>
        </w:rPr>
        <w:t xml:space="preserve">CPN y </w:t>
      </w:r>
      <w:r>
        <w:rPr>
          <w:sz w:val="20"/>
          <w:szCs w:val="20"/>
        </w:rPr>
        <w:t xml:space="preserve">RNNR, tendrán el plazo de 36 meses </w:t>
      </w:r>
      <w:r w:rsidR="00B13E10">
        <w:rPr>
          <w:sz w:val="20"/>
          <w:szCs w:val="20"/>
        </w:rPr>
        <w:t xml:space="preserve">contados a partir de la sanción de la presente Ordenanza Metropolitana </w:t>
      </w:r>
      <w:r>
        <w:rPr>
          <w:sz w:val="20"/>
          <w:szCs w:val="20"/>
        </w:rPr>
        <w:t xml:space="preserve">para </w:t>
      </w:r>
      <w:r w:rsidR="00B13E10">
        <w:rPr>
          <w:sz w:val="20"/>
          <w:szCs w:val="20"/>
        </w:rPr>
        <w:t>su reubicación definitiva en uso de suelo compatible</w:t>
      </w:r>
      <w:r w:rsidR="005C05D4">
        <w:rPr>
          <w:sz w:val="20"/>
          <w:szCs w:val="20"/>
        </w:rPr>
        <w:t>, para lo cual se deberá contar con la participación de los distintos actores públicos y privados relacionados con este tipo de actividades</w:t>
      </w:r>
      <w:r w:rsidR="00B13E10">
        <w:rPr>
          <w:sz w:val="20"/>
          <w:szCs w:val="20"/>
        </w:rPr>
        <w:t>. Durante este plazo, previo e</w:t>
      </w:r>
      <w:r w:rsidR="00B13E10">
        <w:rPr>
          <w:sz w:val="20"/>
          <w:szCs w:val="20"/>
        </w:rPr>
        <w:t>l cumplimiento de las condiciones técnicas determinadas en el Reglamento referido en el inciso precedente</w:t>
      </w:r>
      <w:r w:rsidR="00B13E10">
        <w:rPr>
          <w:sz w:val="20"/>
          <w:szCs w:val="20"/>
        </w:rPr>
        <w:t xml:space="preserve">, se </w:t>
      </w:r>
      <w:r>
        <w:rPr>
          <w:sz w:val="20"/>
          <w:szCs w:val="20"/>
        </w:rPr>
        <w:t>someterán al procedimiento especial de licenciamiento para el otorgamiento de la LUAE respectiva</w:t>
      </w:r>
      <w:r w:rsidR="00B13E10">
        <w:rPr>
          <w:sz w:val="20"/>
          <w:szCs w:val="20"/>
        </w:rPr>
        <w:t>, la que se extinguirá automáticamente al cumplimiento del plazo establecido</w:t>
      </w:r>
      <w:r w:rsidR="003A3826">
        <w:rPr>
          <w:sz w:val="20"/>
          <w:szCs w:val="20"/>
        </w:rPr>
        <w:t xml:space="preserve"> para su reubicación</w:t>
      </w:r>
      <w:r w:rsidR="00B13E10">
        <w:rPr>
          <w:sz w:val="20"/>
          <w:szCs w:val="20"/>
        </w:rPr>
        <w:t xml:space="preserve">. </w:t>
      </w:r>
    </w:p>
    <w:p w:rsidR="00F045A7" w:rsidRDefault="00F045A7" w:rsidP="005C05D4">
      <w:pPr>
        <w:spacing w:after="0" w:line="240" w:lineRule="auto"/>
        <w:jc w:val="both"/>
        <w:rPr>
          <w:sz w:val="20"/>
          <w:szCs w:val="20"/>
        </w:rPr>
      </w:pPr>
    </w:p>
    <w:p w:rsidR="003540E1" w:rsidRDefault="003540E1" w:rsidP="005C05D4">
      <w:pPr>
        <w:spacing w:after="0" w:line="240" w:lineRule="auto"/>
        <w:jc w:val="both"/>
        <w:rPr>
          <w:sz w:val="20"/>
          <w:szCs w:val="20"/>
        </w:rPr>
      </w:pPr>
      <w:r>
        <w:rPr>
          <w:sz w:val="20"/>
          <w:szCs w:val="20"/>
        </w:rPr>
        <w:t xml:space="preserve">Para el caso de las actividades económicas consideradas dentro de la tipología CM1A (casas de cita, lenocinios, prostíbulos, cabarets, espectáculos en  vivo para adultos) que </w:t>
      </w:r>
      <w:r>
        <w:rPr>
          <w:sz w:val="20"/>
          <w:szCs w:val="20"/>
        </w:rPr>
        <w:t xml:space="preserve">no </w:t>
      </w:r>
      <w:r>
        <w:rPr>
          <w:sz w:val="20"/>
          <w:szCs w:val="20"/>
        </w:rPr>
        <w:t>cumplan con los literales a) o b) de esta disposi</w:t>
      </w:r>
      <w:r>
        <w:rPr>
          <w:sz w:val="20"/>
          <w:szCs w:val="20"/>
        </w:rPr>
        <w:t>ción</w:t>
      </w:r>
      <w:r w:rsidR="002B6BD5">
        <w:rPr>
          <w:sz w:val="20"/>
          <w:szCs w:val="20"/>
        </w:rPr>
        <w:t>,</w:t>
      </w:r>
      <w:r>
        <w:rPr>
          <w:sz w:val="20"/>
          <w:szCs w:val="20"/>
        </w:rPr>
        <w:t xml:space="preserve"> deberá iniciarse los procedimientos administrativos </w:t>
      </w:r>
      <w:r w:rsidR="00E76CB0">
        <w:rPr>
          <w:sz w:val="20"/>
          <w:szCs w:val="20"/>
        </w:rPr>
        <w:t>sancionadores correspondientes para</w:t>
      </w:r>
      <w:r>
        <w:rPr>
          <w:sz w:val="20"/>
          <w:szCs w:val="20"/>
        </w:rPr>
        <w:t xml:space="preserve"> su clausura definitiva. </w:t>
      </w:r>
    </w:p>
    <w:p w:rsidR="003A3826" w:rsidRDefault="003A3826" w:rsidP="005C05D4">
      <w:pPr>
        <w:spacing w:after="0" w:line="240" w:lineRule="auto"/>
        <w:jc w:val="both"/>
        <w:rPr>
          <w:sz w:val="20"/>
          <w:szCs w:val="20"/>
        </w:rPr>
      </w:pPr>
    </w:p>
    <w:p w:rsidR="003540E1" w:rsidRDefault="003540E1" w:rsidP="005C05D4">
      <w:pPr>
        <w:spacing w:after="0" w:line="240" w:lineRule="auto"/>
        <w:jc w:val="both"/>
        <w:rPr>
          <w:sz w:val="20"/>
          <w:szCs w:val="20"/>
        </w:rPr>
      </w:pPr>
      <w:r>
        <w:rPr>
          <w:sz w:val="20"/>
          <w:szCs w:val="20"/>
        </w:rPr>
        <w:t>El órgano municipal a cargo del control garantizará el cumplimiento</w:t>
      </w:r>
      <w:r w:rsidR="00D52676">
        <w:rPr>
          <w:sz w:val="20"/>
          <w:szCs w:val="20"/>
        </w:rPr>
        <w:t xml:space="preserve"> de las disposiciones precedentes cumpliendo con el ordenamiento nacional y metropolitano vigentes. </w:t>
      </w:r>
    </w:p>
    <w:p w:rsidR="003540E1" w:rsidRDefault="003540E1" w:rsidP="005C05D4">
      <w:pPr>
        <w:spacing w:after="0" w:line="240" w:lineRule="auto"/>
        <w:jc w:val="both"/>
        <w:rPr>
          <w:sz w:val="20"/>
          <w:szCs w:val="20"/>
        </w:rPr>
      </w:pPr>
    </w:p>
    <w:p w:rsidR="00F045A7" w:rsidRDefault="002B6BD5" w:rsidP="005C05D4">
      <w:pPr>
        <w:spacing w:after="0" w:line="240" w:lineRule="auto"/>
        <w:jc w:val="both"/>
        <w:rPr>
          <w:sz w:val="20"/>
          <w:szCs w:val="20"/>
        </w:rPr>
      </w:pPr>
      <w:r>
        <w:rPr>
          <w:sz w:val="20"/>
          <w:szCs w:val="20"/>
        </w:rPr>
        <w:t xml:space="preserve">NOTA: Para </w:t>
      </w:r>
      <w:r w:rsidR="00F045A7" w:rsidRPr="006767FE">
        <w:rPr>
          <w:sz w:val="20"/>
          <w:szCs w:val="20"/>
        </w:rPr>
        <w:t>el caso de actividades económicas de las tipologías II4 (industria de alto riesgo) con incompatibilidad de uso de suelo</w:t>
      </w:r>
      <w:r w:rsidR="00F045A7">
        <w:rPr>
          <w:sz w:val="20"/>
          <w:szCs w:val="20"/>
        </w:rPr>
        <w:t xml:space="preserve"> </w:t>
      </w:r>
      <w:r w:rsidR="00F045A7" w:rsidRPr="006C540A">
        <w:rPr>
          <w:sz w:val="20"/>
          <w:szCs w:val="20"/>
          <w:highlight w:val="yellow"/>
        </w:rPr>
        <w:t>generada</w:t>
      </w:r>
      <w:r w:rsidR="00F045A7">
        <w:rPr>
          <w:sz w:val="20"/>
          <w:szCs w:val="20"/>
          <w:highlight w:val="yellow"/>
        </w:rPr>
        <w:t xml:space="preserve"> a</w:t>
      </w:r>
      <w:r w:rsidR="00F045A7" w:rsidRPr="006C540A">
        <w:rPr>
          <w:sz w:val="20"/>
          <w:szCs w:val="20"/>
          <w:highlight w:val="yellow"/>
        </w:rPr>
        <w:t xml:space="preserve"> partir de la promulgación de la presente ordenanza</w:t>
      </w:r>
      <w:r w:rsidR="00F045A7">
        <w:rPr>
          <w:sz w:val="20"/>
          <w:szCs w:val="20"/>
        </w:rPr>
        <w:t xml:space="preserve"> No. 127</w:t>
      </w:r>
      <w:r w:rsidR="00F045A7" w:rsidRPr="006767FE">
        <w:rPr>
          <w:sz w:val="20"/>
          <w:szCs w:val="20"/>
        </w:rPr>
        <w:t xml:space="preserve">, que demuestren preexistencia conforme los literales a) y b) de la presente disposición, </w:t>
      </w:r>
      <w:r w:rsidR="00E71015">
        <w:rPr>
          <w:sz w:val="20"/>
          <w:szCs w:val="20"/>
        </w:rPr>
        <w:t xml:space="preserve">la Secretaría de Territorio, Hábitat y Vivienda presentará para conocimiento de la Comisión de Uso de Suelo la propuesta de una Disposición transitoria específica para el tratamiento de estos casos. </w:t>
      </w:r>
    </w:p>
    <w:p w:rsidR="00E76CB0" w:rsidRDefault="00E76CB0" w:rsidP="005C05D4">
      <w:pPr>
        <w:spacing w:after="0" w:line="240" w:lineRule="auto"/>
        <w:jc w:val="both"/>
        <w:rPr>
          <w:sz w:val="20"/>
          <w:szCs w:val="20"/>
        </w:rPr>
      </w:pPr>
    </w:p>
    <w:p w:rsidR="00E76CB0" w:rsidRDefault="00E76CB0" w:rsidP="005C05D4">
      <w:pPr>
        <w:jc w:val="both"/>
        <w:rPr>
          <w:rFonts w:ascii="Calibri" w:eastAsia="Times New Roman" w:hAnsi="Calibri" w:cs="Times New Roman"/>
          <w:color w:val="000000"/>
          <w:sz w:val="20"/>
          <w:szCs w:val="20"/>
          <w:lang w:eastAsia="es-EC"/>
        </w:rPr>
      </w:pPr>
      <w:r w:rsidRPr="00D0707F">
        <w:rPr>
          <w:rFonts w:ascii="Calibri" w:eastAsia="Times New Roman" w:hAnsi="Calibri" w:cs="Times New Roman"/>
          <w:b/>
          <w:bCs/>
          <w:color w:val="000000"/>
          <w:sz w:val="20"/>
          <w:szCs w:val="20"/>
          <w:lang w:eastAsia="es-EC"/>
        </w:rPr>
        <w:t>Disposición Transitoria Tercera.-</w:t>
      </w:r>
      <w:r w:rsidRPr="00D0707F">
        <w:rPr>
          <w:rFonts w:ascii="Calibri" w:eastAsia="Times New Roman" w:hAnsi="Calibri" w:cs="Times New Roman"/>
          <w:color w:val="000000"/>
          <w:sz w:val="20"/>
          <w:szCs w:val="20"/>
          <w:lang w:eastAsia="es-EC"/>
        </w:rPr>
        <w:t xml:space="preserve"> Para las actividades económicas señaladas en la </w:t>
      </w:r>
      <w:r w:rsidR="005C05D4">
        <w:rPr>
          <w:rFonts w:ascii="Calibri" w:eastAsia="Times New Roman" w:hAnsi="Calibri" w:cs="Times New Roman"/>
          <w:color w:val="000000"/>
          <w:sz w:val="20"/>
          <w:szCs w:val="20"/>
          <w:lang w:eastAsia="es-EC"/>
        </w:rPr>
        <w:t xml:space="preserve">disposición transitoria </w:t>
      </w:r>
      <w:r w:rsidRPr="00D0707F">
        <w:rPr>
          <w:rFonts w:ascii="Calibri" w:eastAsia="Times New Roman" w:hAnsi="Calibri" w:cs="Times New Roman"/>
          <w:color w:val="000000"/>
          <w:sz w:val="20"/>
          <w:szCs w:val="20"/>
          <w:lang w:eastAsia="es-EC"/>
        </w:rPr>
        <w:t>primera de esta Ordenanza Metropolitana, las Administraciones Zonales en su respectiva circunscripción territorial, serán la Autoridad Administrativa Otorgante de la Licencia Metropolitana Única de Actividades Económicas (LUAE)  a través del Proce</w:t>
      </w:r>
      <w:r>
        <w:rPr>
          <w:rFonts w:ascii="Calibri" w:eastAsia="Times New Roman" w:hAnsi="Calibri" w:cs="Times New Roman"/>
          <w:color w:val="000000"/>
          <w:sz w:val="20"/>
          <w:szCs w:val="20"/>
          <w:lang w:eastAsia="es-EC"/>
        </w:rPr>
        <w:t>dimiento Ordinario</w:t>
      </w:r>
      <w:r w:rsidRPr="00D0707F">
        <w:rPr>
          <w:rFonts w:ascii="Calibri" w:eastAsia="Times New Roman" w:hAnsi="Calibri" w:cs="Times New Roman"/>
          <w:color w:val="000000"/>
          <w:sz w:val="20"/>
          <w:szCs w:val="20"/>
          <w:lang w:eastAsia="es-EC"/>
        </w:rPr>
        <w:t xml:space="preserve">; con excepción de las actividades económicas </w:t>
      </w:r>
      <w:r w:rsidR="005C05D4">
        <w:rPr>
          <w:rFonts w:ascii="Calibri" w:eastAsia="Times New Roman" w:hAnsi="Calibri" w:cs="Times New Roman"/>
          <w:color w:val="000000"/>
          <w:sz w:val="20"/>
          <w:szCs w:val="20"/>
          <w:lang w:eastAsia="es-EC"/>
        </w:rPr>
        <w:t xml:space="preserve">correspondientes a las tipologías CZ1A, CZ1B, CZ1C, CM1A, CZ4, I2, I3 </w:t>
      </w:r>
      <w:r w:rsidRPr="00D0707F">
        <w:rPr>
          <w:rFonts w:ascii="Calibri" w:eastAsia="Times New Roman" w:hAnsi="Calibri" w:cs="Times New Roman"/>
          <w:color w:val="000000"/>
          <w:sz w:val="20"/>
          <w:szCs w:val="20"/>
          <w:lang w:eastAsia="es-EC"/>
        </w:rPr>
        <w:t>y otras catalogadas como Categoría III</w:t>
      </w:r>
      <w:r>
        <w:rPr>
          <w:rFonts w:ascii="Calibri" w:eastAsia="Times New Roman" w:hAnsi="Calibri" w:cs="Times New Roman"/>
          <w:color w:val="000000"/>
          <w:sz w:val="20"/>
          <w:szCs w:val="20"/>
          <w:lang w:eastAsia="es-EC"/>
        </w:rPr>
        <w:t xml:space="preserve">, </w:t>
      </w:r>
      <w:r w:rsidRPr="00D0707F">
        <w:rPr>
          <w:rFonts w:ascii="Calibri" w:eastAsia="Times New Roman" w:hAnsi="Calibri" w:cs="Times New Roman"/>
          <w:color w:val="000000"/>
          <w:sz w:val="20"/>
          <w:szCs w:val="20"/>
          <w:lang w:eastAsia="es-EC"/>
        </w:rPr>
        <w:t>cuya Autoridad Administrativa Otorgante será la Secretaria responsable del territorio, hábitat y vivienda a través del Procedimiento Especial.</w:t>
      </w:r>
    </w:p>
    <w:p w:rsidR="00E76CB0" w:rsidRDefault="00E76CB0" w:rsidP="005C05D4">
      <w:pPr>
        <w:jc w:val="both"/>
        <w:rPr>
          <w:rFonts w:ascii="Calibri" w:eastAsia="Times New Roman" w:hAnsi="Calibri" w:cs="Times New Roman"/>
          <w:color w:val="000000"/>
          <w:sz w:val="20"/>
          <w:szCs w:val="20"/>
          <w:lang w:eastAsia="es-EC"/>
        </w:rPr>
      </w:pPr>
    </w:p>
    <w:p w:rsidR="00E76CB0" w:rsidRDefault="005C05D4" w:rsidP="005C05D4">
      <w:pPr>
        <w:spacing w:after="0" w:line="240" w:lineRule="auto"/>
        <w:jc w:val="both"/>
        <w:rPr>
          <w:sz w:val="20"/>
          <w:szCs w:val="20"/>
        </w:rPr>
      </w:pPr>
      <w:r>
        <w:rPr>
          <w:rFonts w:ascii="Calibri" w:eastAsia="Times New Roman" w:hAnsi="Calibri" w:cs="Times New Roman"/>
          <w:color w:val="000000"/>
          <w:sz w:val="20"/>
          <w:szCs w:val="20"/>
          <w:lang w:eastAsia="es-EC"/>
        </w:rPr>
        <w:lastRenderedPageBreak/>
        <w:t xml:space="preserve">Si </w:t>
      </w:r>
      <w:r w:rsidR="00E76CB0" w:rsidRPr="00D0707F">
        <w:rPr>
          <w:rFonts w:ascii="Calibri" w:eastAsia="Times New Roman" w:hAnsi="Calibri" w:cs="Times New Roman"/>
          <w:color w:val="000000"/>
          <w:sz w:val="20"/>
          <w:szCs w:val="20"/>
          <w:lang w:eastAsia="es-EC"/>
        </w:rPr>
        <w:t xml:space="preserve"> los establecimientos </w:t>
      </w:r>
      <w:r w:rsidR="00E76CB0">
        <w:rPr>
          <w:rFonts w:ascii="Calibri" w:eastAsia="Times New Roman" w:hAnsi="Calibri" w:cs="Times New Roman"/>
          <w:color w:val="000000"/>
          <w:sz w:val="20"/>
          <w:szCs w:val="20"/>
          <w:lang w:eastAsia="es-EC"/>
        </w:rPr>
        <w:t xml:space="preserve">que </w:t>
      </w:r>
      <w:r>
        <w:rPr>
          <w:rFonts w:ascii="Calibri" w:eastAsia="Times New Roman" w:hAnsi="Calibri" w:cs="Times New Roman"/>
          <w:color w:val="000000"/>
          <w:sz w:val="20"/>
          <w:szCs w:val="20"/>
          <w:lang w:eastAsia="es-EC"/>
        </w:rPr>
        <w:t xml:space="preserve">habiendo </w:t>
      </w:r>
      <w:r w:rsidR="00E76CB0">
        <w:rPr>
          <w:rFonts w:ascii="Calibri" w:eastAsia="Times New Roman" w:hAnsi="Calibri" w:cs="Times New Roman"/>
          <w:color w:val="000000"/>
          <w:sz w:val="20"/>
          <w:szCs w:val="20"/>
          <w:lang w:eastAsia="es-EC"/>
        </w:rPr>
        <w:t>iniciado el proceso de licenciamiento</w:t>
      </w:r>
      <w:r>
        <w:rPr>
          <w:rFonts w:ascii="Calibri" w:eastAsia="Times New Roman" w:hAnsi="Calibri" w:cs="Times New Roman"/>
          <w:color w:val="000000"/>
          <w:sz w:val="20"/>
          <w:szCs w:val="20"/>
          <w:lang w:eastAsia="es-EC"/>
        </w:rPr>
        <w:t>,</w:t>
      </w:r>
      <w:r w:rsidR="00E76CB0">
        <w:rPr>
          <w:rFonts w:ascii="Calibri" w:eastAsia="Times New Roman" w:hAnsi="Calibri" w:cs="Times New Roman"/>
          <w:color w:val="000000"/>
          <w:sz w:val="20"/>
          <w:szCs w:val="20"/>
          <w:lang w:eastAsia="es-EC"/>
        </w:rPr>
        <w:t xml:space="preserve"> </w:t>
      </w:r>
      <w:r w:rsidR="00E76CB0" w:rsidRPr="00D0707F">
        <w:rPr>
          <w:rFonts w:ascii="Calibri" w:eastAsia="Times New Roman" w:hAnsi="Calibri" w:cs="Times New Roman"/>
          <w:color w:val="000000"/>
          <w:sz w:val="20"/>
          <w:szCs w:val="20"/>
          <w:lang w:eastAsia="es-EC"/>
        </w:rPr>
        <w:t>amparados en lo señalado en esta Ordenanza Metropolitana</w:t>
      </w:r>
      <w:r w:rsidR="00E76CB0">
        <w:rPr>
          <w:rFonts w:ascii="Calibri" w:eastAsia="Times New Roman" w:hAnsi="Calibri" w:cs="Times New Roman"/>
          <w:color w:val="000000"/>
          <w:sz w:val="20"/>
          <w:szCs w:val="20"/>
          <w:lang w:eastAsia="es-EC"/>
        </w:rPr>
        <w:t>, les fuera ne</w:t>
      </w:r>
      <w:r>
        <w:rPr>
          <w:rFonts w:ascii="Calibri" w:eastAsia="Times New Roman" w:hAnsi="Calibri" w:cs="Times New Roman"/>
          <w:color w:val="000000"/>
          <w:sz w:val="20"/>
          <w:szCs w:val="20"/>
          <w:lang w:eastAsia="es-EC"/>
        </w:rPr>
        <w:t>gado el otorgamiento de la LUAE</w:t>
      </w:r>
      <w:r w:rsidR="00E76CB0">
        <w:rPr>
          <w:rFonts w:ascii="Calibri" w:eastAsia="Times New Roman" w:hAnsi="Calibri" w:cs="Times New Roman"/>
          <w:color w:val="000000"/>
          <w:sz w:val="20"/>
          <w:szCs w:val="20"/>
          <w:lang w:eastAsia="es-EC"/>
        </w:rPr>
        <w:t xml:space="preserve"> o</w:t>
      </w:r>
      <w:r>
        <w:rPr>
          <w:rFonts w:ascii="Calibri" w:eastAsia="Times New Roman" w:hAnsi="Calibri" w:cs="Times New Roman"/>
          <w:color w:val="000000"/>
          <w:sz w:val="20"/>
          <w:szCs w:val="20"/>
          <w:lang w:eastAsia="es-EC"/>
        </w:rPr>
        <w:t>;</w:t>
      </w:r>
      <w:r w:rsidR="00E76CB0">
        <w:rPr>
          <w:rFonts w:ascii="Calibri" w:eastAsia="Times New Roman" w:hAnsi="Calibri" w:cs="Times New Roman"/>
          <w:color w:val="000000"/>
          <w:sz w:val="20"/>
          <w:szCs w:val="20"/>
          <w:lang w:eastAsia="es-EC"/>
        </w:rPr>
        <w:t xml:space="preserve"> si obtenida la LUAE esta fuera extinta  conforme al ord</w:t>
      </w:r>
      <w:r>
        <w:rPr>
          <w:rFonts w:ascii="Calibri" w:eastAsia="Times New Roman" w:hAnsi="Calibri" w:cs="Times New Roman"/>
          <w:color w:val="000000"/>
          <w:sz w:val="20"/>
          <w:szCs w:val="20"/>
          <w:lang w:eastAsia="es-EC"/>
        </w:rPr>
        <w:t>enamiento metropolitano vigente,</w:t>
      </w:r>
      <w:r w:rsidR="00E76CB0">
        <w:rPr>
          <w:rFonts w:ascii="Calibri" w:eastAsia="Times New Roman" w:hAnsi="Calibri" w:cs="Times New Roman"/>
          <w:color w:val="000000"/>
          <w:sz w:val="20"/>
          <w:szCs w:val="20"/>
          <w:lang w:eastAsia="es-EC"/>
        </w:rPr>
        <w:t xml:space="preserve"> </w:t>
      </w:r>
      <w:r w:rsidR="00E76CB0" w:rsidRPr="00D0707F">
        <w:rPr>
          <w:rFonts w:ascii="Calibri" w:eastAsia="Times New Roman" w:hAnsi="Calibri" w:cs="Times New Roman"/>
          <w:color w:val="000000"/>
          <w:sz w:val="20"/>
          <w:szCs w:val="20"/>
          <w:lang w:eastAsia="es-EC"/>
        </w:rPr>
        <w:t>no podrán acogerse nuevamente a este procedimiento, es decir, no podrán iniciar un nuevo proceso de licenciamiento ni obtener renovación alguna de LUAE por parte de cualquier persona natural o jurídica</w:t>
      </w:r>
      <w:r>
        <w:rPr>
          <w:rFonts w:ascii="Calibri" w:eastAsia="Times New Roman" w:hAnsi="Calibri" w:cs="Times New Roman"/>
          <w:color w:val="000000"/>
          <w:sz w:val="20"/>
          <w:szCs w:val="20"/>
          <w:lang w:eastAsia="es-EC"/>
        </w:rPr>
        <w:t>,</w:t>
      </w:r>
      <w:r w:rsidR="00E76CB0" w:rsidRPr="00D0707F">
        <w:rPr>
          <w:rFonts w:ascii="Calibri" w:eastAsia="Times New Roman" w:hAnsi="Calibri" w:cs="Times New Roman"/>
          <w:color w:val="000000"/>
          <w:sz w:val="20"/>
          <w:szCs w:val="20"/>
          <w:lang w:eastAsia="es-EC"/>
        </w:rPr>
        <w:t xml:space="preserve"> para esa actividad e</w:t>
      </w:r>
      <w:r>
        <w:rPr>
          <w:rFonts w:ascii="Calibri" w:eastAsia="Times New Roman" w:hAnsi="Calibri" w:cs="Times New Roman"/>
          <w:color w:val="000000"/>
          <w:sz w:val="20"/>
          <w:szCs w:val="20"/>
          <w:lang w:eastAsia="es-EC"/>
        </w:rPr>
        <w:t>n el predio y/o establecimiento objeto de la solicitud o licenciamiento.</w:t>
      </w:r>
    </w:p>
    <w:bookmarkEnd w:id="0"/>
    <w:p w:rsidR="00D03B7F" w:rsidRDefault="005C05D4" w:rsidP="005C05D4">
      <w:pPr>
        <w:spacing w:after="0" w:line="240" w:lineRule="auto"/>
        <w:jc w:val="both"/>
      </w:pPr>
    </w:p>
    <w:sectPr w:rsidR="00D03B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A7"/>
    <w:rsid w:val="002B6BD5"/>
    <w:rsid w:val="003540E1"/>
    <w:rsid w:val="00385E09"/>
    <w:rsid w:val="003A3826"/>
    <w:rsid w:val="005B4DE6"/>
    <w:rsid w:val="005C05D4"/>
    <w:rsid w:val="008431B2"/>
    <w:rsid w:val="00B13E10"/>
    <w:rsid w:val="00D52676"/>
    <w:rsid w:val="00E71015"/>
    <w:rsid w:val="00E76CB0"/>
    <w:rsid w:val="00F04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A7"/>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A7"/>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Yhoana Lorelain Mogrovejo Jaramillo</dc:creator>
  <cp:lastModifiedBy>Yhoana Lorelain Mogrovejo Jaramillo</cp:lastModifiedBy>
  <cp:revision>8</cp:revision>
  <cp:lastPrinted>2017-07-27T16:49:00Z</cp:lastPrinted>
  <dcterms:created xsi:type="dcterms:W3CDTF">2017-07-27T14:46:00Z</dcterms:created>
  <dcterms:modified xsi:type="dcterms:W3CDTF">2017-07-27T18:07:00Z</dcterms:modified>
</cp:coreProperties>
</file>