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BE" w:rsidRPr="00EA1685" w:rsidRDefault="006E2F77" w:rsidP="00EA1685">
      <w:pPr>
        <w:pStyle w:val="Ttulo"/>
        <w:spacing w:after="120" w:line="276" w:lineRule="auto"/>
        <w:rPr>
          <w:rFonts w:ascii="Palatino Linotype" w:hAnsi="Palatino Linotype" w:cstheme="minorHAnsi"/>
          <w:sz w:val="22"/>
          <w:szCs w:val="22"/>
          <w:lang w:val="es-ES"/>
        </w:rPr>
      </w:pPr>
      <w:r w:rsidRPr="00EA1685">
        <w:rPr>
          <w:rFonts w:ascii="Palatino Linotype" w:hAnsi="Palatino Linotype" w:cstheme="minorHAnsi"/>
          <w:sz w:val="22"/>
          <w:szCs w:val="22"/>
          <w:lang w:val="es-ES"/>
        </w:rPr>
        <w:t>EXPOSICION DE MOTIVOS</w:t>
      </w:r>
    </w:p>
    <w:p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Según lo establecido en el artículo  84 del Código Orgánico de Organización  Territorial, Autonomía y Descentralización COOTAD,   las Funciones</w:t>
      </w:r>
      <w:r w:rsidRPr="00C250CB">
        <w:rPr>
          <w:rFonts w:ascii="Palatino Linotype" w:hAnsi="Palatino Linotype" w:cstheme="minorHAnsi"/>
          <w:i/>
          <w:lang w:eastAsia="ar-SA"/>
        </w:rPr>
        <w:t xml:space="preserve"> </w:t>
      </w:r>
      <w:r w:rsidRPr="00C250CB">
        <w:rPr>
          <w:rFonts w:ascii="Palatino Linotype" w:hAnsi="Palatino Linotype" w:cstheme="minorHAnsi"/>
          <w:lang w:eastAsia="ar-SA"/>
        </w:rPr>
        <w:t>del gobierno del distrito autónomo metropolitano son: 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8091C" w:rsidRPr="00C250CB" w:rsidRDefault="0098091C" w:rsidP="0098091C">
      <w:pPr>
        <w:widowControl w:val="0"/>
        <w:autoSpaceDE w:val="0"/>
        <w:autoSpaceDN w:val="0"/>
        <w:adjustRightInd w:val="0"/>
        <w:spacing w:after="120" w:line="276" w:lineRule="auto"/>
        <w:ind w:right="64"/>
        <w:jc w:val="both"/>
        <w:rPr>
          <w:rFonts w:ascii="Palatino Linotype" w:hAnsi="Palatino Linotype" w:cstheme="minorHAnsi"/>
          <w:lang w:eastAsia="ar-SA"/>
        </w:rPr>
      </w:pPr>
      <w:r>
        <w:rPr>
          <w:rFonts w:ascii="Palatino Linotype" w:hAnsi="Palatino Linotype" w:cstheme="minorHAnsi"/>
          <w:lang w:eastAsia="ar-SA"/>
        </w:rPr>
        <w:tab/>
      </w:r>
      <w:r w:rsidRPr="00C250CB">
        <w:rPr>
          <w:rFonts w:ascii="Palatino Linotype" w:hAnsi="Palatino Linotype" w:cstheme="minorHAnsi"/>
          <w:lang w:eastAsia="ar-SA"/>
        </w:rPr>
        <w:t>El Código Orgánico de Organización Territorial, Autonomía y Descentralización</w:t>
      </w:r>
      <w:r>
        <w:rPr>
          <w:rFonts w:ascii="Palatino Linotype" w:hAnsi="Palatino Linotype" w:cstheme="minorHAnsi"/>
          <w:lang w:eastAsia="ar-SA"/>
        </w:rPr>
        <w:t xml:space="preserve"> -</w:t>
      </w:r>
      <w:r w:rsidRPr="00C250CB">
        <w:rPr>
          <w:rFonts w:ascii="Palatino Linotype" w:hAnsi="Palatino Linotype" w:cstheme="minorHAnsi"/>
          <w:lang w:eastAsia="ar-SA"/>
        </w:rPr>
        <w:t xml:space="preserve"> COOTAD; el Código Orgánico de Planificación y Finanzas Públicas y las disposiciones de SENPLADES así como</w:t>
      </w:r>
      <w:r w:rsidRPr="00C250CB">
        <w:rPr>
          <w:rFonts w:ascii="Palatino Linotype" w:hAnsi="Palatino Linotype" w:cstheme="minorHAnsi"/>
        </w:rPr>
        <w:t xml:space="preserve"> l</w:t>
      </w:r>
      <w:r w:rsidRPr="00C250CB">
        <w:rPr>
          <w:rFonts w:ascii="Palatino Linotype" w:hAnsi="Palatino Linotype" w:cstheme="minorHAnsi"/>
          <w:spacing w:val="1"/>
        </w:rPr>
        <w:t>a</w:t>
      </w:r>
      <w:r w:rsidRPr="00C250CB">
        <w:rPr>
          <w:rFonts w:ascii="Palatino Linotype" w:hAnsi="Palatino Linotype" w:cstheme="minorHAnsi"/>
        </w:rPr>
        <w:t>s</w:t>
      </w:r>
      <w:r w:rsidRPr="00C250CB">
        <w:rPr>
          <w:rFonts w:ascii="Palatino Linotype" w:hAnsi="Palatino Linotype" w:cstheme="minorHAnsi"/>
          <w:spacing w:val="2"/>
        </w:rPr>
        <w:t xml:space="preserve"> </w:t>
      </w:r>
      <w:r w:rsidRPr="00C250CB">
        <w:rPr>
          <w:rFonts w:ascii="Palatino Linotype" w:hAnsi="Palatino Linotype" w:cstheme="minorHAnsi"/>
          <w:spacing w:val="-2"/>
          <w:w w:val="102"/>
        </w:rPr>
        <w:t>p</w:t>
      </w:r>
      <w:r w:rsidRPr="00C250CB">
        <w:rPr>
          <w:rFonts w:ascii="Palatino Linotype" w:hAnsi="Palatino Linotype" w:cstheme="minorHAnsi"/>
          <w:w w:val="102"/>
        </w:rPr>
        <w:t>r</w:t>
      </w:r>
      <w:r w:rsidRPr="00C250CB">
        <w:rPr>
          <w:rFonts w:ascii="Palatino Linotype" w:hAnsi="Palatino Linotype" w:cstheme="minorHAnsi"/>
          <w:spacing w:val="-2"/>
          <w:w w:val="102"/>
        </w:rPr>
        <w:t>o</w:t>
      </w:r>
      <w:r w:rsidRPr="00C250CB">
        <w:rPr>
          <w:rFonts w:ascii="Palatino Linotype" w:hAnsi="Palatino Linotype" w:cstheme="minorHAnsi"/>
          <w:spacing w:val="1"/>
          <w:w w:val="102"/>
        </w:rPr>
        <w:t>pu</w:t>
      </w:r>
      <w:r w:rsidRPr="00C250CB">
        <w:rPr>
          <w:rFonts w:ascii="Palatino Linotype" w:hAnsi="Palatino Linotype" w:cstheme="minorHAnsi"/>
          <w:spacing w:val="-2"/>
          <w:w w:val="102"/>
        </w:rPr>
        <w:t>e</w:t>
      </w:r>
      <w:r w:rsidRPr="00C250CB">
        <w:rPr>
          <w:rFonts w:ascii="Palatino Linotype" w:hAnsi="Palatino Linotype" w:cstheme="minorHAnsi"/>
          <w:spacing w:val="1"/>
          <w:w w:val="102"/>
        </w:rPr>
        <w:t>s</w:t>
      </w:r>
      <w:r w:rsidRPr="00C250CB">
        <w:rPr>
          <w:rFonts w:ascii="Palatino Linotype" w:hAnsi="Palatino Linotype" w:cstheme="minorHAnsi"/>
          <w:spacing w:val="-2"/>
          <w:w w:val="102"/>
        </w:rPr>
        <w:t>ta</w:t>
      </w:r>
      <w:r w:rsidRPr="00C250CB">
        <w:rPr>
          <w:rFonts w:ascii="Palatino Linotype" w:hAnsi="Palatino Linotype" w:cstheme="minorHAnsi"/>
          <w:w w:val="102"/>
        </w:rPr>
        <w:t xml:space="preserve">s </w:t>
      </w:r>
      <w:r w:rsidRPr="00C250CB">
        <w:rPr>
          <w:rFonts w:ascii="Palatino Linotype" w:hAnsi="Palatino Linotype" w:cstheme="minorHAnsi"/>
          <w:spacing w:val="1"/>
        </w:rPr>
        <w:t>e</w:t>
      </w:r>
      <w:r w:rsidRPr="00C250CB">
        <w:rPr>
          <w:rFonts w:ascii="Palatino Linotype" w:hAnsi="Palatino Linotype" w:cstheme="minorHAnsi"/>
        </w:rPr>
        <w:t>l</w:t>
      </w:r>
      <w:r w:rsidRPr="00C250CB">
        <w:rPr>
          <w:rFonts w:ascii="Palatino Linotype" w:hAnsi="Palatino Linotype" w:cstheme="minorHAnsi"/>
          <w:spacing w:val="1"/>
        </w:rPr>
        <w:t>ec</w:t>
      </w:r>
      <w:r w:rsidRPr="00C250CB">
        <w:rPr>
          <w:rFonts w:ascii="Palatino Linotype" w:hAnsi="Palatino Linotype" w:cstheme="minorHAnsi"/>
        </w:rPr>
        <w:t>t</w:t>
      </w:r>
      <w:r w:rsidRPr="00C250CB">
        <w:rPr>
          <w:rFonts w:ascii="Palatino Linotype" w:hAnsi="Palatino Linotype" w:cstheme="minorHAnsi"/>
          <w:spacing w:val="-2"/>
        </w:rPr>
        <w:t>o</w:t>
      </w:r>
      <w:r w:rsidRPr="00C250CB">
        <w:rPr>
          <w:rFonts w:ascii="Palatino Linotype" w:hAnsi="Palatino Linotype" w:cstheme="minorHAnsi"/>
        </w:rPr>
        <w:t>r</w:t>
      </w:r>
      <w:r w:rsidRPr="00C250CB">
        <w:rPr>
          <w:rFonts w:ascii="Palatino Linotype" w:hAnsi="Palatino Linotype" w:cstheme="minorHAnsi"/>
          <w:spacing w:val="-2"/>
        </w:rPr>
        <w:t>a</w:t>
      </w:r>
      <w:r w:rsidRPr="00C250CB">
        <w:rPr>
          <w:rFonts w:ascii="Palatino Linotype" w:hAnsi="Palatino Linotype" w:cstheme="minorHAnsi"/>
        </w:rPr>
        <w:t>l</w:t>
      </w:r>
      <w:r w:rsidRPr="00C250CB">
        <w:rPr>
          <w:rFonts w:ascii="Palatino Linotype" w:hAnsi="Palatino Linotype" w:cstheme="minorHAnsi"/>
          <w:spacing w:val="-2"/>
        </w:rPr>
        <w:t>e</w:t>
      </w:r>
      <w:r w:rsidRPr="00C250CB">
        <w:rPr>
          <w:rFonts w:ascii="Palatino Linotype" w:hAnsi="Palatino Linotype" w:cstheme="minorHAnsi"/>
        </w:rPr>
        <w:t>s</w:t>
      </w:r>
      <w:r w:rsidRPr="00C250CB">
        <w:rPr>
          <w:rFonts w:ascii="Palatino Linotype" w:hAnsi="Palatino Linotype" w:cstheme="minorHAnsi"/>
          <w:spacing w:val="5"/>
        </w:rPr>
        <w:t xml:space="preserve">  planteadas por </w:t>
      </w:r>
      <w:r w:rsidRPr="00C250CB">
        <w:rPr>
          <w:rFonts w:ascii="Palatino Linotype" w:hAnsi="Palatino Linotype" w:cstheme="minorHAnsi"/>
          <w:lang w:eastAsia="ar-SA"/>
        </w:rPr>
        <w:t xml:space="preserve">el Alcalde Metropolitano, constituyeron el referente para la </w:t>
      </w:r>
      <w:proofErr w:type="gramStart"/>
      <w:r w:rsidRPr="00C250CB">
        <w:rPr>
          <w:rFonts w:ascii="Palatino Linotype" w:hAnsi="Palatino Linotype" w:cstheme="minorHAnsi"/>
          <w:lang w:eastAsia="ar-SA"/>
        </w:rPr>
        <w:t>elaboración</w:t>
      </w:r>
      <w:proofErr w:type="gramEnd"/>
      <w:r w:rsidRPr="00C250CB">
        <w:rPr>
          <w:rFonts w:ascii="Palatino Linotype" w:hAnsi="Palatino Linotype" w:cstheme="minorHAnsi"/>
          <w:lang w:eastAsia="ar-SA"/>
        </w:rPr>
        <w:t xml:space="preserve"> y aprobación del Plan Metropolitano de Desarrollo y Ordenamiento Territorial del Distrito Metropolitano de Quito (PMDOT 2015-2025) instrumento de planificación del territorio distrital que contiene las directrices estratégicas del desarrollo, con una visión de corto, mediano y largo plazo; y, determina la forma de organización del territorio para el logro del desarrollo sostenible; incorporando la movilidad como elemento articulador entre el desarrollo y el territorio.</w:t>
      </w:r>
    </w:p>
    <w:p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La Ordenanza Metropolitana No. 0041</w:t>
      </w:r>
      <w:r>
        <w:rPr>
          <w:rFonts w:ascii="Palatino Linotype" w:hAnsi="Palatino Linotype" w:cstheme="minorHAnsi"/>
          <w:lang w:eastAsia="ar-SA"/>
        </w:rPr>
        <w:t>,</w:t>
      </w:r>
      <w:r w:rsidRPr="00C250CB">
        <w:rPr>
          <w:rFonts w:ascii="Palatino Linotype" w:hAnsi="Palatino Linotype" w:cstheme="minorHAnsi"/>
          <w:lang w:eastAsia="ar-SA"/>
        </w:rPr>
        <w:t xml:space="preserve"> que aprueba el Plan Metropolitano de Desarrollo y Ordenamiento Territorial del Distrito Metropolitano de Quito, publicada en el Suplemento Especial del Registro Oficial No. 467 del 26 de marzo de 2015, aprueba y expide el Plan Metropolitano de Desarrollo y Ordenamiento Territorial como su Anexo Único y delega a la Secretaría de Territorio, Hábitat y Vivienda para que en el plazo máximo de nueve meses contados a partir de la vigencia de la referida ordenanza, presente para aprobación del Concejo Metropolitano el Plan de Uso y Ocupación del Suelo (PUOS) actualizado.</w:t>
      </w:r>
    </w:p>
    <w:p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Mediante oficio No. STHV-DMPPS-5950 de 17 de diciembre de 2015, la Secretaría de Territorio, Hábitat y Vivienda  emite el informe técnico con las consideraciones por las cuales es necesario modificar el plazo establecido en la Disposición Transitoria Única de la Ordenanza Metropolitana No. 041, pasando de nueve a once meses, fundamento sobre el cual el Concejo Metropolitano de Quito, expide la Ordenanza No. 0095 Reformatoria de la Ordenanza Metropolitana No. 041, sancionada el 28 de diciembre de 2015.</w:t>
      </w:r>
    </w:p>
    <w:p w:rsidR="0098091C" w:rsidRPr="00C250CB" w:rsidRDefault="0098091C" w:rsidP="0098091C">
      <w:pPr>
        <w:pStyle w:val="Textoindependiente"/>
        <w:spacing w:line="276" w:lineRule="auto"/>
        <w:ind w:firstLine="708"/>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 xml:space="preserve">El Plan de Uso y Ocupación de Suelo (PUOS) es un instrumento de regulación metropolitana que, de acuerdo con la  Ordenanza Metropolitana del Régimen de Suelo,  </w:t>
      </w:r>
      <w:r w:rsidRPr="00C250CB">
        <w:rPr>
          <w:rFonts w:ascii="Palatino Linotype" w:hAnsi="Palatino Linotype" w:cstheme="minorHAnsi"/>
          <w:sz w:val="22"/>
          <w:szCs w:val="22"/>
          <w:lang w:val="es-EC" w:eastAsia="ar-SA"/>
        </w:rPr>
        <w:lastRenderedPageBreak/>
        <w:t xml:space="preserve">tiene por objeto la estructuración de la admisibilidad de usos y la edificación mediante la fijación de los parámetros y normas específicas para  el uso, ocupación, habilitación del suelo y edificación. Tiene una vigencia de cinco años y puede ser actualizado únicamente mediante la formulación de planes parciales, planes especiales y proyectos especiales. </w:t>
      </w:r>
    </w:p>
    <w:p w:rsidR="0098091C" w:rsidRPr="00C250CB" w:rsidRDefault="0098091C" w:rsidP="0098091C">
      <w:pPr>
        <w:pStyle w:val="Textoindependiente"/>
        <w:spacing w:line="276" w:lineRule="auto"/>
        <w:ind w:firstLine="708"/>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Dentro del proceso de actualización del PUOS, la Secretaría de Territorio, Hábitat y Vivienda, ha revisado las solicitudes de diverso origen y naturaleza de los últimos cinco años  relacionadas con pedidos para el cambio de las asignaciones de usos de suelo y zonificación, se han analizado sectores donde la dinámica urbana ha entrado en contradicción con la regulación del uso y la ocupación del suelo, así como ajustes a las compatibilidades de  usos de suelo, entre otros; se han incorporado en la actualización, los asentamientos humanos de hecho y consolidados regularizados por la Unidad Especial de Regulación de Barrios y los proyectos especiales aprobados en el último quinquenio.</w:t>
      </w:r>
    </w:p>
    <w:p w:rsidR="0098091C" w:rsidRPr="00C250CB" w:rsidRDefault="0098091C" w:rsidP="0098091C">
      <w:pPr>
        <w:pStyle w:val="Textoindependiente"/>
        <w:spacing w:line="276" w:lineRule="auto"/>
        <w:ind w:firstLine="708"/>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El proceso de actualización del PUOS ha demandado la acción coordinada entre las instancias metropolitanas –Secretarías, Empresas de Servicios, Administraciones Zonales, Direcciones y Unidades- así como con los GAD provincial y parroquiales; y ha contado con el aporte de las Cámaras de Industrias y de la Construcción, el Colegio de Arquitectos,  y la participación de estudiantes pasantes de  la Escuela de Ciencias Geográfica</w:t>
      </w:r>
      <w:r w:rsidR="00E419FC">
        <w:rPr>
          <w:rFonts w:ascii="Palatino Linotype" w:hAnsi="Palatino Linotype" w:cstheme="minorHAnsi"/>
          <w:sz w:val="22"/>
          <w:szCs w:val="22"/>
          <w:lang w:val="es-EC" w:eastAsia="ar-SA"/>
        </w:rPr>
        <w:t>s</w:t>
      </w:r>
      <w:r w:rsidRPr="00C250CB">
        <w:rPr>
          <w:rFonts w:ascii="Palatino Linotype" w:hAnsi="Palatino Linotype" w:cstheme="minorHAnsi"/>
          <w:sz w:val="22"/>
          <w:szCs w:val="22"/>
          <w:lang w:val="es-EC" w:eastAsia="ar-SA"/>
        </w:rPr>
        <w:t xml:space="preserve"> de la Pontificia Universidad Católica de Quito y de la Facultad de Arquitectura y Urbanismo de la Universidad Central del Ecuador. </w:t>
      </w:r>
    </w:p>
    <w:p w:rsidR="0098091C" w:rsidRPr="00C250CB" w:rsidRDefault="0098091C" w:rsidP="0098091C">
      <w:pPr>
        <w:pStyle w:val="Textoindependiente"/>
        <w:spacing w:line="276" w:lineRule="auto"/>
        <w:ind w:firstLine="708"/>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El equipo técnico de la Dirección Metropolitana de Planeamiento y Políticas del Suelo de la Secretaría de Territorio, Hábitat y Vivienda empleó la metodología de observación y verificación en campo de los posibles cambios de asignaciones solicitados así como de recepción y procesamiento de la información actualizada de las instancias técnicas involucradas sobre catastros,  riesgos, servicios básicos y vialidad,  complementada con la información existente en la base informática propia.</w:t>
      </w:r>
    </w:p>
    <w:p w:rsidR="0098091C" w:rsidRPr="00C250CB" w:rsidRDefault="0098091C" w:rsidP="0098091C">
      <w:pPr>
        <w:spacing w:after="120" w:line="276" w:lineRule="auto"/>
        <w:ind w:firstLine="708"/>
        <w:contextualSpacing/>
        <w:jc w:val="both"/>
        <w:rPr>
          <w:rFonts w:ascii="Palatino Linotype" w:hAnsi="Palatino Linotype" w:cs="Times New Roman"/>
        </w:rPr>
      </w:pPr>
      <w:r w:rsidRPr="00C250CB">
        <w:rPr>
          <w:rFonts w:ascii="Palatino Linotype" w:hAnsi="Palatino Linotype" w:cs="Times New Roman"/>
        </w:rPr>
        <w:t xml:space="preserve">En el territorio distrital en general existen varias zonas expuestas a amenazas de origen natural y antrópico que pueden generar diferentes niveles de riesgo que limitan el aprovechamiento y utilización del suelo, según las vulnerabilidades identificadas. La entidad municipal responsable de la gestión de riesgos, es la encargada de proveer información sobre amenazas y vulnerabilidades identificadas en el DMQ.  A los lotes con asignación de riesgo (ZR), previo  análisis técnico se les reasignó datos de uso de suelo y zonificación. Además se han restituido las asignaciones de uso de suelo y </w:t>
      </w:r>
      <w:r w:rsidRPr="00C250CB">
        <w:rPr>
          <w:rFonts w:ascii="Palatino Linotype" w:hAnsi="Palatino Linotype" w:cs="Times New Roman"/>
        </w:rPr>
        <w:lastRenderedPageBreak/>
        <w:t xml:space="preserve">zonificación establecidas en el PUOS del año 2008, manteniendo la condición de protección por riesgos.   </w:t>
      </w:r>
    </w:p>
    <w:p w:rsidR="0098091C" w:rsidRPr="00C250CB" w:rsidRDefault="0098091C" w:rsidP="0098091C">
      <w:pPr>
        <w:pStyle w:val="Textoindependiente"/>
        <w:spacing w:line="276" w:lineRule="auto"/>
        <w:ind w:firstLine="360"/>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En la propuesta de actualización del Plan:</w:t>
      </w:r>
    </w:p>
    <w:p w:rsidR="0098091C" w:rsidRPr="00C250CB" w:rsidRDefault="0098091C" w:rsidP="0098091C">
      <w:pPr>
        <w:pStyle w:val="Textoindependiente"/>
        <w:numPr>
          <w:ilvl w:val="0"/>
          <w:numId w:val="1"/>
        </w:numPr>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 xml:space="preserve">Se  incorporan dos nuevos usos de suelo de tipología Residencial  en el área rural; </w:t>
      </w:r>
    </w:p>
    <w:p w:rsidR="0098091C" w:rsidRPr="00C250CB" w:rsidRDefault="0098091C" w:rsidP="0098091C">
      <w:pPr>
        <w:pStyle w:val="Textoindependiente"/>
        <w:numPr>
          <w:ilvl w:val="0"/>
          <w:numId w:val="1"/>
        </w:numPr>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Se han revisado y asignado usos y zonificaciones  a las zonas de riesgo del territorio distrital, manteniendo la afectación por riesgo que constará en los IRM respectivos; y,</w:t>
      </w:r>
    </w:p>
    <w:p w:rsidR="0098091C" w:rsidRPr="00C250CB" w:rsidRDefault="0098091C" w:rsidP="0098091C">
      <w:pPr>
        <w:pStyle w:val="Textoindependiente"/>
        <w:numPr>
          <w:ilvl w:val="0"/>
          <w:numId w:val="1"/>
        </w:numPr>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Se han incluido los cuadros de clasificación de los usos de suelo principal y complementario.</w:t>
      </w:r>
    </w:p>
    <w:p w:rsidR="0098091C" w:rsidRPr="00C250CB" w:rsidRDefault="0098091C" w:rsidP="0098091C">
      <w:pPr>
        <w:pStyle w:val="Textoindependiente"/>
        <w:spacing w:line="276" w:lineRule="auto"/>
        <w:ind w:firstLine="360"/>
        <w:jc w:val="both"/>
        <w:rPr>
          <w:rFonts w:ascii="Palatino Linotype" w:hAnsi="Palatino Linotype"/>
          <w:sz w:val="22"/>
          <w:szCs w:val="22"/>
          <w:lang w:val="es-EC" w:eastAsia="ar-SA"/>
        </w:rPr>
      </w:pPr>
      <w:r w:rsidRPr="00C250CB">
        <w:rPr>
          <w:rFonts w:ascii="Palatino Linotype" w:hAnsi="Palatino Linotype"/>
          <w:sz w:val="22"/>
          <w:szCs w:val="22"/>
          <w:lang w:val="es-EC" w:eastAsia="ar-SA"/>
        </w:rPr>
        <w:t>A partir de agosto de 2014, el equipo de trabajo de la Secretaría de Territorio, Hábitat y Vivienda,  en coordinación con la Comisión de Uso de Suelo del Concejo Metropolitano de Quito, ha presentado en sesiones ordinarias, extraordinarias, mesas de trabajo y socialización, los cambios propuestos dentro del PUOS, lo que ha permitido conocer,  analizar y plantear los ajustes correspondientes para resolución del Concejo Metropolitano.</w:t>
      </w:r>
    </w:p>
    <w:p w:rsidR="0098091C" w:rsidRPr="00C250CB" w:rsidRDefault="0098091C" w:rsidP="0098091C">
      <w:pPr>
        <w:pStyle w:val="Textoindependiente"/>
        <w:spacing w:line="276" w:lineRule="auto"/>
        <w:ind w:firstLine="360"/>
        <w:jc w:val="both"/>
        <w:rPr>
          <w:rFonts w:ascii="Palatino Linotype" w:hAnsi="Palatino Linotype"/>
          <w:sz w:val="22"/>
          <w:szCs w:val="22"/>
          <w:lang w:val="es-EC" w:eastAsia="ar-SA"/>
        </w:rPr>
      </w:pPr>
      <w:r w:rsidRPr="00C250CB">
        <w:rPr>
          <w:rFonts w:ascii="Palatino Linotype" w:hAnsi="Palatino Linotype"/>
          <w:sz w:val="22"/>
          <w:szCs w:val="22"/>
          <w:lang w:val="es-EC" w:eastAsia="ar-SA"/>
        </w:rPr>
        <w:t xml:space="preserve">El resultado del trabajo constituye el documento del Plan de Uso y Ocupación del Suelo y los mapas anexos. </w:t>
      </w:r>
    </w:p>
    <w:p w:rsidR="0098091C" w:rsidRPr="00C250CB" w:rsidRDefault="0098091C" w:rsidP="0098091C">
      <w:pPr>
        <w:pStyle w:val="Textoindependiente"/>
        <w:spacing w:line="276" w:lineRule="auto"/>
        <w:ind w:firstLine="360"/>
        <w:jc w:val="both"/>
        <w:rPr>
          <w:rFonts w:ascii="Palatino Linotype" w:hAnsi="Palatino Linotype" w:cstheme="minorHAnsi"/>
          <w:sz w:val="22"/>
          <w:szCs w:val="22"/>
          <w:lang w:val="es-EC" w:eastAsia="ar-SA"/>
        </w:rPr>
      </w:pPr>
      <w:r w:rsidRPr="00C250CB">
        <w:rPr>
          <w:rFonts w:ascii="Palatino Linotype" w:hAnsi="Palatino Linotype"/>
          <w:sz w:val="22"/>
          <w:szCs w:val="22"/>
          <w:lang w:val="es-EC" w:eastAsia="ar-SA"/>
        </w:rPr>
        <w:t>Cabe señalar que el proceso de actualización del PUOS ha tenido en cuenta  la Ley de Tierras Rurales  y Territorios Ancestrales, publicada en el RO No. 711 con fecha 14 de marzo del 2016, la cual caracteriza las tierras rurales por su uso productivo y protegido. A partir de esta ley se establecen nuevas condiciones para el aprovechamiento y restricciones establecidas sobre el suelo rural bajo el seguimiento y control de la Entidad Agraria Nacional.</w:t>
      </w:r>
    </w:p>
    <w:p w:rsidR="0098091C" w:rsidRPr="00C250CB" w:rsidRDefault="0098091C" w:rsidP="0098091C">
      <w:pPr>
        <w:pStyle w:val="Textoindependiente"/>
        <w:spacing w:line="276" w:lineRule="auto"/>
        <w:ind w:firstLine="360"/>
        <w:jc w:val="both"/>
        <w:rPr>
          <w:rFonts w:ascii="Palatino Linotype" w:hAnsi="Palatino Linotype" w:cstheme="minorHAnsi"/>
          <w:sz w:val="22"/>
          <w:szCs w:val="22"/>
          <w:lang w:val="es-EC"/>
        </w:rPr>
      </w:pPr>
      <w:r w:rsidRPr="00C250CB">
        <w:rPr>
          <w:rFonts w:ascii="Palatino Linotype" w:hAnsi="Palatino Linotype" w:cstheme="minorHAnsi"/>
          <w:sz w:val="22"/>
          <w:szCs w:val="22"/>
          <w:lang w:val="es-EC"/>
        </w:rPr>
        <w:t>El Instituto Nacional de Estadísticas y Censos – INEC, en su Censo de Población y Vivienda realizado en el año 2010, estableció la tabla de densidades netas e índices de composición familiar para parroquias urbanas y rurales del Distrito Metropolitano de Quito.</w:t>
      </w:r>
    </w:p>
    <w:p w:rsidR="00EA1685" w:rsidRDefault="00EA1685" w:rsidP="00EA1685">
      <w:pPr>
        <w:pStyle w:val="Textoindependiente"/>
        <w:spacing w:line="276" w:lineRule="auto"/>
        <w:jc w:val="both"/>
        <w:rPr>
          <w:rFonts w:ascii="Palatino Linotype" w:hAnsi="Palatino Linotype" w:cstheme="minorHAnsi"/>
          <w:sz w:val="22"/>
          <w:szCs w:val="22"/>
          <w:lang w:val="es-EC" w:eastAsia="ar-SA"/>
        </w:rPr>
        <w:sectPr w:rsidR="00EA1685" w:rsidSect="002B7291">
          <w:headerReference w:type="default" r:id="rId9"/>
          <w:pgSz w:w="11907" w:h="16839" w:code="9"/>
          <w:pgMar w:top="2269" w:right="1701" w:bottom="1417" w:left="1701" w:header="708" w:footer="708" w:gutter="0"/>
          <w:cols w:space="708"/>
          <w:docGrid w:linePitch="360"/>
        </w:sectPr>
      </w:pPr>
    </w:p>
    <w:p w:rsidR="00E56EBE" w:rsidRPr="00EA1685" w:rsidRDefault="006E2F77" w:rsidP="00EA1685">
      <w:pPr>
        <w:pStyle w:val="Textoindependiente"/>
        <w:spacing w:line="276" w:lineRule="auto"/>
        <w:jc w:val="center"/>
        <w:rPr>
          <w:rFonts w:ascii="Palatino Linotype" w:hAnsi="Palatino Linotype" w:cstheme="minorHAnsi"/>
          <w:b/>
          <w:sz w:val="22"/>
          <w:szCs w:val="22"/>
          <w:lang w:val="es-EC" w:eastAsia="ar-SA"/>
        </w:rPr>
      </w:pPr>
      <w:r w:rsidRPr="00EA1685">
        <w:rPr>
          <w:rFonts w:ascii="Palatino Linotype" w:hAnsi="Palatino Linotype" w:cstheme="minorHAnsi"/>
          <w:b/>
          <w:sz w:val="22"/>
          <w:szCs w:val="22"/>
          <w:lang w:val="es-EC" w:eastAsia="ar-SA"/>
        </w:rPr>
        <w:lastRenderedPageBreak/>
        <w:t>El CONCEJO METROPOLITANO DE QUITO</w:t>
      </w:r>
    </w:p>
    <w:p w:rsidR="00E56EBE" w:rsidRPr="00EA1685" w:rsidRDefault="006E2F77" w:rsidP="00EA1685">
      <w:pPr>
        <w:pStyle w:val="Textoindependiente"/>
        <w:spacing w:line="276" w:lineRule="auto"/>
        <w:jc w:val="both"/>
        <w:rPr>
          <w:rFonts w:ascii="Palatino Linotype" w:hAnsi="Palatino Linotype" w:cstheme="minorHAnsi"/>
          <w:sz w:val="22"/>
          <w:szCs w:val="22"/>
          <w:lang w:val="es-EC" w:eastAsia="ar-SA"/>
        </w:rPr>
      </w:pPr>
      <w:r w:rsidRPr="0098091C">
        <w:rPr>
          <w:rFonts w:ascii="Palatino Linotype" w:hAnsi="Palatino Linotype" w:cstheme="minorHAnsi"/>
          <w:sz w:val="22"/>
          <w:szCs w:val="22"/>
          <w:lang w:val="es-EC" w:eastAsia="ar-SA"/>
        </w:rPr>
        <w:t>Visto</w:t>
      </w:r>
      <w:r w:rsidR="00EA1685" w:rsidRPr="0098091C">
        <w:rPr>
          <w:rFonts w:ascii="Palatino Linotype" w:hAnsi="Palatino Linotype" w:cstheme="minorHAnsi"/>
          <w:sz w:val="22"/>
          <w:szCs w:val="22"/>
          <w:lang w:val="es-EC" w:eastAsia="ar-SA"/>
        </w:rPr>
        <w:t>s</w:t>
      </w:r>
      <w:r w:rsidRPr="0098091C">
        <w:rPr>
          <w:rFonts w:ascii="Palatino Linotype" w:hAnsi="Palatino Linotype" w:cstheme="minorHAnsi"/>
          <w:sz w:val="22"/>
          <w:szCs w:val="22"/>
          <w:lang w:val="es-EC" w:eastAsia="ar-SA"/>
        </w:rPr>
        <w:t xml:space="preserve"> </w:t>
      </w:r>
      <w:r w:rsidR="00EA1685" w:rsidRPr="0098091C">
        <w:rPr>
          <w:rFonts w:ascii="Palatino Linotype" w:hAnsi="Palatino Linotype" w:cstheme="minorHAnsi"/>
          <w:sz w:val="22"/>
          <w:szCs w:val="22"/>
          <w:lang w:val="es-EC" w:eastAsia="ar-SA"/>
        </w:rPr>
        <w:t>los</w:t>
      </w:r>
      <w:r w:rsidRPr="0098091C">
        <w:rPr>
          <w:rFonts w:ascii="Palatino Linotype" w:hAnsi="Palatino Linotype" w:cstheme="minorHAnsi"/>
          <w:sz w:val="22"/>
          <w:szCs w:val="22"/>
          <w:lang w:val="es-EC" w:eastAsia="ar-SA"/>
        </w:rPr>
        <w:t xml:space="preserve"> inf</w:t>
      </w:r>
      <w:r w:rsidR="00213925" w:rsidRPr="0098091C">
        <w:rPr>
          <w:rFonts w:ascii="Palatino Linotype" w:hAnsi="Palatino Linotype" w:cstheme="minorHAnsi"/>
          <w:sz w:val="22"/>
          <w:szCs w:val="22"/>
          <w:lang w:val="es-EC" w:eastAsia="ar-SA"/>
        </w:rPr>
        <w:t>orme</w:t>
      </w:r>
      <w:r w:rsidR="00EA1685" w:rsidRPr="0098091C">
        <w:rPr>
          <w:rFonts w:ascii="Palatino Linotype" w:hAnsi="Palatino Linotype" w:cstheme="minorHAnsi"/>
          <w:sz w:val="22"/>
          <w:szCs w:val="22"/>
          <w:lang w:val="es-EC" w:eastAsia="ar-SA"/>
        </w:rPr>
        <w:t>s</w:t>
      </w:r>
      <w:r w:rsidR="00213925" w:rsidRPr="0098091C">
        <w:rPr>
          <w:rFonts w:ascii="Palatino Linotype" w:hAnsi="Palatino Linotype" w:cstheme="minorHAnsi"/>
          <w:sz w:val="22"/>
          <w:szCs w:val="22"/>
          <w:lang w:val="es-EC" w:eastAsia="ar-SA"/>
        </w:rPr>
        <w:t xml:space="preserve"> No</w:t>
      </w:r>
      <w:r w:rsidR="00EA1685" w:rsidRPr="0098091C">
        <w:rPr>
          <w:rFonts w:ascii="Palatino Linotype" w:hAnsi="Palatino Linotype" w:cstheme="minorHAnsi"/>
          <w:sz w:val="22"/>
          <w:szCs w:val="22"/>
          <w:lang w:val="es-EC" w:eastAsia="ar-SA"/>
        </w:rPr>
        <w:t>s</w:t>
      </w:r>
      <w:r w:rsidR="00213925" w:rsidRPr="0098091C">
        <w:rPr>
          <w:rFonts w:ascii="Palatino Linotype" w:hAnsi="Palatino Linotype" w:cstheme="minorHAnsi"/>
          <w:sz w:val="22"/>
          <w:szCs w:val="22"/>
          <w:lang w:val="es-EC" w:eastAsia="ar-SA"/>
        </w:rPr>
        <w:t>. IC-O-2016-</w:t>
      </w:r>
      <w:r w:rsidR="0098091C" w:rsidRPr="0098091C">
        <w:rPr>
          <w:rFonts w:ascii="Palatino Linotype" w:hAnsi="Palatino Linotype" w:cstheme="minorHAnsi"/>
          <w:sz w:val="22"/>
          <w:szCs w:val="22"/>
          <w:lang w:val="es-EC" w:eastAsia="ar-SA"/>
        </w:rPr>
        <w:t>116</w:t>
      </w:r>
      <w:r w:rsidR="00EA1685" w:rsidRPr="0098091C">
        <w:rPr>
          <w:rFonts w:ascii="Palatino Linotype" w:hAnsi="Palatino Linotype" w:cstheme="minorHAnsi"/>
          <w:sz w:val="22"/>
          <w:szCs w:val="22"/>
          <w:lang w:val="es-EC" w:eastAsia="ar-SA"/>
        </w:rPr>
        <w:t xml:space="preserve"> e IC-O-2016-</w:t>
      </w:r>
      <w:r w:rsidR="0098091C" w:rsidRPr="0098091C">
        <w:rPr>
          <w:rFonts w:ascii="Palatino Linotype" w:hAnsi="Palatino Linotype" w:cstheme="minorHAnsi"/>
          <w:sz w:val="22"/>
          <w:szCs w:val="22"/>
          <w:lang w:val="es-EC" w:eastAsia="ar-SA"/>
        </w:rPr>
        <w:t>122</w:t>
      </w:r>
      <w:r w:rsidR="00EA1685" w:rsidRPr="0098091C">
        <w:rPr>
          <w:rFonts w:ascii="Palatino Linotype" w:hAnsi="Palatino Linotype" w:cstheme="minorHAnsi"/>
          <w:sz w:val="22"/>
          <w:szCs w:val="22"/>
          <w:lang w:val="es-EC" w:eastAsia="ar-SA"/>
        </w:rPr>
        <w:t>, de</w:t>
      </w:r>
      <w:r w:rsidR="00213925" w:rsidRPr="0098091C">
        <w:rPr>
          <w:rFonts w:ascii="Palatino Linotype" w:hAnsi="Palatino Linotype" w:cstheme="minorHAnsi"/>
          <w:sz w:val="22"/>
          <w:szCs w:val="22"/>
          <w:lang w:val="es-EC" w:eastAsia="ar-SA"/>
        </w:rPr>
        <w:t xml:space="preserve"> </w:t>
      </w:r>
      <w:r w:rsidR="0098091C" w:rsidRPr="0098091C">
        <w:rPr>
          <w:rFonts w:ascii="Palatino Linotype" w:hAnsi="Palatino Linotype" w:cstheme="minorHAnsi"/>
          <w:sz w:val="22"/>
          <w:szCs w:val="22"/>
          <w:lang w:val="es-EC" w:eastAsia="ar-SA"/>
        </w:rPr>
        <w:t>28</w:t>
      </w:r>
      <w:r w:rsidR="00213925" w:rsidRPr="0098091C">
        <w:rPr>
          <w:rFonts w:ascii="Palatino Linotype" w:hAnsi="Palatino Linotype" w:cstheme="minorHAnsi"/>
          <w:sz w:val="22"/>
          <w:szCs w:val="22"/>
          <w:lang w:val="es-EC" w:eastAsia="ar-SA"/>
        </w:rPr>
        <w:t xml:space="preserve"> de </w:t>
      </w:r>
      <w:r w:rsidR="0098091C" w:rsidRPr="0098091C">
        <w:rPr>
          <w:rFonts w:ascii="Palatino Linotype" w:hAnsi="Palatino Linotype" w:cstheme="minorHAnsi"/>
          <w:sz w:val="22"/>
          <w:szCs w:val="22"/>
          <w:lang w:val="es-EC" w:eastAsia="ar-SA"/>
        </w:rPr>
        <w:t xml:space="preserve">junio y 11 de </w:t>
      </w:r>
      <w:r w:rsidR="00213925" w:rsidRPr="0098091C">
        <w:rPr>
          <w:rFonts w:ascii="Palatino Linotype" w:hAnsi="Palatino Linotype" w:cstheme="minorHAnsi"/>
          <w:sz w:val="22"/>
          <w:szCs w:val="22"/>
          <w:lang w:val="es-EC" w:eastAsia="ar-SA"/>
        </w:rPr>
        <w:t>julio</w:t>
      </w:r>
      <w:r w:rsidRPr="0098091C">
        <w:rPr>
          <w:rFonts w:ascii="Palatino Linotype" w:hAnsi="Palatino Linotype" w:cstheme="minorHAnsi"/>
          <w:sz w:val="22"/>
          <w:szCs w:val="22"/>
          <w:lang w:val="es-EC" w:eastAsia="ar-SA"/>
        </w:rPr>
        <w:t xml:space="preserve"> de 2016</w:t>
      </w:r>
      <w:r w:rsidR="00EA1685" w:rsidRPr="0098091C">
        <w:rPr>
          <w:rFonts w:ascii="Palatino Linotype" w:hAnsi="Palatino Linotype" w:cstheme="minorHAnsi"/>
          <w:sz w:val="22"/>
          <w:szCs w:val="22"/>
          <w:lang w:val="es-EC" w:eastAsia="ar-SA"/>
        </w:rPr>
        <w:t>, respectivamente,</w:t>
      </w:r>
      <w:r w:rsidRPr="0098091C">
        <w:rPr>
          <w:rFonts w:ascii="Palatino Linotype" w:hAnsi="Palatino Linotype" w:cstheme="minorHAnsi"/>
          <w:sz w:val="22"/>
          <w:szCs w:val="22"/>
          <w:lang w:val="es-EC" w:eastAsia="ar-SA"/>
        </w:rPr>
        <w:t xml:space="preserve"> emitido</w:t>
      </w:r>
      <w:r w:rsidR="00EA1685" w:rsidRPr="0098091C">
        <w:rPr>
          <w:rFonts w:ascii="Palatino Linotype" w:hAnsi="Palatino Linotype" w:cstheme="minorHAnsi"/>
          <w:sz w:val="22"/>
          <w:szCs w:val="22"/>
          <w:lang w:val="es-EC" w:eastAsia="ar-SA"/>
        </w:rPr>
        <w:t>s</w:t>
      </w:r>
      <w:r w:rsidRPr="0098091C">
        <w:rPr>
          <w:rFonts w:ascii="Palatino Linotype" w:hAnsi="Palatino Linotype" w:cstheme="minorHAnsi"/>
          <w:sz w:val="22"/>
          <w:szCs w:val="22"/>
          <w:lang w:val="es-EC" w:eastAsia="ar-SA"/>
        </w:rPr>
        <w:t xml:space="preserve"> por la Comisión de Uso de Suelo</w:t>
      </w:r>
      <w:r w:rsidR="00EA1685" w:rsidRPr="0098091C">
        <w:rPr>
          <w:rFonts w:ascii="Palatino Linotype" w:hAnsi="Palatino Linotype" w:cstheme="minorHAnsi"/>
          <w:sz w:val="22"/>
          <w:szCs w:val="22"/>
          <w:lang w:val="es-EC" w:eastAsia="ar-SA"/>
        </w:rPr>
        <w:t>.</w:t>
      </w:r>
    </w:p>
    <w:p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CONSIDERANDO:</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artículo 241 de la Constitución de la República señala que </w:t>
      </w:r>
      <w:r w:rsidRPr="00C250CB">
        <w:rPr>
          <w:rFonts w:ascii="Palatino Linotype" w:hAnsi="Palatino Linotype" w:cstheme="minorHAnsi"/>
          <w:i/>
          <w:sz w:val="22"/>
          <w:szCs w:val="22"/>
          <w:lang w:val="es-EC" w:eastAsia="ar-SA"/>
        </w:rPr>
        <w:t>“La planificación garantizará el ordenamiento territorial y será obligatoria en todos los gobiernos autónomos descentralizados”</w:t>
      </w:r>
      <w:r>
        <w:rPr>
          <w:rFonts w:ascii="Palatino Linotype" w:hAnsi="Palatino Linotype" w:cstheme="minorHAnsi"/>
          <w:sz w:val="22"/>
          <w:szCs w:val="22"/>
          <w:lang w:val="es-EC" w:eastAsia="ar-SA"/>
        </w:rPr>
        <w:t>;</w:t>
      </w:r>
    </w:p>
    <w:p w:rsidR="008D7F22"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de conformidad con el numeral 1 y 2 del artículo 264 de la Constitución de la República, los gobiernos  municipales tendrán la competencia exclusiva para planificar el desarrollo cantonal y formular los correspondientes planes de ordenamiento territorial, con el fin de regular el uso y la ocupación del suelo urbano y rural</w:t>
      </w:r>
      <w:r>
        <w:rPr>
          <w:rFonts w:ascii="Palatino Linotype" w:hAnsi="Palatino Linotype" w:cstheme="minorHAnsi"/>
          <w:sz w:val="22"/>
          <w:szCs w:val="22"/>
          <w:lang w:val="es-EC" w:eastAsia="ar-SA"/>
        </w:rPr>
        <w:t>;</w:t>
      </w:r>
    </w:p>
    <w:p w:rsidR="00EC074D" w:rsidRPr="00C250CB" w:rsidRDefault="00EC074D" w:rsidP="00EC074D">
      <w:pPr>
        <w:pStyle w:val="Textoindependiente"/>
        <w:spacing w:line="276" w:lineRule="auto"/>
        <w:ind w:left="567" w:hanging="567"/>
        <w:jc w:val="both"/>
        <w:rPr>
          <w:rFonts w:ascii="Palatino Linotype" w:hAnsi="Palatino Linotype" w:cstheme="minorHAnsi"/>
          <w: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artículo 424 de la Constitución de la República señala que </w:t>
      </w:r>
      <w:r w:rsidRPr="00C250CB">
        <w:rPr>
          <w:rFonts w:ascii="Palatino Linotype" w:hAnsi="Palatino Linotype" w:cstheme="minorHAnsi"/>
          <w:i/>
          <w:sz w:val="22"/>
          <w:szCs w:val="22"/>
          <w:lang w:val="es-EC" w:eastAsia="ar-SA"/>
        </w:rPr>
        <w:t>“La Constitución es la norma suprema y prevalece sobre cualquier otra del ordenamiento jurídico. Las normas y los actos del poder público deberán mantener conformidad con las disposiciones constitucionales; en caso contrario carecerán de eficacia jurídica.”</w:t>
      </w:r>
      <w:r>
        <w:rPr>
          <w:rFonts w:ascii="Palatino Linotype" w:hAnsi="Palatino Linotype" w:cstheme="minorHAnsi"/>
          <w:i/>
          <w:sz w:val="22"/>
          <w:szCs w:val="22"/>
          <w:lang w:val="es-EC" w:eastAsia="ar-SA"/>
        </w:rPr>
        <w:t>;</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literal e) de los artículos 54 y 84 del Código Orgánico de Organización Territorial, Autonomía y Descentralización determina como una de las funciones de los gobiernos autónomos descentralizados municipales y metropolitanos, la elaboración y ejecución del plan cantonal de desarrollo,  el de ordenamiento territorial y las  políticas  públicas en el ámbito de sus competencias dentro de su circunscripción territorial, de manera coordinada con la planificación nacional, regional, provincial y parroquial</w:t>
      </w:r>
      <w:r>
        <w:rPr>
          <w:rFonts w:ascii="Palatino Linotype" w:hAnsi="Palatino Linotype" w:cstheme="minorHAnsi"/>
          <w:sz w:val="22"/>
          <w:szCs w:val="22"/>
          <w:lang w:val="es-EC" w:eastAsia="ar-SA"/>
        </w:rPr>
        <w:t>;</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de conformidad al literal c) del artículo 84 del Código Orgánico de Organización Territorial, Autonomía y Descentralización, entre las funciones del gobierno del distrito autónomo metropolitano, es la de establecer el uso del suelo y urbanístico, para lo cual determinará las condiciones de urbanización, parcelación, lotización, división o cualquier otra forma de fraccionamiento de conformidad con la planificación metropolitana, asegurando porcentajes para zonas verdes y áreas comuna</w:t>
      </w:r>
      <w:r>
        <w:rPr>
          <w:rFonts w:ascii="Palatino Linotype" w:hAnsi="Palatino Linotype" w:cstheme="minorHAnsi"/>
          <w:sz w:val="22"/>
          <w:szCs w:val="22"/>
          <w:lang w:val="es-EC" w:eastAsia="ar-SA"/>
        </w:rPr>
        <w:t>les;</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r>
        <w:rPr>
          <w:rFonts w:ascii="Palatino Linotype" w:hAnsi="Palatino Linotype" w:cstheme="minorHAnsi"/>
          <w:sz w:val="22"/>
          <w:szCs w:val="22"/>
          <w:lang w:val="es-EC" w:eastAsia="ar-SA"/>
        </w:rPr>
        <w:t>;</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 de la Ley Orgánica de Régimen para el Distrito Metropolitano de Quito establece como finalidad del Municipio “</w:t>
      </w:r>
      <w:r w:rsidRPr="00C250CB">
        <w:rPr>
          <w:rFonts w:ascii="Palatino Linotype" w:hAnsi="Palatino Linotype" w:cstheme="minorHAnsi"/>
          <w:i/>
          <w:sz w:val="22"/>
          <w:szCs w:val="22"/>
          <w:lang w:val="es-EC" w:eastAsia="ar-SA"/>
        </w:rPr>
        <w:t xml:space="preserve">1. Regular el Uso y la adecuada ocupación del </w:t>
      </w:r>
      <w:r w:rsidRPr="00C250CB">
        <w:rPr>
          <w:rFonts w:ascii="Palatino Linotype" w:hAnsi="Palatino Linotype" w:cstheme="minorHAnsi"/>
          <w:i/>
          <w:sz w:val="22"/>
          <w:szCs w:val="22"/>
          <w:lang w:val="es-EC" w:eastAsia="ar-SA"/>
        </w:rPr>
        <w:lastRenderedPageBreak/>
        <w:t>suelo y ejercer control sobre el mismo con competencia exclusiva y privativa (…)”</w:t>
      </w:r>
      <w:r>
        <w:rPr>
          <w:rFonts w:ascii="Palatino Linotype" w:hAnsi="Palatino Linotype" w:cstheme="minorHAnsi"/>
          <w:sz w:val="22"/>
          <w:szCs w:val="22"/>
          <w:lang w:val="es-EC" w:eastAsia="ar-SA"/>
        </w:rPr>
        <w:t>;</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26 de la mencionada Ley establece que la decisión sobre el destino del suelo y su forma de aprovechamiento dentro del territorio distrital, compete, exclusivamente, a las autorid</w:t>
      </w:r>
      <w:r>
        <w:rPr>
          <w:rFonts w:ascii="Palatino Linotype" w:hAnsi="Palatino Linotype" w:cstheme="minorHAnsi"/>
          <w:sz w:val="22"/>
          <w:szCs w:val="22"/>
          <w:lang w:val="es-EC" w:eastAsia="ar-SA"/>
        </w:rPr>
        <w:t>ades del Distrito Metropolitano;</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 de la Ley Orgánica de Tierras Rurales  y Territorios Ancestrales, establece que el objeto de esta Ley es normar el uso y acceso a la propiedad de la tierra rural, el derecho a la propiedad de la misma que deberá cumplir la función social y la función ambiental. Regula la posesión, la propiedad, la administración y redistribución de la tierra rural como factor de producción para garantizar la soberanía alimentaria, mejorar la productividad, propiciar un ambiente sustentable y equilibrado; y otorgar seguridad jurídi</w:t>
      </w:r>
      <w:r>
        <w:rPr>
          <w:rFonts w:ascii="Palatino Linotype" w:hAnsi="Palatino Linotype" w:cstheme="minorHAnsi"/>
          <w:sz w:val="22"/>
          <w:szCs w:val="22"/>
          <w:lang w:val="es-EC" w:eastAsia="ar-SA"/>
        </w:rPr>
        <w:t>ca a los titulares de derechos;</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4 de la Ley Orgánica de Tierras Rurales  y Territorios Ancestrales, establece que para los fines de la presente Ley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008C01C7">
        <w:rPr>
          <w:rFonts w:ascii="Palatino Linotype" w:hAnsi="Palatino Linotype" w:cstheme="minorHAnsi"/>
          <w:sz w:val="22"/>
          <w:szCs w:val="22"/>
          <w:lang w:val="es-EC" w:eastAsia="ar-SA"/>
        </w:rPr>
        <w:t>;</w:t>
      </w:r>
      <w:r w:rsidR="007F7C54">
        <w:rPr>
          <w:rFonts w:ascii="Palatino Linotype" w:hAnsi="Palatino Linotype" w:cstheme="minorHAnsi"/>
          <w:sz w:val="22"/>
          <w:szCs w:val="22"/>
          <w:lang w:val="es-EC" w:eastAsia="ar-SA"/>
        </w:rPr>
        <w:t xml:space="preserve"> </w:t>
      </w:r>
    </w:p>
    <w:p w:rsidR="008D7F22"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penúltimo inciso del artículo 6 de la Ley Orgánica de Tierras Rurales y Territorios Ancestrales,</w:t>
      </w:r>
      <w:r w:rsidR="00224C69">
        <w:rPr>
          <w:rFonts w:ascii="Palatino Linotype" w:hAnsi="Palatino Linotype" w:cstheme="minorHAnsi"/>
          <w:sz w:val="22"/>
          <w:szCs w:val="22"/>
          <w:lang w:val="es-EC" w:eastAsia="ar-SA"/>
        </w:rPr>
        <w:t xml:space="preserve"> </w:t>
      </w:r>
      <w:r w:rsidRPr="00C250CB">
        <w:rPr>
          <w:rFonts w:ascii="Palatino Linotype" w:hAnsi="Palatino Linotype" w:cstheme="minorHAnsi"/>
          <w:sz w:val="22"/>
          <w:szCs w:val="22"/>
          <w:lang w:val="es-EC" w:eastAsia="ar-SA"/>
        </w:rPr>
        <w:t>dispone  que: “</w:t>
      </w:r>
      <w:r w:rsidRPr="000E2937">
        <w:rPr>
          <w:rFonts w:ascii="Palatino Linotype" w:hAnsi="Palatino Linotype" w:cstheme="minorHAnsi"/>
          <w:i/>
          <w:sz w:val="22"/>
          <w:szCs w:val="22"/>
          <w:lang w:val="es-EC" w:eastAsia="ar-SA"/>
        </w:rPr>
        <w:t>Para este efecto, 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00826517">
        <w:rPr>
          <w:rFonts w:ascii="Palatino Linotype" w:hAnsi="Palatino Linotype" w:cstheme="minorHAnsi"/>
          <w:i/>
          <w:sz w:val="22"/>
          <w:szCs w:val="22"/>
          <w:lang w:val="es-EC" w:eastAsia="ar-SA"/>
        </w:rPr>
        <w:t>. (…)</w:t>
      </w:r>
      <w:r w:rsidR="007E4AFE">
        <w:rPr>
          <w:rFonts w:ascii="Palatino Linotype" w:hAnsi="Palatino Linotype" w:cstheme="minorHAnsi"/>
          <w:sz w:val="22"/>
          <w:szCs w:val="22"/>
          <w:lang w:val="es-EC" w:eastAsia="ar-SA"/>
        </w:rPr>
        <w:t>;</w:t>
      </w:r>
    </w:p>
    <w:p w:rsidR="00826517" w:rsidRPr="000E2937" w:rsidRDefault="00826517" w:rsidP="00826517">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 xml:space="preserve">el artículo 76 de la Ley Orgánica de Ordenamiento Territorial, Uso y Gestión del Suelo, establece: </w:t>
      </w:r>
      <w:r w:rsidR="00C67D2C">
        <w:rPr>
          <w:rFonts w:ascii="Palatino Linotype" w:hAnsi="Palatino Linotype" w:cstheme="minorHAnsi"/>
          <w:sz w:val="22"/>
          <w:szCs w:val="22"/>
          <w:lang w:val="es-EC" w:eastAsia="ar-SA"/>
        </w:rPr>
        <w:t>“</w:t>
      </w:r>
      <w:r w:rsidR="00C67D2C" w:rsidRPr="00EC697A">
        <w:rPr>
          <w:rFonts w:ascii="Palatino Linotype" w:eastAsia="Times New Roman" w:hAnsi="Palatino Linotype"/>
          <w:i/>
          <w:sz w:val="22"/>
          <w:szCs w:val="22"/>
          <w:lang w:val="es-ES"/>
        </w:rPr>
        <w:t>Los Gobiernos Autónomos Descentralizados municipales o metropolitanos, en el plan de uso y gestión de suelo, determinarán zonas que deban ser objeto de un proceso de regularización física y legal de forma prioritaria, en cumplimiento de la función social y ambiental de la propiedad. Para ello, se contará previamente con un diagnóstico integral que establezca la identificación de los beneficiarios, la capacidad de integración urbana del asentamiento humano, la ausencia de riesgos para la población y el respeto al patrimonio natural y cultural, de conformidad con la legislación vigente. Esta declaratoria se realizará en el componente urbanístico del plan de uso y gestión de suelo.</w:t>
      </w:r>
      <w:r w:rsidR="00C67D2C">
        <w:rPr>
          <w:rFonts w:ascii="Palatino Linotype" w:eastAsia="Times New Roman" w:hAnsi="Palatino Linotype"/>
          <w:i/>
          <w:sz w:val="22"/>
          <w:szCs w:val="22"/>
          <w:lang w:val="es-ES"/>
        </w:rPr>
        <w:t xml:space="preserve"> (…)”</w:t>
      </w:r>
      <w:r w:rsidR="00C67D2C">
        <w:rPr>
          <w:rFonts w:ascii="Palatino Linotype" w:eastAsia="Times New Roman" w:hAnsi="Palatino Linotype"/>
          <w:sz w:val="22"/>
          <w:szCs w:val="22"/>
          <w:lang w:val="es-ES"/>
        </w:rPr>
        <w:t>;</w:t>
      </w:r>
    </w:p>
    <w:p w:rsidR="000D7424" w:rsidRDefault="000D742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sidRPr="000E2937">
        <w:rPr>
          <w:rFonts w:ascii="Palatino Linotype" w:hAnsi="Palatino Linotype" w:cstheme="minorHAnsi"/>
          <w:sz w:val="22"/>
          <w:szCs w:val="22"/>
          <w:lang w:val="es-EC" w:eastAsia="ar-SA"/>
        </w:rPr>
        <w:t>el numera</w:t>
      </w:r>
      <w:r>
        <w:rPr>
          <w:rFonts w:ascii="Palatino Linotype" w:hAnsi="Palatino Linotype" w:cstheme="minorHAnsi"/>
          <w:sz w:val="22"/>
          <w:szCs w:val="22"/>
          <w:lang w:val="es-EC" w:eastAsia="ar-SA"/>
        </w:rPr>
        <w:t>l 3 del artículo 91 de la Ley Orgánica de Ordenamiento Territorial, Uso y Gestión del Suelo, publicada en el Suplemento del Registro Oficial No. 790 de 5 de julio de 2016, señala que a los gobiernos autónomos descentralizados municipales y metropolitanos, sin perjuicio de las competencias establecidas en la Constitución, les corresponde “</w:t>
      </w:r>
      <w:r>
        <w:rPr>
          <w:rFonts w:ascii="Palatino Linotype" w:hAnsi="Palatino Linotype" w:cstheme="minorHAnsi"/>
          <w:i/>
          <w:sz w:val="22"/>
          <w:szCs w:val="22"/>
          <w:lang w:val="es-EC" w:eastAsia="ar-SA"/>
        </w:rPr>
        <w:t>clasificar el suelo en</w:t>
      </w:r>
      <w:r w:rsidR="007E4AFE">
        <w:rPr>
          <w:rFonts w:ascii="Palatino Linotype" w:hAnsi="Palatino Linotype" w:cstheme="minorHAnsi"/>
          <w:i/>
          <w:sz w:val="22"/>
          <w:szCs w:val="22"/>
          <w:lang w:val="es-EC" w:eastAsia="ar-SA"/>
        </w:rPr>
        <w:t xml:space="preserve"> urbano y rural, y establecer l</w:t>
      </w:r>
      <w:r w:rsidR="00667628">
        <w:rPr>
          <w:rFonts w:ascii="Palatino Linotype" w:hAnsi="Palatino Linotype" w:cstheme="minorHAnsi"/>
          <w:i/>
          <w:sz w:val="22"/>
          <w:szCs w:val="22"/>
          <w:lang w:val="es-EC" w:eastAsia="ar-SA"/>
        </w:rPr>
        <w:t>a</w:t>
      </w:r>
      <w:r>
        <w:rPr>
          <w:rFonts w:ascii="Palatino Linotype" w:hAnsi="Palatino Linotype" w:cstheme="minorHAnsi"/>
          <w:i/>
          <w:sz w:val="22"/>
          <w:szCs w:val="22"/>
          <w:lang w:val="es-EC" w:eastAsia="ar-SA"/>
        </w:rPr>
        <w:t xml:space="preserve">s correspondientes </w:t>
      </w:r>
      <w:proofErr w:type="spellStart"/>
      <w:r>
        <w:rPr>
          <w:rFonts w:ascii="Palatino Linotype" w:hAnsi="Palatino Linotype" w:cstheme="minorHAnsi"/>
          <w:i/>
          <w:sz w:val="22"/>
          <w:szCs w:val="22"/>
          <w:lang w:val="es-EC" w:eastAsia="ar-SA"/>
        </w:rPr>
        <w:lastRenderedPageBreak/>
        <w:t>subclasificaciones</w:t>
      </w:r>
      <w:proofErr w:type="spellEnd"/>
      <w:r>
        <w:rPr>
          <w:rFonts w:ascii="Palatino Linotype" w:hAnsi="Palatino Linotype" w:cstheme="minorHAnsi"/>
          <w:i/>
          <w:sz w:val="22"/>
          <w:szCs w:val="22"/>
          <w:lang w:val="es-EC" w:eastAsia="ar-SA"/>
        </w:rPr>
        <w:t>, asignar los tratamientos urbanísticos, usos y las obligaciones correspondientes, de acuerdo con lo establecido en esta Ley”</w:t>
      </w:r>
      <w:r>
        <w:rPr>
          <w:rFonts w:ascii="Palatino Linotype" w:hAnsi="Palatino Linotype" w:cstheme="minorHAnsi"/>
          <w:sz w:val="22"/>
          <w:szCs w:val="22"/>
          <w:lang w:val="es-EC" w:eastAsia="ar-SA"/>
        </w:rPr>
        <w:t>;</w:t>
      </w:r>
    </w:p>
    <w:p w:rsidR="004D6D18" w:rsidRDefault="00C8542E" w:rsidP="008D7F22">
      <w:pPr>
        <w:pStyle w:val="Textoindependiente"/>
        <w:spacing w:line="276" w:lineRule="auto"/>
        <w:ind w:left="567" w:hanging="567"/>
        <w:jc w:val="both"/>
        <w:rPr>
          <w:rFonts w:ascii="Palatino Linotype" w:eastAsia="Times New Roman" w:hAnsi="Palatino Linotype"/>
          <w:i/>
          <w:sz w:val="22"/>
          <w:szCs w:val="22"/>
          <w:lang w:val="es-ES"/>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la Disposición Transitoria Sexta de la Ley Orgánica de Ordenamiento Territorial, Uso y Gestión del Suelo, publicada en el Suplemento del Registro Oficial No. 790, de 5 de julio de 2016, establece que: “</w:t>
      </w:r>
      <w:r>
        <w:rPr>
          <w:rFonts w:ascii="Palatino Linotype" w:hAnsi="Palatino Linotype" w:cstheme="minorHAnsi"/>
          <w:i/>
          <w:sz w:val="22"/>
          <w:szCs w:val="22"/>
          <w:lang w:val="es-EC" w:eastAsia="ar-SA"/>
        </w:rPr>
        <w:t>(…)</w:t>
      </w:r>
      <w:r w:rsidR="007E4AFE">
        <w:rPr>
          <w:rFonts w:ascii="Palatino Linotype" w:hAnsi="Palatino Linotype" w:cstheme="minorHAnsi"/>
          <w:i/>
          <w:sz w:val="22"/>
          <w:szCs w:val="22"/>
          <w:lang w:val="es-EC" w:eastAsia="ar-SA"/>
        </w:rPr>
        <w:t xml:space="preserve"> </w:t>
      </w:r>
      <w:r w:rsidR="007E4AFE" w:rsidRPr="000E2937">
        <w:rPr>
          <w:rFonts w:ascii="Palatino Linotype" w:eastAsia="Times New Roman" w:hAnsi="Palatino Linotype"/>
          <w:i/>
          <w:sz w:val="22"/>
          <w:szCs w:val="22"/>
          <w:lang w:val="es-ES"/>
        </w:rPr>
        <w:t xml:space="preserve">Las licencias, permisos y autorizaciones concedidas de conformidad con la legislación existente anterior a la fecha de entrada en vigencia de la presente Ley, subsistirán por el tiempo en que fueren concedidos. </w:t>
      </w:r>
    </w:p>
    <w:p w:rsidR="00C8542E" w:rsidRDefault="007E4AFE"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eastAsia="Times New Roman"/>
          <w:sz w:val="30"/>
          <w:szCs w:val="30"/>
          <w:lang w:val="es-ES"/>
        </w:rPr>
        <w:t xml:space="preserve"> </w:t>
      </w:r>
      <w:r w:rsidR="004D6D18">
        <w:rPr>
          <w:rFonts w:eastAsia="Times New Roman"/>
          <w:sz w:val="30"/>
          <w:szCs w:val="30"/>
          <w:lang w:val="es-ES"/>
        </w:rPr>
        <w:tab/>
      </w:r>
      <w:r w:rsidR="00C8542E">
        <w:rPr>
          <w:rFonts w:ascii="Palatino Linotype" w:hAnsi="Palatino Linotype" w:cstheme="minorHAnsi"/>
          <w:i/>
          <w:sz w:val="22"/>
          <w:szCs w:val="22"/>
          <w:lang w:val="es-EC" w:eastAsia="ar-SA"/>
        </w:rPr>
        <w:t xml:space="preserve">Las licencias, permisos y autorizaciones que se encuentren en trámite de aprobación deberán cumplir la normativa municipal existente anterior a la fecha de entrada </w:t>
      </w:r>
      <w:r w:rsidR="004D6D18">
        <w:rPr>
          <w:rFonts w:ascii="Palatino Linotype" w:hAnsi="Palatino Linotype" w:cstheme="minorHAnsi"/>
          <w:i/>
          <w:sz w:val="22"/>
          <w:szCs w:val="22"/>
          <w:lang w:val="es-EC" w:eastAsia="ar-SA"/>
        </w:rPr>
        <w:t>en vigencia de la presente Ley.</w:t>
      </w:r>
      <w:r w:rsidR="00C8542E">
        <w:rPr>
          <w:rFonts w:ascii="Palatino Linotype" w:hAnsi="Palatino Linotype" w:cstheme="minorHAnsi"/>
          <w:i/>
          <w:sz w:val="22"/>
          <w:szCs w:val="22"/>
          <w:lang w:val="es-EC" w:eastAsia="ar-SA"/>
        </w:rPr>
        <w:t>”</w:t>
      </w:r>
      <w:r w:rsidR="00C8542E">
        <w:rPr>
          <w:rFonts w:ascii="Palatino Linotype" w:hAnsi="Palatino Linotype" w:cstheme="minorHAnsi"/>
          <w:sz w:val="22"/>
          <w:szCs w:val="22"/>
          <w:lang w:val="es-EC" w:eastAsia="ar-SA"/>
        </w:rPr>
        <w:t>;</w:t>
      </w:r>
    </w:p>
    <w:p w:rsidR="00C67D2C" w:rsidRDefault="00C67D2C" w:rsidP="00C67D2C">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 xml:space="preserve"> la Disposición Transitoria Décima de la Ley Orgánica de Ordenamiento Territorial, Uso y Gestión del Suelo, establece que: “</w:t>
      </w:r>
      <w:r w:rsidRPr="004D6D18">
        <w:rPr>
          <w:rFonts w:ascii="Palatino Linotype" w:hAnsi="Palatino Linotype" w:cstheme="minorHAnsi"/>
          <w:i/>
          <w:sz w:val="22"/>
          <w:szCs w:val="22"/>
          <w:lang w:val="es-EC" w:eastAsia="ar-SA"/>
        </w:rPr>
        <w:t>(…)</w:t>
      </w:r>
      <w:r w:rsidR="004D6D18" w:rsidRPr="004D6D18">
        <w:rPr>
          <w:rFonts w:ascii="Palatino Linotype" w:hAnsi="Palatino Linotype" w:cstheme="minorHAnsi"/>
          <w:i/>
          <w:sz w:val="22"/>
          <w:szCs w:val="22"/>
          <w:lang w:val="es-EC" w:eastAsia="ar-SA"/>
        </w:rPr>
        <w:t xml:space="preserve"> </w:t>
      </w:r>
      <w:r w:rsidR="007E4AFE" w:rsidRPr="000E2937">
        <w:rPr>
          <w:rFonts w:ascii="Palatino Linotype" w:eastAsia="Times New Roman" w:hAnsi="Palatino Linotype"/>
          <w:i/>
          <w:sz w:val="22"/>
          <w:szCs w:val="22"/>
          <w:lang w:val="es-ES"/>
        </w:rPr>
        <w:t>Hasta que se apruebe la normativa técnica correspondiente, los Gobiernos Autónomos Descentralizados aplicarán los parámetros técnicos aprobados en sus respectivas ordenanzas que no se contraponga a esta Ley.</w:t>
      </w:r>
      <w:r w:rsidRPr="007E4AFE">
        <w:rPr>
          <w:rFonts w:ascii="Palatino Linotype" w:hAnsi="Palatino Linotype" w:cstheme="minorHAnsi"/>
          <w:i/>
          <w:sz w:val="22"/>
          <w:szCs w:val="22"/>
          <w:lang w:val="es-EC" w:eastAsia="ar-SA"/>
        </w:rPr>
        <w:t>”</w:t>
      </w:r>
      <w:r w:rsidRPr="000E2937">
        <w:rPr>
          <w:rFonts w:ascii="Palatino Linotype" w:hAnsi="Palatino Linotype" w:cstheme="minorHAnsi"/>
          <w:i/>
          <w:sz w:val="22"/>
          <w:szCs w:val="22"/>
          <w:lang w:val="es-EC" w:eastAsia="ar-SA"/>
        </w:rPr>
        <w:t>;</w:t>
      </w:r>
    </w:p>
    <w:p w:rsidR="008D7F22" w:rsidRDefault="008D7F22" w:rsidP="008D7F22">
      <w:pPr>
        <w:pStyle w:val="Textoindependiente"/>
        <w:spacing w:line="276" w:lineRule="auto"/>
        <w:ind w:left="567" w:hanging="567"/>
        <w:jc w:val="both"/>
        <w:rPr>
          <w:rFonts w:ascii="Palatino Linotype" w:hAnsi="Palatino Linotype" w:cstheme="minorHAnsi"/>
          <w:sz w:val="22"/>
          <w:szCs w:val="22"/>
          <w:lang w:eastAsia="ar-SA"/>
        </w:rPr>
      </w:pPr>
      <w:r w:rsidRPr="003728A3">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00190D70">
        <w:rPr>
          <w:rFonts w:ascii="Palatino Linotype" w:hAnsi="Palatino Linotype" w:cstheme="minorHAnsi"/>
          <w:sz w:val="22"/>
          <w:szCs w:val="22"/>
          <w:lang w:eastAsia="ar-SA"/>
        </w:rPr>
        <w:t>el Concejo Metropolitano de Quito mediante Ordenanza Metropolitana No. 0041, sancionada el 22 de febrero de 2015, aprueba el Plan Metropolitano de Desarrollo y Ordenamiento Territorial cuyo artículo 3 contiene</w:t>
      </w:r>
      <w:r w:rsidR="00826517">
        <w:rPr>
          <w:rFonts w:ascii="Palatino Linotype" w:hAnsi="Palatino Linotype" w:cstheme="minorHAnsi"/>
          <w:sz w:val="22"/>
          <w:szCs w:val="22"/>
          <w:lang w:eastAsia="ar-SA"/>
        </w:rPr>
        <w:t>:</w:t>
      </w:r>
      <w:r w:rsidR="000D7424">
        <w:rPr>
          <w:rFonts w:ascii="Palatino Linotype" w:hAnsi="Palatino Linotype" w:cstheme="minorHAnsi"/>
          <w:sz w:val="22"/>
          <w:szCs w:val="22"/>
          <w:lang w:eastAsia="ar-SA"/>
        </w:rPr>
        <w:t xml:space="preserve"> los principios de la Planificación Metropolitana del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r w:rsidR="00190D70">
        <w:rPr>
          <w:rFonts w:ascii="Palatino Linotype" w:hAnsi="Palatino Linotype" w:cstheme="minorHAnsi"/>
          <w:sz w:val="22"/>
          <w:szCs w:val="22"/>
          <w:lang w:eastAsia="ar-SA"/>
        </w:rPr>
        <w:t xml:space="preserve"> </w:t>
      </w:r>
    </w:p>
    <w:p w:rsidR="00133534" w:rsidRDefault="0013353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sidR="000D7424">
        <w:rPr>
          <w:rFonts w:ascii="Palatino Linotype" w:hAnsi="Palatino Linotype" w:cstheme="minorHAnsi"/>
          <w:b/>
          <w:sz w:val="22"/>
          <w:szCs w:val="22"/>
          <w:lang w:val="es-EC" w:eastAsia="ar-SA"/>
        </w:rPr>
        <w:tab/>
      </w:r>
      <w:r w:rsidR="000D7424">
        <w:rPr>
          <w:rFonts w:ascii="Palatino Linotype" w:hAnsi="Palatino Linotype" w:cstheme="minorHAnsi"/>
          <w:sz w:val="22"/>
          <w:szCs w:val="22"/>
          <w:lang w:val="es-EC" w:eastAsia="ar-SA"/>
        </w:rPr>
        <w:t>la Ordenanza Metropolitana No. 0041, sancionada el 22 de febrero de 2015, en su disposición transitoria única, y su reforma contenida en la Ordenanza Metropolitana No. 0095, sancionada el 28 de diciembre de 2015, disponen que la Secretaría de Territorio, Hábitat y Vivienda en el plazo máximo de once meses presentará para aprobación del Concejo Metropolitano de Quito el Plan de Uso y Ocupación del Suelo actualizado, como elemento componente del Plan Metropolitano de Desarrollo y Ordenamiento Territorial, que permiten la vigencia de este y su eficacia jurídica de conformidad con el artículo 424 de la Constitución;</w:t>
      </w:r>
    </w:p>
    <w:p w:rsidR="00370715" w:rsidRPr="00370715" w:rsidRDefault="00370715" w:rsidP="008D7F22">
      <w:pPr>
        <w:pStyle w:val="Textoindependiente"/>
        <w:spacing w:line="276" w:lineRule="auto"/>
        <w:ind w:left="567" w:hanging="567"/>
        <w:jc w:val="both"/>
        <w:rPr>
          <w:rFonts w:ascii="Palatino Linotype" w:hAnsi="Palatino Linotype" w:cstheme="minorHAnsi"/>
          <w:sz w:val="22"/>
          <w:szCs w:val="22"/>
          <w:lang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el artículo 8 de la Ordenanza Metropolitana No. 172, sancionada el 30 de diciembre de 2011, reformada mediante Ordenanza Metropolitana No. 432, sancionada el 23 de septiembre de 2013, sobre la clasificación general del suelo en función de su aprovechamiento, se clasifica en urbano y rural;</w:t>
      </w:r>
    </w:p>
    <w:p w:rsidR="000D7424" w:rsidRPr="000D7424" w:rsidRDefault="000D742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el Consejo Nacional de Planificación, mediante Resolución No. 003-2014-CNP de 12 de mayo de 2014, expidió los lineamientos y directrices para la actualización y reporte de los Planes de Desarrollo y Ordenamiento Territorial de los gobiernos autónomos descentralizados</w:t>
      </w:r>
      <w:r w:rsidR="00C8542E">
        <w:rPr>
          <w:rFonts w:ascii="Palatino Linotype" w:hAnsi="Palatino Linotype" w:cstheme="minorHAnsi"/>
          <w:sz w:val="22"/>
          <w:szCs w:val="22"/>
          <w:lang w:val="es-EC" w:eastAsia="ar-SA"/>
        </w:rPr>
        <w:t xml:space="preserve">, procesos que para el efecto deben establecer el </w:t>
      </w:r>
      <w:r w:rsidR="00C8542E">
        <w:rPr>
          <w:rFonts w:ascii="Palatino Linotype" w:hAnsi="Palatino Linotype" w:cstheme="minorHAnsi"/>
          <w:sz w:val="22"/>
          <w:szCs w:val="22"/>
          <w:lang w:val="es-EC" w:eastAsia="ar-SA"/>
        </w:rPr>
        <w:lastRenderedPageBreak/>
        <w:t>diagnóstico, la propuesta y el modelo de gestión de los respectivos gobiernos locales, haciendo efectivo el derecho a la participación ciudadana como una forma de expresión democrática y garantía del pleno ejercicio de las prerrogativas constitucionales;</w:t>
      </w:r>
    </w:p>
    <w:p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eastAsia="ar-SA"/>
        </w:rPr>
      </w:pPr>
      <w:r w:rsidRPr="003728A3">
        <w:rPr>
          <w:rFonts w:ascii="Palatino Linotype" w:hAnsi="Palatino Linotype" w:cstheme="minorHAnsi"/>
          <w:b/>
          <w:sz w:val="22"/>
          <w:szCs w:val="22"/>
          <w:lang w:eastAsia="ar-SA"/>
        </w:rPr>
        <w:t>Que,</w:t>
      </w:r>
      <w:r w:rsidRPr="00C250CB">
        <w:rPr>
          <w:rFonts w:ascii="Palatino Linotype" w:hAnsi="Palatino Linotype" w:cstheme="minorHAnsi"/>
          <w:sz w:val="22"/>
          <w:szCs w:val="22"/>
          <w:lang w:eastAsia="ar-SA"/>
        </w:rPr>
        <w:t xml:space="preserve"> mediante oficio No. STHV-DMPPS-5950 de fecha 17 de diciembre de 2015, la Secretaría de Territorio, Hábitat y Vivienda  emite su informe técnico, el cual contiene las consideraciones por las cuales es necesario modificar el plazo establecido en la Disposición Transitoria Única de la Ordenanza Metropolitana No. 041, antes referida de nueve a once meses, fundamento sobre el cual el Concejo Metropolitano de Quito, expide la Ordenanza No. 0095 Reformatoria de la Ordenanza Metropolitana No. 041, sancio</w:t>
      </w:r>
      <w:r>
        <w:rPr>
          <w:rFonts w:ascii="Palatino Linotype" w:hAnsi="Palatino Linotype" w:cstheme="minorHAnsi"/>
          <w:sz w:val="22"/>
          <w:szCs w:val="22"/>
          <w:lang w:eastAsia="ar-SA"/>
        </w:rPr>
        <w:t>nada el 28 de diciembre de 2015; y,</w:t>
      </w:r>
    </w:p>
    <w:p w:rsidR="008D7F22" w:rsidRDefault="008D7F22" w:rsidP="008D7F22">
      <w:pPr>
        <w:pStyle w:val="Textoindependiente"/>
        <w:spacing w:line="276" w:lineRule="auto"/>
        <w:ind w:left="567" w:hanging="567"/>
        <w:jc w:val="both"/>
        <w:rPr>
          <w:rFonts w:ascii="Palatino Linotype" w:hAnsi="Palatino Linotype" w:cstheme="minorHAnsi"/>
          <w:sz w:val="22"/>
          <w:szCs w:val="22"/>
          <w:lang w:eastAsia="ar-SA"/>
        </w:rPr>
      </w:pPr>
      <w:r w:rsidRPr="003728A3">
        <w:rPr>
          <w:rFonts w:ascii="Palatino Linotype" w:hAnsi="Palatino Linotype" w:cstheme="minorHAnsi"/>
          <w:b/>
          <w:sz w:val="22"/>
          <w:szCs w:val="22"/>
          <w:lang w:eastAsia="ar-SA"/>
        </w:rPr>
        <w:t>Que,</w:t>
      </w:r>
      <w:r>
        <w:rPr>
          <w:rFonts w:ascii="Palatino Linotype" w:hAnsi="Palatino Linotype" w:cstheme="minorHAnsi"/>
          <w:sz w:val="22"/>
          <w:szCs w:val="22"/>
          <w:lang w:eastAsia="ar-SA"/>
        </w:rPr>
        <w:t xml:space="preserve"> </w:t>
      </w:r>
      <w:r>
        <w:rPr>
          <w:rFonts w:ascii="Palatino Linotype" w:hAnsi="Palatino Linotype" w:cstheme="minorHAnsi"/>
          <w:sz w:val="22"/>
          <w:szCs w:val="22"/>
          <w:lang w:eastAsia="ar-SA"/>
        </w:rPr>
        <w:tab/>
      </w:r>
      <w:r w:rsidRPr="00C250CB">
        <w:rPr>
          <w:rFonts w:ascii="Palatino Linotype" w:hAnsi="Palatino Linotype" w:cstheme="minorHAnsi"/>
          <w:sz w:val="22"/>
          <w:szCs w:val="22"/>
          <w:lang w:eastAsia="ar-SA"/>
        </w:rPr>
        <w:t>la Secretaría de Territorio, Hábitat y Vivienda ha revisado las solicitudes de diverso origen y naturaleza de los últimos cinco años relacionadas con pedidos para el cambio de las asignaciones de usos de suelo y zonificación, se han analizado sectores donde la dinámica urbana ha entrado en contradicción con la regulación del uso y la ocupación del suelo, así como ajustes a las compatibilidades de  usos de suelo, entre otros; se han incorporado en la actualización, los asentamientos humanos de hecho y consolidados regularizados por la Unidad Especial de Regulación de Barrios y los proyectos especiales aprobados en el último quinquenio.</w:t>
      </w:r>
    </w:p>
    <w:p w:rsidR="00263094" w:rsidRDefault="00263094" w:rsidP="008D7F22">
      <w:pPr>
        <w:pStyle w:val="Textoindependiente"/>
        <w:spacing w:line="276" w:lineRule="auto"/>
        <w:ind w:left="567" w:hanging="567"/>
        <w:jc w:val="both"/>
        <w:rPr>
          <w:rFonts w:ascii="Palatino Linotype" w:hAnsi="Palatino Linotype" w:cstheme="minorHAnsi"/>
          <w:sz w:val="22"/>
          <w:szCs w:val="22"/>
          <w:lang w:eastAsia="ar-SA"/>
        </w:rPr>
      </w:pPr>
    </w:p>
    <w:p w:rsidR="00263094" w:rsidRPr="00C250CB" w:rsidRDefault="00263094" w:rsidP="008D7F22">
      <w:pPr>
        <w:pStyle w:val="Textoindependiente"/>
        <w:spacing w:line="276" w:lineRule="auto"/>
        <w:ind w:left="567" w:hanging="567"/>
        <w:jc w:val="both"/>
        <w:rPr>
          <w:rFonts w:ascii="Palatino Linotype" w:hAnsi="Palatino Linotype" w:cstheme="minorHAnsi"/>
          <w:sz w:val="22"/>
          <w:szCs w:val="22"/>
          <w:lang w:eastAsia="ar-SA"/>
        </w:rPr>
      </w:pPr>
    </w:p>
    <w:p w:rsidR="008D7F22" w:rsidRPr="003728A3" w:rsidRDefault="008D7F22" w:rsidP="008D7F22">
      <w:pPr>
        <w:pStyle w:val="Textoindependiente"/>
        <w:spacing w:line="276" w:lineRule="auto"/>
        <w:jc w:val="both"/>
        <w:rPr>
          <w:rFonts w:ascii="Palatino Linotype" w:hAnsi="Palatino Linotype" w:cstheme="minorHAnsi"/>
          <w:b/>
          <w:sz w:val="22"/>
          <w:szCs w:val="22"/>
          <w:lang w:val="es-EC" w:eastAsia="ar-SA"/>
        </w:rPr>
      </w:pPr>
      <w:r w:rsidRPr="003728A3">
        <w:rPr>
          <w:rFonts w:ascii="Palatino Linotype" w:hAnsi="Palatino Linotype" w:cstheme="minorHAnsi"/>
          <w:b/>
          <w:sz w:val="22"/>
          <w:szCs w:val="22"/>
          <w:lang w:val="es-EC" w:eastAsia="ar-SA"/>
        </w:rPr>
        <w:t>En ejercicio de las atribuciones que le confiere los  numerales 1 y 2 del artículo  264 de la Constitución de la República; artículo 8, numerales 1 y 6 de la Ley Orgánica de Régimen del Distrito Metropolitano de Quito;  y el artículo 57, literal a); artículo 87, literal a);  artículo</w:t>
      </w:r>
      <w:r w:rsidR="00074594">
        <w:rPr>
          <w:rFonts w:ascii="Palatino Linotype" w:hAnsi="Palatino Linotype" w:cstheme="minorHAnsi"/>
          <w:b/>
          <w:sz w:val="22"/>
          <w:szCs w:val="22"/>
          <w:lang w:val="es-EC" w:eastAsia="ar-SA"/>
        </w:rPr>
        <w:t>s</w:t>
      </w:r>
      <w:r w:rsidRPr="003728A3">
        <w:rPr>
          <w:rFonts w:ascii="Palatino Linotype" w:hAnsi="Palatino Linotype" w:cstheme="minorHAnsi"/>
          <w:b/>
          <w:sz w:val="22"/>
          <w:szCs w:val="22"/>
          <w:lang w:val="es-EC" w:eastAsia="ar-SA"/>
        </w:rPr>
        <w:t xml:space="preserve"> 322 </w:t>
      </w:r>
      <w:r w:rsidR="00074594">
        <w:rPr>
          <w:rFonts w:ascii="Palatino Linotype" w:hAnsi="Palatino Linotype" w:cstheme="minorHAnsi"/>
          <w:b/>
          <w:sz w:val="22"/>
          <w:szCs w:val="22"/>
          <w:lang w:val="es-EC" w:eastAsia="ar-SA"/>
        </w:rPr>
        <w:t xml:space="preserve">y 326 </w:t>
      </w:r>
      <w:r w:rsidRPr="003728A3">
        <w:rPr>
          <w:rFonts w:ascii="Palatino Linotype" w:hAnsi="Palatino Linotype" w:cstheme="minorHAnsi"/>
          <w:b/>
          <w:sz w:val="22"/>
          <w:szCs w:val="22"/>
          <w:lang w:val="es-EC" w:eastAsia="ar-SA"/>
        </w:rPr>
        <w:t>del Código Orgánico de Organización Territorial, Autonomía y Descentralización; letra d) del artículo 18 de la Ordenanza Metropolitana No. 172 que contiene el Régimen Administrativo del Suelo para el Distrito Metropolitano de Quito</w:t>
      </w:r>
      <w:r w:rsidR="00074594">
        <w:rPr>
          <w:rFonts w:ascii="Palatino Linotype" w:hAnsi="Palatino Linotype" w:cstheme="minorHAnsi"/>
          <w:b/>
          <w:sz w:val="22"/>
          <w:szCs w:val="22"/>
          <w:lang w:val="es-EC" w:eastAsia="ar-SA"/>
        </w:rPr>
        <w:t>; y, artículo 91, numeral 3, de la Ley Orgánica de Ordenamiento Territorial, Uso y Gestión del Suelo,</w:t>
      </w:r>
    </w:p>
    <w:p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EXPIDE LA SIGUIENTE:</w:t>
      </w:r>
    </w:p>
    <w:p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ORDENANZA METROPOLITANA MODIFICATORIA DE LA ORDENANZA METROPOLITANA No. 0041, DEL  PLAN METROPOLITANO DE DESARROLLO Y ORDENAMIENTO TERRITORIAL DEL DISTRITO METROPOLITANO DE QUITO.</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Artículo 1.- Objeto</w:t>
      </w:r>
      <w:r w:rsidRPr="00C250CB">
        <w:rPr>
          <w:rFonts w:ascii="Palatino Linotype" w:hAnsi="Palatino Linotype" w:cstheme="minorHAnsi"/>
          <w:sz w:val="22"/>
          <w:szCs w:val="22"/>
          <w:lang w:val="es-EC" w:eastAsia="ar-SA"/>
        </w:rPr>
        <w:t>.- La presente ordenanza es un instrumento de regulación  metropolitana que constituye parte del Plan Metropolitano de Desarrollo y Ordenamiento Territorial que tiene por objeto la estructuración de la clasificación, usos, ocupación  y edificabilidad del suelo, de tal manera que coordine los aspectos e</w:t>
      </w:r>
      <w:r w:rsidR="00E419FC">
        <w:rPr>
          <w:rFonts w:ascii="Palatino Linotype" w:hAnsi="Palatino Linotype" w:cstheme="minorHAnsi"/>
          <w:sz w:val="22"/>
          <w:szCs w:val="22"/>
          <w:lang w:val="es-EC" w:eastAsia="ar-SA"/>
        </w:rPr>
        <w:t>senciales del funcionamiento de</w:t>
      </w:r>
      <w:r w:rsidRPr="00C250CB">
        <w:rPr>
          <w:rFonts w:ascii="Palatino Linotype" w:hAnsi="Palatino Linotype" w:cstheme="minorHAnsi"/>
          <w:sz w:val="22"/>
          <w:szCs w:val="22"/>
          <w:lang w:val="es-EC" w:eastAsia="ar-SA"/>
        </w:rPr>
        <w:t xml:space="preserve"> todo el territorio del Distrito Metropolitano de Quito. </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lastRenderedPageBreak/>
        <w:t>Artículo 2.- Ámbito de aplicación</w:t>
      </w:r>
      <w:r w:rsidRPr="00C250CB">
        <w:rPr>
          <w:rFonts w:ascii="Palatino Linotype" w:hAnsi="Palatino Linotype" w:cstheme="minorHAnsi"/>
          <w:sz w:val="22"/>
          <w:szCs w:val="22"/>
          <w:lang w:val="es-EC" w:eastAsia="ar-SA"/>
        </w:rPr>
        <w:t>.- La presente ordenanza es de aplicación obligatoria en todo el territorio del Distrito Metropolitano de Quito, tanto en suelo urbano como en rural.</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Artículo 3.- Glosario y abreviaturas de términos.- </w:t>
      </w:r>
      <w:r w:rsidRPr="00C250CB">
        <w:rPr>
          <w:rFonts w:ascii="Palatino Linotype" w:hAnsi="Palatino Linotype" w:cstheme="minorHAnsi"/>
          <w:sz w:val="22"/>
          <w:szCs w:val="22"/>
          <w:lang w:val="es-EC" w:eastAsia="ar-SA"/>
        </w:rPr>
        <w:t>Sin perjuicio de los términos conceptualizados en las ordenanzas metropolitanas vigentes relativas al uso del suelo, se consigna las siguientes definiciones:</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PMDOT: </w:t>
      </w:r>
      <w:r w:rsidRPr="00C250CB">
        <w:rPr>
          <w:rFonts w:ascii="Palatino Linotype" w:hAnsi="Palatino Linotype" w:cstheme="minorHAnsi"/>
          <w:sz w:val="22"/>
          <w:szCs w:val="22"/>
          <w:lang w:val="es-EC" w:eastAsia="ar-SA"/>
        </w:rPr>
        <w:t>Plan Metropolitano de Desarrollo y Ordenamiento Territorial.</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PUOS: </w:t>
      </w:r>
      <w:r w:rsidRPr="00C250CB">
        <w:rPr>
          <w:rFonts w:ascii="Palatino Linotype" w:hAnsi="Palatino Linotype" w:cstheme="minorHAnsi"/>
          <w:sz w:val="22"/>
          <w:szCs w:val="22"/>
          <w:lang w:val="es-EC" w:eastAsia="ar-SA"/>
        </w:rPr>
        <w:t>Plan de Uso y ocupación del Suelo.</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COS PB: </w:t>
      </w:r>
      <w:r w:rsidRPr="00C250CB">
        <w:rPr>
          <w:rFonts w:ascii="Palatino Linotype" w:hAnsi="Palatino Linotype" w:cstheme="minorHAnsi"/>
          <w:sz w:val="22"/>
          <w:szCs w:val="22"/>
          <w:lang w:val="es-EC" w:eastAsia="ar-SA"/>
        </w:rPr>
        <w:t>Coeficiente de ocupación del suelo en planta baja.</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COS T</w:t>
      </w:r>
      <w:r>
        <w:rPr>
          <w:rFonts w:ascii="Palatino Linotype" w:hAnsi="Palatino Linotype" w:cstheme="minorHAnsi"/>
          <w:b/>
          <w:sz w:val="22"/>
          <w:szCs w:val="22"/>
          <w:lang w:val="es-EC" w:eastAsia="ar-SA"/>
        </w:rPr>
        <w:t>otal</w:t>
      </w:r>
      <w:r w:rsidRPr="00C250CB">
        <w:rPr>
          <w:rFonts w:ascii="Palatino Linotype" w:hAnsi="Palatino Linotype" w:cstheme="minorHAnsi"/>
          <w:sz w:val="22"/>
          <w:szCs w:val="22"/>
          <w:lang w:val="es-EC" w:eastAsia="ar-SA"/>
        </w:rPr>
        <w:t>: Coeficiente de ocupación del suelo total.</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LUAE: </w:t>
      </w:r>
      <w:r w:rsidRPr="00C250CB">
        <w:rPr>
          <w:rFonts w:ascii="Palatino Linotype" w:hAnsi="Palatino Linotype" w:cstheme="minorHAnsi"/>
          <w:sz w:val="22"/>
          <w:szCs w:val="22"/>
          <w:lang w:val="es-EC" w:eastAsia="ar-SA"/>
        </w:rPr>
        <w:t xml:space="preserve">Licencia </w:t>
      </w:r>
      <w:r w:rsidR="00EC074D">
        <w:rPr>
          <w:rFonts w:ascii="Palatino Linotype" w:hAnsi="Palatino Linotype" w:cstheme="minorHAnsi"/>
          <w:sz w:val="22"/>
          <w:szCs w:val="22"/>
          <w:lang w:val="es-EC" w:eastAsia="ar-SA"/>
        </w:rPr>
        <w:t xml:space="preserve">única </w:t>
      </w:r>
      <w:r w:rsidRPr="00C250CB">
        <w:rPr>
          <w:rFonts w:ascii="Palatino Linotype" w:hAnsi="Palatino Linotype" w:cstheme="minorHAnsi"/>
          <w:sz w:val="22"/>
          <w:szCs w:val="22"/>
          <w:lang w:val="es-EC" w:eastAsia="ar-SA"/>
        </w:rPr>
        <w:t>de actividades económicas.</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CIIU</w:t>
      </w:r>
      <w:r w:rsidRPr="00C250CB">
        <w:rPr>
          <w:rFonts w:ascii="Palatino Linotype" w:hAnsi="Palatino Linotype" w:cstheme="minorHAnsi"/>
          <w:sz w:val="22"/>
          <w:szCs w:val="22"/>
          <w:lang w:val="es-EC" w:eastAsia="ar-SA"/>
        </w:rPr>
        <w:t>: Clasificador internacional industrial uniforme.</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Equipamiento</w:t>
      </w:r>
      <w:r w:rsidRPr="00C250CB">
        <w:rPr>
          <w:rFonts w:ascii="Palatino Linotype" w:hAnsi="Palatino Linotype" w:cstheme="minorHAnsi"/>
          <w:sz w:val="22"/>
          <w:szCs w:val="22"/>
          <w:lang w:val="es-EC" w:eastAsia="ar-SA"/>
        </w:rPr>
        <w:t>: Es el destinado para el desarrollo de actividades para todo tipo de servicio social y servicio público.</w:t>
      </w:r>
    </w:p>
    <w:p w:rsidR="008D7F22" w:rsidRPr="00C250CB" w:rsidRDefault="008D7F22" w:rsidP="008D7F22">
      <w:pPr>
        <w:pStyle w:val="Textoindependiente"/>
        <w:spacing w:line="276" w:lineRule="auto"/>
        <w:jc w:val="both"/>
        <w:rPr>
          <w:rFonts w:ascii="Palatino Linotype" w:hAnsi="Palatino Linotype" w:cstheme="minorHAnsi"/>
          <w:color w:val="000000" w:themeColor="text1"/>
          <w:sz w:val="22"/>
          <w:szCs w:val="22"/>
        </w:rPr>
      </w:pPr>
      <w:r w:rsidRPr="00C250CB">
        <w:rPr>
          <w:rFonts w:ascii="Palatino Linotype" w:hAnsi="Palatino Linotype" w:cstheme="minorHAnsi"/>
          <w:b/>
          <w:color w:val="000000" w:themeColor="text1"/>
          <w:sz w:val="22"/>
          <w:szCs w:val="22"/>
        </w:rPr>
        <w:t>ZUAE:</w:t>
      </w:r>
      <w:r w:rsidRPr="00C250CB">
        <w:rPr>
          <w:rFonts w:ascii="Palatino Linotype" w:hAnsi="Palatino Linotype" w:cstheme="minorHAnsi"/>
          <w:color w:val="000000" w:themeColor="text1"/>
          <w:sz w:val="22"/>
          <w:szCs w:val="22"/>
        </w:rPr>
        <w:t xml:space="preserve"> Zonas Urbanísticas de Asignación Especial. </w:t>
      </w:r>
    </w:p>
    <w:p w:rsidR="008D7F22" w:rsidRPr="00C250CB" w:rsidRDefault="008D7F22" w:rsidP="008D7F22">
      <w:pPr>
        <w:pStyle w:val="Textoindependiente"/>
        <w:spacing w:line="276" w:lineRule="auto"/>
        <w:jc w:val="both"/>
        <w:rPr>
          <w:rFonts w:ascii="Palatino Linotype" w:hAnsi="Palatino Linotype" w:cstheme="minorHAnsi"/>
          <w:color w:val="000000" w:themeColor="text1"/>
          <w:sz w:val="22"/>
          <w:szCs w:val="22"/>
        </w:rPr>
      </w:pPr>
      <w:r w:rsidRPr="00C250CB">
        <w:rPr>
          <w:rFonts w:ascii="Palatino Linotype" w:hAnsi="Palatino Linotype" w:cstheme="minorHAnsi"/>
          <w:b/>
          <w:color w:val="000000" w:themeColor="text1"/>
          <w:sz w:val="22"/>
          <w:szCs w:val="22"/>
        </w:rPr>
        <w:t>PUAE:</w:t>
      </w:r>
      <w:r w:rsidRPr="00C250CB">
        <w:rPr>
          <w:rFonts w:ascii="Palatino Linotype" w:hAnsi="Palatino Linotype" w:cstheme="minorHAnsi"/>
          <w:color w:val="000000" w:themeColor="text1"/>
          <w:sz w:val="22"/>
          <w:szCs w:val="22"/>
        </w:rPr>
        <w:t xml:space="preserve"> Proyecto urbanístico arquitectónico especial.</w:t>
      </w:r>
    </w:p>
    <w:p w:rsidR="008D7F22" w:rsidRPr="00C250CB" w:rsidRDefault="008D7F22" w:rsidP="008D7F22">
      <w:pPr>
        <w:pStyle w:val="Textoindependiente"/>
        <w:spacing w:line="276" w:lineRule="auto"/>
        <w:jc w:val="both"/>
        <w:rPr>
          <w:rFonts w:ascii="Palatino Linotype" w:hAnsi="Palatino Linotype" w:cstheme="minorHAnsi"/>
          <w:color w:val="000000" w:themeColor="text1"/>
          <w:sz w:val="22"/>
          <w:szCs w:val="22"/>
        </w:rPr>
      </w:pPr>
      <w:r w:rsidRPr="00C250CB">
        <w:rPr>
          <w:rFonts w:ascii="Palatino Linotype" w:hAnsi="Palatino Linotype" w:cstheme="minorHAnsi"/>
          <w:b/>
          <w:color w:val="000000" w:themeColor="text1"/>
          <w:sz w:val="22"/>
          <w:szCs w:val="22"/>
        </w:rPr>
        <w:t>M</w:t>
      </w:r>
      <w:r>
        <w:rPr>
          <w:rFonts w:ascii="Palatino Linotype" w:hAnsi="Palatino Linotype" w:cstheme="minorHAnsi"/>
          <w:b/>
          <w:color w:val="000000" w:themeColor="text1"/>
          <w:sz w:val="22"/>
          <w:szCs w:val="22"/>
        </w:rPr>
        <w:t>ancomunidad</w:t>
      </w:r>
      <w:r w:rsidRPr="00C250CB">
        <w:rPr>
          <w:rFonts w:ascii="Palatino Linotype" w:hAnsi="Palatino Linotype" w:cstheme="minorHAnsi"/>
          <w:b/>
          <w:color w:val="000000" w:themeColor="text1"/>
          <w:sz w:val="22"/>
          <w:szCs w:val="22"/>
        </w:rPr>
        <w:t xml:space="preserve">: </w:t>
      </w:r>
      <w:r w:rsidRPr="00C250CB">
        <w:rPr>
          <w:rFonts w:ascii="Palatino Linotype" w:hAnsi="Palatino Linotype" w:cstheme="minorHAnsi"/>
          <w:color w:val="000000" w:themeColor="text1"/>
          <w:sz w:val="22"/>
          <w:szCs w:val="22"/>
        </w:rPr>
        <w:t>Es la unidad que se realiza entre dos o más gobiernos autónomos descentralizados parroquiales con la finalidad de mejorar la gestión de sus competencias.</w:t>
      </w:r>
    </w:p>
    <w:p w:rsidR="008D7F22" w:rsidRPr="00C250CB" w:rsidRDefault="008D7F22" w:rsidP="008D7F22">
      <w:pPr>
        <w:pStyle w:val="Textoindependiente"/>
        <w:spacing w:line="276" w:lineRule="auto"/>
        <w:jc w:val="both"/>
        <w:rPr>
          <w:rFonts w:ascii="Palatino Linotype" w:hAnsi="Palatino Linotype" w:cstheme="minorHAnsi"/>
          <w:b/>
          <w:sz w:val="22"/>
          <w:szCs w:val="22"/>
          <w:lang w:val="es-EC" w:eastAsia="ar-SA"/>
        </w:rPr>
      </w:pPr>
      <w:r w:rsidRPr="00C250CB">
        <w:rPr>
          <w:rFonts w:ascii="Palatino Linotype" w:hAnsi="Palatino Linotype" w:cstheme="minorHAnsi"/>
          <w:b/>
          <w:color w:val="000000" w:themeColor="text1"/>
          <w:sz w:val="22"/>
          <w:szCs w:val="22"/>
        </w:rPr>
        <w:t xml:space="preserve">PH: </w:t>
      </w:r>
      <w:r w:rsidRPr="00C250CB">
        <w:rPr>
          <w:rFonts w:ascii="Palatino Linotype" w:hAnsi="Palatino Linotype" w:cstheme="minorHAnsi"/>
          <w:color w:val="000000" w:themeColor="text1"/>
          <w:sz w:val="22"/>
          <w:szCs w:val="22"/>
        </w:rPr>
        <w:t>Régimen de propiedad horizontal.</w:t>
      </w:r>
    </w:p>
    <w:p w:rsidR="008D7F22" w:rsidRPr="00C250CB" w:rsidRDefault="008D7F22" w:rsidP="008D7F22">
      <w:pPr>
        <w:pStyle w:val="Textoindependiente"/>
        <w:spacing w:line="276" w:lineRule="auto"/>
        <w:jc w:val="both"/>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 xml:space="preserve">Protección por riesgo: </w:t>
      </w:r>
      <w:r w:rsidRPr="00C250CB">
        <w:rPr>
          <w:rFonts w:ascii="Palatino Linotype" w:hAnsi="Palatino Linotype"/>
          <w:sz w:val="22"/>
          <w:szCs w:val="22"/>
        </w:rPr>
        <w:t>amenazas de origen natural y antrópico que pueden generar diferentes niveles de riesgo que limitan el aprovechamiento y utilización del suelo, según las vulnerabilidades identificadas.</w:t>
      </w:r>
    </w:p>
    <w:p w:rsidR="008D7F22" w:rsidRPr="00C250CB" w:rsidRDefault="008D7F22" w:rsidP="008D7F22">
      <w:pPr>
        <w:pStyle w:val="Textoindependiente"/>
        <w:spacing w:line="276" w:lineRule="auto"/>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 xml:space="preserve">Compatibilidad: </w:t>
      </w:r>
      <w:r w:rsidRPr="00C250CB">
        <w:rPr>
          <w:rFonts w:ascii="Palatino Linotype" w:hAnsi="Palatino Linotype" w:cstheme="minorHAnsi"/>
          <w:sz w:val="22"/>
          <w:szCs w:val="22"/>
          <w:lang w:val="es-EC" w:eastAsia="ar-SA"/>
        </w:rPr>
        <w:t>Son</w:t>
      </w:r>
      <w:r w:rsidRPr="00C250CB">
        <w:rPr>
          <w:rFonts w:ascii="Palatino Linotype" w:hAnsi="Palatino Linotype" w:cstheme="minorHAnsi"/>
          <w:b/>
          <w:sz w:val="22"/>
          <w:szCs w:val="22"/>
          <w:lang w:val="es-EC" w:eastAsia="ar-SA"/>
        </w:rPr>
        <w:t xml:space="preserve"> </w:t>
      </w:r>
      <w:r w:rsidRPr="00C250CB">
        <w:rPr>
          <w:rFonts w:ascii="Palatino Linotype" w:hAnsi="Palatino Linotype" w:cstheme="minorHAnsi"/>
          <w:sz w:val="22"/>
          <w:szCs w:val="22"/>
          <w:lang w:val="es-EC" w:eastAsia="ar-SA"/>
        </w:rPr>
        <w:t>actividades permitidas en un uso de suelo determinado.</w:t>
      </w:r>
    </w:p>
    <w:p w:rsidR="008D7F22" w:rsidRPr="00C250CB" w:rsidRDefault="008D7F22" w:rsidP="008D7F22">
      <w:pPr>
        <w:pStyle w:val="Textoindependiente"/>
        <w:spacing w:line="276" w:lineRule="auto"/>
        <w:jc w:val="both"/>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 xml:space="preserve">ZC: </w:t>
      </w:r>
      <w:r w:rsidRPr="00C250CB">
        <w:rPr>
          <w:rFonts w:ascii="Palatino Linotype" w:hAnsi="Palatino Linotype" w:cstheme="minorHAnsi"/>
          <w:sz w:val="22"/>
          <w:szCs w:val="22"/>
          <w:lang w:val="es-EC" w:eastAsia="ar-SA"/>
        </w:rPr>
        <w:t>Zona de promoción para el desarrollo de proyectos urbanísticos concertados.</w:t>
      </w:r>
      <w:r w:rsidRPr="00C250CB">
        <w:rPr>
          <w:rFonts w:ascii="Palatino Linotype" w:hAnsi="Palatino Linotype" w:cstheme="minorHAnsi"/>
          <w:b/>
          <w:sz w:val="22"/>
          <w:szCs w:val="22"/>
          <w:lang w:val="es-EC" w:eastAsia="ar-SA"/>
        </w:rPr>
        <w:t xml:space="preserve">  </w:t>
      </w:r>
    </w:p>
    <w:p w:rsidR="008D7F22" w:rsidRPr="00C250CB" w:rsidRDefault="008D7F22" w:rsidP="008D7F22">
      <w:pPr>
        <w:pStyle w:val="Textoindependiente"/>
        <w:spacing w:line="276" w:lineRule="auto"/>
        <w:jc w:val="both"/>
        <w:rPr>
          <w:rFonts w:ascii="Palatino Linotype" w:hAnsi="Palatino Linotype" w:cstheme="minorHAnsi"/>
          <w:sz w:val="22"/>
          <w:szCs w:val="22"/>
        </w:rPr>
      </w:pPr>
      <w:r w:rsidRPr="00C250CB">
        <w:rPr>
          <w:rFonts w:ascii="Palatino Linotype" w:hAnsi="Palatino Linotype" w:cstheme="minorHAnsi"/>
          <w:b/>
          <w:sz w:val="22"/>
          <w:szCs w:val="22"/>
          <w:lang w:val="es-EC" w:eastAsia="ar-SA"/>
        </w:rPr>
        <w:t xml:space="preserve">Artículo 4.- Contenido.- </w:t>
      </w:r>
      <w:r w:rsidRPr="00C250CB">
        <w:rPr>
          <w:rFonts w:ascii="Palatino Linotype" w:hAnsi="Palatino Linotype" w:cstheme="minorHAnsi"/>
          <w:sz w:val="22"/>
          <w:szCs w:val="22"/>
          <w:lang w:val="es-EC" w:eastAsia="ar-SA"/>
        </w:rPr>
        <w:t>Constituye</w:t>
      </w:r>
      <w:r w:rsidRPr="00C250CB">
        <w:rPr>
          <w:rFonts w:ascii="Palatino Linotype" w:hAnsi="Palatino Linotype" w:cstheme="minorHAnsi"/>
          <w:b/>
          <w:sz w:val="22"/>
          <w:szCs w:val="22"/>
          <w:lang w:val="es-EC" w:eastAsia="ar-SA"/>
        </w:rPr>
        <w:t xml:space="preserve"> </w:t>
      </w:r>
      <w:r w:rsidRPr="00C250CB">
        <w:rPr>
          <w:rFonts w:ascii="Palatino Linotype" w:hAnsi="Palatino Linotype" w:cstheme="minorHAnsi"/>
          <w:sz w:val="22"/>
          <w:szCs w:val="22"/>
          <w:lang w:val="es-EC" w:eastAsia="ar-SA"/>
        </w:rPr>
        <w:t xml:space="preserve">el documento que contiene el  Plan de Uso y Ocupación del Suelo y su anexo que corresponde al Clasificador </w:t>
      </w:r>
      <w:r w:rsidRPr="00C250CB">
        <w:rPr>
          <w:rFonts w:ascii="Palatino Linotype" w:hAnsi="Palatino Linotype" w:cstheme="minorHAnsi"/>
          <w:sz w:val="22"/>
          <w:szCs w:val="22"/>
        </w:rPr>
        <w:t xml:space="preserve">Internacional Industrial Uniforme (CIIU) vigente </w:t>
      </w:r>
      <w:r w:rsidRPr="00C250CB">
        <w:rPr>
          <w:rFonts w:ascii="Palatino Linotype" w:hAnsi="Palatino Linotype" w:cstheme="minorHAnsi"/>
          <w:sz w:val="22"/>
          <w:szCs w:val="22"/>
          <w:lang w:val="es-EC" w:eastAsia="ar-SA"/>
        </w:rPr>
        <w:t>para el Distrito Metropolitano de Quito que son parte del Anexo Único del Plan Metropolitano de Desarrollo y Ordenamiento Territorial, y los siguientes mapas:</w:t>
      </w:r>
      <w:r w:rsidRPr="00C250CB">
        <w:rPr>
          <w:rFonts w:ascii="Palatino Linotype" w:hAnsi="Palatino Linotype" w:cstheme="minorHAnsi"/>
          <w:sz w:val="22"/>
          <w:szCs w:val="22"/>
        </w:rPr>
        <w:t xml:space="preserve"> </w:t>
      </w:r>
    </w:p>
    <w:p w:rsidR="008D7F22" w:rsidRPr="00C250CB" w:rsidRDefault="008D7F22" w:rsidP="008D7F22">
      <w:pPr>
        <w:pStyle w:val="Textoindependiente"/>
        <w:numPr>
          <w:ilvl w:val="0"/>
          <w:numId w:val="34"/>
        </w:numPr>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PUOS </w:t>
      </w:r>
      <w:r w:rsidRPr="00C250CB">
        <w:rPr>
          <w:rFonts w:ascii="Palatino Linotype" w:hAnsi="Palatino Linotype" w:cstheme="minorHAnsi"/>
          <w:caps/>
          <w:sz w:val="22"/>
          <w:szCs w:val="22"/>
        </w:rPr>
        <w:t>U2,</w:t>
      </w:r>
      <w:r w:rsidRPr="00C250CB">
        <w:rPr>
          <w:rFonts w:ascii="Palatino Linotype" w:hAnsi="Palatino Linotype" w:cstheme="minorHAnsi"/>
          <w:sz w:val="22"/>
          <w:szCs w:val="22"/>
        </w:rPr>
        <w:t xml:space="preserve"> de los usos de suelo principales establecidos en el territorio del Distrito Metropolitano de Quito.</w:t>
      </w:r>
    </w:p>
    <w:p w:rsidR="008D7F22" w:rsidRPr="00C250CB" w:rsidRDefault="008D7F22" w:rsidP="008D7F22">
      <w:pPr>
        <w:pStyle w:val="Textoindependiente"/>
        <w:numPr>
          <w:ilvl w:val="0"/>
          <w:numId w:val="34"/>
        </w:numPr>
        <w:tabs>
          <w:tab w:val="left" w:pos="0"/>
        </w:tabs>
        <w:spacing w:line="276" w:lineRule="auto"/>
        <w:jc w:val="both"/>
        <w:rPr>
          <w:rFonts w:ascii="Palatino Linotype" w:hAnsi="Palatino Linotype" w:cstheme="minorHAnsi"/>
          <w:sz w:val="22"/>
          <w:szCs w:val="22"/>
          <w:lang w:val="es-ES"/>
        </w:rPr>
      </w:pPr>
      <w:r w:rsidRPr="00C250CB">
        <w:rPr>
          <w:rFonts w:ascii="Palatino Linotype" w:hAnsi="Palatino Linotype" w:cstheme="minorHAnsi"/>
          <w:sz w:val="22"/>
          <w:szCs w:val="22"/>
        </w:rPr>
        <w:t>PUOS Z2, de</w:t>
      </w:r>
      <w:r w:rsidRPr="00C250CB">
        <w:rPr>
          <w:rFonts w:ascii="Palatino Linotype" w:hAnsi="Palatino Linotype" w:cstheme="minorHAnsi"/>
          <w:sz w:val="22"/>
          <w:szCs w:val="22"/>
          <w:lang w:val="es-ES"/>
        </w:rPr>
        <w:t xml:space="preserve"> asignaciones generales de la zonificación por edificabilidad y forma de ocupación.</w:t>
      </w:r>
    </w:p>
    <w:p w:rsidR="008D7F22" w:rsidRPr="00C250CB" w:rsidRDefault="008D7F22" w:rsidP="008D7F22">
      <w:pPr>
        <w:pStyle w:val="Textoindependiente"/>
        <w:numPr>
          <w:ilvl w:val="0"/>
          <w:numId w:val="34"/>
        </w:numPr>
        <w:tabs>
          <w:tab w:val="left" w:pos="0"/>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PUOS V2,  de los derechos de vías.</w:t>
      </w:r>
    </w:p>
    <w:p w:rsidR="008D7F22" w:rsidRPr="00C250CB" w:rsidRDefault="008D7F22" w:rsidP="008D7F22">
      <w:pPr>
        <w:pStyle w:val="Textoindependiente"/>
        <w:numPr>
          <w:ilvl w:val="0"/>
          <w:numId w:val="34"/>
        </w:numPr>
        <w:tabs>
          <w:tab w:val="left" w:pos="0"/>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lastRenderedPageBreak/>
        <w:t>PUOS P2, de áreas de protección especial.</w:t>
      </w:r>
    </w:p>
    <w:p w:rsidR="008D7F22" w:rsidRPr="00772C3C" w:rsidRDefault="008D7F22" w:rsidP="008D7F22">
      <w:pPr>
        <w:spacing w:after="120" w:line="276" w:lineRule="auto"/>
        <w:jc w:val="both"/>
        <w:rPr>
          <w:rFonts w:ascii="Palatino Linotype" w:hAnsi="Palatino Linotype" w:cstheme="minorHAnsi"/>
          <w:strike/>
        </w:rPr>
      </w:pPr>
      <w:commentRangeStart w:id="0"/>
      <w:r w:rsidRPr="00772C3C">
        <w:rPr>
          <w:rFonts w:ascii="Palatino Linotype" w:hAnsi="Palatino Linotype" w:cstheme="minorHAnsi"/>
          <w:b/>
          <w:strike/>
        </w:rPr>
        <w:t xml:space="preserve">Artículo 5.- Cumplimiento normativo.- </w:t>
      </w:r>
      <w:r w:rsidRPr="00772C3C">
        <w:rPr>
          <w:rFonts w:ascii="Palatino Linotype" w:hAnsi="Palatino Linotype" w:cstheme="minorHAnsi"/>
          <w:strike/>
        </w:rPr>
        <w:t>Todas las actividades de equipamientos y servicios o comercios con relación de compatibilidad permitida con el uso de suelo, a desarrollarse en una edificación existente,  deberán adecuar sus instalaciones cumpliendo con las condiciones mínimas en materia de Reglas Técnicas de Arquitectura y Urbanismo, así como las normas urbanísticas vigentes en el Distrito Metropolitano de Quito.</w:t>
      </w:r>
    </w:p>
    <w:p w:rsidR="008D7F22" w:rsidRPr="00772C3C" w:rsidRDefault="008D7F22" w:rsidP="008D7F22">
      <w:pPr>
        <w:pStyle w:val="Textoindependiente"/>
        <w:tabs>
          <w:tab w:val="left" w:pos="2977"/>
        </w:tabs>
        <w:spacing w:line="276" w:lineRule="auto"/>
        <w:jc w:val="both"/>
        <w:rPr>
          <w:rFonts w:ascii="Palatino Linotype" w:hAnsi="Palatino Linotype" w:cstheme="minorHAnsi"/>
          <w:strike/>
          <w:sz w:val="22"/>
          <w:szCs w:val="22"/>
        </w:rPr>
      </w:pPr>
      <w:r w:rsidRPr="00772C3C">
        <w:rPr>
          <w:rFonts w:ascii="Palatino Linotype" w:hAnsi="Palatino Linotype" w:cstheme="minorHAnsi"/>
          <w:strike/>
          <w:sz w:val="22"/>
          <w:szCs w:val="22"/>
        </w:rPr>
        <w:t xml:space="preserve">La Agencia Metropolitana de Control será  la entidad responsable de la verificación del cumplimiento de esta disposición, previo a que la Autoridad Administrativa Otorgante emita la licencia de funcionamiento (LUAE). </w:t>
      </w:r>
    </w:p>
    <w:commentRangeEnd w:id="0"/>
    <w:p w:rsidR="008D7F22" w:rsidRPr="00C250CB" w:rsidRDefault="00772C3C" w:rsidP="008D7F22">
      <w:pPr>
        <w:pStyle w:val="Textoindependiente"/>
        <w:tabs>
          <w:tab w:val="left" w:pos="2977"/>
        </w:tabs>
        <w:spacing w:line="276" w:lineRule="auto"/>
        <w:jc w:val="both"/>
        <w:rPr>
          <w:rFonts w:ascii="Palatino Linotype" w:hAnsi="Palatino Linotype" w:cstheme="minorHAnsi"/>
          <w:color w:val="FF0000"/>
          <w:sz w:val="22"/>
          <w:szCs w:val="22"/>
        </w:rPr>
      </w:pPr>
      <w:r>
        <w:rPr>
          <w:rStyle w:val="Refdecomentario"/>
          <w:rFonts w:asciiTheme="minorHAnsi" w:eastAsiaTheme="minorHAnsi" w:hAnsiTheme="minorHAnsi" w:cstheme="minorBidi"/>
          <w:lang w:val="es-EC" w:eastAsia="en-US"/>
        </w:rPr>
        <w:commentReference w:id="0"/>
      </w:r>
      <w:r w:rsidR="008D7F22" w:rsidRPr="00C250CB">
        <w:rPr>
          <w:rFonts w:ascii="Palatino Linotype" w:hAnsi="Palatino Linotype" w:cstheme="minorHAnsi"/>
          <w:b/>
          <w:sz w:val="22"/>
          <w:szCs w:val="22"/>
        </w:rPr>
        <w:t xml:space="preserve">Artículo 6.- Cese de actividad y reasignaciones de usos de suelo y zonificación de los equipamientos.- </w:t>
      </w:r>
      <w:r w:rsidR="008D7F22" w:rsidRPr="00C250CB">
        <w:rPr>
          <w:rFonts w:ascii="Palatino Linotype" w:hAnsi="Palatino Linotype" w:cstheme="minorHAnsi"/>
          <w:sz w:val="22"/>
          <w:szCs w:val="22"/>
        </w:rPr>
        <w:t>Los lotes donde están implantados equipamientos de tipologías de salud, educación y bienestar social de dominio privado, que hayan finalizado sus actividades, deberán presentar  el informe que indique el cese de dicha actividad por parte de la autoridad competente y podrán solicitar a la municipalidad el cambio de asignaciones de uso de suelo y zonificación, aplicando las  que correspondan a  su entorno inmediato.</w:t>
      </w:r>
    </w:p>
    <w:p w:rsidR="008D7F22" w:rsidRPr="00C250CB" w:rsidRDefault="008D7F22" w:rsidP="008D7F22">
      <w:pPr>
        <w:pStyle w:val="Textoindependiente"/>
        <w:tabs>
          <w:tab w:val="left" w:pos="2977"/>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La Secretaria responsable del territorio, hábitat y vivienda, establecerá las condiciones de esta disposición a través de un informe motivado que será conocido y aprobado por la Comisión de</w:t>
      </w:r>
      <w:r w:rsidR="00EC074D">
        <w:rPr>
          <w:rFonts w:ascii="Palatino Linotype" w:hAnsi="Palatino Linotype" w:cstheme="minorHAnsi"/>
          <w:sz w:val="22"/>
          <w:szCs w:val="22"/>
        </w:rPr>
        <w:t xml:space="preserve"> Uso de</w:t>
      </w:r>
      <w:r w:rsidRPr="00C250CB">
        <w:rPr>
          <w:rFonts w:ascii="Palatino Linotype" w:hAnsi="Palatino Linotype" w:cstheme="minorHAnsi"/>
          <w:sz w:val="22"/>
          <w:szCs w:val="22"/>
        </w:rPr>
        <w:t xml:space="preserve"> Suelo y el Concejo Metropolitano de Quito.</w:t>
      </w:r>
    </w:p>
    <w:p w:rsidR="008D7F22" w:rsidRPr="00C250CB" w:rsidRDefault="008D7F22" w:rsidP="008D7F22">
      <w:pPr>
        <w:pStyle w:val="Listaconvietas2"/>
        <w:tabs>
          <w:tab w:val="clear" w:pos="643"/>
        </w:tabs>
        <w:spacing w:after="120" w:line="276" w:lineRule="auto"/>
        <w:ind w:left="0" w:firstLine="0"/>
        <w:rPr>
          <w:rFonts w:ascii="Palatino Linotype" w:eastAsia="Arial Unicode MS" w:hAnsi="Palatino Linotype" w:cstheme="minorHAnsi"/>
          <w:sz w:val="22"/>
          <w:szCs w:val="22"/>
          <w:lang w:val="es-ES_tradnl" w:eastAsia="es-EC"/>
        </w:rPr>
      </w:pPr>
      <w:r w:rsidRPr="00C250CB">
        <w:rPr>
          <w:rFonts w:ascii="Palatino Linotype" w:hAnsi="Palatino Linotype" w:cstheme="minorHAnsi"/>
          <w:b/>
          <w:sz w:val="22"/>
          <w:szCs w:val="22"/>
        </w:rPr>
        <w:t xml:space="preserve">Artículo 7.- Informe de la Entidad Reguladora Aeronáutica.- </w:t>
      </w:r>
      <w:r w:rsidRPr="00C250CB">
        <w:rPr>
          <w:rFonts w:ascii="Palatino Linotype" w:eastAsia="Arial Unicode MS" w:hAnsi="Palatino Linotype" w:cstheme="minorHAnsi"/>
          <w:sz w:val="22"/>
          <w:szCs w:val="22"/>
          <w:lang w:val="es-ES_tradnl" w:eastAsia="es-EC"/>
        </w:rPr>
        <w:t xml:space="preserve">La implantación de nuevas edificaciones o actividades de nivel sectorial, zonal y de ciudad o metropolitano en la zona de restricción de altura aeroportuaria, requerirán el informe de la entidad reguladora aeronáutica del país. </w:t>
      </w:r>
    </w:p>
    <w:p w:rsidR="00C8542E" w:rsidRPr="00C250CB" w:rsidRDefault="00C8542E" w:rsidP="00C8542E">
      <w:pPr>
        <w:pStyle w:val="Listaconvietas2"/>
        <w:tabs>
          <w:tab w:val="clear" w:pos="643"/>
        </w:tabs>
        <w:spacing w:after="120" w:line="276" w:lineRule="auto"/>
        <w:ind w:left="0" w:firstLine="0"/>
        <w:rPr>
          <w:rFonts w:ascii="Palatino Linotype" w:hAnsi="Palatino Linotype" w:cstheme="minorHAnsi"/>
          <w:b/>
          <w:sz w:val="22"/>
          <w:szCs w:val="22"/>
        </w:rPr>
      </w:pPr>
      <w:r w:rsidRPr="00C250CB">
        <w:rPr>
          <w:rFonts w:ascii="Palatino Linotype" w:hAnsi="Palatino Linotype" w:cstheme="minorHAnsi"/>
          <w:b/>
          <w:sz w:val="22"/>
          <w:szCs w:val="22"/>
        </w:rPr>
        <w:t xml:space="preserve">Disposiciones </w:t>
      </w:r>
      <w:r>
        <w:rPr>
          <w:rFonts w:ascii="Palatino Linotype" w:hAnsi="Palatino Linotype" w:cstheme="minorHAnsi"/>
          <w:b/>
          <w:sz w:val="22"/>
          <w:szCs w:val="22"/>
        </w:rPr>
        <w:t>Generales:</w:t>
      </w:r>
    </w:p>
    <w:p w:rsidR="00074594" w:rsidRPr="006A5B3E" w:rsidRDefault="00074594" w:rsidP="00074594">
      <w:pPr>
        <w:spacing w:after="120" w:line="276" w:lineRule="auto"/>
        <w:jc w:val="both"/>
        <w:rPr>
          <w:rFonts w:ascii="Palatino Linotype" w:hAnsi="Palatino Linotype" w:cstheme="minorHAnsi"/>
        </w:rPr>
      </w:pPr>
      <w:r>
        <w:rPr>
          <w:rFonts w:ascii="Palatino Linotype" w:hAnsi="Palatino Linotype" w:cstheme="minorHAnsi"/>
          <w:b/>
        </w:rPr>
        <w:t>Primera</w:t>
      </w:r>
      <w:r w:rsidRPr="002558F0">
        <w:rPr>
          <w:rFonts w:ascii="Palatino Linotype" w:hAnsi="Palatino Linotype" w:cstheme="minorHAnsi"/>
          <w:b/>
        </w:rPr>
        <w:t xml:space="preserve">.- </w:t>
      </w:r>
      <w:r w:rsidRPr="006A5B3E">
        <w:rPr>
          <w:rFonts w:ascii="Palatino Linotype" w:hAnsi="Palatino Linotype" w:cstheme="minorHAnsi"/>
        </w:rPr>
        <w:t>Encárguese a la Secretaría de Territorio, Hábitat y Vivie</w:t>
      </w:r>
      <w:r>
        <w:rPr>
          <w:rFonts w:ascii="Palatino Linotype" w:hAnsi="Palatino Linotype" w:cstheme="minorHAnsi"/>
        </w:rPr>
        <w:t>n</w:t>
      </w:r>
      <w:r w:rsidRPr="006A5B3E">
        <w:rPr>
          <w:rFonts w:ascii="Palatino Linotype" w:hAnsi="Palatino Linotype" w:cstheme="minorHAnsi"/>
        </w:rPr>
        <w:t xml:space="preserve">da, </w:t>
      </w:r>
      <w:r>
        <w:rPr>
          <w:rFonts w:ascii="Palatino Linotype" w:hAnsi="Palatino Linotype" w:cstheme="minorHAnsi"/>
        </w:rPr>
        <w:t xml:space="preserve">para que en el primer año del siguiente periodo de mandato de las autoridades locales, presente a la Comisión de Uso de Suelo para aprobación del Concejo Metropolitano, los proyectos normativos a fin de adecuar el Plan Metropolitano de Desarrollo y Ordenamiento Territorial y las ordenanzas, planes y proyectos correspondientes, de conformidad con lo previsto en la Disposición Transitoria Quinta de la </w:t>
      </w:r>
      <w:r w:rsidRPr="006A5B3E">
        <w:rPr>
          <w:rFonts w:ascii="Palatino Linotype" w:hAnsi="Palatino Linotype" w:cstheme="minorHAnsi"/>
        </w:rPr>
        <w:t xml:space="preserve">Ley Orgánica de Ordenamiento Territorial, Uso y Gestión del Suelo. </w:t>
      </w:r>
    </w:p>
    <w:p w:rsidR="00C8542E" w:rsidRDefault="00C8542E" w:rsidP="008D7F22">
      <w:pPr>
        <w:pStyle w:val="Listaconvietas2"/>
        <w:tabs>
          <w:tab w:val="clear" w:pos="643"/>
        </w:tabs>
        <w:spacing w:after="120" w:line="276" w:lineRule="auto"/>
        <w:ind w:left="0" w:firstLine="0"/>
        <w:rPr>
          <w:rFonts w:ascii="Palatino Linotype" w:hAnsi="Palatino Linotype" w:cstheme="minorHAnsi"/>
          <w:sz w:val="22"/>
          <w:szCs w:val="22"/>
        </w:rPr>
      </w:pPr>
      <w:r>
        <w:rPr>
          <w:rFonts w:ascii="Palatino Linotype" w:hAnsi="Palatino Linotype" w:cstheme="minorHAnsi"/>
          <w:b/>
          <w:sz w:val="22"/>
          <w:szCs w:val="22"/>
        </w:rPr>
        <w:t xml:space="preserve">Segunda.- </w:t>
      </w:r>
      <w:r>
        <w:rPr>
          <w:rFonts w:ascii="Palatino Linotype" w:hAnsi="Palatino Linotype" w:cstheme="minorHAnsi"/>
          <w:sz w:val="22"/>
          <w:szCs w:val="22"/>
        </w:rPr>
        <w:t>Todos los cambios o restituciones de uso de suelo operados en la zona correspondiente al Comité del Pueblo debido a la consolidación existente, deberán ser estudiados y analizados por la Secretaría General de Seguridad y Gobernabilidad, a fin de que determine si existen casos que deban ser objeto de relocalización por inminentes amenazas de riesgos.</w:t>
      </w:r>
    </w:p>
    <w:p w:rsidR="00370715" w:rsidRPr="00370715" w:rsidRDefault="004F1522" w:rsidP="00370715">
      <w:pPr>
        <w:pStyle w:val="Textoindependiente"/>
        <w:tabs>
          <w:tab w:val="left" w:pos="2977"/>
        </w:tabs>
        <w:spacing w:line="276" w:lineRule="auto"/>
        <w:contextualSpacing/>
        <w:jc w:val="both"/>
        <w:rPr>
          <w:rFonts w:ascii="Palatino Linotype" w:hAnsi="Palatino Linotype"/>
          <w:sz w:val="22"/>
          <w:szCs w:val="22"/>
        </w:rPr>
      </w:pPr>
      <w:r>
        <w:rPr>
          <w:rFonts w:ascii="Palatino Linotype" w:hAnsi="Palatino Linotype" w:cstheme="minorHAnsi"/>
          <w:b/>
          <w:sz w:val="22"/>
          <w:szCs w:val="22"/>
        </w:rPr>
        <w:t>Tercera</w:t>
      </w:r>
      <w:r w:rsidRPr="00C250CB">
        <w:rPr>
          <w:rFonts w:ascii="Palatino Linotype" w:hAnsi="Palatino Linotype" w:cstheme="minorHAnsi"/>
          <w:b/>
          <w:sz w:val="22"/>
          <w:szCs w:val="22"/>
        </w:rPr>
        <w:t>.-</w:t>
      </w:r>
      <w:r>
        <w:rPr>
          <w:rFonts w:ascii="Palatino Linotype" w:hAnsi="Palatino Linotype" w:cstheme="minorHAnsi"/>
          <w:b/>
          <w:sz w:val="22"/>
          <w:szCs w:val="22"/>
        </w:rPr>
        <w:t xml:space="preserve"> </w:t>
      </w:r>
      <w:r w:rsidR="00370715" w:rsidRPr="00370715">
        <w:rPr>
          <w:rFonts w:ascii="Palatino Linotype" w:hAnsi="Palatino Linotype"/>
          <w:sz w:val="22"/>
          <w:szCs w:val="22"/>
        </w:rPr>
        <w:t>Todos los cambio</w:t>
      </w:r>
      <w:r w:rsidR="00370715">
        <w:rPr>
          <w:rFonts w:ascii="Palatino Linotype" w:hAnsi="Palatino Linotype"/>
          <w:sz w:val="22"/>
          <w:szCs w:val="22"/>
        </w:rPr>
        <w:t>s de clasificación de suelo de rural a u</w:t>
      </w:r>
      <w:r w:rsidR="00370715" w:rsidRPr="00370715">
        <w:rPr>
          <w:rFonts w:ascii="Palatino Linotype" w:hAnsi="Palatino Linotype"/>
          <w:sz w:val="22"/>
          <w:szCs w:val="22"/>
        </w:rPr>
        <w:t xml:space="preserve">rbano operados en </w:t>
      </w:r>
      <w:r w:rsidR="00370715" w:rsidRPr="00370715">
        <w:rPr>
          <w:rFonts w:ascii="Palatino Linotype" w:hAnsi="Palatino Linotype"/>
          <w:sz w:val="22"/>
          <w:szCs w:val="22"/>
        </w:rPr>
        <w:lastRenderedPageBreak/>
        <w:t>aplicación del presente Plan de Uso y Ocupación de Suelo, de conformidad a lo establecido en el inciso cuarto del artículo 6 de la Ley Orgánica de Tierras Rurales y Territorios Ancestrales, serán informados por la Secretaría</w:t>
      </w:r>
      <w:r w:rsidR="00370715">
        <w:rPr>
          <w:rFonts w:ascii="Palatino Linotype" w:hAnsi="Palatino Linotype"/>
          <w:sz w:val="22"/>
          <w:szCs w:val="22"/>
        </w:rPr>
        <w:t xml:space="preserve"> </w:t>
      </w:r>
      <w:r w:rsidR="00370715" w:rsidRPr="00370715">
        <w:rPr>
          <w:rFonts w:ascii="Palatino Linotype" w:hAnsi="Palatino Linotype"/>
          <w:sz w:val="22"/>
          <w:szCs w:val="22"/>
        </w:rPr>
        <w:t>de Territorio</w:t>
      </w:r>
      <w:r w:rsidR="00370715">
        <w:rPr>
          <w:rFonts w:ascii="Palatino Linotype" w:hAnsi="Palatino Linotype"/>
          <w:sz w:val="22"/>
          <w:szCs w:val="22"/>
        </w:rPr>
        <w:t>,</w:t>
      </w:r>
      <w:r w:rsidR="00370715" w:rsidRPr="00370715">
        <w:rPr>
          <w:rFonts w:ascii="Palatino Linotype" w:hAnsi="Palatino Linotype"/>
          <w:sz w:val="22"/>
          <w:szCs w:val="22"/>
        </w:rPr>
        <w:t xml:space="preserve"> Hábitat y Vivienda a</w:t>
      </w:r>
      <w:r w:rsidR="00370715">
        <w:rPr>
          <w:rFonts w:ascii="Palatino Linotype" w:hAnsi="Palatino Linotype"/>
          <w:sz w:val="22"/>
          <w:szCs w:val="22"/>
        </w:rPr>
        <w:t xml:space="preserve"> la</w:t>
      </w:r>
      <w:r w:rsidR="00370715" w:rsidRPr="00370715">
        <w:rPr>
          <w:rFonts w:ascii="Palatino Linotype" w:hAnsi="Palatino Linotype"/>
          <w:sz w:val="22"/>
          <w:szCs w:val="22"/>
        </w:rPr>
        <w:t xml:space="preserve"> Secretaría General del Concejo Metropolitano</w:t>
      </w:r>
      <w:r w:rsidR="00370715">
        <w:rPr>
          <w:rFonts w:ascii="Palatino Linotype" w:hAnsi="Palatino Linotype"/>
          <w:sz w:val="22"/>
          <w:szCs w:val="22"/>
        </w:rPr>
        <w:t>,</w:t>
      </w:r>
      <w:r w:rsidR="00370715" w:rsidRPr="00370715">
        <w:rPr>
          <w:rFonts w:ascii="Palatino Linotype" w:hAnsi="Palatino Linotype"/>
          <w:sz w:val="22"/>
          <w:szCs w:val="22"/>
        </w:rPr>
        <w:t xml:space="preserve"> a fin de que esta última unidad administrativa realice la petición a la Autoridad Agraria Nacional, misma que de conformidad con la Ley deberá autorizar el cambio de clasificación de suelo rural en el plazo de </w:t>
      </w:r>
      <w:r w:rsidR="00370715">
        <w:rPr>
          <w:rFonts w:ascii="Palatino Linotype" w:hAnsi="Palatino Linotype"/>
          <w:sz w:val="22"/>
          <w:szCs w:val="22"/>
        </w:rPr>
        <w:t xml:space="preserve">90 </w:t>
      </w:r>
      <w:r w:rsidR="00370715" w:rsidRPr="00370715">
        <w:rPr>
          <w:rFonts w:ascii="Palatino Linotype" w:hAnsi="Palatino Linotype"/>
          <w:sz w:val="22"/>
          <w:szCs w:val="22"/>
        </w:rPr>
        <w:t xml:space="preserve">días siguientes a la petición, mientras tanto se mantendrá las mismas asignaciones relativas al suelo en aquellos casos en que se haya dispuesto el cambio de clasificación de suelo.  </w:t>
      </w:r>
    </w:p>
    <w:p w:rsidR="008D7F22" w:rsidRPr="00C250CB" w:rsidRDefault="008D7F22" w:rsidP="008D7F22">
      <w:pPr>
        <w:pStyle w:val="Listaconvietas2"/>
        <w:tabs>
          <w:tab w:val="clear" w:pos="643"/>
        </w:tabs>
        <w:spacing w:after="120" w:line="276" w:lineRule="auto"/>
        <w:ind w:left="0" w:firstLine="0"/>
        <w:rPr>
          <w:rFonts w:ascii="Palatino Linotype" w:hAnsi="Palatino Linotype" w:cstheme="minorHAnsi"/>
          <w:b/>
          <w:sz w:val="22"/>
          <w:szCs w:val="22"/>
        </w:rPr>
      </w:pPr>
      <w:r w:rsidRPr="00C250CB">
        <w:rPr>
          <w:rFonts w:ascii="Palatino Linotype" w:hAnsi="Palatino Linotype" w:cstheme="minorHAnsi"/>
          <w:b/>
          <w:sz w:val="22"/>
          <w:szCs w:val="22"/>
        </w:rPr>
        <w:t>Disposiciones Transitorias</w:t>
      </w:r>
      <w:r>
        <w:rPr>
          <w:rFonts w:ascii="Palatino Linotype" w:hAnsi="Palatino Linotype" w:cstheme="minorHAnsi"/>
          <w:b/>
          <w:sz w:val="22"/>
          <w:szCs w:val="22"/>
        </w:rPr>
        <w:t>:</w:t>
      </w:r>
    </w:p>
    <w:p w:rsidR="00382782" w:rsidRPr="00F9412D" w:rsidRDefault="008D7F22" w:rsidP="00382782">
      <w:pPr>
        <w:jc w:val="both"/>
        <w:rPr>
          <w:rFonts w:ascii="Palatino Linotype" w:hAnsi="Palatino Linotype"/>
          <w:highlight w:val="yellow"/>
        </w:rPr>
      </w:pPr>
      <w:r w:rsidRPr="00C250CB">
        <w:rPr>
          <w:rFonts w:ascii="Palatino Linotype" w:hAnsi="Palatino Linotype" w:cstheme="minorHAnsi"/>
          <w:b/>
        </w:rPr>
        <w:t>Primera.-</w:t>
      </w:r>
      <w:r>
        <w:rPr>
          <w:rFonts w:ascii="Palatino Linotype" w:hAnsi="Palatino Linotype" w:cstheme="minorHAnsi"/>
          <w:b/>
        </w:rPr>
        <w:t xml:space="preserve"> </w:t>
      </w:r>
      <w:r w:rsidRPr="00C250CB">
        <w:rPr>
          <w:rFonts w:ascii="Palatino Linotype" w:hAnsi="Palatino Linotype" w:cstheme="minorHAnsi"/>
          <w:b/>
        </w:rPr>
        <w:t xml:space="preserve">Actividades económicas preexistentes en uso de suelo prohibido.- </w:t>
      </w:r>
      <w:commentRangeStart w:id="1"/>
      <w:r w:rsidR="00EC074D" w:rsidRPr="00382782">
        <w:rPr>
          <w:rFonts w:ascii="Palatino Linotype" w:hAnsi="Palatino Linotype" w:cstheme="minorHAnsi"/>
          <w:strike/>
          <w:color w:val="000000" w:themeColor="text1"/>
        </w:rPr>
        <w:t>Todas</w:t>
      </w:r>
      <w:commentRangeEnd w:id="1"/>
      <w:r w:rsidR="00382782">
        <w:rPr>
          <w:rStyle w:val="Refdecomentario"/>
        </w:rPr>
        <w:commentReference w:id="1"/>
      </w:r>
      <w:r w:rsidR="00EC074D">
        <w:rPr>
          <w:rFonts w:ascii="Palatino Linotype" w:hAnsi="Palatino Linotype" w:cstheme="minorHAnsi"/>
          <w:color w:val="000000" w:themeColor="text1"/>
        </w:rPr>
        <w:t xml:space="preserve"> las actividades económicas </w:t>
      </w:r>
      <w:r w:rsidR="004603F2">
        <w:rPr>
          <w:rFonts w:ascii="Palatino Linotype" w:hAnsi="Palatino Linotype" w:cstheme="minorHAnsi"/>
          <w:color w:val="000000" w:themeColor="text1"/>
        </w:rPr>
        <w:t>correspondientes</w:t>
      </w:r>
      <w:r w:rsidR="00EC074D">
        <w:rPr>
          <w:rFonts w:ascii="Palatino Linotype" w:hAnsi="Palatino Linotype" w:cstheme="minorHAnsi"/>
          <w:color w:val="000000" w:themeColor="text1"/>
        </w:rPr>
        <w:t xml:space="preserve"> </w:t>
      </w:r>
      <w:r w:rsidR="004603F2">
        <w:rPr>
          <w:rFonts w:ascii="Palatino Linotype" w:hAnsi="Palatino Linotype" w:cstheme="minorHAnsi"/>
          <w:color w:val="000000" w:themeColor="text1"/>
        </w:rPr>
        <w:t>a</w:t>
      </w:r>
      <w:r w:rsidR="00EC074D">
        <w:rPr>
          <w:rFonts w:ascii="Palatino Linotype" w:hAnsi="Palatino Linotype" w:cstheme="minorHAnsi"/>
          <w:color w:val="000000" w:themeColor="text1"/>
        </w:rPr>
        <w:t xml:space="preserve"> las diferentes tipologías, que de acuerdo al uso de suelo vigente sean </w:t>
      </w:r>
      <w:r w:rsidR="00EC074D" w:rsidRPr="00382782">
        <w:rPr>
          <w:rFonts w:ascii="Palatino Linotype" w:hAnsi="Palatino Linotype" w:cstheme="minorHAnsi"/>
          <w:strike/>
          <w:color w:val="000000" w:themeColor="text1"/>
        </w:rPr>
        <w:t>incompatibles</w:t>
      </w:r>
      <w:r w:rsidR="00EC074D">
        <w:rPr>
          <w:rFonts w:ascii="Palatino Linotype" w:hAnsi="Palatino Linotype" w:cstheme="minorHAnsi"/>
          <w:color w:val="000000" w:themeColor="text1"/>
        </w:rPr>
        <w:t xml:space="preserve"> </w:t>
      </w:r>
      <w:r w:rsidR="00382782" w:rsidRPr="00F9412D">
        <w:rPr>
          <w:rFonts w:ascii="Palatino Linotype" w:hAnsi="Palatino Linotype"/>
          <w:highlight w:val="yellow"/>
        </w:rPr>
        <w:t>prohibidas, y/o no cumplan condiciones de implantación,</w:t>
      </w:r>
      <w:r w:rsidR="00382782" w:rsidRPr="00F9412D">
        <w:rPr>
          <w:rFonts w:ascii="Palatino Linotype" w:hAnsi="Palatino Linotype"/>
        </w:rPr>
        <w:t xml:space="preserve"> </w:t>
      </w:r>
      <w:r w:rsidR="00EC074D" w:rsidRPr="00F9412D">
        <w:rPr>
          <w:rFonts w:ascii="Palatino Linotype" w:hAnsi="Palatino Linotype" w:cstheme="minorHAnsi"/>
          <w:color w:val="000000" w:themeColor="text1"/>
        </w:rPr>
        <w:t>de conformidad con lo previsto en el PUOS, podrán permanecer en su ubicación actual, siempre y cuando cumplan al menos una de las condiciones señaladas a continuación:</w:t>
      </w:r>
      <w:r w:rsidR="00382782" w:rsidRPr="00F9412D">
        <w:rPr>
          <w:rFonts w:ascii="Palatino Linotype" w:hAnsi="Palatino Linotype" w:cstheme="minorHAnsi"/>
          <w:color w:val="000000" w:themeColor="text1"/>
        </w:rPr>
        <w:t xml:space="preserve"> </w:t>
      </w:r>
      <w:r w:rsidR="00382782" w:rsidRPr="00F9412D">
        <w:rPr>
          <w:rFonts w:ascii="Palatino Linotype" w:hAnsi="Palatino Linotype"/>
          <w:highlight w:val="yellow"/>
        </w:rPr>
        <w:t>con excepción de las actividades económicas de casas de cita, lenocinios, prostíbulos, cabarets, espectáculos en vivo para adultos o similares.</w:t>
      </w:r>
    </w:p>
    <w:p w:rsidR="00EC074D" w:rsidRDefault="00EC074D" w:rsidP="00EC697A">
      <w:pPr>
        <w:pStyle w:val="Textoindependiente"/>
        <w:tabs>
          <w:tab w:val="left" w:pos="2977"/>
        </w:tabs>
        <w:spacing w:line="276" w:lineRule="auto"/>
        <w:jc w:val="both"/>
        <w:rPr>
          <w:rFonts w:ascii="Palatino Linotype" w:hAnsi="Palatino Linotype" w:cstheme="minorHAnsi"/>
          <w:color w:val="000000" w:themeColor="text1"/>
          <w:sz w:val="22"/>
          <w:szCs w:val="22"/>
        </w:rPr>
      </w:pPr>
      <w:r w:rsidRPr="000E2937">
        <w:rPr>
          <w:rFonts w:ascii="Palatino Linotype" w:hAnsi="Palatino Linotype" w:cstheme="minorHAnsi"/>
          <w:b/>
          <w:color w:val="000000" w:themeColor="text1"/>
          <w:sz w:val="22"/>
          <w:szCs w:val="22"/>
        </w:rPr>
        <w:t>a)</w:t>
      </w:r>
      <w:r>
        <w:rPr>
          <w:rFonts w:ascii="Palatino Linotype" w:hAnsi="Palatino Linotype" w:cstheme="minorHAnsi"/>
          <w:b/>
          <w:color w:val="000000" w:themeColor="text1"/>
          <w:sz w:val="22"/>
          <w:szCs w:val="22"/>
        </w:rPr>
        <w:t xml:space="preserve"> </w:t>
      </w:r>
      <w:r>
        <w:rPr>
          <w:rFonts w:ascii="Palatino Linotype" w:hAnsi="Palatino Linotype" w:cstheme="minorHAnsi"/>
          <w:color w:val="000000" w:themeColor="text1"/>
          <w:sz w:val="22"/>
          <w:szCs w:val="22"/>
        </w:rPr>
        <w:t>Haber obtenido una o más autorizaciones de cualquier autoridad pública competente para emitir permisos de funcionamiento, que evidencien que han venido realizando la misma actividad económica con anterioridad al año 2012, en el mismo lote, predio y/o establecimiento.</w:t>
      </w:r>
    </w:p>
    <w:p w:rsidR="00EC074D" w:rsidRDefault="00EC074D" w:rsidP="00EC697A">
      <w:pPr>
        <w:pStyle w:val="Textoindependiente"/>
        <w:tabs>
          <w:tab w:val="left" w:pos="2977"/>
        </w:tabs>
        <w:spacing w:line="276" w:lineRule="auto"/>
        <w:jc w:val="both"/>
        <w:rPr>
          <w:rFonts w:ascii="Palatino Linotype" w:hAnsi="Palatino Linotype" w:cstheme="minorHAnsi"/>
          <w:color w:val="000000" w:themeColor="text1"/>
          <w:sz w:val="22"/>
          <w:szCs w:val="22"/>
        </w:rPr>
      </w:pPr>
      <w:r w:rsidRPr="000E2937">
        <w:rPr>
          <w:rFonts w:ascii="Palatino Linotype" w:hAnsi="Palatino Linotype" w:cstheme="minorHAnsi"/>
          <w:b/>
          <w:color w:val="000000" w:themeColor="text1"/>
          <w:sz w:val="22"/>
          <w:szCs w:val="22"/>
        </w:rPr>
        <w:t>b)</w:t>
      </w:r>
      <w:r>
        <w:rPr>
          <w:rFonts w:ascii="Palatino Linotype" w:hAnsi="Palatino Linotype" w:cstheme="minorHAnsi"/>
          <w:b/>
          <w:color w:val="000000" w:themeColor="text1"/>
          <w:sz w:val="22"/>
          <w:szCs w:val="22"/>
        </w:rPr>
        <w:t xml:space="preserve"> </w:t>
      </w:r>
      <w:r>
        <w:rPr>
          <w:rFonts w:ascii="Palatino Linotype" w:hAnsi="Palatino Linotype" w:cstheme="minorHAnsi"/>
          <w:color w:val="000000" w:themeColor="text1"/>
          <w:sz w:val="22"/>
          <w:szCs w:val="22"/>
        </w:rPr>
        <w:t xml:space="preserve">Haber obtenido una o más licencias metropolitanas </w:t>
      </w:r>
      <w:r w:rsidR="00485379">
        <w:rPr>
          <w:rFonts w:ascii="Palatino Linotype" w:hAnsi="Palatino Linotype" w:cstheme="minorHAnsi"/>
          <w:color w:val="000000" w:themeColor="text1"/>
          <w:sz w:val="22"/>
          <w:szCs w:val="22"/>
        </w:rPr>
        <w:t xml:space="preserve">únicas para actividades económicas (LUAE), </w:t>
      </w:r>
      <w:r w:rsidR="00382782" w:rsidRPr="00F9412D">
        <w:rPr>
          <w:rFonts w:ascii="Palatino Linotype" w:hAnsi="Palatino Linotype"/>
          <w:sz w:val="22"/>
          <w:szCs w:val="22"/>
          <w:highlight w:val="yellow"/>
        </w:rPr>
        <w:t>hasta antes del 25 de julio de 2016</w:t>
      </w:r>
      <w:r w:rsidR="00382782">
        <w:rPr>
          <w:sz w:val="20"/>
          <w:szCs w:val="20"/>
        </w:rPr>
        <w:t xml:space="preserve"> </w:t>
      </w:r>
      <w:r w:rsidR="00485379" w:rsidRPr="00382782">
        <w:rPr>
          <w:rFonts w:ascii="Palatino Linotype" w:hAnsi="Palatino Linotype" w:cstheme="minorHAnsi"/>
          <w:strike/>
          <w:color w:val="000000" w:themeColor="text1"/>
          <w:sz w:val="22"/>
          <w:szCs w:val="22"/>
        </w:rPr>
        <w:t>antes de la sanción de la presente ordenanza.</w:t>
      </w:r>
    </w:p>
    <w:p w:rsidR="00485379" w:rsidRDefault="00485379" w:rsidP="00EC697A">
      <w:pPr>
        <w:pStyle w:val="Textoindependiente"/>
        <w:tabs>
          <w:tab w:val="left" w:pos="2977"/>
        </w:tabs>
        <w:spacing w:line="276" w:lineRule="auto"/>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Para el caso de las actividades económicas </w:t>
      </w:r>
      <w:r w:rsidRPr="00382782">
        <w:rPr>
          <w:rFonts w:ascii="Palatino Linotype" w:hAnsi="Palatino Linotype" w:cstheme="minorHAnsi"/>
          <w:strike/>
          <w:color w:val="000000" w:themeColor="text1"/>
          <w:sz w:val="22"/>
          <w:szCs w:val="22"/>
        </w:rPr>
        <w:t>consideradas dentro de la tipología CM1A</w:t>
      </w:r>
      <w:r>
        <w:rPr>
          <w:rFonts w:ascii="Palatino Linotype" w:hAnsi="Palatino Linotype" w:cstheme="minorHAnsi"/>
          <w:color w:val="000000" w:themeColor="text1"/>
          <w:sz w:val="22"/>
          <w:szCs w:val="22"/>
        </w:rPr>
        <w:t xml:space="preserve"> (casas de cita, lenocinios, prostíbulos, cabarets, espectáculos en vivo para adultos), </w:t>
      </w:r>
      <w:r w:rsidR="00814C78">
        <w:rPr>
          <w:rFonts w:ascii="Palatino Linotype" w:hAnsi="Palatino Linotype" w:cstheme="minorHAnsi"/>
          <w:color w:val="000000" w:themeColor="text1"/>
          <w:sz w:val="22"/>
          <w:szCs w:val="22"/>
        </w:rPr>
        <w:t>qu</w:t>
      </w:r>
      <w:r w:rsidR="009417D5">
        <w:rPr>
          <w:rFonts w:ascii="Palatino Linotype" w:hAnsi="Palatino Linotype" w:cstheme="minorHAnsi"/>
          <w:color w:val="000000" w:themeColor="text1"/>
          <w:sz w:val="22"/>
          <w:szCs w:val="22"/>
        </w:rPr>
        <w:t>e cumplan con los literales a) o</w:t>
      </w:r>
      <w:r w:rsidR="00814C78">
        <w:rPr>
          <w:rFonts w:ascii="Palatino Linotype" w:hAnsi="Palatino Linotype" w:cstheme="minorHAnsi"/>
          <w:color w:val="000000" w:themeColor="text1"/>
          <w:sz w:val="22"/>
          <w:szCs w:val="22"/>
        </w:rPr>
        <w:t xml:space="preserve"> b) de esta disposición, tendrán el plazo entre seis meses </w:t>
      </w:r>
      <w:r w:rsidR="0033014F">
        <w:rPr>
          <w:rFonts w:ascii="Palatino Linotype" w:hAnsi="Palatino Linotype" w:cstheme="minorHAnsi"/>
          <w:color w:val="000000" w:themeColor="text1"/>
          <w:sz w:val="22"/>
          <w:szCs w:val="22"/>
        </w:rPr>
        <w:t>a</w:t>
      </w:r>
      <w:r w:rsidR="00814C78">
        <w:rPr>
          <w:rFonts w:ascii="Palatino Linotype" w:hAnsi="Palatino Linotype" w:cstheme="minorHAnsi"/>
          <w:color w:val="000000" w:themeColor="text1"/>
          <w:sz w:val="22"/>
          <w:szCs w:val="22"/>
        </w:rPr>
        <w:t xml:space="preserve"> un año para su reubicación</w:t>
      </w:r>
      <w:r w:rsidR="00E200A8">
        <w:rPr>
          <w:rFonts w:ascii="Palatino Linotype" w:hAnsi="Palatino Linotype" w:cstheme="minorHAnsi"/>
          <w:color w:val="000000" w:themeColor="text1"/>
          <w:sz w:val="22"/>
          <w:szCs w:val="22"/>
        </w:rPr>
        <w:t xml:space="preserve"> definitiva en </w:t>
      </w:r>
      <w:r w:rsidR="004603F2">
        <w:rPr>
          <w:rFonts w:ascii="Palatino Linotype" w:hAnsi="Palatino Linotype" w:cstheme="minorHAnsi"/>
          <w:color w:val="000000" w:themeColor="text1"/>
          <w:sz w:val="22"/>
          <w:szCs w:val="22"/>
        </w:rPr>
        <w:t>uso de suelo</w:t>
      </w:r>
      <w:r w:rsidR="00E200A8">
        <w:rPr>
          <w:rFonts w:ascii="Palatino Linotype" w:hAnsi="Palatino Linotype" w:cstheme="minorHAnsi"/>
          <w:color w:val="000000" w:themeColor="text1"/>
          <w:sz w:val="22"/>
          <w:szCs w:val="22"/>
        </w:rPr>
        <w:t xml:space="preserve"> compatible</w:t>
      </w:r>
      <w:r w:rsidR="00814C78">
        <w:rPr>
          <w:rFonts w:ascii="Palatino Linotype" w:hAnsi="Palatino Linotype" w:cstheme="minorHAnsi"/>
          <w:color w:val="000000" w:themeColor="text1"/>
          <w:sz w:val="22"/>
          <w:szCs w:val="22"/>
        </w:rPr>
        <w:t>. E</w:t>
      </w:r>
      <w:r w:rsidR="009B365F">
        <w:rPr>
          <w:rFonts w:ascii="Palatino Linotype" w:hAnsi="Palatino Linotype" w:cstheme="minorHAnsi"/>
          <w:color w:val="000000" w:themeColor="text1"/>
          <w:sz w:val="22"/>
          <w:szCs w:val="22"/>
        </w:rPr>
        <w:t xml:space="preserve">l órgano </w:t>
      </w:r>
      <w:r w:rsidR="004603F2">
        <w:rPr>
          <w:rFonts w:ascii="Palatino Linotype" w:hAnsi="Palatino Linotype" w:cstheme="minorHAnsi"/>
          <w:color w:val="000000" w:themeColor="text1"/>
          <w:sz w:val="22"/>
          <w:szCs w:val="22"/>
        </w:rPr>
        <w:t xml:space="preserve">municipal </w:t>
      </w:r>
      <w:r w:rsidR="009B365F">
        <w:rPr>
          <w:rFonts w:ascii="Palatino Linotype" w:hAnsi="Palatino Linotype" w:cstheme="minorHAnsi"/>
          <w:color w:val="000000" w:themeColor="text1"/>
          <w:sz w:val="22"/>
          <w:szCs w:val="22"/>
        </w:rPr>
        <w:t xml:space="preserve">competente </w:t>
      </w:r>
      <w:r w:rsidR="004603F2">
        <w:rPr>
          <w:rFonts w:ascii="Palatino Linotype" w:hAnsi="Palatino Linotype" w:cstheme="minorHAnsi"/>
          <w:color w:val="000000" w:themeColor="text1"/>
          <w:sz w:val="22"/>
          <w:szCs w:val="22"/>
        </w:rPr>
        <w:t xml:space="preserve">del </w:t>
      </w:r>
      <w:r w:rsidR="009B365F">
        <w:rPr>
          <w:rFonts w:ascii="Palatino Linotype" w:hAnsi="Palatino Linotype" w:cstheme="minorHAnsi"/>
          <w:color w:val="000000" w:themeColor="text1"/>
          <w:sz w:val="22"/>
          <w:szCs w:val="22"/>
        </w:rPr>
        <w:t xml:space="preserve">control </w:t>
      </w:r>
      <w:r w:rsidR="004603F2">
        <w:rPr>
          <w:rFonts w:ascii="Palatino Linotype" w:hAnsi="Palatino Linotype" w:cstheme="minorHAnsi"/>
          <w:color w:val="000000" w:themeColor="text1"/>
          <w:sz w:val="22"/>
          <w:szCs w:val="22"/>
        </w:rPr>
        <w:t xml:space="preserve">garantizará el cumplimiento de esta disposición </w:t>
      </w:r>
      <w:r w:rsidR="00814C78">
        <w:rPr>
          <w:rFonts w:ascii="Palatino Linotype" w:hAnsi="Palatino Linotype" w:cstheme="minorHAnsi"/>
          <w:color w:val="000000" w:themeColor="text1"/>
          <w:sz w:val="22"/>
          <w:szCs w:val="22"/>
        </w:rPr>
        <w:t xml:space="preserve">una vez cumplidos seis meses de vigencia de la presente ordenanza. </w:t>
      </w:r>
    </w:p>
    <w:p w:rsidR="00485379" w:rsidRDefault="00485379" w:rsidP="00EC697A">
      <w:pPr>
        <w:pStyle w:val="Textoindependiente"/>
        <w:tabs>
          <w:tab w:val="left" w:pos="2977"/>
        </w:tabs>
        <w:spacing w:line="276" w:lineRule="auto"/>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 el caso de actividades económicas de las tipologías </w:t>
      </w:r>
      <w:r w:rsidR="00382782" w:rsidRPr="00F9412D">
        <w:rPr>
          <w:rFonts w:ascii="Palatino Linotype" w:hAnsi="Palatino Linotype"/>
          <w:sz w:val="22"/>
          <w:szCs w:val="22"/>
          <w:highlight w:val="yellow"/>
        </w:rPr>
        <w:t>II1, II2, II3, II4 y CZ4</w:t>
      </w:r>
      <w:r w:rsidR="00382782">
        <w:rPr>
          <w:sz w:val="20"/>
          <w:szCs w:val="20"/>
        </w:rPr>
        <w:t xml:space="preserve"> </w:t>
      </w:r>
      <w:r w:rsidRPr="00382782">
        <w:rPr>
          <w:rFonts w:ascii="Palatino Linotype" w:hAnsi="Palatino Linotype" w:cstheme="minorHAnsi"/>
          <w:strike/>
          <w:color w:val="000000" w:themeColor="text1"/>
          <w:sz w:val="22"/>
          <w:szCs w:val="22"/>
        </w:rPr>
        <w:t>II3 (industria de alto impacto)</w:t>
      </w:r>
      <w:r>
        <w:rPr>
          <w:rFonts w:ascii="Palatino Linotype" w:hAnsi="Palatino Linotype" w:cstheme="minorHAnsi"/>
          <w:color w:val="000000" w:themeColor="text1"/>
          <w:sz w:val="22"/>
          <w:szCs w:val="22"/>
        </w:rPr>
        <w:t>, II4 (industria de alto riesgo), se aplicará el procedimiento establecido en la disposición general cuarta de la Ordenanza Metropolitana No. 172.</w:t>
      </w:r>
    </w:p>
    <w:p w:rsidR="00485379" w:rsidRDefault="00485379" w:rsidP="00EC697A">
      <w:pPr>
        <w:pStyle w:val="Textoindependiente"/>
        <w:tabs>
          <w:tab w:val="left" w:pos="2977"/>
        </w:tabs>
        <w:spacing w:line="276" w:lineRule="auto"/>
        <w:jc w:val="both"/>
        <w:rPr>
          <w:rFonts w:ascii="Palatino Linotype" w:hAnsi="Palatino Linotype" w:cstheme="minorHAnsi"/>
          <w:sz w:val="22"/>
          <w:szCs w:val="22"/>
        </w:rPr>
      </w:pPr>
      <w:r>
        <w:rPr>
          <w:rFonts w:ascii="Palatino Linotype" w:hAnsi="Palatino Linotype" w:cstheme="minorHAnsi"/>
          <w:sz w:val="22"/>
          <w:szCs w:val="22"/>
        </w:rPr>
        <w:t>Para las actividades económicas preexistentes referentes a la</w:t>
      </w:r>
      <w:r w:rsidR="004603F2">
        <w:rPr>
          <w:rFonts w:ascii="Palatino Linotype" w:hAnsi="Palatino Linotype" w:cstheme="minorHAnsi"/>
          <w:sz w:val="22"/>
          <w:szCs w:val="22"/>
        </w:rPr>
        <w:t>s</w:t>
      </w:r>
      <w:r>
        <w:rPr>
          <w:rFonts w:ascii="Palatino Linotype" w:hAnsi="Palatino Linotype" w:cstheme="minorHAnsi"/>
          <w:sz w:val="22"/>
          <w:szCs w:val="22"/>
        </w:rPr>
        <w:t xml:space="preserve"> tipología</w:t>
      </w:r>
      <w:r w:rsidR="004603F2">
        <w:rPr>
          <w:rFonts w:ascii="Palatino Linotype" w:hAnsi="Palatino Linotype" w:cstheme="minorHAnsi"/>
          <w:sz w:val="22"/>
          <w:szCs w:val="22"/>
        </w:rPr>
        <w:t>s</w:t>
      </w:r>
      <w:r>
        <w:rPr>
          <w:rFonts w:ascii="Palatino Linotype" w:hAnsi="Palatino Linotype" w:cstheme="minorHAnsi"/>
          <w:sz w:val="22"/>
          <w:szCs w:val="22"/>
        </w:rPr>
        <w:t xml:space="preserve"> CZ1A, CZ1B, CZ1C, que de acuerdo al uso de suelo vigente sea</w:t>
      </w:r>
      <w:r w:rsidR="00C44E9E">
        <w:rPr>
          <w:rFonts w:ascii="Palatino Linotype" w:hAnsi="Palatino Linotype" w:cstheme="minorHAnsi"/>
          <w:sz w:val="22"/>
          <w:szCs w:val="22"/>
        </w:rPr>
        <w:t>n</w:t>
      </w:r>
      <w:r>
        <w:rPr>
          <w:rFonts w:ascii="Palatino Linotype" w:hAnsi="Palatino Linotype" w:cstheme="minorHAnsi"/>
          <w:sz w:val="22"/>
          <w:szCs w:val="22"/>
        </w:rPr>
        <w:t xml:space="preserve"> prohibid</w:t>
      </w:r>
      <w:r w:rsidR="00C44E9E">
        <w:rPr>
          <w:rFonts w:ascii="Palatino Linotype" w:hAnsi="Palatino Linotype" w:cstheme="minorHAnsi"/>
          <w:sz w:val="22"/>
          <w:szCs w:val="22"/>
        </w:rPr>
        <w:t>as,</w:t>
      </w:r>
      <w:r>
        <w:rPr>
          <w:rFonts w:ascii="Palatino Linotype" w:hAnsi="Palatino Linotype" w:cstheme="minorHAnsi"/>
          <w:sz w:val="22"/>
          <w:szCs w:val="22"/>
        </w:rPr>
        <w:t xml:space="preserve"> de conformidad con lo previsto en el PUOS, podrán permanecer en su ubicación actual ejerciendo su actividad económica siempre </w:t>
      </w:r>
      <w:r w:rsidR="001A6F6E">
        <w:rPr>
          <w:rFonts w:ascii="Palatino Linotype" w:hAnsi="Palatino Linotype" w:cstheme="minorHAnsi"/>
          <w:sz w:val="22"/>
          <w:szCs w:val="22"/>
        </w:rPr>
        <w:t xml:space="preserve">que </w:t>
      </w:r>
      <w:r>
        <w:rPr>
          <w:rFonts w:ascii="Palatino Linotype" w:hAnsi="Palatino Linotype" w:cstheme="minorHAnsi"/>
          <w:sz w:val="22"/>
          <w:szCs w:val="22"/>
        </w:rPr>
        <w:t>cumplan</w:t>
      </w:r>
      <w:r w:rsidR="001A6F6E">
        <w:rPr>
          <w:rFonts w:ascii="Palatino Linotype" w:hAnsi="Palatino Linotype" w:cstheme="minorHAnsi"/>
          <w:sz w:val="22"/>
          <w:szCs w:val="22"/>
        </w:rPr>
        <w:t xml:space="preserve"> además de</w:t>
      </w:r>
      <w:r>
        <w:rPr>
          <w:rFonts w:ascii="Palatino Linotype" w:hAnsi="Palatino Linotype" w:cstheme="minorHAnsi"/>
          <w:sz w:val="22"/>
          <w:szCs w:val="22"/>
        </w:rPr>
        <w:t xml:space="preserve"> las </w:t>
      </w:r>
      <w:r w:rsidR="001A6F6E">
        <w:rPr>
          <w:rFonts w:ascii="Palatino Linotype" w:hAnsi="Palatino Linotype" w:cstheme="minorHAnsi"/>
          <w:sz w:val="22"/>
          <w:szCs w:val="22"/>
        </w:rPr>
        <w:t xml:space="preserve">condiciones referidas en los literales a) y b) del primer inciso de la presente disposición transitoria, </w:t>
      </w:r>
      <w:r w:rsidR="00C44E9E">
        <w:rPr>
          <w:rFonts w:ascii="Palatino Linotype" w:hAnsi="Palatino Linotype" w:cstheme="minorHAnsi"/>
          <w:sz w:val="22"/>
          <w:szCs w:val="22"/>
        </w:rPr>
        <w:t>con</w:t>
      </w:r>
      <w:r w:rsidR="001A6F6E">
        <w:rPr>
          <w:rFonts w:ascii="Palatino Linotype" w:hAnsi="Palatino Linotype" w:cstheme="minorHAnsi"/>
          <w:sz w:val="22"/>
          <w:szCs w:val="22"/>
        </w:rPr>
        <w:t xml:space="preserve"> la siguiente</w:t>
      </w:r>
      <w:r>
        <w:rPr>
          <w:rFonts w:ascii="Palatino Linotype" w:hAnsi="Palatino Linotype" w:cstheme="minorHAnsi"/>
          <w:sz w:val="22"/>
          <w:szCs w:val="22"/>
        </w:rPr>
        <w:t>:</w:t>
      </w:r>
    </w:p>
    <w:p w:rsidR="00485379" w:rsidRDefault="00485379" w:rsidP="00EC697A">
      <w:pPr>
        <w:pStyle w:val="Textoindependiente"/>
        <w:tabs>
          <w:tab w:val="left" w:pos="2977"/>
        </w:tabs>
        <w:spacing w:line="276" w:lineRule="auto"/>
        <w:jc w:val="both"/>
        <w:rPr>
          <w:rFonts w:ascii="Palatino Linotype" w:hAnsi="Palatino Linotype" w:cstheme="minorHAnsi"/>
          <w:sz w:val="22"/>
          <w:szCs w:val="22"/>
        </w:rPr>
      </w:pPr>
      <w:r w:rsidRPr="000E2937">
        <w:rPr>
          <w:rFonts w:ascii="Palatino Linotype" w:hAnsi="Palatino Linotype" w:cstheme="minorHAnsi"/>
          <w:b/>
          <w:sz w:val="22"/>
          <w:szCs w:val="22"/>
        </w:rPr>
        <w:t>c)</w:t>
      </w:r>
      <w:r>
        <w:rPr>
          <w:rFonts w:ascii="Palatino Linotype" w:hAnsi="Palatino Linotype" w:cstheme="minorHAnsi"/>
          <w:b/>
          <w:sz w:val="22"/>
          <w:szCs w:val="22"/>
        </w:rPr>
        <w:t xml:space="preserve"> </w:t>
      </w:r>
      <w:r>
        <w:rPr>
          <w:rFonts w:ascii="Palatino Linotype" w:hAnsi="Palatino Linotype" w:cstheme="minorHAnsi"/>
          <w:sz w:val="22"/>
          <w:szCs w:val="22"/>
        </w:rPr>
        <w:t xml:space="preserve"> Cumplan con todas las condiciones </w:t>
      </w:r>
      <w:r w:rsidRPr="00382782">
        <w:rPr>
          <w:rFonts w:ascii="Palatino Linotype" w:hAnsi="Palatino Linotype" w:cstheme="minorHAnsi"/>
          <w:strike/>
          <w:sz w:val="22"/>
          <w:szCs w:val="22"/>
        </w:rPr>
        <w:t>de implantación</w:t>
      </w:r>
      <w:r>
        <w:rPr>
          <w:rFonts w:ascii="Palatino Linotype" w:hAnsi="Palatino Linotype" w:cstheme="minorHAnsi"/>
          <w:sz w:val="22"/>
          <w:szCs w:val="22"/>
        </w:rPr>
        <w:t xml:space="preserve"> </w:t>
      </w:r>
      <w:r w:rsidR="00382782" w:rsidRPr="00F9412D">
        <w:rPr>
          <w:rFonts w:ascii="Palatino Linotype" w:hAnsi="Palatino Linotype"/>
          <w:sz w:val="22"/>
          <w:szCs w:val="22"/>
          <w:highlight w:val="yellow"/>
        </w:rPr>
        <w:t>técnicas mínimas requeridas</w:t>
      </w:r>
      <w:r w:rsidR="00382782">
        <w:rPr>
          <w:rFonts w:ascii="Palatino Linotype" w:hAnsi="Palatino Linotype" w:cstheme="minorHAnsi"/>
          <w:sz w:val="22"/>
          <w:szCs w:val="22"/>
        </w:rPr>
        <w:t xml:space="preserve"> </w:t>
      </w:r>
      <w:r>
        <w:rPr>
          <w:rFonts w:ascii="Palatino Linotype" w:hAnsi="Palatino Linotype" w:cstheme="minorHAnsi"/>
          <w:sz w:val="22"/>
          <w:szCs w:val="22"/>
        </w:rPr>
        <w:t xml:space="preserve">que </w:t>
      </w:r>
      <w:r>
        <w:rPr>
          <w:rFonts w:ascii="Palatino Linotype" w:hAnsi="Palatino Linotype" w:cstheme="minorHAnsi"/>
          <w:sz w:val="22"/>
          <w:szCs w:val="22"/>
        </w:rPr>
        <w:lastRenderedPageBreak/>
        <w:t xml:space="preserve">debe tener el inmueble para la actividad que viene realizando, en especial las condiciones de seguridad, movilidad, salud, ambiente y las reglas técnicas de arquitectura y urbanismo, </w:t>
      </w:r>
      <w:r w:rsidR="00C44E9E">
        <w:rPr>
          <w:rFonts w:ascii="Palatino Linotype" w:hAnsi="Palatino Linotype" w:cstheme="minorHAnsi"/>
          <w:sz w:val="22"/>
          <w:szCs w:val="22"/>
        </w:rPr>
        <w:t>así como con</w:t>
      </w:r>
      <w:r>
        <w:rPr>
          <w:rFonts w:ascii="Palatino Linotype" w:hAnsi="Palatino Linotype" w:cstheme="minorHAnsi"/>
          <w:sz w:val="22"/>
          <w:szCs w:val="22"/>
        </w:rPr>
        <w:t xml:space="preserve"> las reglas técnicas de turismo en las zonas especiales </w:t>
      </w:r>
      <w:r w:rsidR="00C44E9E">
        <w:rPr>
          <w:rFonts w:ascii="Palatino Linotype" w:hAnsi="Palatino Linotype" w:cstheme="minorHAnsi"/>
          <w:sz w:val="22"/>
          <w:szCs w:val="22"/>
        </w:rPr>
        <w:t xml:space="preserve">turísticas </w:t>
      </w:r>
      <w:r>
        <w:rPr>
          <w:rFonts w:ascii="Palatino Linotype" w:hAnsi="Palatino Linotype" w:cstheme="minorHAnsi"/>
          <w:sz w:val="22"/>
          <w:szCs w:val="22"/>
        </w:rPr>
        <w:t xml:space="preserve">(ZET). Para el efecto, la Secretaría responsable del territorio, hábitat y vivienda, conjuntamente </w:t>
      </w:r>
      <w:r w:rsidR="007F7C54">
        <w:rPr>
          <w:rFonts w:ascii="Palatino Linotype" w:hAnsi="Palatino Linotype" w:cstheme="minorHAnsi"/>
          <w:sz w:val="22"/>
          <w:szCs w:val="22"/>
        </w:rPr>
        <w:t>con las entidades competentes</w:t>
      </w:r>
      <w:r w:rsidR="001A6F6E">
        <w:rPr>
          <w:rFonts w:ascii="Palatino Linotype" w:hAnsi="Palatino Linotype" w:cstheme="minorHAnsi"/>
          <w:sz w:val="22"/>
          <w:szCs w:val="22"/>
        </w:rPr>
        <w:t>,</w:t>
      </w:r>
      <w:r w:rsidR="007F7C54">
        <w:rPr>
          <w:rFonts w:ascii="Palatino Linotype" w:hAnsi="Palatino Linotype" w:cstheme="minorHAnsi"/>
          <w:sz w:val="22"/>
          <w:szCs w:val="22"/>
        </w:rPr>
        <w:t xml:space="preserve"> en el plazo de 60 días, elaborará</w:t>
      </w:r>
      <w:r w:rsidR="001A6F6E">
        <w:rPr>
          <w:rFonts w:ascii="Palatino Linotype" w:hAnsi="Palatino Linotype" w:cstheme="minorHAnsi"/>
          <w:sz w:val="22"/>
          <w:szCs w:val="22"/>
        </w:rPr>
        <w:t>n</w:t>
      </w:r>
      <w:r w:rsidR="007F7C54">
        <w:rPr>
          <w:rFonts w:ascii="Palatino Linotype" w:hAnsi="Palatino Linotype" w:cstheme="minorHAnsi"/>
          <w:sz w:val="22"/>
          <w:szCs w:val="22"/>
        </w:rPr>
        <w:t xml:space="preserve"> el reglamento correspondiente, en el que se establecerán las condiciones técnicas y urbanísticas en las que deban funcionar estos sitios de diversión y en que se garantice condiciones cuantitativas y cualitativas que promuevan la convivencia armónica y el buen vivir.</w:t>
      </w:r>
    </w:p>
    <w:p w:rsidR="007F7C54" w:rsidRPr="00F9412D" w:rsidRDefault="007F7C54" w:rsidP="00EC697A">
      <w:pPr>
        <w:pStyle w:val="Textoindependiente"/>
        <w:tabs>
          <w:tab w:val="left" w:pos="2977"/>
        </w:tabs>
        <w:spacing w:line="276" w:lineRule="auto"/>
        <w:jc w:val="both"/>
        <w:rPr>
          <w:rFonts w:ascii="Palatino Linotype" w:hAnsi="Palatino Linotype" w:cstheme="minorHAnsi"/>
          <w:strike/>
          <w:sz w:val="22"/>
          <w:szCs w:val="22"/>
        </w:rPr>
      </w:pPr>
      <w:r>
        <w:rPr>
          <w:rFonts w:ascii="Palatino Linotype" w:hAnsi="Palatino Linotype" w:cstheme="minorHAnsi"/>
          <w:sz w:val="22"/>
          <w:szCs w:val="22"/>
        </w:rPr>
        <w:t xml:space="preserve">Una vez expedido el reglamento correspondiente, este será publicado en la página web institucional, y, </w:t>
      </w:r>
      <w:r w:rsidRPr="00382782">
        <w:rPr>
          <w:rFonts w:ascii="Palatino Linotype" w:hAnsi="Palatino Linotype" w:cstheme="minorHAnsi"/>
          <w:strike/>
          <w:sz w:val="22"/>
          <w:szCs w:val="22"/>
        </w:rPr>
        <w:t>de forma inmediata, la Agencia Metropolitana de Control, conjuntamente con las entidades competentes, realizará las inspecciones correspondientes a cada uno de los centros de diversi</w:t>
      </w:r>
      <w:r w:rsidR="001A6F6E" w:rsidRPr="00382782">
        <w:rPr>
          <w:rFonts w:ascii="Palatino Linotype" w:hAnsi="Palatino Linotype" w:cstheme="minorHAnsi"/>
          <w:strike/>
          <w:sz w:val="22"/>
          <w:szCs w:val="22"/>
        </w:rPr>
        <w:t>ón, a fin de determinar los est</w:t>
      </w:r>
      <w:r w:rsidRPr="00382782">
        <w:rPr>
          <w:rFonts w:ascii="Palatino Linotype" w:hAnsi="Palatino Linotype" w:cstheme="minorHAnsi"/>
          <w:strike/>
          <w:sz w:val="22"/>
          <w:szCs w:val="22"/>
        </w:rPr>
        <w:t>a</w:t>
      </w:r>
      <w:r w:rsidR="001A6F6E" w:rsidRPr="00382782">
        <w:rPr>
          <w:rFonts w:ascii="Palatino Linotype" w:hAnsi="Palatino Linotype" w:cstheme="minorHAnsi"/>
          <w:strike/>
          <w:sz w:val="22"/>
          <w:szCs w:val="22"/>
        </w:rPr>
        <w:t>b</w:t>
      </w:r>
      <w:r w:rsidRPr="00382782">
        <w:rPr>
          <w:rFonts w:ascii="Palatino Linotype" w:hAnsi="Palatino Linotype" w:cstheme="minorHAnsi"/>
          <w:strike/>
          <w:sz w:val="22"/>
          <w:szCs w:val="22"/>
        </w:rPr>
        <w:t>lecimientos que cumplan las condiciones técnicas de implantación.</w:t>
      </w:r>
      <w:r w:rsidR="00382782" w:rsidRPr="00382782">
        <w:rPr>
          <w:rFonts w:ascii="Palatino Linotype" w:hAnsi="Palatino Linotype" w:cstheme="minorHAnsi"/>
          <w:sz w:val="22"/>
          <w:szCs w:val="22"/>
        </w:rPr>
        <w:t xml:space="preserve"> </w:t>
      </w:r>
      <w:proofErr w:type="gramStart"/>
      <w:r w:rsidR="00382782" w:rsidRPr="00F9412D">
        <w:rPr>
          <w:rFonts w:ascii="Palatino Linotype" w:hAnsi="Palatino Linotype"/>
          <w:sz w:val="22"/>
          <w:szCs w:val="22"/>
          <w:highlight w:val="yellow"/>
        </w:rPr>
        <w:t>los</w:t>
      </w:r>
      <w:proofErr w:type="gramEnd"/>
      <w:r w:rsidR="00382782" w:rsidRPr="00F9412D">
        <w:rPr>
          <w:rFonts w:ascii="Palatino Linotype" w:hAnsi="Palatino Linotype"/>
          <w:sz w:val="22"/>
          <w:szCs w:val="22"/>
          <w:highlight w:val="yellow"/>
        </w:rPr>
        <w:t xml:space="preserve"> administrados propietarios de dichos establecimientos deberán iniciar el trámite de licenciamiento a través del Procedimiento Especial en la Secretaría designada para el efecto</w:t>
      </w:r>
      <w:r w:rsidR="00382782" w:rsidRPr="00F9412D">
        <w:rPr>
          <w:rFonts w:ascii="Palatino Linotype" w:hAnsi="Palatino Linotype"/>
          <w:sz w:val="22"/>
          <w:szCs w:val="22"/>
        </w:rPr>
        <w:t>.</w:t>
      </w:r>
    </w:p>
    <w:p w:rsidR="007F7C54" w:rsidRPr="00382782" w:rsidRDefault="007F7C54" w:rsidP="00EC697A">
      <w:pPr>
        <w:pStyle w:val="Textoindependiente"/>
        <w:tabs>
          <w:tab w:val="left" w:pos="2977"/>
        </w:tabs>
        <w:spacing w:line="276" w:lineRule="auto"/>
        <w:jc w:val="both"/>
        <w:rPr>
          <w:rFonts w:ascii="Palatino Linotype" w:hAnsi="Palatino Linotype" w:cstheme="minorHAnsi"/>
          <w:strike/>
          <w:sz w:val="22"/>
          <w:szCs w:val="22"/>
        </w:rPr>
      </w:pPr>
      <w:r w:rsidRPr="00382782">
        <w:rPr>
          <w:rFonts w:ascii="Palatino Linotype" w:hAnsi="Palatino Linotype" w:cstheme="minorHAnsi"/>
          <w:strike/>
          <w:sz w:val="22"/>
          <w:szCs w:val="22"/>
        </w:rPr>
        <w:t xml:space="preserve">En las citadas inspecciones se determinará según el cumplimiento de las condiciones técnicas de implantación, los establecimientos que podrán seguir funcionando y aquellos que por no cumplir las condiciones de implantación deban ser </w:t>
      </w:r>
      <w:proofErr w:type="gramStart"/>
      <w:r w:rsidR="004F629E" w:rsidRPr="00382782">
        <w:rPr>
          <w:rFonts w:ascii="Palatino Linotype" w:hAnsi="Palatino Linotype" w:cstheme="minorHAnsi"/>
          <w:strike/>
          <w:sz w:val="22"/>
          <w:szCs w:val="22"/>
        </w:rPr>
        <w:t>clausurados</w:t>
      </w:r>
      <w:proofErr w:type="gramEnd"/>
      <w:r w:rsidRPr="00382782">
        <w:rPr>
          <w:rFonts w:ascii="Palatino Linotype" w:hAnsi="Palatino Linotype" w:cstheme="minorHAnsi"/>
          <w:strike/>
          <w:sz w:val="22"/>
          <w:szCs w:val="22"/>
        </w:rPr>
        <w:t xml:space="preserve"> definitivamente.</w:t>
      </w:r>
    </w:p>
    <w:p w:rsidR="008D7F22" w:rsidRPr="00C250CB" w:rsidRDefault="008D7F22" w:rsidP="008D7F22">
      <w:pPr>
        <w:tabs>
          <w:tab w:val="left" w:pos="2977"/>
        </w:tabs>
        <w:spacing w:after="120" w:line="276" w:lineRule="auto"/>
        <w:contextualSpacing/>
        <w:jc w:val="both"/>
        <w:rPr>
          <w:rFonts w:ascii="Palatino Linotype" w:eastAsia="Arial Unicode MS" w:hAnsi="Palatino Linotype" w:cstheme="minorHAnsi"/>
          <w:lang w:val="es-ES_tradnl" w:eastAsia="es-EC"/>
        </w:rPr>
      </w:pPr>
      <w:r w:rsidRPr="00C250CB">
        <w:rPr>
          <w:rFonts w:ascii="Palatino Linotype" w:eastAsia="Arial Unicode MS" w:hAnsi="Palatino Linotype" w:cstheme="minorHAnsi"/>
          <w:b/>
          <w:lang w:val="es-ES_tradnl" w:eastAsia="es-EC"/>
        </w:rPr>
        <w:t>Segunda.-</w:t>
      </w:r>
      <w:r>
        <w:rPr>
          <w:rFonts w:ascii="Palatino Linotype" w:eastAsia="Arial Unicode MS" w:hAnsi="Palatino Linotype" w:cstheme="minorHAnsi"/>
          <w:b/>
          <w:lang w:val="es-ES_tradnl" w:eastAsia="es-EC"/>
        </w:rPr>
        <w:t xml:space="preserve"> </w:t>
      </w:r>
      <w:r w:rsidRPr="00C250CB">
        <w:rPr>
          <w:rFonts w:ascii="Palatino Linotype" w:eastAsia="Arial Unicode MS" w:hAnsi="Palatino Linotype" w:cstheme="minorHAnsi"/>
          <w:lang w:val="es-ES_tradnl" w:eastAsia="es-EC"/>
        </w:rPr>
        <w:t xml:space="preserve">Los establecimientos que se encuentren dentro de la disposición transitoria primera, previo a la obtención de la licencia, deberán cumplir con lo siguiente: </w:t>
      </w:r>
    </w:p>
    <w:p w:rsidR="008D7F22" w:rsidRPr="00C250CB" w:rsidRDefault="008D7F22" w:rsidP="008D7F22">
      <w:pPr>
        <w:pStyle w:val="Prrafodelista"/>
        <w:widowControl/>
        <w:numPr>
          <w:ilvl w:val="0"/>
          <w:numId w:val="5"/>
        </w:numPr>
        <w:tabs>
          <w:tab w:val="left" w:pos="2977"/>
        </w:tabs>
        <w:suppressAutoHyphens w:val="0"/>
        <w:autoSpaceDE w:val="0"/>
        <w:autoSpaceDN w:val="0"/>
        <w:adjustRightInd w:val="0"/>
        <w:spacing w:after="120" w:line="276" w:lineRule="auto"/>
        <w:ind w:left="709"/>
        <w:contextualSpacing/>
        <w:jc w:val="both"/>
        <w:rPr>
          <w:rFonts w:ascii="Palatino Linotype" w:hAnsi="Palatino Linotype" w:cstheme="minorHAnsi"/>
          <w:sz w:val="22"/>
          <w:szCs w:val="22"/>
        </w:rPr>
      </w:pPr>
      <w:r w:rsidRPr="00C250CB">
        <w:rPr>
          <w:rFonts w:ascii="Palatino Linotype" w:hAnsi="Palatino Linotype" w:cstheme="minorHAnsi"/>
          <w:sz w:val="22"/>
          <w:szCs w:val="22"/>
        </w:rPr>
        <w:t>Cumplir con las normas administrativas y Reglas Técnicas previstas en la Ordenanza Metropolitana que establece el Régimen Administrativo de las Licencias Metropolitanas y, en particular, de la Licencia Metropolitana Única para el Ejercicio de Actividades Económicas en el Distrito Metropolitano de Quito (LUAE), con excepción de la compatibilidad de uso del suelo.</w:t>
      </w:r>
    </w:p>
    <w:p w:rsidR="008D7F22" w:rsidRPr="00C250CB" w:rsidRDefault="008D7F22" w:rsidP="008D7F22">
      <w:pPr>
        <w:pStyle w:val="Prrafodelista"/>
        <w:widowControl/>
        <w:numPr>
          <w:ilvl w:val="0"/>
          <w:numId w:val="5"/>
        </w:numPr>
        <w:tabs>
          <w:tab w:val="left" w:pos="2977"/>
        </w:tabs>
        <w:suppressAutoHyphens w:val="0"/>
        <w:spacing w:after="120" w:line="276" w:lineRule="auto"/>
        <w:ind w:left="709"/>
        <w:contextualSpacing/>
        <w:jc w:val="both"/>
        <w:rPr>
          <w:rFonts w:ascii="Palatino Linotype" w:hAnsi="Palatino Linotype" w:cstheme="minorHAnsi"/>
          <w:sz w:val="22"/>
          <w:szCs w:val="22"/>
        </w:rPr>
      </w:pPr>
      <w:r w:rsidRPr="00C250CB">
        <w:rPr>
          <w:rFonts w:ascii="Palatino Linotype" w:hAnsi="Palatino Linotype" w:cstheme="minorHAnsi"/>
          <w:sz w:val="22"/>
          <w:szCs w:val="22"/>
        </w:rPr>
        <w:t xml:space="preserve">Cumplir con las normas y requisitos </w:t>
      </w:r>
      <w:r w:rsidRPr="00C250CB">
        <w:rPr>
          <w:rFonts w:ascii="Palatino Linotype" w:hAnsi="Palatino Linotype" w:cstheme="minorHAnsi"/>
          <w:color w:val="000000" w:themeColor="text1"/>
          <w:sz w:val="22"/>
          <w:szCs w:val="22"/>
        </w:rPr>
        <w:t xml:space="preserve">establecidos  en </w:t>
      </w:r>
      <w:r w:rsidRPr="00C250CB">
        <w:rPr>
          <w:rFonts w:ascii="Palatino Linotype" w:hAnsi="Palatino Linotype" w:cstheme="minorHAnsi"/>
          <w:sz w:val="22"/>
          <w:szCs w:val="22"/>
        </w:rPr>
        <w:t>el Reglamento  y Manual de Procedimientos que será elaborado por la Secretaría responsable del territorio,   para aplicar la presente disposición.</w:t>
      </w:r>
    </w:p>
    <w:p w:rsidR="008D7F22"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color w:val="000000"/>
          <w:lang w:val="es-ES_tradnl"/>
        </w:rPr>
        <w:t>Tercera.-</w:t>
      </w:r>
      <w:r>
        <w:rPr>
          <w:rFonts w:ascii="Palatino Linotype" w:hAnsi="Palatino Linotype" w:cstheme="minorHAnsi"/>
          <w:b/>
          <w:color w:val="000000"/>
          <w:lang w:val="es-ES_tradnl"/>
        </w:rPr>
        <w:t xml:space="preserve"> </w:t>
      </w:r>
      <w:r w:rsidRPr="00C250CB">
        <w:rPr>
          <w:rFonts w:ascii="Palatino Linotype" w:hAnsi="Palatino Linotype" w:cstheme="minorHAnsi"/>
          <w:color w:val="000000"/>
        </w:rPr>
        <w:t xml:space="preserve">Para las actividades económicas señaladas en la primera transitoria de esta Ordenanza Metropolitana, las Administraciones Zonales en su respectiva circunscripción territorial, serán la Autoridad Administrativa Otorgante de la Licencia Metropolitana Única de Actividades Económicas (LUAE)  a través del Procedimiento Ordinario, </w:t>
      </w:r>
      <w:r w:rsidR="00382782" w:rsidRPr="00F9412D">
        <w:rPr>
          <w:rFonts w:ascii="Palatino Linotype" w:hAnsi="Palatino Linotype" w:cstheme="minorHAnsi"/>
          <w:highlight w:val="yellow"/>
        </w:rPr>
        <w:t>con inspección previa</w:t>
      </w:r>
      <w:r w:rsidR="00382782" w:rsidRPr="00F9412D">
        <w:rPr>
          <w:rFonts w:ascii="Palatino Linotype" w:hAnsi="Palatino Linotype" w:cstheme="minorHAnsi"/>
          <w:color w:val="000000"/>
        </w:rPr>
        <w:t xml:space="preserve">, </w:t>
      </w:r>
      <w:r w:rsidRPr="00F9412D">
        <w:rPr>
          <w:rFonts w:ascii="Palatino Linotype" w:hAnsi="Palatino Linotype" w:cstheme="minorHAnsi"/>
          <w:color w:val="000000"/>
        </w:rPr>
        <w:t xml:space="preserve">con excepción de las actividades de </w:t>
      </w:r>
      <w:r w:rsidRPr="00F9412D">
        <w:rPr>
          <w:rFonts w:ascii="Palatino Linotype" w:hAnsi="Palatino Linotype" w:cstheme="minorHAnsi"/>
          <w:strike/>
          <w:color w:val="000000"/>
        </w:rPr>
        <w:t>tipología Industrial y de Comercio Zonal de Almacenes y Bodegas,</w:t>
      </w:r>
      <w:r w:rsidRPr="00F9412D">
        <w:rPr>
          <w:rFonts w:ascii="Palatino Linotype" w:hAnsi="Palatino Linotype" w:cstheme="minorHAnsi"/>
          <w:color w:val="000000"/>
        </w:rPr>
        <w:t xml:space="preserve"> </w:t>
      </w:r>
      <w:r w:rsidR="00382782" w:rsidRPr="00F9412D">
        <w:rPr>
          <w:rFonts w:ascii="Palatino Linotype" w:hAnsi="Palatino Linotype" w:cstheme="minorHAnsi"/>
          <w:highlight w:val="yellow"/>
        </w:rPr>
        <w:t>asignadas a la Categoría III, de tipología Industrial, de Comercio Zonal de Almacenes y Bodegas, que demuestren preexistencia y que se encuentren en uso de suelo prohibido</w:t>
      </w:r>
      <w:r w:rsidR="00382782" w:rsidRPr="00C66017">
        <w:rPr>
          <w:rFonts w:cstheme="minorHAnsi"/>
          <w:sz w:val="20"/>
          <w:szCs w:val="20"/>
          <w:highlight w:val="yellow"/>
        </w:rPr>
        <w:t>,</w:t>
      </w:r>
      <w:r w:rsidR="00382782">
        <w:rPr>
          <w:rFonts w:cstheme="minorHAnsi"/>
          <w:sz w:val="20"/>
          <w:szCs w:val="20"/>
        </w:rPr>
        <w:t xml:space="preserve"> </w:t>
      </w:r>
      <w:r w:rsidRPr="00C250CB">
        <w:rPr>
          <w:rFonts w:ascii="Palatino Linotype" w:hAnsi="Palatino Linotype" w:cstheme="minorHAnsi"/>
          <w:color w:val="000000"/>
        </w:rPr>
        <w:t xml:space="preserve">cuya Autoridad Administrativa Otorgante será la </w:t>
      </w:r>
      <w:r w:rsidRPr="00C250CB">
        <w:rPr>
          <w:rFonts w:ascii="Palatino Linotype" w:hAnsi="Palatino Linotype" w:cstheme="minorHAnsi"/>
          <w:color w:val="000000"/>
        </w:rPr>
        <w:lastRenderedPageBreak/>
        <w:t>Secretaria responsable del territorio, hábitat y vivienda a través del Procedimiento Especial.</w:t>
      </w:r>
    </w:p>
    <w:p w:rsidR="008D7F22" w:rsidRPr="00382782" w:rsidRDefault="008D7F22" w:rsidP="008D7F22">
      <w:pPr>
        <w:tabs>
          <w:tab w:val="left" w:pos="2977"/>
        </w:tabs>
        <w:autoSpaceDE w:val="0"/>
        <w:autoSpaceDN w:val="0"/>
        <w:adjustRightInd w:val="0"/>
        <w:spacing w:after="120" w:line="276" w:lineRule="auto"/>
        <w:jc w:val="both"/>
        <w:rPr>
          <w:rFonts w:ascii="Palatino Linotype" w:hAnsi="Palatino Linotype" w:cstheme="minorHAnsi"/>
          <w:strike/>
        </w:rPr>
      </w:pPr>
      <w:r w:rsidRPr="00C250CB">
        <w:rPr>
          <w:rFonts w:ascii="Palatino Linotype" w:hAnsi="Palatino Linotype" w:cstheme="minorHAnsi"/>
        </w:rPr>
        <w:t xml:space="preserve">Si los establecimientos que obtuvieran la LUAE, amparados en lo señalado en </w:t>
      </w:r>
      <w:r w:rsidRPr="00C250CB">
        <w:rPr>
          <w:rFonts w:ascii="Palatino Linotype" w:hAnsi="Palatino Linotype" w:cstheme="minorHAnsi"/>
          <w:color w:val="000000"/>
        </w:rPr>
        <w:t xml:space="preserve">la primera transitoria </w:t>
      </w:r>
      <w:r w:rsidRPr="00C250CB">
        <w:rPr>
          <w:rFonts w:ascii="Palatino Linotype" w:hAnsi="Palatino Linotype" w:cstheme="minorHAnsi"/>
        </w:rPr>
        <w:t xml:space="preserve">de esta Ordenanza Metropolitana, incumplieren con lo previsto en la segunda  transitoria ibídem, no podrán acogerse nuevamente a este procedimiento, es decir, no podrán obtener renovación alguna de licencia, ni tampoco podrán iniciar un nuevo proceso de licenciamiento por parte de cualquier persona natural o jurídica para esa actividad en el lote, predio y/o establecimiento, </w:t>
      </w:r>
      <w:r w:rsidRPr="00382782">
        <w:rPr>
          <w:rFonts w:ascii="Palatino Linotype" w:hAnsi="Palatino Linotype" w:cstheme="minorHAnsi"/>
          <w:strike/>
        </w:rPr>
        <w:t xml:space="preserve">hasta que haya cumplido con lo establecido en el ordenamiento jurídico vigente. </w:t>
      </w:r>
    </w:p>
    <w:p w:rsidR="008D7F22"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t>Cuarta</w:t>
      </w:r>
      <w:r>
        <w:rPr>
          <w:rFonts w:ascii="Palatino Linotype" w:hAnsi="Palatino Linotype" w:cstheme="minorHAnsi"/>
          <w:b/>
        </w:rPr>
        <w:t xml:space="preserve">.- </w:t>
      </w:r>
      <w:r w:rsidRPr="00C250CB">
        <w:rPr>
          <w:rFonts w:ascii="Palatino Linotype" w:hAnsi="Palatino Linotype" w:cstheme="minorHAnsi"/>
        </w:rPr>
        <w:t xml:space="preserve">La Secretaría responsable del territorio, hábitat y vivienda elaborará conjuntamente con las entidades competentes, el Reglamento y </w:t>
      </w:r>
      <w:r w:rsidRPr="007C594F">
        <w:rPr>
          <w:rFonts w:ascii="Palatino Linotype" w:hAnsi="Palatino Linotype" w:cstheme="minorHAnsi"/>
          <w:strike/>
          <w:highlight w:val="yellow"/>
        </w:rPr>
        <w:t>Manual de Procedimientos</w:t>
      </w:r>
      <w:r w:rsidRPr="007C594F">
        <w:rPr>
          <w:rFonts w:ascii="Palatino Linotype" w:hAnsi="Palatino Linotype" w:cstheme="minorHAnsi"/>
          <w:highlight w:val="yellow"/>
        </w:rPr>
        <w:t xml:space="preserve"> </w:t>
      </w:r>
      <w:r w:rsidRPr="007C594F">
        <w:rPr>
          <w:rFonts w:ascii="Palatino Linotype" w:hAnsi="Palatino Linotype" w:cstheme="minorHAnsi"/>
          <w:strike/>
          <w:highlight w:val="yellow"/>
        </w:rPr>
        <w:t>señalados</w:t>
      </w:r>
      <w:r w:rsidRPr="00C250CB">
        <w:rPr>
          <w:rFonts w:ascii="Palatino Linotype" w:hAnsi="Palatino Linotype" w:cstheme="minorHAnsi"/>
        </w:rPr>
        <w:t>, en  el término de 180 días, contados a partir de su sanción, sin que por ningún motivo cambie el espíritu de la misma.  Estos instrumentos serán publicados en la página web institucional del Municipio del D</w:t>
      </w:r>
      <w:r>
        <w:rPr>
          <w:rFonts w:ascii="Palatino Linotype" w:hAnsi="Palatino Linotype" w:cstheme="minorHAnsi"/>
        </w:rPr>
        <w:t xml:space="preserve">istrito </w:t>
      </w:r>
      <w:r w:rsidRPr="00C250CB">
        <w:rPr>
          <w:rFonts w:ascii="Palatino Linotype" w:hAnsi="Palatino Linotype" w:cstheme="minorHAnsi"/>
        </w:rPr>
        <w:t>M</w:t>
      </w:r>
      <w:r>
        <w:rPr>
          <w:rFonts w:ascii="Palatino Linotype" w:hAnsi="Palatino Linotype" w:cstheme="minorHAnsi"/>
        </w:rPr>
        <w:t xml:space="preserve">etropolitano de </w:t>
      </w:r>
      <w:r w:rsidRPr="00C250CB">
        <w:rPr>
          <w:rFonts w:ascii="Palatino Linotype" w:hAnsi="Palatino Linotype" w:cstheme="minorHAnsi"/>
        </w:rPr>
        <w:t>Q</w:t>
      </w:r>
      <w:r>
        <w:rPr>
          <w:rFonts w:ascii="Palatino Linotype" w:hAnsi="Palatino Linotype" w:cstheme="minorHAnsi"/>
        </w:rPr>
        <w:t>uito</w:t>
      </w:r>
      <w:r w:rsidRPr="00C250CB">
        <w:rPr>
          <w:rFonts w:ascii="Palatino Linotype" w:hAnsi="Palatino Linotype" w:cstheme="minorHAnsi"/>
        </w:rPr>
        <w:t>.</w:t>
      </w:r>
    </w:p>
    <w:p w:rsidR="008D7F22"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t>Quinta.-</w:t>
      </w:r>
      <w:r>
        <w:rPr>
          <w:rFonts w:ascii="Palatino Linotype" w:hAnsi="Palatino Linotype" w:cstheme="minorHAnsi"/>
          <w:b/>
        </w:rPr>
        <w:t xml:space="preserve"> </w:t>
      </w:r>
      <w:r w:rsidRPr="00C250CB">
        <w:rPr>
          <w:rFonts w:ascii="Palatino Linotype" w:hAnsi="Palatino Linotype" w:cstheme="minorHAnsi"/>
        </w:rPr>
        <w:t>La Secretaría responsable del territorio, hábitat y vivienda, hasta el 31 de diciembre de 2016, estandarizará y homologará los cuadros de actividades y de relaciones de compatibilidad que constan en la presente ordenanza, así como en los planes parciales y especiales, con las Actividades del Clasificador Internacional Industrial Uniforme (CIIU), que formarán parte del Plan Metropolitano de Desarrollo y Ordenamiento Territorial del Distrito Metropolitano de Quito.</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rPr>
        <w:t>Una vez elaborada la homologación y estandarización antes indicada, la Secretaría responsable del territorio, hábitat y vivienda pondrá en conocimiento de la Comisión de Uso de Suelo previo aprobación del  Concejo Metropolitano de Quito, para su respectiva incorporación.</w:t>
      </w:r>
    </w:p>
    <w:p w:rsidR="008D7F22" w:rsidRPr="00C250CB" w:rsidRDefault="008D7F22" w:rsidP="008D7F22">
      <w:pPr>
        <w:spacing w:after="120" w:line="276" w:lineRule="auto"/>
        <w:jc w:val="both"/>
        <w:rPr>
          <w:rFonts w:ascii="Palatino Linotype" w:hAnsi="Palatino Linotype" w:cstheme="minorHAnsi"/>
        </w:rPr>
      </w:pPr>
      <w:r w:rsidRPr="00C250CB">
        <w:rPr>
          <w:rFonts w:ascii="Palatino Linotype" w:hAnsi="Palatino Linotype" w:cstheme="minorHAnsi"/>
          <w:b/>
        </w:rPr>
        <w:t>Sexta.-</w:t>
      </w:r>
      <w:r>
        <w:rPr>
          <w:rFonts w:ascii="Palatino Linotype" w:hAnsi="Palatino Linotype" w:cstheme="minorHAnsi"/>
          <w:b/>
        </w:rPr>
        <w:t xml:space="preserve"> </w:t>
      </w:r>
      <w:r w:rsidRPr="00C250CB">
        <w:rPr>
          <w:rFonts w:ascii="Palatino Linotype" w:hAnsi="Palatino Linotype" w:cstheme="minorHAnsi"/>
        </w:rPr>
        <w:t xml:space="preserve">Los barrios denominados Colinas del Sol, Vista Hermosa, 19 de Marzo y Altos de Bellavista,  ubicados al interior del Parque Metropolitano de Calderón, </w:t>
      </w:r>
      <w:r w:rsidR="00074594">
        <w:rPr>
          <w:rFonts w:ascii="Palatino Linotype" w:hAnsi="Palatino Linotype" w:cstheme="minorHAnsi"/>
        </w:rPr>
        <w:t>para</w:t>
      </w:r>
      <w:r w:rsidRPr="00C250CB">
        <w:rPr>
          <w:rFonts w:ascii="Palatino Linotype" w:hAnsi="Palatino Linotype" w:cstheme="minorHAnsi"/>
        </w:rPr>
        <w:t xml:space="preserve"> su proceso de legalización deberán sujetarse a los lineamientos de planificación dispuestos por la Secretaría responsable del territorio, hábitat y vivienda, mismos que deberán incorporarse al Plan Especial del Parque Metropolitano Calderón</w:t>
      </w:r>
      <w:r w:rsidR="001A6F6E">
        <w:rPr>
          <w:rFonts w:ascii="Palatino Linotype" w:hAnsi="Palatino Linotype" w:cstheme="minorHAnsi"/>
        </w:rPr>
        <w:t>. Este Plan Especial</w:t>
      </w:r>
      <w:r w:rsidR="001A6F6E" w:rsidRPr="00C250CB">
        <w:rPr>
          <w:rFonts w:ascii="Palatino Linotype" w:hAnsi="Palatino Linotype" w:cstheme="minorHAnsi"/>
        </w:rPr>
        <w:t xml:space="preserve"> </w:t>
      </w:r>
      <w:r w:rsidRPr="00C250CB">
        <w:rPr>
          <w:rFonts w:ascii="Palatino Linotype" w:hAnsi="Palatino Linotype" w:cstheme="minorHAnsi"/>
        </w:rPr>
        <w:t>deberá presentarse a la Comisión de Uso de Suelo</w:t>
      </w:r>
      <w:r w:rsidR="001A6F6E">
        <w:rPr>
          <w:rFonts w:ascii="Palatino Linotype" w:hAnsi="Palatino Linotype" w:cstheme="minorHAnsi"/>
        </w:rPr>
        <w:t>,</w:t>
      </w:r>
      <w:r w:rsidRPr="00C250CB">
        <w:rPr>
          <w:rFonts w:ascii="Palatino Linotype" w:hAnsi="Palatino Linotype" w:cstheme="minorHAnsi"/>
        </w:rPr>
        <w:t xml:space="preserve"> previo aprobación del Concejo</w:t>
      </w:r>
      <w:r w:rsidR="001A6F6E">
        <w:rPr>
          <w:rFonts w:ascii="Palatino Linotype" w:hAnsi="Palatino Linotype" w:cstheme="minorHAnsi"/>
        </w:rPr>
        <w:t>,</w:t>
      </w:r>
      <w:r w:rsidRPr="00C250CB">
        <w:rPr>
          <w:rFonts w:ascii="Palatino Linotype" w:hAnsi="Palatino Linotype" w:cstheme="minorHAnsi"/>
        </w:rPr>
        <w:t xml:space="preserve"> en un plazo de 180 días contados a partir de la vigencia de la presente ordenanza</w:t>
      </w:r>
      <w:r w:rsidR="001A6F6E">
        <w:rPr>
          <w:rFonts w:ascii="Palatino Linotype" w:hAnsi="Palatino Linotype" w:cstheme="minorHAnsi"/>
        </w:rPr>
        <w:t xml:space="preserve">, y además considerará los sectores </w:t>
      </w:r>
      <w:r w:rsidR="00C44E9E">
        <w:rPr>
          <w:rFonts w:ascii="Palatino Linotype" w:hAnsi="Palatino Linotype" w:cstheme="minorHAnsi"/>
        </w:rPr>
        <w:t xml:space="preserve">comprendidos </w:t>
      </w:r>
      <w:r w:rsidR="001A6F6E">
        <w:rPr>
          <w:rFonts w:ascii="Palatino Linotype" w:hAnsi="Palatino Linotype" w:cstheme="minorHAnsi"/>
        </w:rPr>
        <w:t xml:space="preserve">entre </w:t>
      </w:r>
      <w:proofErr w:type="spellStart"/>
      <w:r w:rsidR="001A6F6E">
        <w:rPr>
          <w:rFonts w:ascii="Palatino Linotype" w:hAnsi="Palatino Linotype" w:cstheme="minorHAnsi"/>
        </w:rPr>
        <w:t>Catequilla</w:t>
      </w:r>
      <w:proofErr w:type="spellEnd"/>
      <w:r w:rsidR="0068333B">
        <w:rPr>
          <w:rFonts w:ascii="Palatino Linotype" w:hAnsi="Palatino Linotype" w:cstheme="minorHAnsi"/>
        </w:rPr>
        <w:t xml:space="preserve">, </w:t>
      </w:r>
      <w:proofErr w:type="spellStart"/>
      <w:r w:rsidR="00C44E9E">
        <w:rPr>
          <w:rFonts w:ascii="Palatino Linotype" w:hAnsi="Palatino Linotype" w:cstheme="minorHAnsi"/>
        </w:rPr>
        <w:t>B</w:t>
      </w:r>
      <w:r w:rsidR="0068333B">
        <w:rPr>
          <w:rFonts w:ascii="Palatino Linotype" w:hAnsi="Palatino Linotype" w:cstheme="minorHAnsi"/>
        </w:rPr>
        <w:t>indobona</w:t>
      </w:r>
      <w:proofErr w:type="spellEnd"/>
      <w:r w:rsidR="0068333B">
        <w:rPr>
          <w:rFonts w:ascii="Palatino Linotype" w:hAnsi="Palatino Linotype" w:cstheme="minorHAnsi"/>
        </w:rPr>
        <w:t xml:space="preserve"> y El Artesón</w:t>
      </w:r>
      <w:r w:rsidRPr="00C250CB">
        <w:rPr>
          <w:rFonts w:ascii="Palatino Linotype" w:hAnsi="Palatino Linotype" w:cstheme="minorHAnsi"/>
        </w:rPr>
        <w:t>.</w:t>
      </w:r>
    </w:p>
    <w:p w:rsidR="004F42B6" w:rsidRPr="00F9412D" w:rsidRDefault="008D7F22" w:rsidP="004F42B6">
      <w:pPr>
        <w:jc w:val="both"/>
        <w:rPr>
          <w:rFonts w:ascii="Palatino Linotype" w:hAnsi="Palatino Linotype"/>
        </w:rPr>
      </w:pPr>
      <w:r w:rsidRPr="00C250CB">
        <w:rPr>
          <w:rFonts w:ascii="Palatino Linotype" w:hAnsi="Palatino Linotype" w:cstheme="minorHAnsi"/>
          <w:b/>
        </w:rPr>
        <w:t>Séptima.-</w:t>
      </w:r>
      <w:r>
        <w:rPr>
          <w:rFonts w:ascii="Palatino Linotype" w:hAnsi="Palatino Linotype" w:cstheme="minorHAnsi"/>
          <w:b/>
        </w:rPr>
        <w:t xml:space="preserve"> </w:t>
      </w:r>
      <w:r w:rsidRPr="00C250CB">
        <w:rPr>
          <w:rFonts w:ascii="Palatino Linotype" w:hAnsi="Palatino Linotype" w:cstheme="minorHAnsi"/>
        </w:rPr>
        <w:t xml:space="preserve">Los sectores de la parroquia de Calderón: Zabala, San José de Morán, San Juan de Calderón y parte de Llano Grande; de la parroquia de </w:t>
      </w:r>
      <w:proofErr w:type="spellStart"/>
      <w:r w:rsidRPr="00C250CB">
        <w:rPr>
          <w:rFonts w:ascii="Palatino Linotype" w:hAnsi="Palatino Linotype" w:cstheme="minorHAnsi"/>
        </w:rPr>
        <w:t>Nayón</w:t>
      </w:r>
      <w:proofErr w:type="spellEnd"/>
      <w:r w:rsidRPr="00C250CB">
        <w:rPr>
          <w:rFonts w:ascii="Palatino Linotype" w:hAnsi="Palatino Linotype" w:cstheme="minorHAnsi"/>
        </w:rPr>
        <w:t xml:space="preserve">: </w:t>
      </w:r>
      <w:proofErr w:type="spellStart"/>
      <w:r w:rsidRPr="00C250CB">
        <w:rPr>
          <w:rFonts w:ascii="Palatino Linotype" w:hAnsi="Palatino Linotype" w:cstheme="minorHAnsi"/>
        </w:rPr>
        <w:t>Tacuri</w:t>
      </w:r>
      <w:proofErr w:type="spellEnd"/>
      <w:r w:rsidRPr="00C250CB">
        <w:rPr>
          <w:rFonts w:ascii="Palatino Linotype" w:hAnsi="Palatino Linotype" w:cstheme="minorHAnsi"/>
        </w:rPr>
        <w:t xml:space="preserve">; de la parroquia de Tumbaco: </w:t>
      </w:r>
      <w:proofErr w:type="spellStart"/>
      <w:r w:rsidRPr="00C250CB">
        <w:rPr>
          <w:rFonts w:ascii="Palatino Linotype" w:hAnsi="Palatino Linotype" w:cstheme="minorHAnsi"/>
        </w:rPr>
        <w:t>Collaquí</w:t>
      </w:r>
      <w:proofErr w:type="spellEnd"/>
      <w:r w:rsidRPr="00C250CB">
        <w:rPr>
          <w:rFonts w:ascii="Palatino Linotype" w:hAnsi="Palatino Linotype" w:cstheme="minorHAnsi"/>
        </w:rPr>
        <w:t>;</w:t>
      </w:r>
      <w:r w:rsidR="00BC71A5">
        <w:rPr>
          <w:rFonts w:ascii="Palatino Linotype" w:hAnsi="Palatino Linotype" w:cstheme="minorHAnsi"/>
        </w:rPr>
        <w:t xml:space="preserve"> y</w:t>
      </w:r>
      <w:r w:rsidR="00BC71A5" w:rsidRPr="00C250CB">
        <w:rPr>
          <w:rFonts w:ascii="Palatino Linotype" w:hAnsi="Palatino Linotype" w:cstheme="minorHAnsi"/>
        </w:rPr>
        <w:t xml:space="preserve"> </w:t>
      </w:r>
      <w:r w:rsidRPr="00C250CB">
        <w:rPr>
          <w:rFonts w:ascii="Palatino Linotype" w:hAnsi="Palatino Linotype" w:cstheme="minorHAnsi"/>
        </w:rPr>
        <w:t xml:space="preserve">de la parroquia de </w:t>
      </w:r>
      <w:proofErr w:type="spellStart"/>
      <w:r w:rsidRPr="00C250CB">
        <w:rPr>
          <w:rFonts w:ascii="Palatino Linotype" w:hAnsi="Palatino Linotype" w:cstheme="minorHAnsi"/>
        </w:rPr>
        <w:t>Amaguaña</w:t>
      </w:r>
      <w:proofErr w:type="spellEnd"/>
      <w:r w:rsidRPr="00C250CB">
        <w:rPr>
          <w:rFonts w:ascii="Palatino Linotype" w:hAnsi="Palatino Linotype" w:cstheme="minorHAnsi"/>
        </w:rPr>
        <w:t xml:space="preserve">: </w:t>
      </w:r>
      <w:proofErr w:type="spellStart"/>
      <w:r w:rsidRPr="00C250CB">
        <w:rPr>
          <w:rFonts w:ascii="Palatino Linotype" w:hAnsi="Palatino Linotype" w:cstheme="minorHAnsi"/>
        </w:rPr>
        <w:t>Cuendina</w:t>
      </w:r>
      <w:proofErr w:type="spellEnd"/>
      <w:r w:rsidRPr="00C250CB">
        <w:rPr>
          <w:rFonts w:ascii="Palatino Linotype" w:hAnsi="Palatino Linotype" w:cstheme="minorHAnsi"/>
        </w:rPr>
        <w:t xml:space="preserve">, que han sido sujetos de cambios de uso de suelo y/o zonificación en el marco de la actualización del presente PUOS,  se sujetarán a un plan vial, de </w:t>
      </w:r>
      <w:r w:rsidRPr="004F42B6">
        <w:rPr>
          <w:rFonts w:ascii="Palatino Linotype" w:hAnsi="Palatino Linotype" w:cstheme="minorHAnsi"/>
          <w:strike/>
        </w:rPr>
        <w:t>infraestructuras de servicios básicos, de equipamientos y espacio público</w:t>
      </w:r>
      <w:r w:rsidRPr="00C250CB">
        <w:rPr>
          <w:rFonts w:ascii="Palatino Linotype" w:hAnsi="Palatino Linotype" w:cstheme="minorHAnsi"/>
        </w:rPr>
        <w:t xml:space="preserve"> que deberá realizar la Administración Zonal </w:t>
      </w:r>
      <w:r w:rsidRPr="00C250CB">
        <w:rPr>
          <w:rFonts w:ascii="Palatino Linotype" w:hAnsi="Palatino Linotype" w:cstheme="minorHAnsi"/>
        </w:rPr>
        <w:lastRenderedPageBreak/>
        <w:t>correspondiente en coordinación con la Secretaría encargada del territorio, hábitat y vivienda, los cuales serán conocidos por la Comisión de Uso de Suelo en un plazo de hasta 60 días una vez recibido</w:t>
      </w:r>
      <w:r w:rsidR="00E419FC">
        <w:rPr>
          <w:rFonts w:ascii="Palatino Linotype" w:hAnsi="Palatino Linotype" w:cstheme="minorHAnsi"/>
        </w:rPr>
        <w:t>s</w:t>
      </w:r>
      <w:r w:rsidRPr="00C250CB">
        <w:rPr>
          <w:rFonts w:ascii="Palatino Linotype" w:hAnsi="Palatino Linotype" w:cstheme="minorHAnsi"/>
        </w:rPr>
        <w:t xml:space="preserve"> los </w:t>
      </w:r>
      <w:r w:rsidR="002F370C">
        <w:rPr>
          <w:rFonts w:ascii="Palatino Linotype" w:hAnsi="Palatino Linotype" w:cstheme="minorHAnsi"/>
        </w:rPr>
        <w:t>informes</w:t>
      </w:r>
      <w:r w:rsidRPr="00C250CB">
        <w:rPr>
          <w:rFonts w:ascii="Palatino Linotype" w:hAnsi="Palatino Linotype" w:cstheme="minorHAnsi"/>
        </w:rPr>
        <w:t>, a fin de ser aprobados por el Concejo Metropolitano de Quito.</w:t>
      </w:r>
      <w:r w:rsidR="004F42B6">
        <w:rPr>
          <w:rFonts w:ascii="Palatino Linotype" w:hAnsi="Palatino Linotype" w:cstheme="minorHAnsi"/>
        </w:rPr>
        <w:t xml:space="preserve"> </w:t>
      </w:r>
      <w:r w:rsidR="004F42B6" w:rsidRPr="00F9412D">
        <w:rPr>
          <w:rFonts w:ascii="Palatino Linotype" w:hAnsi="Palatino Linotype"/>
          <w:highlight w:val="yellow"/>
        </w:rPr>
        <w:t>Respecto al tema de infraestructura de servicios básicos y equipamientos de servicios sociales y públicos, las respectivas empresas deberán incluir con prioridad estos sectores dentro de sus planes operativos</w:t>
      </w:r>
      <w:r w:rsidR="004F42B6" w:rsidRPr="00F9412D">
        <w:rPr>
          <w:rFonts w:ascii="Palatino Linotype" w:hAnsi="Palatino Linotype"/>
        </w:rPr>
        <w:t>.</w:t>
      </w:r>
    </w:p>
    <w:p w:rsidR="008D7F22" w:rsidRPr="00C250CB" w:rsidRDefault="008D7F22" w:rsidP="008D7F22">
      <w:pPr>
        <w:pStyle w:val="Textoindependiente"/>
        <w:tabs>
          <w:tab w:val="left" w:pos="2977"/>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Los informes de regulación metropolitana (IRM) mantendrán las asignaciones  sin hacer efectivos los cambios  dispuestos en el presente PUOS hasta que se dé cumplimiento  con lo establecido en el  inciso anterior.</w:t>
      </w:r>
    </w:p>
    <w:p w:rsidR="008D7F22" w:rsidRPr="00C250CB" w:rsidRDefault="008D7F22" w:rsidP="008D7F22">
      <w:pPr>
        <w:pStyle w:val="Textoindependiente"/>
        <w:tabs>
          <w:tab w:val="left" w:pos="2977"/>
        </w:tabs>
        <w:spacing w:line="276" w:lineRule="auto"/>
        <w:jc w:val="both"/>
        <w:rPr>
          <w:rFonts w:ascii="Palatino Linotype" w:hAnsi="Palatino Linotype" w:cstheme="minorHAnsi"/>
          <w:sz w:val="22"/>
          <w:szCs w:val="22"/>
        </w:rPr>
      </w:pPr>
      <w:r w:rsidRPr="00C250CB">
        <w:rPr>
          <w:rFonts w:ascii="Palatino Linotype" w:hAnsi="Palatino Linotype" w:cstheme="minorHAnsi"/>
          <w:b/>
          <w:sz w:val="22"/>
          <w:szCs w:val="22"/>
        </w:rPr>
        <w:t xml:space="preserve">Octava.- </w:t>
      </w:r>
      <w:r w:rsidRPr="00C250CB">
        <w:rPr>
          <w:rFonts w:ascii="Palatino Linotype" w:hAnsi="Palatino Linotype" w:cstheme="minorHAnsi"/>
          <w:sz w:val="22"/>
          <w:szCs w:val="22"/>
        </w:rPr>
        <w:t xml:space="preserve">En coordinación con las administraciones zonales, la Secretaría responsable del territorio, hábitat y vivienda,   en  un plazo de 18 meses contados a partir de la sanción de la presente ordenanza, procederán a elaborar los siguientes Planes Especiales: sector comprendido entre: la Av. Simón Bolívar y Ruta Viva (San Juan Alto); sector sur del Nuevo Aeropuerto Internacional de Quito y </w:t>
      </w:r>
      <w:proofErr w:type="spellStart"/>
      <w:r w:rsidRPr="00C250CB">
        <w:rPr>
          <w:rFonts w:ascii="Palatino Linotype" w:hAnsi="Palatino Linotype" w:cstheme="minorHAnsi"/>
          <w:sz w:val="22"/>
          <w:szCs w:val="22"/>
        </w:rPr>
        <w:t>Tababela</w:t>
      </w:r>
      <w:proofErr w:type="spellEnd"/>
      <w:r w:rsidRPr="00C250CB">
        <w:rPr>
          <w:rFonts w:ascii="Palatino Linotype" w:hAnsi="Palatino Linotype" w:cstheme="minorHAnsi"/>
          <w:sz w:val="22"/>
          <w:szCs w:val="22"/>
        </w:rPr>
        <w:t xml:space="preserve">; sector sur occidental del Distrito Metropolitano de Quito en la zona conocida como “Hacienda El </w:t>
      </w:r>
      <w:proofErr w:type="spellStart"/>
      <w:r w:rsidRPr="00C250CB">
        <w:rPr>
          <w:rFonts w:ascii="Palatino Linotype" w:hAnsi="Palatino Linotype" w:cstheme="minorHAnsi"/>
          <w:sz w:val="22"/>
          <w:szCs w:val="22"/>
        </w:rPr>
        <w:t>Pugro</w:t>
      </w:r>
      <w:proofErr w:type="spellEnd"/>
      <w:r w:rsidRPr="00C250CB">
        <w:rPr>
          <w:rFonts w:ascii="Palatino Linotype" w:hAnsi="Palatino Linotype" w:cstheme="minorHAnsi"/>
          <w:sz w:val="22"/>
          <w:szCs w:val="22"/>
        </w:rPr>
        <w:t xml:space="preserve">” hasta la quebrada </w:t>
      </w:r>
      <w:proofErr w:type="spellStart"/>
      <w:r w:rsidRPr="00C250CB">
        <w:rPr>
          <w:rFonts w:ascii="Palatino Linotype" w:hAnsi="Palatino Linotype" w:cstheme="minorHAnsi"/>
          <w:sz w:val="22"/>
          <w:szCs w:val="22"/>
        </w:rPr>
        <w:t>Saguanchi</w:t>
      </w:r>
      <w:proofErr w:type="spellEnd"/>
      <w:r w:rsidRPr="00C250CB">
        <w:rPr>
          <w:rFonts w:ascii="Palatino Linotype" w:hAnsi="Palatino Linotype" w:cstheme="minorHAnsi"/>
          <w:sz w:val="22"/>
          <w:szCs w:val="22"/>
        </w:rPr>
        <w:t xml:space="preserve">, para lo cual de considerarlo pertinente se coordinará acciones con el Ministerio de Desarrollo Urbano y Vivienda- MIDUVI;  </w:t>
      </w:r>
      <w:r w:rsidR="00F0249E">
        <w:rPr>
          <w:rFonts w:ascii="Palatino Linotype" w:hAnsi="Palatino Linotype" w:cstheme="minorHAnsi"/>
          <w:sz w:val="22"/>
          <w:szCs w:val="22"/>
        </w:rPr>
        <w:t>los</w:t>
      </w:r>
      <w:r w:rsidR="00F0249E" w:rsidRPr="00C250CB">
        <w:rPr>
          <w:rFonts w:ascii="Palatino Linotype" w:hAnsi="Palatino Linotype" w:cstheme="minorHAnsi"/>
          <w:sz w:val="22"/>
          <w:szCs w:val="22"/>
        </w:rPr>
        <w:t xml:space="preserve"> </w:t>
      </w:r>
      <w:r w:rsidRPr="00C250CB">
        <w:rPr>
          <w:rFonts w:ascii="Palatino Linotype" w:hAnsi="Palatino Linotype" w:cstheme="minorHAnsi"/>
          <w:sz w:val="22"/>
          <w:szCs w:val="22"/>
        </w:rPr>
        <w:t>territorio</w:t>
      </w:r>
      <w:r w:rsidR="00F0249E">
        <w:rPr>
          <w:rFonts w:ascii="Palatino Linotype" w:hAnsi="Palatino Linotype" w:cstheme="minorHAnsi"/>
          <w:sz w:val="22"/>
          <w:szCs w:val="22"/>
        </w:rPr>
        <w:t>s</w:t>
      </w:r>
      <w:r w:rsidRPr="00C250CB">
        <w:rPr>
          <w:rFonts w:ascii="Palatino Linotype" w:hAnsi="Palatino Linotype" w:cstheme="minorHAnsi"/>
          <w:sz w:val="22"/>
          <w:szCs w:val="22"/>
        </w:rPr>
        <w:t xml:space="preserve"> comprendido</w:t>
      </w:r>
      <w:r w:rsidR="00F0249E">
        <w:rPr>
          <w:rFonts w:ascii="Palatino Linotype" w:hAnsi="Palatino Linotype" w:cstheme="minorHAnsi"/>
          <w:sz w:val="22"/>
          <w:szCs w:val="22"/>
        </w:rPr>
        <w:t>s</w:t>
      </w:r>
      <w:r w:rsidRPr="00C250CB">
        <w:rPr>
          <w:rFonts w:ascii="Palatino Linotype" w:hAnsi="Palatino Linotype" w:cstheme="minorHAnsi"/>
          <w:sz w:val="22"/>
          <w:szCs w:val="22"/>
        </w:rPr>
        <w:t xml:space="preserve"> en la</w:t>
      </w:r>
      <w:r w:rsidR="00F0249E">
        <w:rPr>
          <w:rFonts w:ascii="Palatino Linotype" w:hAnsi="Palatino Linotype" w:cstheme="minorHAnsi"/>
          <w:sz w:val="22"/>
          <w:szCs w:val="22"/>
        </w:rPr>
        <w:t>s</w:t>
      </w:r>
      <w:r w:rsidRPr="00C250CB">
        <w:rPr>
          <w:rFonts w:ascii="Palatino Linotype" w:hAnsi="Palatino Linotype" w:cstheme="minorHAnsi"/>
          <w:sz w:val="22"/>
          <w:szCs w:val="22"/>
        </w:rPr>
        <w:t xml:space="preserve"> mancomunidad</w:t>
      </w:r>
      <w:r w:rsidR="00F0249E">
        <w:rPr>
          <w:rFonts w:ascii="Palatino Linotype" w:hAnsi="Palatino Linotype" w:cstheme="minorHAnsi"/>
          <w:sz w:val="22"/>
          <w:szCs w:val="22"/>
        </w:rPr>
        <w:t>es</w:t>
      </w:r>
      <w:r w:rsidRPr="00C250CB">
        <w:rPr>
          <w:rFonts w:ascii="Palatino Linotype" w:hAnsi="Palatino Linotype" w:cstheme="minorHAnsi"/>
          <w:sz w:val="22"/>
          <w:szCs w:val="22"/>
        </w:rPr>
        <w:t xml:space="preserve"> de los gobiernos autónomos descentralizados  parroquiales del noroccidente y </w:t>
      </w:r>
      <w:proofErr w:type="spellStart"/>
      <w:r w:rsidRPr="00C250CB">
        <w:rPr>
          <w:rFonts w:ascii="Palatino Linotype" w:hAnsi="Palatino Linotype" w:cstheme="minorHAnsi"/>
          <w:sz w:val="22"/>
          <w:szCs w:val="22"/>
        </w:rPr>
        <w:t>norcentral</w:t>
      </w:r>
      <w:proofErr w:type="spellEnd"/>
      <w:r w:rsidRPr="00C250CB">
        <w:rPr>
          <w:rFonts w:ascii="Palatino Linotype" w:hAnsi="Palatino Linotype" w:cstheme="minorHAnsi"/>
          <w:sz w:val="22"/>
          <w:szCs w:val="22"/>
        </w:rPr>
        <w:t xml:space="preserve"> del Distrito Metropolitano de Quito; el </w:t>
      </w:r>
      <w:r w:rsidR="00F0249E">
        <w:rPr>
          <w:rFonts w:ascii="Palatino Linotype" w:hAnsi="Palatino Linotype" w:cstheme="minorHAnsi"/>
          <w:sz w:val="22"/>
          <w:szCs w:val="22"/>
        </w:rPr>
        <w:t xml:space="preserve">sector </w:t>
      </w:r>
      <w:r w:rsidRPr="00C250CB">
        <w:rPr>
          <w:rFonts w:ascii="Palatino Linotype" w:hAnsi="Palatino Linotype" w:cstheme="minorHAnsi"/>
          <w:sz w:val="22"/>
          <w:szCs w:val="22"/>
        </w:rPr>
        <w:t xml:space="preserve">Carmen Bajo </w:t>
      </w:r>
      <w:r w:rsidR="00F0249E">
        <w:rPr>
          <w:rFonts w:ascii="Palatino Linotype" w:hAnsi="Palatino Linotype" w:cstheme="minorHAnsi"/>
          <w:sz w:val="22"/>
          <w:szCs w:val="22"/>
        </w:rPr>
        <w:t xml:space="preserve">de la parroquia </w:t>
      </w:r>
      <w:r w:rsidRPr="00C250CB">
        <w:rPr>
          <w:rFonts w:ascii="Palatino Linotype" w:hAnsi="Palatino Linotype" w:cstheme="minorHAnsi"/>
          <w:sz w:val="22"/>
          <w:szCs w:val="22"/>
        </w:rPr>
        <w:t>de Llano Chico; y, la ladera comprendida entre la Av. Simón Bolívar hacia los valles</w:t>
      </w:r>
      <w:r w:rsidR="00F0249E">
        <w:rPr>
          <w:rFonts w:ascii="Palatino Linotype" w:hAnsi="Palatino Linotype" w:cstheme="minorHAnsi"/>
          <w:sz w:val="22"/>
          <w:szCs w:val="22"/>
        </w:rPr>
        <w:t xml:space="preserve"> de Los Chillos y Tumbaco</w:t>
      </w:r>
      <w:r w:rsidRPr="00C250CB">
        <w:rPr>
          <w:rFonts w:ascii="Palatino Linotype" w:hAnsi="Palatino Linotype" w:cstheme="minorHAnsi"/>
          <w:sz w:val="22"/>
          <w:szCs w:val="22"/>
        </w:rPr>
        <w:t>. A efectos de cumplir con esta disposición, la Administración General del Distrito Metropolitano de Quito facilitará el presupuesto que sea requerido por la Secretaría responsable de territorio, hábitat y vivienda.</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lang w:val="es-ES"/>
        </w:rPr>
      </w:pPr>
      <w:r w:rsidRPr="00C250CB">
        <w:rPr>
          <w:rFonts w:ascii="Palatino Linotype" w:hAnsi="Palatino Linotype" w:cstheme="minorHAnsi"/>
          <w:b/>
        </w:rPr>
        <w:t>Novena.-</w:t>
      </w:r>
      <w:r>
        <w:rPr>
          <w:rFonts w:ascii="Palatino Linotype" w:hAnsi="Palatino Linotype" w:cstheme="minorHAnsi"/>
          <w:b/>
        </w:rPr>
        <w:t xml:space="preserve"> </w:t>
      </w:r>
      <w:r w:rsidRPr="00C250CB">
        <w:rPr>
          <w:rFonts w:ascii="Palatino Linotype" w:hAnsi="Palatino Linotype" w:cstheme="minorHAnsi"/>
          <w:lang w:val="es-ES"/>
        </w:rPr>
        <w:t xml:space="preserve">En un plazo de </w:t>
      </w:r>
      <w:r w:rsidR="00F0249E">
        <w:rPr>
          <w:rFonts w:ascii="Palatino Linotype" w:hAnsi="Palatino Linotype" w:cstheme="minorHAnsi"/>
          <w:lang w:val="es-ES"/>
        </w:rPr>
        <w:t>120</w:t>
      </w:r>
      <w:r w:rsidRPr="00C250CB">
        <w:rPr>
          <w:rFonts w:ascii="Palatino Linotype" w:hAnsi="Palatino Linotype" w:cstheme="minorHAnsi"/>
          <w:lang w:val="es-ES"/>
        </w:rPr>
        <w:t xml:space="preserve"> días contados a partir de la publicación de la presente ordenanza, la Secretaría de Territorio, Hábitat y Vivienda presentará a la </w:t>
      </w:r>
      <w:r w:rsidR="00F0249E">
        <w:rPr>
          <w:rFonts w:ascii="Palatino Linotype" w:hAnsi="Palatino Linotype" w:cstheme="minorHAnsi"/>
          <w:lang w:val="es-ES"/>
        </w:rPr>
        <w:t>C</w:t>
      </w:r>
      <w:r w:rsidR="00F0249E" w:rsidRPr="00C250CB">
        <w:rPr>
          <w:rFonts w:ascii="Palatino Linotype" w:hAnsi="Palatino Linotype" w:cstheme="minorHAnsi"/>
          <w:lang w:val="es-ES"/>
        </w:rPr>
        <w:t xml:space="preserve">omisión </w:t>
      </w:r>
      <w:r w:rsidRPr="00C250CB">
        <w:rPr>
          <w:rFonts w:ascii="Palatino Linotype" w:hAnsi="Palatino Linotype" w:cstheme="minorHAnsi"/>
          <w:lang w:val="es-ES"/>
        </w:rPr>
        <w:t xml:space="preserve">de </w:t>
      </w:r>
      <w:r w:rsidR="00F0249E">
        <w:rPr>
          <w:rFonts w:ascii="Palatino Linotype" w:hAnsi="Palatino Linotype" w:cstheme="minorHAnsi"/>
          <w:lang w:val="es-ES"/>
        </w:rPr>
        <w:t>U</w:t>
      </w:r>
      <w:r w:rsidR="00F0249E" w:rsidRPr="00C250CB">
        <w:rPr>
          <w:rFonts w:ascii="Palatino Linotype" w:hAnsi="Palatino Linotype" w:cstheme="minorHAnsi"/>
          <w:lang w:val="es-ES"/>
        </w:rPr>
        <w:t xml:space="preserve">so </w:t>
      </w:r>
      <w:r w:rsidRPr="00C250CB">
        <w:rPr>
          <w:rFonts w:ascii="Palatino Linotype" w:hAnsi="Palatino Linotype" w:cstheme="minorHAnsi"/>
          <w:lang w:val="es-ES"/>
        </w:rPr>
        <w:t xml:space="preserve">de </w:t>
      </w:r>
      <w:r w:rsidR="00F0249E">
        <w:rPr>
          <w:rFonts w:ascii="Palatino Linotype" w:hAnsi="Palatino Linotype" w:cstheme="minorHAnsi"/>
          <w:lang w:val="es-ES"/>
        </w:rPr>
        <w:t>S</w:t>
      </w:r>
      <w:r w:rsidR="00F0249E" w:rsidRPr="00C250CB">
        <w:rPr>
          <w:rFonts w:ascii="Palatino Linotype" w:hAnsi="Palatino Linotype" w:cstheme="minorHAnsi"/>
          <w:lang w:val="es-ES"/>
        </w:rPr>
        <w:t xml:space="preserve">uelo </w:t>
      </w:r>
      <w:r w:rsidRPr="00C250CB">
        <w:rPr>
          <w:rFonts w:ascii="Palatino Linotype" w:hAnsi="Palatino Linotype" w:cstheme="minorHAnsi"/>
          <w:lang w:val="es-ES"/>
        </w:rPr>
        <w:t>un informe que contenga la lista de los lotes</w:t>
      </w:r>
      <w:r w:rsidR="00F0249E">
        <w:rPr>
          <w:rFonts w:ascii="Palatino Linotype" w:hAnsi="Palatino Linotype" w:cstheme="minorHAnsi"/>
          <w:lang w:val="es-ES"/>
        </w:rPr>
        <w:t xml:space="preserve">, que consten en el catastro, </w:t>
      </w:r>
      <w:r w:rsidRPr="00C250CB">
        <w:rPr>
          <w:rFonts w:ascii="Palatino Linotype" w:hAnsi="Palatino Linotype" w:cstheme="minorHAnsi"/>
          <w:lang w:val="es-ES"/>
        </w:rPr>
        <w:t xml:space="preserve"> en los cuales se venga realizando actividades mineras de áridos y pétreos, mismo que será conocido por la </w:t>
      </w:r>
      <w:r w:rsidR="00F0249E">
        <w:rPr>
          <w:rFonts w:ascii="Palatino Linotype" w:hAnsi="Palatino Linotype" w:cstheme="minorHAnsi"/>
          <w:lang w:val="es-ES"/>
        </w:rPr>
        <w:t>C</w:t>
      </w:r>
      <w:r w:rsidR="00F0249E" w:rsidRPr="00C250CB">
        <w:rPr>
          <w:rFonts w:ascii="Palatino Linotype" w:hAnsi="Palatino Linotype" w:cstheme="minorHAnsi"/>
          <w:lang w:val="es-ES"/>
        </w:rPr>
        <w:t>omisión</w:t>
      </w:r>
      <w:r w:rsidR="00EC2A6A">
        <w:rPr>
          <w:rFonts w:ascii="Palatino Linotype" w:hAnsi="Palatino Linotype" w:cstheme="minorHAnsi"/>
          <w:lang w:val="es-ES"/>
        </w:rPr>
        <w:t xml:space="preserve"> referida</w:t>
      </w:r>
      <w:r w:rsidR="00F0249E" w:rsidRPr="00C250CB">
        <w:rPr>
          <w:rFonts w:ascii="Palatino Linotype" w:hAnsi="Palatino Linotype" w:cstheme="minorHAnsi"/>
          <w:lang w:val="es-ES"/>
        </w:rPr>
        <w:t xml:space="preserve"> </w:t>
      </w:r>
      <w:r w:rsidRPr="00C250CB">
        <w:rPr>
          <w:rFonts w:ascii="Palatino Linotype" w:hAnsi="Palatino Linotype" w:cstheme="minorHAnsi"/>
          <w:lang w:val="es-ES"/>
        </w:rPr>
        <w:t xml:space="preserve">para aprobación del Concejo Metropolitano, a efectos de asignar el uso de suelo de recurso natural no renovable a dichos </w:t>
      </w:r>
      <w:r w:rsidR="00F0249E">
        <w:rPr>
          <w:rFonts w:ascii="Palatino Linotype" w:hAnsi="Palatino Linotype" w:cstheme="minorHAnsi"/>
          <w:lang w:val="es-ES"/>
        </w:rPr>
        <w:t>lotes</w:t>
      </w:r>
      <w:r w:rsidR="00F0249E" w:rsidRPr="00C250CB">
        <w:rPr>
          <w:rFonts w:ascii="Palatino Linotype" w:hAnsi="Palatino Linotype" w:cstheme="minorHAnsi"/>
          <w:lang w:val="es-ES"/>
        </w:rPr>
        <w:t xml:space="preserve">  </w:t>
      </w:r>
      <w:r w:rsidRPr="00C250CB">
        <w:rPr>
          <w:rFonts w:ascii="Palatino Linotype" w:hAnsi="Palatino Linotype" w:cstheme="minorHAnsi"/>
          <w:lang w:val="es-ES"/>
        </w:rPr>
        <w:t>siempre que  cuenten con los derechos, las concesiones,  licencias o permisos concedidos por la Agencia de Regulación y Control Minero.</w:t>
      </w:r>
    </w:p>
    <w:p w:rsidR="008D7F22" w:rsidRDefault="008D7F22" w:rsidP="008D7F22">
      <w:pPr>
        <w:spacing w:after="120" w:line="276" w:lineRule="auto"/>
        <w:jc w:val="both"/>
        <w:rPr>
          <w:rFonts w:ascii="Palatino Linotype" w:hAnsi="Palatino Linotype" w:cstheme="minorHAnsi"/>
          <w:color w:val="000000" w:themeColor="text1"/>
        </w:rPr>
      </w:pPr>
      <w:r w:rsidRPr="00C250CB">
        <w:rPr>
          <w:rFonts w:ascii="Palatino Linotype" w:hAnsi="Palatino Linotype" w:cstheme="minorHAnsi"/>
          <w:b/>
        </w:rPr>
        <w:t>Décima.-</w:t>
      </w:r>
      <w:r>
        <w:rPr>
          <w:rFonts w:ascii="Palatino Linotype" w:hAnsi="Palatino Linotype" w:cstheme="minorHAnsi"/>
          <w:b/>
        </w:rPr>
        <w:t xml:space="preserve"> </w:t>
      </w:r>
      <w:r w:rsidRPr="00C250CB">
        <w:rPr>
          <w:rFonts w:ascii="Palatino Linotype" w:hAnsi="Palatino Linotype" w:cstheme="minorHAnsi"/>
          <w:color w:val="000000" w:themeColor="text1"/>
        </w:rPr>
        <w:t>La Secretaría responsable del territorio, hábitat y vivienda, en un plazo de 180 días  presentará a la Comisión de Uso de Suelo un registro de los lotes que tienen asignado uso de suelo equipamiento y que no han desarrollado actividades destinadas con este uso.</w:t>
      </w:r>
    </w:p>
    <w:p w:rsidR="008D7F22" w:rsidRDefault="008D7F22" w:rsidP="008D7F22">
      <w:pPr>
        <w:spacing w:after="120" w:line="276" w:lineRule="auto"/>
        <w:jc w:val="both"/>
        <w:rPr>
          <w:rFonts w:ascii="Palatino Linotype" w:hAnsi="Palatino Linotype" w:cstheme="minorHAnsi"/>
        </w:rPr>
      </w:pPr>
      <w:r w:rsidRPr="00C250CB">
        <w:rPr>
          <w:rFonts w:ascii="Palatino Linotype" w:hAnsi="Palatino Linotype" w:cstheme="minorHAnsi"/>
        </w:rPr>
        <w:t>La Secretaría  responsable del territorio, hábitat y vivienda, para cada lote, establecerá las condiciones para mantener o modificar este uso de suelo lo cual se hará a través de un informe motivado que será conocido y aprobado por la Comisión de</w:t>
      </w:r>
      <w:r w:rsidR="00E419FC">
        <w:rPr>
          <w:rFonts w:ascii="Palatino Linotype" w:hAnsi="Palatino Linotype" w:cstheme="minorHAnsi"/>
        </w:rPr>
        <w:t xml:space="preserve"> Uso de</w:t>
      </w:r>
      <w:r w:rsidRPr="00C250CB">
        <w:rPr>
          <w:rFonts w:ascii="Palatino Linotype" w:hAnsi="Palatino Linotype" w:cstheme="minorHAnsi"/>
        </w:rPr>
        <w:t xml:space="preserve"> Suelo y el Concejo Metropolitano de Quito.</w:t>
      </w:r>
    </w:p>
    <w:p w:rsidR="00781426" w:rsidRDefault="00FA5FF5" w:rsidP="008D7F22">
      <w:pPr>
        <w:spacing w:after="120" w:line="276" w:lineRule="auto"/>
        <w:jc w:val="both"/>
        <w:rPr>
          <w:rFonts w:ascii="Palatino Linotype" w:hAnsi="Palatino Linotype" w:cstheme="minorHAnsi"/>
        </w:rPr>
      </w:pPr>
      <w:r>
        <w:rPr>
          <w:rFonts w:ascii="Palatino Linotype" w:hAnsi="Palatino Linotype" w:cstheme="minorHAnsi"/>
          <w:b/>
        </w:rPr>
        <w:lastRenderedPageBreak/>
        <w:t xml:space="preserve">Décima Primera.- </w:t>
      </w:r>
      <w:r>
        <w:rPr>
          <w:rFonts w:ascii="Palatino Linotype" w:hAnsi="Palatino Linotype" w:cstheme="minorHAnsi"/>
        </w:rPr>
        <w:t xml:space="preserve">Encárguese a la Secretaría de Territorio, Hábitat y Vivienda la elaboración de un </w:t>
      </w:r>
      <w:r w:rsidR="0068333B">
        <w:rPr>
          <w:rFonts w:ascii="Palatino Linotype" w:hAnsi="Palatino Linotype" w:cstheme="minorHAnsi"/>
        </w:rPr>
        <w:t>proyecto urban</w:t>
      </w:r>
      <w:r w:rsidR="00E83BA5">
        <w:rPr>
          <w:rFonts w:ascii="Palatino Linotype" w:hAnsi="Palatino Linotype" w:cstheme="minorHAnsi"/>
        </w:rPr>
        <w:t>ístico</w:t>
      </w:r>
      <w:r w:rsidR="0068333B">
        <w:rPr>
          <w:rFonts w:ascii="Palatino Linotype" w:hAnsi="Palatino Linotype" w:cstheme="minorHAnsi"/>
        </w:rPr>
        <w:t xml:space="preserve"> arquitectónico especial</w:t>
      </w:r>
      <w:r>
        <w:rPr>
          <w:rFonts w:ascii="Palatino Linotype" w:hAnsi="Palatino Linotype" w:cstheme="minorHAnsi"/>
        </w:rPr>
        <w:t>, de i</w:t>
      </w:r>
      <w:r w:rsidR="00781426">
        <w:rPr>
          <w:rFonts w:ascii="Palatino Linotype" w:hAnsi="Palatino Linotype" w:cstheme="minorHAnsi"/>
        </w:rPr>
        <w:t xml:space="preserve">nterés público y </w:t>
      </w:r>
      <w:r>
        <w:rPr>
          <w:rFonts w:ascii="Palatino Linotype" w:hAnsi="Palatino Linotype" w:cstheme="minorHAnsi"/>
        </w:rPr>
        <w:t xml:space="preserve">municipal, </w:t>
      </w:r>
      <w:r w:rsidR="00E83BA5">
        <w:rPr>
          <w:rFonts w:ascii="Palatino Linotype" w:hAnsi="Palatino Linotype" w:cstheme="minorHAnsi"/>
        </w:rPr>
        <w:t xml:space="preserve">en los predios comprendidos en el sector denominado Quebrada de El Censo, entre los barrios de La Loma Grande, La Tola y </w:t>
      </w:r>
      <w:proofErr w:type="spellStart"/>
      <w:r w:rsidR="00E83BA5">
        <w:rPr>
          <w:rFonts w:ascii="Palatino Linotype" w:hAnsi="Palatino Linotype" w:cstheme="minorHAnsi"/>
        </w:rPr>
        <w:t>Luluncoto</w:t>
      </w:r>
      <w:proofErr w:type="spellEnd"/>
      <w:r w:rsidR="00E83BA5">
        <w:rPr>
          <w:rFonts w:ascii="Palatino Linotype" w:hAnsi="Palatino Linotype" w:cstheme="minorHAnsi"/>
        </w:rPr>
        <w:t>,</w:t>
      </w:r>
      <w:r>
        <w:rPr>
          <w:rFonts w:ascii="Palatino Linotype" w:hAnsi="Palatino Linotype" w:cstheme="minorHAnsi"/>
        </w:rPr>
        <w:t xml:space="preserve"> mismo que deberá ser presentado ante la Comisión de Uso de Suelo para su tr</w:t>
      </w:r>
      <w:r w:rsidR="00CB4FD4">
        <w:rPr>
          <w:rFonts w:ascii="Palatino Linotype" w:hAnsi="Palatino Linotype" w:cstheme="minorHAnsi"/>
        </w:rPr>
        <w:t>ámite respectivo, en el</w:t>
      </w:r>
      <w:r>
        <w:rPr>
          <w:rFonts w:ascii="Palatino Linotype" w:hAnsi="Palatino Linotype" w:cstheme="minorHAnsi"/>
        </w:rPr>
        <w:t xml:space="preserve"> plazo de 120 días contados a partir de la sanción de la presente Ordenanza</w:t>
      </w:r>
      <w:r w:rsidR="00E83BA5">
        <w:rPr>
          <w:rFonts w:ascii="Palatino Linotype" w:hAnsi="Palatino Linotype" w:cstheme="minorHAnsi"/>
        </w:rPr>
        <w:t>;</w:t>
      </w:r>
      <w:r w:rsidR="0068333B">
        <w:rPr>
          <w:rFonts w:ascii="Palatino Linotype" w:hAnsi="Palatino Linotype" w:cstheme="minorHAnsi"/>
        </w:rPr>
        <w:t xml:space="preserve"> </w:t>
      </w:r>
      <w:r w:rsidR="00E83BA5">
        <w:rPr>
          <w:rFonts w:ascii="Palatino Linotype" w:hAnsi="Palatino Linotype" w:cstheme="minorHAnsi"/>
        </w:rPr>
        <w:t>proyecto cuy</w:t>
      </w:r>
      <w:r w:rsidR="009C0D25">
        <w:rPr>
          <w:rFonts w:ascii="Palatino Linotype" w:hAnsi="Palatino Linotype" w:cstheme="minorHAnsi"/>
        </w:rPr>
        <w:t>a finalidad será desarrollar un</w:t>
      </w:r>
      <w:r w:rsidR="00E83BA5">
        <w:rPr>
          <w:rFonts w:ascii="Palatino Linotype" w:hAnsi="Palatino Linotype" w:cstheme="minorHAnsi"/>
        </w:rPr>
        <w:t xml:space="preserve"> equipamiento de </w:t>
      </w:r>
      <w:r w:rsidR="00781426">
        <w:rPr>
          <w:rFonts w:ascii="Palatino Linotype" w:hAnsi="Palatino Linotype" w:cstheme="minorHAnsi"/>
        </w:rPr>
        <w:t>inclusión social</w:t>
      </w:r>
      <w:r w:rsidR="00E83BA5">
        <w:rPr>
          <w:rFonts w:ascii="Palatino Linotype" w:hAnsi="Palatino Linotype" w:cstheme="minorHAnsi"/>
        </w:rPr>
        <w:t>,</w:t>
      </w:r>
      <w:r w:rsidR="00781426">
        <w:rPr>
          <w:rFonts w:ascii="Palatino Linotype" w:hAnsi="Palatino Linotype" w:cstheme="minorHAnsi"/>
        </w:rPr>
        <w:t xml:space="preserve"> </w:t>
      </w:r>
      <w:r w:rsidR="00E83BA5">
        <w:rPr>
          <w:rFonts w:ascii="Palatino Linotype" w:hAnsi="Palatino Linotype" w:cstheme="minorHAnsi"/>
        </w:rPr>
        <w:t>bajo un</w:t>
      </w:r>
      <w:r w:rsidR="00781426">
        <w:rPr>
          <w:rFonts w:ascii="Palatino Linotype" w:hAnsi="Palatino Linotype" w:cstheme="minorHAnsi"/>
        </w:rPr>
        <w:t xml:space="preserve"> modelo de gestión </w:t>
      </w:r>
      <w:r w:rsidR="00E83BA5">
        <w:rPr>
          <w:rFonts w:ascii="Palatino Linotype" w:hAnsi="Palatino Linotype" w:cstheme="minorHAnsi"/>
        </w:rPr>
        <w:t>que sustente</w:t>
      </w:r>
      <w:r w:rsidR="009C0D25">
        <w:rPr>
          <w:rFonts w:ascii="Palatino Linotype" w:hAnsi="Palatino Linotype" w:cstheme="minorHAnsi"/>
        </w:rPr>
        <w:t xml:space="preserve"> la implantación de un Comercio Metropolitano y un programa conducente a la reconversión laboral de trabajadoras sexuales.</w:t>
      </w:r>
    </w:p>
    <w:p w:rsidR="00A675BB" w:rsidRDefault="00A675BB" w:rsidP="008D7F22">
      <w:pPr>
        <w:spacing w:after="120" w:line="276" w:lineRule="auto"/>
        <w:jc w:val="both"/>
        <w:rPr>
          <w:rFonts w:ascii="Palatino Linotype" w:hAnsi="Palatino Linotype" w:cstheme="minorHAnsi"/>
        </w:rPr>
      </w:pPr>
      <w:r w:rsidRPr="000E2937">
        <w:rPr>
          <w:rFonts w:ascii="Palatino Linotype" w:hAnsi="Palatino Linotype" w:cstheme="minorHAnsi"/>
          <w:b/>
        </w:rPr>
        <w:t xml:space="preserve">Décima Segunda.- </w:t>
      </w:r>
      <w:r>
        <w:rPr>
          <w:rFonts w:ascii="Palatino Linotype" w:hAnsi="Palatino Linotype" w:cstheme="minorHAnsi"/>
        </w:rPr>
        <w:t>Dispóngase a la Secretaría de Territorio, Hábitat y Vivienda, en coordinación con la Unidad Especial Regula Tu Barrio, que en el plazo de 120</w:t>
      </w:r>
      <w:r w:rsidR="00781426">
        <w:rPr>
          <w:rFonts w:ascii="Palatino Linotype" w:hAnsi="Palatino Linotype" w:cstheme="minorHAnsi"/>
        </w:rPr>
        <w:t xml:space="preserve"> días</w:t>
      </w:r>
      <w:r>
        <w:rPr>
          <w:rFonts w:ascii="Palatino Linotype" w:hAnsi="Palatino Linotype" w:cstheme="minorHAnsi"/>
        </w:rPr>
        <w:t xml:space="preserve"> contados a partir de la sanción de la presente Ordenanza, proceda a realizar la verificación de la información </w:t>
      </w:r>
      <w:r w:rsidR="009C0D25">
        <w:rPr>
          <w:rFonts w:ascii="Palatino Linotype" w:hAnsi="Palatino Linotype" w:cstheme="minorHAnsi"/>
        </w:rPr>
        <w:t xml:space="preserve">del uso y zonificación del suelo, </w:t>
      </w:r>
      <w:r>
        <w:rPr>
          <w:rFonts w:ascii="Palatino Linotype" w:hAnsi="Palatino Linotype" w:cstheme="minorHAnsi"/>
        </w:rPr>
        <w:t>correspondiente a</w:t>
      </w:r>
      <w:r w:rsidR="009C0D25">
        <w:rPr>
          <w:rFonts w:ascii="Palatino Linotype" w:hAnsi="Palatino Linotype" w:cstheme="minorHAnsi"/>
        </w:rPr>
        <w:t xml:space="preserve"> los límites de</w:t>
      </w:r>
      <w:r>
        <w:rPr>
          <w:rFonts w:ascii="Palatino Linotype" w:hAnsi="Palatino Linotype" w:cstheme="minorHAnsi"/>
        </w:rPr>
        <w:t xml:space="preserve"> los polígonos </w:t>
      </w:r>
      <w:r w:rsidR="00781426">
        <w:rPr>
          <w:rFonts w:ascii="Palatino Linotype" w:hAnsi="Palatino Linotype" w:cstheme="minorHAnsi"/>
        </w:rPr>
        <w:t>de</w:t>
      </w:r>
      <w:r>
        <w:rPr>
          <w:rFonts w:ascii="Palatino Linotype" w:hAnsi="Palatino Linotype" w:cstheme="minorHAnsi"/>
        </w:rPr>
        <w:t xml:space="preserve"> los asentamientos humanos de hecho y consolidados que ha</w:t>
      </w:r>
      <w:r w:rsidR="009C0D25">
        <w:rPr>
          <w:rFonts w:ascii="Palatino Linotype" w:hAnsi="Palatino Linotype" w:cstheme="minorHAnsi"/>
        </w:rPr>
        <w:t>yan</w:t>
      </w:r>
      <w:r>
        <w:rPr>
          <w:rFonts w:ascii="Palatino Linotype" w:hAnsi="Palatino Linotype" w:cstheme="minorHAnsi"/>
        </w:rPr>
        <w:t xml:space="preserve"> sido aprobados por el Concejo Metropolitano de Quito</w:t>
      </w:r>
      <w:r w:rsidR="00781426">
        <w:rPr>
          <w:rFonts w:ascii="Palatino Linotype" w:hAnsi="Palatino Linotype" w:cstheme="minorHAnsi"/>
        </w:rPr>
        <w:t>, a fin de precisar los linderos</w:t>
      </w:r>
      <w:r w:rsidR="00021BA4">
        <w:rPr>
          <w:rFonts w:ascii="Palatino Linotype" w:hAnsi="Palatino Linotype" w:cstheme="minorHAnsi"/>
        </w:rPr>
        <w:t xml:space="preserve"> </w:t>
      </w:r>
      <w:r w:rsidR="009C0D25">
        <w:rPr>
          <w:rFonts w:ascii="Palatino Linotype" w:hAnsi="Palatino Linotype" w:cstheme="minorHAnsi"/>
        </w:rPr>
        <w:t>la delimitación</w:t>
      </w:r>
      <w:r w:rsidR="00781426">
        <w:rPr>
          <w:rFonts w:ascii="Palatino Linotype" w:hAnsi="Palatino Linotype" w:cstheme="minorHAnsi"/>
        </w:rPr>
        <w:t xml:space="preserve"> de</w:t>
      </w:r>
      <w:r w:rsidR="009C0D25">
        <w:rPr>
          <w:rFonts w:ascii="Palatino Linotype" w:hAnsi="Palatino Linotype" w:cstheme="minorHAnsi"/>
        </w:rPr>
        <w:t xml:space="preserve"> los usos de suelo y las</w:t>
      </w:r>
      <w:r w:rsidR="00781426">
        <w:rPr>
          <w:rFonts w:ascii="Palatino Linotype" w:hAnsi="Palatino Linotype" w:cstheme="minorHAnsi"/>
        </w:rPr>
        <w:t xml:space="preserve"> </w:t>
      </w:r>
      <w:r w:rsidR="009C0D25">
        <w:rPr>
          <w:rFonts w:ascii="Palatino Linotype" w:hAnsi="Palatino Linotype" w:cstheme="minorHAnsi"/>
        </w:rPr>
        <w:t xml:space="preserve"> zonificaciones aprobadas</w:t>
      </w:r>
      <w:r w:rsidR="00781426">
        <w:rPr>
          <w:rFonts w:ascii="Palatino Linotype" w:hAnsi="Palatino Linotype" w:cstheme="minorHAnsi"/>
        </w:rPr>
        <w:t>.</w:t>
      </w:r>
      <w:r>
        <w:rPr>
          <w:rFonts w:ascii="Palatino Linotype" w:hAnsi="Palatino Linotype" w:cstheme="minorHAnsi"/>
        </w:rPr>
        <w:t xml:space="preserve"> </w:t>
      </w:r>
    </w:p>
    <w:p w:rsidR="00781426" w:rsidRDefault="00781426" w:rsidP="008D7F22">
      <w:pPr>
        <w:spacing w:after="120" w:line="276" w:lineRule="auto"/>
        <w:jc w:val="both"/>
        <w:rPr>
          <w:rFonts w:ascii="Palatino Linotype" w:hAnsi="Palatino Linotype" w:cstheme="minorHAnsi"/>
        </w:rPr>
      </w:pPr>
      <w:r>
        <w:rPr>
          <w:rFonts w:ascii="Palatino Linotype" w:hAnsi="Palatino Linotype" w:cstheme="minorHAnsi"/>
        </w:rPr>
        <w:t>De igual manera, la Secretaría de Territorio, Hábitat y Vivienda, en el mismo plazo</w:t>
      </w:r>
      <w:r w:rsidR="00EC2A6A">
        <w:rPr>
          <w:rFonts w:ascii="Palatino Linotype" w:hAnsi="Palatino Linotype" w:cstheme="minorHAnsi"/>
        </w:rPr>
        <w:t xml:space="preserve"> referido en el inciso anterior</w:t>
      </w:r>
      <w:r>
        <w:rPr>
          <w:rFonts w:ascii="Palatino Linotype" w:hAnsi="Palatino Linotype" w:cstheme="minorHAnsi"/>
        </w:rPr>
        <w:t>, delimitará los polígonos correspondientes a zonas de protección ecológica.</w:t>
      </w:r>
    </w:p>
    <w:p w:rsidR="002558F0" w:rsidRDefault="00781426" w:rsidP="008D7F22">
      <w:pPr>
        <w:spacing w:after="120" w:line="276" w:lineRule="auto"/>
        <w:jc w:val="both"/>
        <w:rPr>
          <w:rFonts w:ascii="Palatino Linotype" w:hAnsi="Palatino Linotype" w:cstheme="minorHAnsi"/>
        </w:rPr>
      </w:pPr>
      <w:r w:rsidRPr="002558F0">
        <w:rPr>
          <w:rFonts w:ascii="Palatino Linotype" w:hAnsi="Palatino Linotype" w:cstheme="minorHAnsi"/>
          <w:b/>
        </w:rPr>
        <w:t xml:space="preserve">Décima </w:t>
      </w:r>
      <w:r>
        <w:rPr>
          <w:rFonts w:ascii="Palatino Linotype" w:hAnsi="Palatino Linotype" w:cstheme="minorHAnsi"/>
          <w:b/>
        </w:rPr>
        <w:t xml:space="preserve">Tercera.- </w:t>
      </w:r>
      <w:r>
        <w:rPr>
          <w:rFonts w:ascii="Palatino Linotype" w:hAnsi="Palatino Linotype" w:cstheme="minorHAnsi"/>
        </w:rPr>
        <w:t xml:space="preserve"> Dispóngase a la </w:t>
      </w:r>
      <w:r w:rsidR="002D0FD2">
        <w:rPr>
          <w:rFonts w:ascii="Palatino Linotype" w:hAnsi="Palatino Linotype" w:cstheme="minorHAnsi"/>
        </w:rPr>
        <w:t xml:space="preserve">Unidad Especial Regula Tu Barrio, en coordinación con la </w:t>
      </w:r>
      <w:r>
        <w:rPr>
          <w:rFonts w:ascii="Palatino Linotype" w:hAnsi="Palatino Linotype" w:cstheme="minorHAnsi"/>
        </w:rPr>
        <w:t>Secretaría de Territorio, Hábitat y Vivienda</w:t>
      </w:r>
      <w:r w:rsidR="002D0FD2">
        <w:rPr>
          <w:rFonts w:ascii="Palatino Linotype" w:hAnsi="Palatino Linotype" w:cstheme="minorHAnsi"/>
        </w:rPr>
        <w:t xml:space="preserve">, </w:t>
      </w:r>
      <w:r>
        <w:rPr>
          <w:rFonts w:ascii="Palatino Linotype" w:hAnsi="Palatino Linotype" w:cstheme="minorHAnsi"/>
        </w:rPr>
        <w:t xml:space="preserve">para que en el plazo de </w:t>
      </w:r>
      <w:r w:rsidR="002D0FD2">
        <w:rPr>
          <w:rFonts w:ascii="Palatino Linotype" w:hAnsi="Palatino Linotype" w:cstheme="minorHAnsi"/>
        </w:rPr>
        <w:t>90</w:t>
      </w:r>
      <w:r>
        <w:rPr>
          <w:rFonts w:ascii="Palatino Linotype" w:hAnsi="Palatino Linotype" w:cstheme="minorHAnsi"/>
        </w:rPr>
        <w:t xml:space="preserve"> días contados a partir de la sanción de la presente Ordenanza, </w:t>
      </w:r>
      <w:r w:rsidR="002558F0">
        <w:rPr>
          <w:rFonts w:ascii="Palatino Linotype" w:hAnsi="Palatino Linotype" w:cstheme="minorHAnsi"/>
        </w:rPr>
        <w:t>present</w:t>
      </w:r>
      <w:r>
        <w:rPr>
          <w:rFonts w:ascii="Palatino Linotype" w:hAnsi="Palatino Linotype" w:cstheme="minorHAnsi"/>
        </w:rPr>
        <w:t>e</w:t>
      </w:r>
      <w:r w:rsidR="002D0FD2">
        <w:rPr>
          <w:rFonts w:ascii="Palatino Linotype" w:hAnsi="Palatino Linotype" w:cstheme="minorHAnsi"/>
        </w:rPr>
        <w:t>n</w:t>
      </w:r>
      <w:r w:rsidR="002558F0">
        <w:rPr>
          <w:rFonts w:ascii="Palatino Linotype" w:hAnsi="Palatino Linotype" w:cstheme="minorHAnsi"/>
        </w:rPr>
        <w:t xml:space="preserve"> a la Comisión de Uso de Suelo</w:t>
      </w:r>
      <w:r>
        <w:rPr>
          <w:rFonts w:ascii="Palatino Linotype" w:hAnsi="Palatino Linotype" w:cstheme="minorHAnsi"/>
        </w:rPr>
        <w:t>,</w:t>
      </w:r>
      <w:r w:rsidR="002558F0">
        <w:rPr>
          <w:rFonts w:ascii="Palatino Linotype" w:hAnsi="Palatino Linotype" w:cstheme="minorHAnsi"/>
        </w:rPr>
        <w:t xml:space="preserve"> para </w:t>
      </w:r>
      <w:r w:rsidR="00EC2A6A">
        <w:rPr>
          <w:rFonts w:ascii="Palatino Linotype" w:hAnsi="Palatino Linotype" w:cstheme="minorHAnsi"/>
        </w:rPr>
        <w:t xml:space="preserve">el inicio del trámite de </w:t>
      </w:r>
      <w:r w:rsidR="002558F0">
        <w:rPr>
          <w:rFonts w:ascii="Palatino Linotype" w:hAnsi="Palatino Linotype" w:cstheme="minorHAnsi"/>
        </w:rPr>
        <w:t>aprobación del Concejo Metropolitano</w:t>
      </w:r>
      <w:r w:rsidR="00EC2A6A">
        <w:rPr>
          <w:rFonts w:ascii="Palatino Linotype" w:hAnsi="Palatino Linotype" w:cstheme="minorHAnsi"/>
        </w:rPr>
        <w:t xml:space="preserve"> en el plazo previsto en la Ley</w:t>
      </w:r>
      <w:r w:rsidR="002558F0">
        <w:rPr>
          <w:rFonts w:ascii="Palatino Linotype" w:hAnsi="Palatino Linotype" w:cstheme="minorHAnsi"/>
        </w:rPr>
        <w:t xml:space="preserve">, </w:t>
      </w:r>
      <w:r w:rsidR="00EC2A6A">
        <w:rPr>
          <w:rFonts w:ascii="Palatino Linotype" w:hAnsi="Palatino Linotype" w:cstheme="minorHAnsi"/>
        </w:rPr>
        <w:t xml:space="preserve">el </w:t>
      </w:r>
      <w:r w:rsidR="00531355">
        <w:rPr>
          <w:rFonts w:ascii="Palatino Linotype" w:hAnsi="Palatino Linotype" w:cstheme="minorHAnsi"/>
        </w:rPr>
        <w:t xml:space="preserve">informe </w:t>
      </w:r>
      <w:r w:rsidR="00EC2A6A">
        <w:rPr>
          <w:rFonts w:ascii="Palatino Linotype" w:hAnsi="Palatino Linotype" w:cstheme="minorHAnsi"/>
        </w:rPr>
        <w:t xml:space="preserve">que contenga </w:t>
      </w:r>
      <w:r w:rsidR="002558F0">
        <w:rPr>
          <w:rFonts w:ascii="Palatino Linotype" w:hAnsi="Palatino Linotype" w:cstheme="minorHAnsi"/>
        </w:rPr>
        <w:t>la determinación de las zonas que deban ser objeto</w:t>
      </w:r>
      <w:r w:rsidR="00DD22EE">
        <w:rPr>
          <w:rFonts w:ascii="Palatino Linotype" w:hAnsi="Palatino Linotype" w:cstheme="minorHAnsi"/>
        </w:rPr>
        <w:t xml:space="preserve"> de un proceso de </w:t>
      </w:r>
      <w:r w:rsidR="002D0FD2">
        <w:rPr>
          <w:rFonts w:ascii="Palatino Linotype" w:hAnsi="Palatino Linotype" w:cstheme="minorHAnsi"/>
        </w:rPr>
        <w:t xml:space="preserve">declaratoria de </w:t>
      </w:r>
      <w:r w:rsidR="00DD22EE">
        <w:rPr>
          <w:rFonts w:ascii="Palatino Linotype" w:hAnsi="Palatino Linotype" w:cstheme="minorHAnsi"/>
        </w:rPr>
        <w:t>regularizació</w:t>
      </w:r>
      <w:r w:rsidR="002558F0">
        <w:rPr>
          <w:rFonts w:ascii="Palatino Linotype" w:hAnsi="Palatino Linotype" w:cstheme="minorHAnsi"/>
        </w:rPr>
        <w:t xml:space="preserve">n prioritaria, </w:t>
      </w:r>
      <w:r w:rsidR="00531355">
        <w:rPr>
          <w:rFonts w:ascii="Palatino Linotype" w:hAnsi="Palatino Linotype" w:cstheme="minorHAnsi"/>
        </w:rPr>
        <w:t xml:space="preserve">para lo cual deberá observarse </w:t>
      </w:r>
      <w:r w:rsidR="002558F0">
        <w:rPr>
          <w:rFonts w:ascii="Palatino Linotype" w:hAnsi="Palatino Linotype" w:cstheme="minorHAnsi"/>
        </w:rPr>
        <w:t>lo establecido en el artículo 76 de la Ley Orgánica de Ordenamiento Territorial, Uso y Gestión del Suelo.</w:t>
      </w:r>
    </w:p>
    <w:p w:rsidR="00074594" w:rsidRDefault="002D0FD2" w:rsidP="002D0FD2">
      <w:pPr>
        <w:spacing w:after="120" w:line="276" w:lineRule="auto"/>
        <w:jc w:val="both"/>
        <w:rPr>
          <w:rFonts w:ascii="Palatino Linotype" w:hAnsi="Palatino Linotype" w:cstheme="minorHAnsi"/>
        </w:rPr>
      </w:pPr>
      <w:r>
        <w:rPr>
          <w:rFonts w:ascii="Palatino Linotype" w:hAnsi="Palatino Linotype" w:cstheme="minorHAnsi"/>
          <w:b/>
          <w:color w:val="000000" w:themeColor="text1"/>
        </w:rPr>
        <w:t xml:space="preserve">Décima Cuarta.- </w:t>
      </w:r>
      <w:r>
        <w:rPr>
          <w:rFonts w:ascii="Palatino Linotype" w:hAnsi="Palatino Linotype" w:cstheme="minorHAnsi"/>
          <w:color w:val="000000" w:themeColor="text1"/>
        </w:rPr>
        <w:t xml:space="preserve">De conformidad con lo dispuesto en la Disposición Transitoria Décima de la </w:t>
      </w:r>
      <w:r>
        <w:rPr>
          <w:rFonts w:ascii="Palatino Linotype" w:hAnsi="Palatino Linotype" w:cstheme="minorHAnsi"/>
        </w:rPr>
        <w:t>Ley Orgánica de Ordenamiento Territorial, Uso y Gestión del Suelo, mientras se aprueba la normativa técnica correspondiente, el Municipio del Distrito Metropolitano de Quito aplicará los parámetros técnicos constantes en la normativa metropolitana vigente que no se oponga a la referida Ley.</w:t>
      </w:r>
    </w:p>
    <w:p w:rsidR="008A39DD" w:rsidRPr="000E2937" w:rsidRDefault="008A39DD" w:rsidP="002D0FD2">
      <w:pPr>
        <w:spacing w:after="120" w:line="276" w:lineRule="auto"/>
        <w:jc w:val="both"/>
        <w:rPr>
          <w:rFonts w:ascii="Palatino Linotype" w:hAnsi="Palatino Linotype" w:cstheme="minorHAnsi"/>
          <w:color w:val="000000" w:themeColor="text1"/>
        </w:rPr>
      </w:pPr>
      <w:r>
        <w:rPr>
          <w:rFonts w:ascii="Palatino Linotype" w:hAnsi="Palatino Linotype" w:cstheme="minorHAnsi"/>
          <w:b/>
        </w:rPr>
        <w:t xml:space="preserve">Décima Quinta.- </w:t>
      </w:r>
      <w:r>
        <w:rPr>
          <w:rFonts w:ascii="Palatino Linotype" w:hAnsi="Palatino Linotype" w:cstheme="minorHAnsi"/>
        </w:rPr>
        <w:t xml:space="preserve">Encárguese a la Secretaría de Territorio, Hábitat y Vivienda la </w:t>
      </w:r>
      <w:r w:rsidR="00892EF9">
        <w:rPr>
          <w:rFonts w:ascii="Palatino Linotype" w:hAnsi="Palatino Linotype" w:cstheme="minorHAnsi"/>
        </w:rPr>
        <w:t>actualización</w:t>
      </w:r>
      <w:r>
        <w:rPr>
          <w:rFonts w:ascii="Palatino Linotype" w:hAnsi="Palatino Linotype" w:cstheme="minorHAnsi"/>
        </w:rPr>
        <w:t xml:space="preserve"> de</w:t>
      </w:r>
      <w:r w:rsidR="00892EF9">
        <w:rPr>
          <w:rFonts w:ascii="Palatino Linotype" w:hAnsi="Palatino Linotype" w:cstheme="minorHAnsi"/>
        </w:rPr>
        <w:t>l</w:t>
      </w:r>
      <w:r>
        <w:rPr>
          <w:rFonts w:ascii="Palatino Linotype" w:hAnsi="Palatino Linotype" w:cstheme="minorHAnsi"/>
        </w:rPr>
        <w:t xml:space="preserve"> Plan Especial de la Zona Especial Turística La Mariscal, mismo que deberá ser presentado ante la Comisión de Uso de Suelo para su trámite respectivo, en el plazo de 120 días contados a partir de la sanción de la presente Ordenanza.</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 xml:space="preserve">DISPOSICIONES REFORMATORIAS A LA ORDENANZA </w:t>
      </w:r>
      <w:r>
        <w:rPr>
          <w:rFonts w:ascii="Palatino Linotype" w:hAnsi="Palatino Linotype" w:cstheme="minorHAnsi"/>
          <w:b/>
        </w:rPr>
        <w:t xml:space="preserve">METROPOLITANA No. </w:t>
      </w:r>
      <w:r w:rsidRPr="00C250CB">
        <w:rPr>
          <w:rFonts w:ascii="Palatino Linotype" w:hAnsi="Palatino Linotype" w:cstheme="minorHAnsi"/>
          <w:b/>
        </w:rPr>
        <w:t>172</w:t>
      </w:r>
      <w:r>
        <w:rPr>
          <w:rFonts w:ascii="Palatino Linotype" w:hAnsi="Palatino Linotype" w:cstheme="minorHAnsi"/>
          <w:b/>
        </w:rPr>
        <w:t>:</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lastRenderedPageBreak/>
        <w:t xml:space="preserve">Primera.- </w:t>
      </w:r>
      <w:r w:rsidRPr="00C250CB">
        <w:rPr>
          <w:rFonts w:ascii="Palatino Linotype" w:hAnsi="Palatino Linotype" w:cstheme="minorHAnsi"/>
        </w:rPr>
        <w:t xml:space="preserve">Suprímase del numeral 4 del artículo 81, redes de infraestructura, de la </w:t>
      </w:r>
      <w:r w:rsidR="00D77B7B">
        <w:rPr>
          <w:rFonts w:ascii="Palatino Linotype" w:hAnsi="Palatino Linotype" w:cstheme="minorHAnsi"/>
        </w:rPr>
        <w:t>O</w:t>
      </w:r>
      <w:r w:rsidR="00D77B7B" w:rsidRPr="00C250CB">
        <w:rPr>
          <w:rFonts w:ascii="Palatino Linotype" w:hAnsi="Palatino Linotype" w:cstheme="minorHAnsi"/>
        </w:rPr>
        <w:t xml:space="preserve">rdenanza </w:t>
      </w:r>
      <w:r w:rsidR="00D77B7B">
        <w:rPr>
          <w:rFonts w:ascii="Palatino Linotype" w:hAnsi="Palatino Linotype" w:cstheme="minorHAnsi"/>
        </w:rPr>
        <w:t>M</w:t>
      </w:r>
      <w:r w:rsidR="00D77B7B" w:rsidRPr="00C250CB">
        <w:rPr>
          <w:rFonts w:ascii="Palatino Linotype" w:hAnsi="Palatino Linotype" w:cstheme="minorHAnsi"/>
        </w:rPr>
        <w:t xml:space="preserve">etropolitana </w:t>
      </w:r>
      <w:r w:rsidR="00D77B7B">
        <w:rPr>
          <w:rFonts w:ascii="Palatino Linotype" w:hAnsi="Palatino Linotype" w:cstheme="minorHAnsi"/>
        </w:rPr>
        <w:t xml:space="preserve">No. </w:t>
      </w:r>
      <w:r w:rsidRPr="00C250CB">
        <w:rPr>
          <w:rFonts w:ascii="Palatino Linotype" w:hAnsi="Palatino Linotype" w:cstheme="minorHAnsi"/>
        </w:rPr>
        <w:t>172 la frase “</w:t>
      </w:r>
      <w:r w:rsidRPr="003728A3">
        <w:rPr>
          <w:rFonts w:ascii="Palatino Linotype" w:hAnsi="Palatino Linotype" w:cstheme="minorHAnsi"/>
          <w:i/>
        </w:rPr>
        <w:t>dichas empresas solicitarán previamente a la entidad responsable del territorio hábitat y vivienda la certificación metropolitana de que el predio se encuentra en suelo urbano</w:t>
      </w:r>
      <w:r w:rsidRPr="00C250CB">
        <w:rPr>
          <w:rFonts w:ascii="Palatino Linotype" w:hAnsi="Palatino Linotype" w:cstheme="minorHAnsi"/>
        </w:rPr>
        <w:t>” y en su lugar agréguese lo siguiente: “</w:t>
      </w:r>
      <w:r w:rsidRPr="003728A3">
        <w:rPr>
          <w:rFonts w:ascii="Palatino Linotype" w:hAnsi="Palatino Linotype" w:cstheme="minorHAnsi"/>
          <w:i/>
        </w:rPr>
        <w:t>no obstante lo indicado, las referidas empresas podrán otorgar los servicios respectivos cuando el asentamiento humano de hecho haya obtenido su respectiva ordenanza de regularización</w:t>
      </w:r>
      <w:r w:rsidRPr="00C250CB">
        <w:rPr>
          <w:rFonts w:ascii="Palatino Linotype" w:hAnsi="Palatino Linotype" w:cstheme="minorHAnsi"/>
        </w:rPr>
        <w:t>”.</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lang w:val="es-ES"/>
        </w:rPr>
      </w:pPr>
      <w:r w:rsidRPr="00C250CB">
        <w:rPr>
          <w:rFonts w:ascii="Palatino Linotype" w:hAnsi="Palatino Linotype" w:cstheme="minorHAnsi"/>
          <w:b/>
        </w:rPr>
        <w:t xml:space="preserve">Segunda.- </w:t>
      </w:r>
      <w:r w:rsidRPr="00C250CB">
        <w:rPr>
          <w:rFonts w:ascii="Palatino Linotype" w:hAnsi="Palatino Linotype" w:cstheme="minorHAnsi"/>
          <w:lang w:val="es-ES"/>
        </w:rPr>
        <w:t xml:space="preserve">El artículo 112 de la Ordenanza Metropolitana </w:t>
      </w:r>
      <w:r>
        <w:rPr>
          <w:rFonts w:ascii="Palatino Linotype" w:hAnsi="Palatino Linotype" w:cstheme="minorHAnsi"/>
          <w:lang w:val="es-ES"/>
        </w:rPr>
        <w:t xml:space="preserve">No. </w:t>
      </w:r>
      <w:r w:rsidRPr="00C250CB">
        <w:rPr>
          <w:rFonts w:ascii="Palatino Linotype" w:hAnsi="Palatino Linotype" w:cstheme="minorHAnsi"/>
          <w:lang w:val="es-ES"/>
        </w:rPr>
        <w:t xml:space="preserve">172 que establece el Régimen Administrativo del Suelo en el Distrito Metropolitano de Quito reformada parcialmente por la Ordenanza Metropolitana </w:t>
      </w:r>
      <w:r>
        <w:rPr>
          <w:rFonts w:ascii="Palatino Linotype" w:hAnsi="Palatino Linotype" w:cstheme="minorHAnsi"/>
          <w:lang w:val="es-ES"/>
        </w:rPr>
        <w:t xml:space="preserve">No. </w:t>
      </w:r>
      <w:r w:rsidRPr="00C250CB">
        <w:rPr>
          <w:rFonts w:ascii="Palatino Linotype" w:hAnsi="Palatino Linotype" w:cstheme="minorHAnsi"/>
          <w:lang w:val="es-ES"/>
        </w:rPr>
        <w:t>432, refórmese en el siguiente sentido:</w:t>
      </w:r>
    </w:p>
    <w:p w:rsidR="008D7F22" w:rsidRPr="003728A3" w:rsidRDefault="008D7F22" w:rsidP="008D7F22">
      <w:pPr>
        <w:spacing w:after="120" w:line="276" w:lineRule="auto"/>
        <w:jc w:val="both"/>
        <w:rPr>
          <w:rFonts w:ascii="Palatino Linotype" w:hAnsi="Palatino Linotype" w:cstheme="minorHAnsi"/>
          <w:b/>
          <w:i/>
          <w:lang w:val="es-ES"/>
        </w:rPr>
      </w:pPr>
      <w:r w:rsidRPr="00C250CB">
        <w:rPr>
          <w:rFonts w:ascii="Palatino Linotype" w:hAnsi="Palatino Linotype" w:cstheme="minorHAnsi"/>
          <w:lang w:val="es-ES"/>
        </w:rPr>
        <w:t>“</w:t>
      </w:r>
      <w:r w:rsidRPr="003728A3">
        <w:rPr>
          <w:rFonts w:ascii="Palatino Linotype" w:hAnsi="Palatino Linotype" w:cstheme="minorHAnsi"/>
          <w:b/>
          <w:i/>
          <w:lang w:val="es-ES"/>
        </w:rPr>
        <w:t xml:space="preserve">Artículo…  (112) Edificaciones que pueden acogerse bajo el régimen de propiedad horizontal.- </w:t>
      </w:r>
    </w:p>
    <w:p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1.</w:t>
      </w:r>
      <w:r w:rsidRPr="003728A3">
        <w:rPr>
          <w:rFonts w:ascii="Palatino Linotype" w:hAnsi="Palatino Linotype" w:cstheme="minorHAnsi"/>
          <w:i/>
          <w:lang w:val="es-ES"/>
        </w:rPr>
        <w:t xml:space="preserve"> Podrán acogerse bajo el Régimen de Propiedad Horizontal, las edificaciones ubicadas en áreas con clasificación de suelo urbano y rural de conformidad a lo establecido en la Ley de Propiedad Horizontal y su Reglamento general. </w:t>
      </w:r>
    </w:p>
    <w:p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2.</w:t>
      </w:r>
      <w:r w:rsidRPr="003728A3">
        <w:rPr>
          <w:rFonts w:ascii="Palatino Linotype" w:hAnsi="Palatino Linotype" w:cstheme="minorHAnsi"/>
          <w:i/>
          <w:lang w:val="es-ES"/>
        </w:rPr>
        <w:t xml:space="preserve"> Los conjuntos habitacionales, proyectos comerciales, industriales u otros, podrán acogerse al régimen de propiedad horizontal siempre y cuando observen las previsiones de diseño vial establecidos en los instrumentos de planificación y cumplan los siguientes parámetros y condiciones: </w:t>
      </w:r>
    </w:p>
    <w:p w:rsidR="008D7F22" w:rsidRPr="003728A3" w:rsidRDefault="008D7F22" w:rsidP="008D7F22">
      <w:pPr>
        <w:pStyle w:val="Prrafodelista"/>
        <w:numPr>
          <w:ilvl w:val="0"/>
          <w:numId w:val="6"/>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 xml:space="preserve">En suelo urbano: en lotes de hasta veinticinco mil metros cuadrados (25.000 m2) de área neta o utilizable, con una tolerancia del 20% de dicha superficie; </w:t>
      </w:r>
    </w:p>
    <w:p w:rsidR="008D7F22" w:rsidRPr="003728A3" w:rsidRDefault="008D7F22" w:rsidP="008D7F22">
      <w:pPr>
        <w:pStyle w:val="Prrafodelista"/>
        <w:numPr>
          <w:ilvl w:val="0"/>
          <w:numId w:val="6"/>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 xml:space="preserve">En suelo rural, en lotes de hasta cincuenta mil metros cuadrados (50.000 m2) de área neta o utilizable, con una tolerancia del 10% de dicha superficie; </w:t>
      </w:r>
    </w:p>
    <w:p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3.</w:t>
      </w:r>
      <w:r w:rsidRPr="003728A3">
        <w:rPr>
          <w:rFonts w:ascii="Palatino Linotype" w:hAnsi="Palatino Linotype" w:cstheme="minorHAnsi"/>
          <w:i/>
          <w:lang w:val="es-ES"/>
        </w:rPr>
        <w:t xml:space="preserve"> En lotes con clasificación de suelo urbano o rural, con uso de suelo principal  Protección Ecológica, no cambia</w:t>
      </w:r>
      <w:r w:rsidR="00A87240">
        <w:rPr>
          <w:rFonts w:ascii="Palatino Linotype" w:hAnsi="Palatino Linotype" w:cstheme="minorHAnsi"/>
          <w:i/>
          <w:lang w:val="es-ES"/>
        </w:rPr>
        <w:t>rá</w:t>
      </w:r>
      <w:r w:rsidRPr="003728A3">
        <w:rPr>
          <w:rFonts w:ascii="Palatino Linotype" w:hAnsi="Palatino Linotype" w:cstheme="minorHAnsi"/>
          <w:i/>
          <w:lang w:val="es-ES"/>
        </w:rPr>
        <w:t xml:space="preserve"> su </w:t>
      </w:r>
      <w:r w:rsidR="00A87240">
        <w:rPr>
          <w:rFonts w:ascii="Palatino Linotype" w:hAnsi="Palatino Linotype" w:cstheme="minorHAnsi"/>
          <w:i/>
          <w:lang w:val="es-ES"/>
        </w:rPr>
        <w:t>uso de suelo</w:t>
      </w:r>
      <w:r w:rsidRPr="003728A3">
        <w:rPr>
          <w:rFonts w:ascii="Palatino Linotype" w:hAnsi="Palatino Linotype" w:cstheme="minorHAnsi"/>
          <w:i/>
          <w:lang w:val="es-ES"/>
        </w:rPr>
        <w:t xml:space="preserve"> aunque se modifiquen los coeficientes </w:t>
      </w:r>
      <w:r w:rsidR="00A87240">
        <w:rPr>
          <w:rFonts w:ascii="Palatino Linotype" w:hAnsi="Palatino Linotype" w:cstheme="minorHAnsi"/>
          <w:i/>
          <w:lang w:val="es-ES"/>
        </w:rPr>
        <w:t>de ocupación</w:t>
      </w:r>
      <w:r w:rsidRPr="003728A3">
        <w:rPr>
          <w:rFonts w:ascii="Palatino Linotype" w:hAnsi="Palatino Linotype" w:cstheme="minorHAnsi"/>
          <w:i/>
          <w:lang w:val="es-ES"/>
        </w:rPr>
        <w:t>, siempre y cuando no se encuentre</w:t>
      </w:r>
      <w:r w:rsidR="00A87240">
        <w:rPr>
          <w:rFonts w:ascii="Palatino Linotype" w:hAnsi="Palatino Linotype" w:cstheme="minorHAnsi"/>
          <w:i/>
          <w:lang w:val="es-ES"/>
        </w:rPr>
        <w:t>n</w:t>
      </w:r>
      <w:r w:rsidRPr="003728A3">
        <w:rPr>
          <w:rFonts w:ascii="Palatino Linotype" w:hAnsi="Palatino Linotype" w:cstheme="minorHAnsi"/>
          <w:i/>
          <w:lang w:val="es-ES"/>
        </w:rPr>
        <w:t xml:space="preserve"> en zonas de protección definida</w:t>
      </w:r>
      <w:r w:rsidR="00A87240">
        <w:rPr>
          <w:rFonts w:ascii="Palatino Linotype" w:hAnsi="Palatino Linotype" w:cstheme="minorHAnsi"/>
          <w:i/>
          <w:lang w:val="es-ES"/>
        </w:rPr>
        <w:t>s</w:t>
      </w:r>
      <w:r w:rsidRPr="003728A3">
        <w:rPr>
          <w:rFonts w:ascii="Palatino Linotype" w:hAnsi="Palatino Linotype" w:cstheme="minorHAnsi"/>
          <w:i/>
          <w:lang w:val="es-ES"/>
        </w:rPr>
        <w:t xml:space="preserve"> por legislación nacional o local, deberán cumplir las siguientes condiciones: </w:t>
      </w:r>
    </w:p>
    <w:p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Se permitirá el desarrollo de proyectos residenciales, turísticos, recreativos y de alojamiento;</w:t>
      </w:r>
    </w:p>
    <w:p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El área neta o utilizable se obtendrá descontando las áreas de afectación, áreas de protección de quebradas, taludes, ríos, áreas especiales de protección  y las áreas que superan los 20° grados de inclinación o pendiente;</w:t>
      </w:r>
    </w:p>
    <w:p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Las áreas no utilizables, como las de protección de quebradas, taludes, ríos, áreas especiales de protección y las áreas que superan los 20° grados de inclinación o pendiente, deben ser incorporadas o anexadas obligatoriamente a las áreas comunales exigidas por la normativa vigente, las cuales se someterán a un proceso de reforestación, con la finalidad de conservar el suelo y la biodiversidad del sector;</w:t>
      </w:r>
    </w:p>
    <w:p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lastRenderedPageBreak/>
        <w:t>Los lotes con clasificación de suelo rural, que excedan los cincuenta mil metros cuadrados (50.000 m</w:t>
      </w:r>
      <w:r w:rsidRPr="003728A3">
        <w:rPr>
          <w:rFonts w:ascii="Palatino Linotype" w:hAnsi="Palatino Linotype" w:cstheme="minorHAnsi"/>
          <w:i/>
          <w:vertAlign w:val="superscript"/>
          <w:lang w:val="es-ES"/>
        </w:rPr>
        <w:t>2</w:t>
      </w:r>
      <w:r w:rsidRPr="003728A3">
        <w:rPr>
          <w:rFonts w:ascii="Palatino Linotype" w:hAnsi="Palatino Linotype" w:cstheme="minorHAnsi"/>
          <w:i/>
          <w:lang w:val="es-ES"/>
        </w:rPr>
        <w:t>) de área neta o utilizable, con una tolerancia del 10%, no podrán acogerse a este procedimiento;</w:t>
      </w:r>
    </w:p>
    <w:p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Se podrá utilizar como máximo el 5% del COS en Planta Baja y el 10 % del COS Total del área neta o utilizable del lote en dos (2) pisos de altura y no se permitirán subsuelos;</w:t>
      </w:r>
    </w:p>
    <w:p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La determinación del número total de viviendas en función del COS Total utilizable, resultará de la aplicación de la siguiente fórmula:</w:t>
      </w:r>
    </w:p>
    <w:p w:rsidR="008D7F22" w:rsidRPr="003728A3" w:rsidRDefault="008D7F22" w:rsidP="008D7F22">
      <w:pPr>
        <w:spacing w:after="120" w:line="276" w:lineRule="auto"/>
        <w:ind w:left="720"/>
        <w:jc w:val="both"/>
        <w:rPr>
          <w:rFonts w:ascii="Palatino Linotype" w:hAnsi="Palatino Linotype" w:cstheme="minorHAnsi"/>
          <w:i/>
          <w:lang w:val="es-ES"/>
        </w:rPr>
      </w:pPr>
    </w:p>
    <w:p w:rsidR="008D7F22" w:rsidRPr="003728A3" w:rsidRDefault="008D7F22" w:rsidP="008D7F22">
      <w:pPr>
        <w:spacing w:after="120" w:line="276" w:lineRule="auto"/>
        <w:ind w:firstLine="708"/>
        <w:jc w:val="both"/>
        <w:rPr>
          <w:rFonts w:ascii="Palatino Linotype" w:hAnsi="Palatino Linotype" w:cstheme="minorHAnsi"/>
          <w:i/>
          <w:u w:val="single"/>
          <w:lang w:val="es-ES"/>
        </w:rPr>
      </w:pPr>
      <w:r w:rsidRPr="003728A3">
        <w:rPr>
          <w:rFonts w:ascii="Palatino Linotype" w:hAnsi="Palatino Linotype" w:cstheme="minorHAnsi"/>
          <w:i/>
          <w:lang w:val="es-ES"/>
        </w:rPr>
        <w:t xml:space="preserve">Unidades de vivienda (UV)= </w:t>
      </w:r>
      <w:r w:rsidRPr="003728A3">
        <w:rPr>
          <w:rFonts w:ascii="Palatino Linotype" w:hAnsi="Palatino Linotype" w:cstheme="minorHAnsi"/>
          <w:i/>
          <w:u w:val="single"/>
          <w:lang w:val="es-ES"/>
        </w:rPr>
        <w:t>Área neta o utilizable (ha.) x Densidad neta (</w:t>
      </w:r>
      <w:proofErr w:type="spellStart"/>
      <w:r w:rsidRPr="003728A3">
        <w:rPr>
          <w:rFonts w:ascii="Palatino Linotype" w:hAnsi="Palatino Linotype" w:cstheme="minorHAnsi"/>
          <w:i/>
          <w:u w:val="single"/>
          <w:lang w:val="es-ES"/>
        </w:rPr>
        <w:t>hab</w:t>
      </w:r>
      <w:proofErr w:type="spellEnd"/>
      <w:r w:rsidRPr="003728A3">
        <w:rPr>
          <w:rFonts w:ascii="Palatino Linotype" w:hAnsi="Palatino Linotype" w:cstheme="minorHAnsi"/>
          <w:i/>
          <w:u w:val="single"/>
          <w:lang w:val="es-ES"/>
        </w:rPr>
        <w:t>/</w:t>
      </w:r>
      <w:proofErr w:type="spellStart"/>
      <w:r w:rsidRPr="003728A3">
        <w:rPr>
          <w:rFonts w:ascii="Palatino Linotype" w:hAnsi="Palatino Linotype" w:cstheme="minorHAnsi"/>
          <w:i/>
          <w:u w:val="single"/>
          <w:lang w:val="es-ES"/>
        </w:rPr>
        <w:t>ha</w:t>
      </w:r>
      <w:proofErr w:type="spellEnd"/>
      <w:r w:rsidRPr="003728A3">
        <w:rPr>
          <w:rFonts w:ascii="Palatino Linotype" w:hAnsi="Palatino Linotype" w:cstheme="minorHAnsi"/>
          <w:i/>
          <w:u w:val="single"/>
          <w:lang w:val="es-ES"/>
        </w:rPr>
        <w:t>)</w:t>
      </w:r>
    </w:p>
    <w:p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i/>
          <w:lang w:val="es-ES"/>
        </w:rPr>
        <w:tab/>
      </w:r>
      <w:r w:rsidRPr="003728A3">
        <w:rPr>
          <w:rFonts w:ascii="Palatino Linotype" w:hAnsi="Palatino Linotype" w:cstheme="minorHAnsi"/>
          <w:i/>
          <w:lang w:val="es-ES"/>
        </w:rPr>
        <w:tab/>
      </w:r>
      <w:r w:rsidRPr="003728A3">
        <w:rPr>
          <w:rFonts w:ascii="Palatino Linotype" w:hAnsi="Palatino Linotype" w:cstheme="minorHAnsi"/>
          <w:i/>
          <w:lang w:val="es-ES"/>
        </w:rPr>
        <w:tab/>
      </w:r>
      <w:r w:rsidRPr="003728A3">
        <w:rPr>
          <w:rFonts w:ascii="Palatino Linotype" w:hAnsi="Palatino Linotype" w:cstheme="minorHAnsi"/>
          <w:i/>
          <w:lang w:val="es-ES"/>
        </w:rPr>
        <w:tab/>
        <w:t xml:space="preserve">      </w:t>
      </w:r>
      <w:r w:rsidRPr="003728A3">
        <w:rPr>
          <w:rFonts w:ascii="Palatino Linotype" w:hAnsi="Palatino Linotype" w:cstheme="minorHAnsi"/>
          <w:i/>
          <w:lang w:val="es-ES"/>
        </w:rPr>
        <w:tab/>
      </w:r>
      <w:r w:rsidRPr="003728A3">
        <w:rPr>
          <w:rFonts w:ascii="Palatino Linotype" w:hAnsi="Palatino Linotype" w:cstheme="minorHAnsi"/>
          <w:i/>
          <w:lang w:val="es-ES"/>
        </w:rPr>
        <w:tab/>
        <w:t xml:space="preserve">Índice </w:t>
      </w:r>
      <w:r w:rsidR="00A87240">
        <w:rPr>
          <w:rFonts w:ascii="Palatino Linotype" w:hAnsi="Palatino Linotype" w:cstheme="minorHAnsi"/>
          <w:i/>
          <w:lang w:val="es-ES"/>
        </w:rPr>
        <w:t xml:space="preserve">de </w:t>
      </w:r>
      <w:r w:rsidRPr="003728A3">
        <w:rPr>
          <w:rFonts w:ascii="Palatino Linotype" w:hAnsi="Palatino Linotype" w:cstheme="minorHAnsi"/>
          <w:i/>
          <w:lang w:val="es-ES"/>
        </w:rPr>
        <w:t xml:space="preserve">Composición </w:t>
      </w:r>
      <w:r w:rsidR="00A87240">
        <w:rPr>
          <w:rFonts w:ascii="Palatino Linotype" w:hAnsi="Palatino Linotype" w:cstheme="minorHAnsi"/>
          <w:i/>
          <w:lang w:val="es-ES"/>
        </w:rPr>
        <w:t>F</w:t>
      </w:r>
      <w:r w:rsidR="00A87240" w:rsidRPr="003728A3">
        <w:rPr>
          <w:rFonts w:ascii="Palatino Linotype" w:hAnsi="Palatino Linotype" w:cstheme="minorHAnsi"/>
          <w:i/>
          <w:lang w:val="es-ES"/>
        </w:rPr>
        <w:t xml:space="preserve">amiliar </w:t>
      </w:r>
      <w:r w:rsidRPr="003728A3">
        <w:rPr>
          <w:rFonts w:ascii="Palatino Linotype" w:hAnsi="Palatino Linotype" w:cstheme="minorHAnsi"/>
          <w:i/>
          <w:lang w:val="es-ES"/>
        </w:rPr>
        <w:t>(</w:t>
      </w:r>
      <w:proofErr w:type="spellStart"/>
      <w:r w:rsidRPr="003728A3">
        <w:rPr>
          <w:rFonts w:ascii="Palatino Linotype" w:hAnsi="Palatino Linotype" w:cstheme="minorHAnsi"/>
          <w:i/>
          <w:lang w:val="es-ES"/>
        </w:rPr>
        <w:t>hab</w:t>
      </w:r>
      <w:proofErr w:type="spellEnd"/>
      <w:r w:rsidRPr="003728A3">
        <w:rPr>
          <w:rFonts w:ascii="Palatino Linotype" w:hAnsi="Palatino Linotype" w:cstheme="minorHAnsi"/>
          <w:i/>
          <w:lang w:val="es-ES"/>
        </w:rPr>
        <w:t>/</w:t>
      </w:r>
      <w:proofErr w:type="spellStart"/>
      <w:r w:rsidRPr="003728A3">
        <w:rPr>
          <w:rFonts w:ascii="Palatino Linotype" w:hAnsi="Palatino Linotype" w:cstheme="minorHAnsi"/>
          <w:i/>
          <w:lang w:val="es-ES"/>
        </w:rPr>
        <w:t>viv</w:t>
      </w:r>
      <w:proofErr w:type="spellEnd"/>
      <w:r w:rsidRPr="003728A3">
        <w:rPr>
          <w:rFonts w:ascii="Palatino Linotype" w:hAnsi="Palatino Linotype" w:cstheme="minorHAnsi"/>
          <w:i/>
          <w:lang w:val="es-ES"/>
        </w:rPr>
        <w:t>)</w:t>
      </w:r>
    </w:p>
    <w:p w:rsidR="008D7F22" w:rsidRPr="003728A3" w:rsidRDefault="00A87240" w:rsidP="008D7F22">
      <w:pPr>
        <w:spacing w:after="120" w:line="276" w:lineRule="auto"/>
        <w:ind w:firstLine="708"/>
        <w:jc w:val="both"/>
        <w:rPr>
          <w:rFonts w:ascii="Palatino Linotype" w:hAnsi="Palatino Linotype" w:cstheme="minorHAnsi"/>
          <w:i/>
          <w:lang w:val="es-ES"/>
        </w:rPr>
      </w:pPr>
      <w:r>
        <w:rPr>
          <w:rFonts w:ascii="Palatino Linotype" w:hAnsi="Palatino Linotype" w:cstheme="minorHAnsi"/>
          <w:i/>
          <w:lang w:val="es-ES"/>
        </w:rPr>
        <w:t>Los d</w:t>
      </w:r>
      <w:r w:rsidRPr="003728A3">
        <w:rPr>
          <w:rFonts w:ascii="Palatino Linotype" w:hAnsi="Palatino Linotype" w:cstheme="minorHAnsi"/>
          <w:i/>
          <w:lang w:val="es-ES"/>
        </w:rPr>
        <w:t xml:space="preserve">atos </w:t>
      </w:r>
      <w:r w:rsidR="008D7F22" w:rsidRPr="003728A3">
        <w:rPr>
          <w:rFonts w:ascii="Palatino Linotype" w:hAnsi="Palatino Linotype" w:cstheme="minorHAnsi"/>
          <w:i/>
          <w:lang w:val="es-ES"/>
        </w:rPr>
        <w:t xml:space="preserve">constantes </w:t>
      </w:r>
      <w:r>
        <w:rPr>
          <w:rFonts w:ascii="Palatino Linotype" w:hAnsi="Palatino Linotype" w:cstheme="minorHAnsi"/>
          <w:i/>
          <w:lang w:val="es-ES"/>
        </w:rPr>
        <w:t xml:space="preserve">son </w:t>
      </w:r>
      <w:r w:rsidR="008D7F22" w:rsidRPr="003728A3">
        <w:rPr>
          <w:rFonts w:ascii="Palatino Linotype" w:hAnsi="Palatino Linotype" w:cstheme="minorHAnsi"/>
          <w:i/>
          <w:lang w:val="es-ES"/>
        </w:rPr>
        <w:t>los siguientes:</w:t>
      </w:r>
    </w:p>
    <w:p w:rsidR="008D7F22" w:rsidRPr="003728A3" w:rsidRDefault="008D7F22" w:rsidP="008D7F22">
      <w:pPr>
        <w:spacing w:after="120" w:line="276" w:lineRule="auto"/>
        <w:ind w:firstLine="708"/>
        <w:jc w:val="both"/>
        <w:rPr>
          <w:rFonts w:ascii="Palatino Linotype" w:hAnsi="Palatino Linotype" w:cstheme="minorHAnsi"/>
          <w:i/>
          <w:lang w:val="es-ES"/>
        </w:rPr>
      </w:pPr>
      <w:r w:rsidRPr="003728A3">
        <w:rPr>
          <w:rFonts w:ascii="Palatino Linotype" w:hAnsi="Palatino Linotype" w:cstheme="minorHAnsi"/>
          <w:i/>
          <w:lang w:val="es-ES"/>
        </w:rPr>
        <w:t xml:space="preserve">Densidad neta promedio en sectores rurales de Quito = 31.6 </w:t>
      </w:r>
      <w:proofErr w:type="spellStart"/>
      <w:r w:rsidRPr="003728A3">
        <w:rPr>
          <w:rFonts w:ascii="Palatino Linotype" w:hAnsi="Palatino Linotype" w:cstheme="minorHAnsi"/>
          <w:i/>
          <w:lang w:val="es-ES"/>
        </w:rPr>
        <w:t>hab</w:t>
      </w:r>
      <w:proofErr w:type="spellEnd"/>
      <w:r w:rsidRPr="003728A3">
        <w:rPr>
          <w:rFonts w:ascii="Palatino Linotype" w:hAnsi="Palatino Linotype" w:cstheme="minorHAnsi"/>
          <w:i/>
          <w:lang w:val="es-ES"/>
        </w:rPr>
        <w:t>/ha</w:t>
      </w:r>
    </w:p>
    <w:p w:rsidR="008D7F22" w:rsidRPr="003728A3" w:rsidRDefault="008D7F22" w:rsidP="008D7F22">
      <w:pPr>
        <w:spacing w:after="120" w:line="276" w:lineRule="auto"/>
        <w:ind w:firstLine="708"/>
        <w:jc w:val="both"/>
        <w:rPr>
          <w:rFonts w:ascii="Palatino Linotype" w:hAnsi="Palatino Linotype" w:cstheme="minorHAnsi"/>
          <w:i/>
          <w:lang w:val="es-ES"/>
        </w:rPr>
      </w:pPr>
      <w:r w:rsidRPr="003728A3">
        <w:rPr>
          <w:rFonts w:ascii="Palatino Linotype" w:hAnsi="Palatino Linotype" w:cstheme="minorHAnsi"/>
          <w:i/>
          <w:lang w:val="es-ES"/>
        </w:rPr>
        <w:t xml:space="preserve">Índice de composición familiar promedio en sectores rurales de Quito= 3.49 </w:t>
      </w:r>
      <w:proofErr w:type="spellStart"/>
      <w:r w:rsidRPr="003728A3">
        <w:rPr>
          <w:rFonts w:ascii="Palatino Linotype" w:hAnsi="Palatino Linotype" w:cstheme="minorHAnsi"/>
          <w:i/>
          <w:lang w:val="es-ES"/>
        </w:rPr>
        <w:t>hab</w:t>
      </w:r>
      <w:proofErr w:type="spellEnd"/>
    </w:p>
    <w:p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sz w:val="22"/>
          <w:szCs w:val="22"/>
          <w:lang w:val="es-ES"/>
        </w:rPr>
        <w:t>Deberán cumplir con las medidas de seguridad constructiva sismo resistente</w:t>
      </w:r>
      <w:r w:rsidR="00A87240">
        <w:rPr>
          <w:rFonts w:ascii="Palatino Linotype" w:hAnsi="Palatino Linotype" w:cstheme="minorHAnsi"/>
          <w:i/>
          <w:sz w:val="22"/>
          <w:szCs w:val="22"/>
          <w:lang w:val="es-ES"/>
        </w:rPr>
        <w:t xml:space="preserve"> y</w:t>
      </w:r>
      <w:r w:rsidR="00A87240" w:rsidRPr="003728A3">
        <w:rPr>
          <w:rFonts w:ascii="Palatino Linotype" w:hAnsi="Palatino Linotype" w:cstheme="minorHAnsi"/>
          <w:i/>
          <w:sz w:val="22"/>
          <w:szCs w:val="22"/>
          <w:lang w:val="es-ES"/>
        </w:rPr>
        <w:t xml:space="preserve"> </w:t>
      </w:r>
      <w:r w:rsidRPr="003728A3">
        <w:rPr>
          <w:rFonts w:ascii="Palatino Linotype" w:hAnsi="Palatino Linotype" w:cstheme="minorHAnsi"/>
          <w:i/>
          <w:sz w:val="22"/>
          <w:szCs w:val="22"/>
          <w:lang w:val="es-ES"/>
        </w:rPr>
        <w:t>de mitigación de riesgos aprobadas por las entidades competentes, sin perjuicio del cumplimiento de la normativa nacional y reglas técnicas contenidas en las ordenanzas vigentes;</w:t>
      </w:r>
    </w:p>
    <w:p w:rsidR="004F42B6" w:rsidRPr="00F9412D" w:rsidRDefault="008D7F22" w:rsidP="004F42B6">
      <w:pPr>
        <w:pStyle w:val="Prrafodelista"/>
        <w:numPr>
          <w:ilvl w:val="0"/>
          <w:numId w:val="3"/>
        </w:numPr>
        <w:jc w:val="both"/>
        <w:rPr>
          <w:rFonts w:ascii="Palatino Linotype" w:hAnsi="Palatino Linotype" w:cstheme="minorHAnsi"/>
          <w:sz w:val="22"/>
          <w:szCs w:val="22"/>
          <w:highlight w:val="yellow"/>
        </w:rPr>
      </w:pPr>
      <w:r w:rsidRPr="003728A3">
        <w:rPr>
          <w:rFonts w:ascii="Palatino Linotype" w:hAnsi="Palatino Linotype" w:cstheme="minorHAnsi"/>
          <w:i/>
          <w:sz w:val="22"/>
          <w:szCs w:val="22"/>
          <w:lang w:val="es-ES"/>
        </w:rPr>
        <w:t xml:space="preserve">Las propuestas de los proyectos </w:t>
      </w:r>
      <w:r w:rsidRPr="004F42B6">
        <w:rPr>
          <w:rFonts w:ascii="Palatino Linotype" w:hAnsi="Palatino Linotype" w:cstheme="minorHAnsi"/>
          <w:i/>
          <w:strike/>
          <w:sz w:val="22"/>
          <w:szCs w:val="22"/>
          <w:lang w:val="es-ES"/>
        </w:rPr>
        <w:t>deben obtener las  factibilidades de servicios básicos y presentar los estudios para la aprobación de las respectivas empresas</w:t>
      </w:r>
      <w:r w:rsidRPr="003728A3">
        <w:rPr>
          <w:rFonts w:ascii="Palatino Linotype" w:hAnsi="Palatino Linotype" w:cstheme="minorHAnsi"/>
          <w:i/>
          <w:sz w:val="22"/>
          <w:szCs w:val="22"/>
          <w:lang w:val="es-ES"/>
        </w:rPr>
        <w:t>;</w:t>
      </w:r>
      <w:r w:rsidR="004F42B6" w:rsidRPr="004F42B6">
        <w:rPr>
          <w:rFonts w:cstheme="minorHAnsi"/>
          <w:sz w:val="20"/>
          <w:szCs w:val="20"/>
          <w:highlight w:val="yellow"/>
        </w:rPr>
        <w:t xml:space="preserve"> </w:t>
      </w:r>
      <w:r w:rsidR="004F42B6" w:rsidRPr="00F9412D">
        <w:rPr>
          <w:rFonts w:ascii="Palatino Linotype" w:hAnsi="Palatino Linotype" w:cstheme="minorHAnsi"/>
          <w:sz w:val="22"/>
          <w:szCs w:val="22"/>
          <w:highlight w:val="yellow"/>
        </w:rPr>
        <w:t>a ser declarados en propiedad horizontal, en caso de no contar con las factibilidades de servicios básicos, deberán presentar los estudios y propuestas alternativas para la implementación de estos servicios básicos de infraestructura (agua, alcantarillado y energía eléctrica); y de impacto ambiental de ser el caso, los mismos que serán validados por las respectivas empresas  y la entidad municipal ambiental competente;</w:t>
      </w:r>
    </w:p>
    <w:p w:rsidR="004F42B6" w:rsidRPr="003728A3" w:rsidRDefault="004F42B6" w:rsidP="004F42B6">
      <w:pPr>
        <w:pStyle w:val="Prrafodelista"/>
        <w:spacing w:after="120" w:line="276" w:lineRule="auto"/>
        <w:ind w:left="720"/>
        <w:contextualSpacing/>
        <w:jc w:val="both"/>
        <w:rPr>
          <w:rFonts w:ascii="Palatino Linotype" w:hAnsi="Palatino Linotype" w:cstheme="minorHAnsi"/>
          <w:i/>
          <w:lang w:val="es-ES"/>
        </w:rPr>
      </w:pPr>
      <w:r>
        <w:rPr>
          <w:rFonts w:ascii="Palatino Linotype" w:hAnsi="Palatino Linotype" w:cstheme="minorHAnsi"/>
          <w:i/>
          <w:lang w:val="es-ES"/>
        </w:rPr>
        <w:tab/>
      </w:r>
    </w:p>
    <w:p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lang w:val="es-ES"/>
        </w:rPr>
      </w:pPr>
      <w:r w:rsidRPr="003728A3">
        <w:rPr>
          <w:rFonts w:ascii="Palatino Linotype" w:hAnsi="Palatino Linotype" w:cstheme="minorHAnsi"/>
          <w:i/>
          <w:sz w:val="22"/>
          <w:szCs w:val="22"/>
          <w:lang w:val="es-ES"/>
        </w:rPr>
        <w:t xml:space="preserve">Estos proyectos se sujetarán al procedimiento especial de licenciamiento y requerirán un informe preceptivo emitido por la Secretaría </w:t>
      </w:r>
      <w:r w:rsidR="00896C59">
        <w:rPr>
          <w:rFonts w:ascii="Palatino Linotype" w:hAnsi="Palatino Linotype" w:cstheme="minorHAnsi"/>
          <w:i/>
          <w:sz w:val="22"/>
          <w:szCs w:val="22"/>
          <w:lang w:val="es-ES"/>
        </w:rPr>
        <w:t>responsable del</w:t>
      </w:r>
      <w:r w:rsidR="00896C59" w:rsidRPr="003728A3">
        <w:rPr>
          <w:rFonts w:ascii="Palatino Linotype" w:hAnsi="Palatino Linotype" w:cstheme="minorHAnsi"/>
          <w:i/>
          <w:sz w:val="22"/>
          <w:szCs w:val="22"/>
          <w:lang w:val="es-ES"/>
        </w:rPr>
        <w:t xml:space="preserve"> </w:t>
      </w:r>
      <w:r w:rsidRPr="003728A3">
        <w:rPr>
          <w:rFonts w:ascii="Palatino Linotype" w:hAnsi="Palatino Linotype" w:cstheme="minorHAnsi"/>
          <w:i/>
          <w:sz w:val="22"/>
          <w:szCs w:val="22"/>
          <w:lang w:val="es-ES"/>
        </w:rPr>
        <w:t>Territorio, Hábitat y Vivienda, para su posterior revisión en las Entidades Colaboradoras y la obtención de la Licencia Metropolitana Urbanística LMU 20 en las Administraciones Zonales competentes</w:t>
      </w:r>
      <w:r w:rsidRPr="003728A3">
        <w:rPr>
          <w:rFonts w:ascii="Palatino Linotype" w:hAnsi="Palatino Linotype" w:cstheme="minorHAnsi"/>
          <w:sz w:val="22"/>
          <w:szCs w:val="22"/>
          <w:lang w:val="es-ES"/>
        </w:rPr>
        <w:t>.</w:t>
      </w:r>
      <w:r>
        <w:rPr>
          <w:rFonts w:ascii="Palatino Linotype" w:hAnsi="Palatino Linotype" w:cstheme="minorHAnsi"/>
          <w:sz w:val="22"/>
          <w:szCs w:val="22"/>
          <w:lang w:val="es-ES"/>
        </w:rPr>
        <w:t>”</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t>Tercera.-</w:t>
      </w:r>
      <w:r>
        <w:rPr>
          <w:rFonts w:ascii="Palatino Linotype" w:hAnsi="Palatino Linotype" w:cstheme="minorHAnsi"/>
          <w:b/>
        </w:rPr>
        <w:t xml:space="preserve"> </w:t>
      </w:r>
      <w:r w:rsidRPr="00C250CB">
        <w:rPr>
          <w:rFonts w:ascii="Palatino Linotype" w:hAnsi="Palatino Linotype" w:cstheme="minorHAnsi"/>
        </w:rPr>
        <w:t>Modifíquese el numeral 1 del Artículo 69 de la Ordenanza Metropolitana No. 172</w:t>
      </w:r>
      <w:r w:rsidRPr="00C250CB">
        <w:rPr>
          <w:rFonts w:ascii="Palatino Linotype" w:hAnsi="Palatino Linotype" w:cstheme="minorHAnsi"/>
          <w:b/>
        </w:rPr>
        <w:t xml:space="preserve"> </w:t>
      </w:r>
      <w:r w:rsidRPr="00C250CB">
        <w:rPr>
          <w:rFonts w:ascii="Palatino Linotype" w:hAnsi="Palatino Linotype" w:cstheme="minorHAnsi"/>
        </w:rPr>
        <w:t xml:space="preserve">incorporando después de las palabras “suelo urbano” el siguiente texto: </w:t>
      </w:r>
      <w:r w:rsidR="00896C59">
        <w:rPr>
          <w:rFonts w:ascii="Palatino Linotype" w:hAnsi="Palatino Linotype" w:cstheme="minorHAnsi"/>
        </w:rPr>
        <w:t>“</w:t>
      </w:r>
      <w:r w:rsidRPr="00C250CB">
        <w:rPr>
          <w:rFonts w:ascii="Palatino Linotype" w:hAnsi="Palatino Linotype" w:cstheme="minorHAnsi"/>
          <w:i/>
        </w:rPr>
        <w:t>y las que tengan asignación Residencial Rural 1 (RR1) y Residencial Rural 2 (RR2)</w:t>
      </w:r>
      <w:r w:rsidR="00896C59">
        <w:rPr>
          <w:rFonts w:ascii="Palatino Linotype" w:hAnsi="Palatino Linotype" w:cstheme="minorHAnsi"/>
          <w:i/>
        </w:rPr>
        <w:t>”</w:t>
      </w:r>
      <w:r w:rsidRPr="00C250CB">
        <w:rPr>
          <w:rFonts w:ascii="Palatino Linotype" w:hAnsi="Palatino Linotype" w:cstheme="minorHAnsi"/>
        </w:rPr>
        <w:t xml:space="preserve">. </w:t>
      </w:r>
    </w:p>
    <w:p w:rsidR="00794152" w:rsidRDefault="00794152" w:rsidP="00794152">
      <w:pPr>
        <w:tabs>
          <w:tab w:val="left" w:pos="2977"/>
        </w:tabs>
        <w:autoSpaceDE w:val="0"/>
        <w:autoSpaceDN w:val="0"/>
        <w:adjustRightInd w:val="0"/>
        <w:spacing w:after="120" w:line="276" w:lineRule="auto"/>
        <w:jc w:val="both"/>
        <w:rPr>
          <w:rFonts w:ascii="Palatino Linotype" w:hAnsi="Palatino Linotype" w:cstheme="minorHAnsi"/>
          <w:b/>
        </w:rPr>
      </w:pPr>
    </w:p>
    <w:p w:rsidR="00794152" w:rsidRDefault="00794152" w:rsidP="00794152">
      <w:pPr>
        <w:tabs>
          <w:tab w:val="left" w:pos="2977"/>
        </w:tabs>
        <w:autoSpaceDE w:val="0"/>
        <w:autoSpaceDN w:val="0"/>
        <w:adjustRightInd w:val="0"/>
        <w:spacing w:after="120" w:line="276" w:lineRule="auto"/>
        <w:jc w:val="both"/>
        <w:rPr>
          <w:rFonts w:ascii="Palatino Linotype" w:hAnsi="Palatino Linotype" w:cstheme="minorHAnsi"/>
          <w:b/>
        </w:rPr>
      </w:pPr>
    </w:p>
    <w:p w:rsidR="00794152" w:rsidRPr="00F9412D" w:rsidRDefault="00794152" w:rsidP="00794152">
      <w:pPr>
        <w:tabs>
          <w:tab w:val="left" w:pos="2977"/>
        </w:tabs>
        <w:autoSpaceDE w:val="0"/>
        <w:autoSpaceDN w:val="0"/>
        <w:adjustRightInd w:val="0"/>
        <w:spacing w:after="120" w:line="276" w:lineRule="auto"/>
        <w:jc w:val="both"/>
        <w:rPr>
          <w:rFonts w:ascii="Palatino Linotype" w:hAnsi="Palatino Linotype" w:cstheme="minorHAnsi"/>
          <w:b/>
          <w:highlight w:val="yellow"/>
        </w:rPr>
      </w:pPr>
      <w:r w:rsidRPr="00F9412D">
        <w:rPr>
          <w:rFonts w:ascii="Palatino Linotype" w:hAnsi="Palatino Linotype" w:cstheme="minorHAnsi"/>
          <w:b/>
          <w:highlight w:val="yellow"/>
        </w:rPr>
        <w:t>Disposición Transitoria:</w:t>
      </w:r>
    </w:p>
    <w:p w:rsidR="00CF2948" w:rsidRDefault="00794152" w:rsidP="00CF2948">
      <w:r w:rsidRPr="00F9412D">
        <w:rPr>
          <w:rFonts w:ascii="Palatino Linotype" w:hAnsi="Palatino Linotype" w:cstheme="minorHAnsi"/>
          <w:b/>
          <w:highlight w:val="yellow"/>
        </w:rPr>
        <w:lastRenderedPageBreak/>
        <w:t>Primera.-</w:t>
      </w:r>
      <w:r>
        <w:rPr>
          <w:rFonts w:ascii="Palatino Linotype" w:hAnsi="Palatino Linotype" w:cstheme="minorHAnsi"/>
          <w:b/>
        </w:rPr>
        <w:t xml:space="preserve"> </w:t>
      </w:r>
      <w:r w:rsidRPr="00F9412D">
        <w:rPr>
          <w:rFonts w:ascii="Palatino Linotype" w:hAnsi="Palatino Linotype" w:cstheme="minorHAnsi"/>
          <w:highlight w:val="yellow"/>
          <w:lang w:val="es-ES_tradnl"/>
        </w:rPr>
        <w:t>Los procedimientos administrativos iniciados durante la vigencia de la Ordenanza Metropolitana 041, deberán culminarse de conformidad a lo establecido en la misma</w:t>
      </w:r>
      <w:r w:rsidRPr="00F9412D">
        <w:rPr>
          <w:rFonts w:ascii="Palatino Linotype" w:hAnsi="Palatino Linotype" w:cstheme="minorHAnsi"/>
          <w:lang w:val="es-ES_tradnl"/>
        </w:rPr>
        <w:t>.</w:t>
      </w:r>
      <w:r w:rsidR="00CF2948">
        <w:rPr>
          <w:rFonts w:ascii="Palatino Linotype" w:hAnsi="Palatino Linotype" w:cstheme="minorHAnsi"/>
          <w:lang w:val="es-ES_tradnl"/>
        </w:rPr>
        <w:t xml:space="preserve"> </w:t>
      </w:r>
      <w:r w:rsidR="00CF2948">
        <w:rPr>
          <w:rFonts w:cstheme="minorHAnsi"/>
          <w:sz w:val="20"/>
          <w:szCs w:val="20"/>
          <w:lang w:val="es-ES_tradnl"/>
        </w:rPr>
        <w:t>. (A criterio de  Yohana esto solo se aplica cuando hay procesos administrativos sancionatorios).</w:t>
      </w:r>
    </w:p>
    <w:p w:rsidR="00794152" w:rsidRPr="00F9412D" w:rsidRDefault="00794152" w:rsidP="00794152">
      <w:pPr>
        <w:jc w:val="both"/>
        <w:rPr>
          <w:rFonts w:ascii="Palatino Linotype" w:hAnsi="Palatino Linotype"/>
        </w:rPr>
      </w:pPr>
      <w:bookmarkStart w:id="2" w:name="_GoBack"/>
      <w:bookmarkEnd w:id="2"/>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Disposiciones  Finales</w:t>
      </w:r>
      <w:r>
        <w:rPr>
          <w:rFonts w:ascii="Palatino Linotype" w:hAnsi="Palatino Linotype" w:cstheme="minorHAnsi"/>
          <w:b/>
        </w:rPr>
        <w:t>:</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t>Primera.-</w:t>
      </w:r>
      <w:r>
        <w:rPr>
          <w:rFonts w:ascii="Palatino Linotype" w:hAnsi="Palatino Linotype" w:cstheme="minorHAnsi"/>
          <w:b/>
        </w:rPr>
        <w:t xml:space="preserve"> </w:t>
      </w:r>
      <w:r w:rsidRPr="00C250CB">
        <w:rPr>
          <w:rFonts w:ascii="Palatino Linotype" w:hAnsi="Palatino Linotype" w:cstheme="minorHAnsi"/>
        </w:rPr>
        <w:t xml:space="preserve">La Agencia Metropolitana de Control </w:t>
      </w:r>
      <w:r w:rsidR="00896C59">
        <w:rPr>
          <w:rFonts w:ascii="Palatino Linotype" w:hAnsi="Palatino Linotype" w:cstheme="minorHAnsi"/>
        </w:rPr>
        <w:t>remitirá a la Comisión de Uso de Suelo, para posterior conocimiento de</w:t>
      </w:r>
      <w:r w:rsidR="009A3A3F">
        <w:rPr>
          <w:rFonts w:ascii="Palatino Linotype" w:hAnsi="Palatino Linotype" w:cstheme="minorHAnsi"/>
        </w:rPr>
        <w:t>l</w:t>
      </w:r>
      <w:r w:rsidR="00896C59">
        <w:rPr>
          <w:rFonts w:ascii="Palatino Linotype" w:hAnsi="Palatino Linotype" w:cstheme="minorHAnsi"/>
        </w:rPr>
        <w:t xml:space="preserve"> </w:t>
      </w:r>
      <w:r w:rsidRPr="00C250CB">
        <w:rPr>
          <w:rFonts w:ascii="Palatino Linotype" w:hAnsi="Palatino Linotype" w:cstheme="minorHAnsi"/>
        </w:rPr>
        <w:t>Concejo Metropolitano</w:t>
      </w:r>
      <w:r w:rsidR="00896C59">
        <w:rPr>
          <w:rFonts w:ascii="Palatino Linotype" w:hAnsi="Palatino Linotype" w:cstheme="minorHAnsi"/>
        </w:rPr>
        <w:t>,</w:t>
      </w:r>
      <w:r w:rsidRPr="00C250CB">
        <w:rPr>
          <w:rFonts w:ascii="Palatino Linotype" w:hAnsi="Palatino Linotype" w:cstheme="minorHAnsi"/>
        </w:rPr>
        <w:t xml:space="preserve"> anualmente</w:t>
      </w:r>
      <w:r w:rsidR="00896C59">
        <w:rPr>
          <w:rFonts w:ascii="Palatino Linotype" w:hAnsi="Palatino Linotype" w:cstheme="minorHAnsi"/>
        </w:rPr>
        <w:t>,</w:t>
      </w:r>
      <w:r w:rsidRPr="00C250CB">
        <w:rPr>
          <w:rFonts w:ascii="Palatino Linotype" w:hAnsi="Palatino Linotype" w:cstheme="minorHAnsi"/>
        </w:rPr>
        <w:t xml:space="preserve"> un informe sobre los controles generados realizados a los lotes en los cuales se desarrollen  actividades económicas con calificación CZ4 implantadas en el territorio del D</w:t>
      </w:r>
      <w:r>
        <w:rPr>
          <w:rFonts w:ascii="Palatino Linotype" w:hAnsi="Palatino Linotype" w:cstheme="minorHAnsi"/>
        </w:rPr>
        <w:t xml:space="preserve">istrito </w:t>
      </w:r>
      <w:r w:rsidRPr="00C250CB">
        <w:rPr>
          <w:rFonts w:ascii="Palatino Linotype" w:hAnsi="Palatino Linotype" w:cstheme="minorHAnsi"/>
        </w:rPr>
        <w:t>M</w:t>
      </w:r>
      <w:r>
        <w:rPr>
          <w:rFonts w:ascii="Palatino Linotype" w:hAnsi="Palatino Linotype" w:cstheme="minorHAnsi"/>
        </w:rPr>
        <w:t xml:space="preserve">etropolitano de </w:t>
      </w:r>
      <w:r w:rsidRPr="00C250CB">
        <w:rPr>
          <w:rFonts w:ascii="Palatino Linotype" w:hAnsi="Palatino Linotype" w:cstheme="minorHAnsi"/>
        </w:rPr>
        <w:t>Q</w:t>
      </w:r>
      <w:r>
        <w:rPr>
          <w:rFonts w:ascii="Palatino Linotype" w:hAnsi="Palatino Linotype" w:cstheme="minorHAnsi"/>
        </w:rPr>
        <w:t>uito</w:t>
      </w:r>
      <w:r w:rsidRPr="00C250CB">
        <w:rPr>
          <w:rFonts w:ascii="Palatino Linotype" w:hAnsi="Palatino Linotype" w:cstheme="minorHAnsi"/>
        </w:rPr>
        <w:t>.</w:t>
      </w:r>
    </w:p>
    <w:p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 xml:space="preserve">Segunda.- </w:t>
      </w:r>
      <w:r w:rsidRPr="00C250CB">
        <w:rPr>
          <w:rFonts w:ascii="Palatino Linotype" w:hAnsi="Palatino Linotype" w:cstheme="minorHAnsi"/>
        </w:rPr>
        <w:t>Las disposiciones del PUOS  prevalecerán sobre toda norma de igual o menor jerarquía que se le oponga.</w:t>
      </w:r>
    </w:p>
    <w:p w:rsidR="008D7F22" w:rsidRPr="00C250CB" w:rsidRDefault="008D7F22" w:rsidP="008D7F22">
      <w:pPr>
        <w:tabs>
          <w:tab w:val="left" w:pos="2977"/>
        </w:tabs>
        <w:spacing w:after="120" w:line="276" w:lineRule="auto"/>
        <w:jc w:val="both"/>
        <w:rPr>
          <w:rFonts w:ascii="Palatino Linotype" w:hAnsi="Palatino Linotype" w:cstheme="minorHAnsi"/>
          <w:b/>
        </w:rPr>
      </w:pPr>
      <w:r w:rsidRPr="00C250CB">
        <w:rPr>
          <w:rFonts w:ascii="Palatino Linotype" w:hAnsi="Palatino Linotype" w:cstheme="minorHAnsi"/>
          <w:b/>
        </w:rPr>
        <w:t>Tercera.-</w:t>
      </w:r>
      <w:r>
        <w:rPr>
          <w:rFonts w:ascii="Palatino Linotype" w:hAnsi="Palatino Linotype" w:cstheme="minorHAnsi"/>
          <w:b/>
        </w:rPr>
        <w:t xml:space="preserve"> </w:t>
      </w:r>
      <w:r w:rsidRPr="00C250CB">
        <w:rPr>
          <w:rFonts w:ascii="Palatino Linotype" w:hAnsi="Palatino Linotype" w:cstheme="minorHAnsi"/>
        </w:rPr>
        <w:t xml:space="preserve">El presente plan sustituye el PUOS y su anexo a que se refiere </w:t>
      </w:r>
      <w:r w:rsidR="00896C59">
        <w:rPr>
          <w:rFonts w:ascii="Palatino Linotype" w:hAnsi="Palatino Linotype" w:cstheme="minorHAnsi"/>
        </w:rPr>
        <w:t>el</w:t>
      </w:r>
      <w:r w:rsidR="00896C59" w:rsidRPr="00C250CB">
        <w:rPr>
          <w:rFonts w:ascii="Palatino Linotype" w:hAnsi="Palatino Linotype" w:cstheme="minorHAnsi"/>
        </w:rPr>
        <w:t xml:space="preserve"> </w:t>
      </w:r>
      <w:r w:rsidRPr="00C250CB">
        <w:rPr>
          <w:rFonts w:ascii="Palatino Linotype" w:hAnsi="Palatino Linotype" w:cstheme="minorHAnsi"/>
        </w:rPr>
        <w:t xml:space="preserve">numeral 3 literal d) del </w:t>
      </w:r>
      <w:r w:rsidR="00531355">
        <w:rPr>
          <w:rFonts w:ascii="Palatino Linotype" w:hAnsi="Palatino Linotype" w:cstheme="minorHAnsi"/>
        </w:rPr>
        <w:t>a</w:t>
      </w:r>
      <w:r w:rsidRPr="00C250CB">
        <w:rPr>
          <w:rFonts w:ascii="Palatino Linotype" w:hAnsi="Palatino Linotype" w:cstheme="minorHAnsi"/>
        </w:rPr>
        <w:t xml:space="preserve">rtículo único de la </w:t>
      </w:r>
      <w:r w:rsidR="00531355">
        <w:rPr>
          <w:rFonts w:ascii="Palatino Linotype" w:hAnsi="Palatino Linotype" w:cstheme="minorHAnsi"/>
        </w:rPr>
        <w:t>O</w:t>
      </w:r>
      <w:r w:rsidR="00531355" w:rsidRPr="00C250CB">
        <w:rPr>
          <w:rFonts w:ascii="Palatino Linotype" w:hAnsi="Palatino Linotype" w:cstheme="minorHAnsi"/>
        </w:rPr>
        <w:t xml:space="preserve">rdenanza </w:t>
      </w:r>
      <w:r w:rsidR="00531355">
        <w:rPr>
          <w:rFonts w:ascii="Palatino Linotype" w:hAnsi="Palatino Linotype" w:cstheme="minorHAnsi"/>
        </w:rPr>
        <w:t xml:space="preserve">No. </w:t>
      </w:r>
      <w:r w:rsidRPr="00C250CB">
        <w:rPr>
          <w:rFonts w:ascii="Palatino Linotype" w:hAnsi="Palatino Linotype" w:cstheme="minorHAnsi"/>
        </w:rPr>
        <w:t>041, mismo que será inmediatamente protocolizado ante Notario Público del cantón Quito por parte de la Secretaría General del Concejo del D</w:t>
      </w:r>
      <w:r>
        <w:rPr>
          <w:rFonts w:ascii="Palatino Linotype" w:hAnsi="Palatino Linotype" w:cstheme="minorHAnsi"/>
        </w:rPr>
        <w:t xml:space="preserve">istrito </w:t>
      </w:r>
      <w:r w:rsidRPr="00C250CB">
        <w:rPr>
          <w:rFonts w:ascii="Palatino Linotype" w:hAnsi="Palatino Linotype" w:cstheme="minorHAnsi"/>
        </w:rPr>
        <w:t>M</w:t>
      </w:r>
      <w:r>
        <w:rPr>
          <w:rFonts w:ascii="Palatino Linotype" w:hAnsi="Palatino Linotype" w:cstheme="minorHAnsi"/>
        </w:rPr>
        <w:t xml:space="preserve">etropolitano de </w:t>
      </w:r>
      <w:r w:rsidRPr="00C250CB">
        <w:rPr>
          <w:rFonts w:ascii="Palatino Linotype" w:hAnsi="Palatino Linotype" w:cstheme="minorHAnsi"/>
        </w:rPr>
        <w:t>Q</w:t>
      </w:r>
      <w:r>
        <w:rPr>
          <w:rFonts w:ascii="Palatino Linotype" w:hAnsi="Palatino Linotype" w:cstheme="minorHAnsi"/>
        </w:rPr>
        <w:t>uito</w:t>
      </w:r>
      <w:r w:rsidRPr="00C250CB">
        <w:rPr>
          <w:rFonts w:ascii="Palatino Linotype" w:hAnsi="Palatino Linotype" w:cstheme="minorHAnsi"/>
        </w:rPr>
        <w:t>.</w:t>
      </w:r>
    </w:p>
    <w:p w:rsidR="008D7F22" w:rsidRPr="00C250CB" w:rsidRDefault="008D7F22" w:rsidP="008D7F22">
      <w:pPr>
        <w:tabs>
          <w:tab w:val="left" w:pos="2977"/>
        </w:tabs>
        <w:spacing w:after="120" w:line="276" w:lineRule="auto"/>
        <w:jc w:val="both"/>
        <w:rPr>
          <w:rFonts w:ascii="Palatino Linotype" w:hAnsi="Palatino Linotype" w:cstheme="minorHAnsi"/>
        </w:rPr>
      </w:pPr>
      <w:r w:rsidRPr="00C250CB">
        <w:rPr>
          <w:rFonts w:ascii="Palatino Linotype" w:hAnsi="Palatino Linotype" w:cstheme="minorHAnsi"/>
          <w:b/>
        </w:rPr>
        <w:t xml:space="preserve">Cuarta.- </w:t>
      </w:r>
      <w:r w:rsidRPr="00C250CB">
        <w:rPr>
          <w:rFonts w:ascii="Palatino Linotype" w:hAnsi="Palatino Linotype" w:cstheme="minorHAnsi"/>
        </w:rPr>
        <w:t>Esta ordenanza entrará en vigencia a partir de la fecha de su sanción, sin perjuicio de su publicación en la Gaceta Oficial y página web institucional de la municipalidad.</w:t>
      </w:r>
    </w:p>
    <w:p w:rsidR="00B7466D" w:rsidRDefault="00B7466D" w:rsidP="00B7466D">
      <w:pPr>
        <w:pStyle w:val="Cuadrculaclara-nfasis31"/>
        <w:tabs>
          <w:tab w:val="left" w:pos="2410"/>
        </w:tabs>
        <w:suppressAutoHyphens w:val="0"/>
        <w:spacing w:before="240" w:line="276" w:lineRule="auto"/>
        <w:ind w:left="0"/>
        <w:jc w:val="both"/>
        <w:rPr>
          <w:rFonts w:ascii="Palatino Linotype" w:hAnsi="Palatino Linotype" w:cs="Times New Roman"/>
          <w:sz w:val="22"/>
          <w:szCs w:val="22"/>
        </w:rPr>
      </w:pPr>
      <w:r>
        <w:rPr>
          <w:rFonts w:ascii="Palatino Linotype" w:hAnsi="Palatino Linotype"/>
          <w:sz w:val="22"/>
          <w:szCs w:val="22"/>
        </w:rPr>
        <w:t xml:space="preserve">Dada, en la Sala de Sesiones del Concejo Metropolitano de Quito, el </w:t>
      </w:r>
      <w:r w:rsidR="000E2937">
        <w:rPr>
          <w:rFonts w:ascii="Palatino Linotype" w:hAnsi="Palatino Linotype"/>
          <w:sz w:val="22"/>
          <w:szCs w:val="22"/>
        </w:rPr>
        <w:t>18</w:t>
      </w:r>
      <w:r>
        <w:rPr>
          <w:rFonts w:ascii="Palatino Linotype" w:hAnsi="Palatino Linotype"/>
          <w:sz w:val="22"/>
          <w:szCs w:val="22"/>
        </w:rPr>
        <w:t xml:space="preserve"> de </w:t>
      </w:r>
      <w:r w:rsidR="000E2937">
        <w:rPr>
          <w:rFonts w:ascii="Palatino Linotype" w:hAnsi="Palatino Linotype"/>
          <w:sz w:val="22"/>
          <w:szCs w:val="22"/>
        </w:rPr>
        <w:t xml:space="preserve">julio </w:t>
      </w:r>
      <w:r>
        <w:rPr>
          <w:rFonts w:ascii="Palatino Linotype" w:hAnsi="Palatino Linotype"/>
          <w:sz w:val="22"/>
          <w:szCs w:val="22"/>
        </w:rPr>
        <w:t>de 2016.</w:t>
      </w:r>
    </w:p>
    <w:p w:rsidR="00B7466D" w:rsidRDefault="00B7466D" w:rsidP="00B7466D">
      <w:pPr>
        <w:pStyle w:val="Textopredeterminado"/>
        <w:shd w:val="clear" w:color="auto" w:fill="FFFFFF"/>
        <w:jc w:val="both"/>
        <w:rPr>
          <w:rFonts w:ascii="Palatino Linotype" w:hAnsi="Palatino Linotype"/>
          <w:sz w:val="22"/>
          <w:szCs w:val="22"/>
        </w:rPr>
      </w:pPr>
    </w:p>
    <w:p w:rsidR="002B7291" w:rsidRDefault="002B7291" w:rsidP="00B7466D">
      <w:pPr>
        <w:pStyle w:val="Textopredeterminado"/>
        <w:shd w:val="clear" w:color="auto" w:fill="FFFFFF"/>
        <w:jc w:val="both"/>
        <w:rPr>
          <w:rFonts w:ascii="Palatino Linotype" w:hAnsi="Palatino Linotype"/>
          <w:sz w:val="22"/>
          <w:szCs w:val="22"/>
        </w:rPr>
      </w:pPr>
    </w:p>
    <w:p w:rsidR="000E2937" w:rsidRDefault="000E2937" w:rsidP="00B7466D">
      <w:pPr>
        <w:pStyle w:val="Textopredeterminado"/>
        <w:shd w:val="clear" w:color="auto" w:fill="FFFFFF"/>
        <w:jc w:val="both"/>
        <w:rPr>
          <w:rFonts w:ascii="Palatino Linotype" w:hAnsi="Palatino Linotype"/>
          <w:sz w:val="22"/>
          <w:szCs w:val="22"/>
        </w:rPr>
      </w:pPr>
    </w:p>
    <w:tbl>
      <w:tblPr>
        <w:tblW w:w="10899" w:type="dxa"/>
        <w:jc w:val="center"/>
        <w:tblLook w:val="04A0" w:firstRow="1" w:lastRow="0" w:firstColumn="1" w:lastColumn="0" w:noHBand="0" w:noVBand="1"/>
      </w:tblPr>
      <w:tblGrid>
        <w:gridCol w:w="5575"/>
        <w:gridCol w:w="5324"/>
      </w:tblGrid>
      <w:tr w:rsidR="00B7466D" w:rsidRPr="008D7F62" w:rsidTr="00B7466D">
        <w:trPr>
          <w:jc w:val="center"/>
        </w:trPr>
        <w:tc>
          <w:tcPr>
            <w:tcW w:w="5575" w:type="dxa"/>
            <w:hideMark/>
          </w:tcPr>
          <w:p w:rsidR="00B7466D" w:rsidRPr="008D7F62" w:rsidRDefault="00B7466D" w:rsidP="00B7466D">
            <w:pPr>
              <w:pStyle w:val="Textopredeterminado"/>
              <w:jc w:val="center"/>
              <w:rPr>
                <w:rFonts w:ascii="Palatino Linotype" w:hAnsi="Palatino Linotype" w:cs="Arial"/>
                <w:sz w:val="18"/>
                <w:szCs w:val="18"/>
              </w:rPr>
            </w:pPr>
            <w:r w:rsidRPr="008D7F62">
              <w:rPr>
                <w:rFonts w:ascii="Palatino Linotype" w:hAnsi="Palatino Linotype" w:cs="Arial"/>
                <w:sz w:val="18"/>
                <w:szCs w:val="18"/>
              </w:rPr>
              <w:t>Abg. Daniela Chacón Arias</w:t>
            </w:r>
          </w:p>
          <w:p w:rsidR="00B7466D" w:rsidRPr="008D7F62" w:rsidRDefault="00B7466D" w:rsidP="00B7466D">
            <w:pPr>
              <w:pStyle w:val="Textopredeterminado"/>
              <w:jc w:val="center"/>
              <w:rPr>
                <w:rFonts w:ascii="Palatino Linotype" w:hAnsi="Palatino Linotype" w:cs="Arial"/>
                <w:b/>
                <w:sz w:val="18"/>
                <w:szCs w:val="18"/>
              </w:rPr>
            </w:pPr>
            <w:r w:rsidRPr="008D7F62">
              <w:rPr>
                <w:rFonts w:ascii="Palatino Linotype" w:hAnsi="Palatino Linotype" w:cs="Arial"/>
                <w:b/>
                <w:sz w:val="18"/>
                <w:szCs w:val="18"/>
              </w:rPr>
              <w:t>Primera Vicepresidenta del Concejo Metropolitano de Quito</w:t>
            </w:r>
          </w:p>
        </w:tc>
        <w:tc>
          <w:tcPr>
            <w:tcW w:w="5324" w:type="dxa"/>
            <w:hideMark/>
          </w:tcPr>
          <w:p w:rsidR="00B7466D" w:rsidRPr="008D7F62" w:rsidRDefault="00B7466D" w:rsidP="00B7466D">
            <w:pPr>
              <w:pStyle w:val="Textopredeterminado"/>
              <w:jc w:val="center"/>
              <w:rPr>
                <w:rFonts w:ascii="Palatino Linotype" w:hAnsi="Palatino Linotype" w:cs="Arial"/>
                <w:sz w:val="18"/>
                <w:szCs w:val="18"/>
              </w:rPr>
            </w:pPr>
            <w:r w:rsidRPr="008D7F62">
              <w:rPr>
                <w:rFonts w:ascii="Palatino Linotype" w:hAnsi="Palatino Linotype" w:cs="Arial"/>
                <w:sz w:val="18"/>
                <w:szCs w:val="18"/>
              </w:rPr>
              <w:t xml:space="preserve">Abg. </w:t>
            </w:r>
            <w:r w:rsidR="004F1522">
              <w:rPr>
                <w:rFonts w:ascii="Palatino Linotype" w:hAnsi="Palatino Linotype" w:cs="Arial"/>
                <w:sz w:val="18"/>
                <w:szCs w:val="18"/>
              </w:rPr>
              <w:t>Diego Cevallos Salgado</w:t>
            </w:r>
          </w:p>
          <w:p w:rsidR="00B7466D" w:rsidRDefault="004F1522" w:rsidP="00B7466D">
            <w:pPr>
              <w:pStyle w:val="Textopredeterminado"/>
              <w:jc w:val="center"/>
              <w:rPr>
                <w:rFonts w:ascii="Palatino Linotype" w:hAnsi="Palatino Linotype" w:cs="Arial"/>
                <w:b/>
                <w:sz w:val="18"/>
                <w:szCs w:val="18"/>
              </w:rPr>
            </w:pPr>
            <w:r w:rsidRPr="008D7F62">
              <w:rPr>
                <w:rFonts w:ascii="Palatino Linotype" w:hAnsi="Palatino Linotype" w:cs="Arial"/>
                <w:b/>
                <w:sz w:val="18"/>
                <w:szCs w:val="18"/>
              </w:rPr>
              <w:t>Secretari</w:t>
            </w:r>
            <w:r>
              <w:rPr>
                <w:rFonts w:ascii="Palatino Linotype" w:hAnsi="Palatino Linotype" w:cs="Arial"/>
                <w:b/>
                <w:sz w:val="18"/>
                <w:szCs w:val="18"/>
              </w:rPr>
              <w:t>o</w:t>
            </w:r>
            <w:r w:rsidRPr="008D7F62">
              <w:rPr>
                <w:rFonts w:ascii="Palatino Linotype" w:hAnsi="Palatino Linotype" w:cs="Arial"/>
                <w:b/>
                <w:sz w:val="18"/>
                <w:szCs w:val="18"/>
              </w:rPr>
              <w:t xml:space="preserve"> </w:t>
            </w:r>
            <w:r w:rsidR="00B7466D" w:rsidRPr="008D7F62">
              <w:rPr>
                <w:rFonts w:ascii="Palatino Linotype" w:hAnsi="Palatino Linotype" w:cs="Arial"/>
                <w:b/>
                <w:sz w:val="18"/>
                <w:szCs w:val="18"/>
              </w:rPr>
              <w:t>General del Concejo Metropolitano de Quito</w:t>
            </w:r>
            <w:r>
              <w:rPr>
                <w:rFonts w:ascii="Palatino Linotype" w:hAnsi="Palatino Linotype" w:cs="Arial"/>
                <w:b/>
                <w:sz w:val="18"/>
                <w:szCs w:val="18"/>
              </w:rPr>
              <w:t xml:space="preserve"> (S)</w:t>
            </w:r>
          </w:p>
          <w:p w:rsidR="002B7291" w:rsidRDefault="002B7291" w:rsidP="008D7F22">
            <w:pPr>
              <w:pStyle w:val="Textopredeterminado"/>
              <w:rPr>
                <w:rFonts w:ascii="Palatino Linotype" w:hAnsi="Palatino Linotype" w:cs="Arial"/>
                <w:b/>
                <w:sz w:val="18"/>
                <w:szCs w:val="18"/>
              </w:rPr>
            </w:pPr>
          </w:p>
          <w:p w:rsidR="000E2937" w:rsidRPr="008D7F62" w:rsidRDefault="000E2937" w:rsidP="008D7F22">
            <w:pPr>
              <w:pStyle w:val="Textopredeterminado"/>
              <w:rPr>
                <w:rFonts w:ascii="Palatino Linotype" w:hAnsi="Palatino Linotype" w:cs="Arial"/>
                <w:b/>
                <w:sz w:val="18"/>
                <w:szCs w:val="18"/>
              </w:rPr>
            </w:pPr>
          </w:p>
        </w:tc>
      </w:tr>
    </w:tbl>
    <w:p w:rsidR="00B7466D" w:rsidRPr="006336FA" w:rsidRDefault="00B7466D" w:rsidP="00B7466D">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CERTIFICADO DE DISCUSIÓN</w:t>
      </w:r>
    </w:p>
    <w:p w:rsidR="00B7466D" w:rsidRPr="006336FA" w:rsidRDefault="00B7466D" w:rsidP="00B7466D">
      <w:pPr>
        <w:pStyle w:val="Textosinformato"/>
        <w:jc w:val="both"/>
        <w:rPr>
          <w:rFonts w:ascii="Palatino Linotype" w:eastAsia="MS Mincho" w:hAnsi="Palatino Linotype" w:cs="Arial"/>
          <w:sz w:val="22"/>
          <w:szCs w:val="22"/>
        </w:rPr>
      </w:pPr>
    </w:p>
    <w:p w:rsidR="00B7466D" w:rsidRPr="006336FA" w:rsidRDefault="00B7466D" w:rsidP="00B7466D">
      <w:pPr>
        <w:pStyle w:val="Textosinformato"/>
        <w:spacing w:line="276" w:lineRule="auto"/>
        <w:jc w:val="both"/>
        <w:rPr>
          <w:rFonts w:ascii="Palatino Linotype" w:eastAsia="MS Mincho" w:hAnsi="Palatino Linotype" w:cs="Arial"/>
          <w:sz w:val="22"/>
          <w:szCs w:val="22"/>
        </w:rPr>
      </w:pPr>
      <w:r>
        <w:rPr>
          <w:rFonts w:ascii="Palatino Linotype" w:eastAsia="MS Mincho" w:hAnsi="Palatino Linotype" w:cs="Arial"/>
          <w:sz w:val="22"/>
          <w:szCs w:val="22"/>
        </w:rPr>
        <w:t>La</w:t>
      </w:r>
      <w:r w:rsidRPr="006336FA">
        <w:rPr>
          <w:rFonts w:ascii="Palatino Linotype" w:eastAsia="MS Mincho" w:hAnsi="Palatino Linotype" w:cs="Arial"/>
          <w:sz w:val="22"/>
          <w:szCs w:val="22"/>
        </w:rPr>
        <w:t xml:space="preserve"> infrascrit</w:t>
      </w:r>
      <w:r>
        <w:rPr>
          <w:rFonts w:ascii="Palatino Linotype" w:eastAsia="MS Mincho" w:hAnsi="Palatino Linotype" w:cs="Arial"/>
          <w:sz w:val="22"/>
          <w:szCs w:val="22"/>
        </w:rPr>
        <w:t>a Secretaria</w:t>
      </w:r>
      <w:r w:rsidRPr="006336FA">
        <w:rPr>
          <w:rFonts w:ascii="Palatino Linotype" w:eastAsia="MS Mincho" w:hAnsi="Palatino Linotype" w:cs="Arial"/>
          <w:sz w:val="22"/>
          <w:szCs w:val="22"/>
        </w:rPr>
        <w:t xml:space="preserve"> General del Concejo Metropolitano de Quito, certifica que la presente ordenanza fue discutida y aprobada en dos debates, en sesiones de </w:t>
      </w:r>
      <w:r w:rsidR="00DA407A">
        <w:rPr>
          <w:rFonts w:ascii="Palatino Linotype" w:eastAsia="MS Mincho" w:hAnsi="Palatino Linotype" w:cs="Arial"/>
          <w:sz w:val="22"/>
          <w:szCs w:val="22"/>
        </w:rPr>
        <w:t xml:space="preserve">4 </w:t>
      </w:r>
      <w:r w:rsidR="00496C22">
        <w:rPr>
          <w:rFonts w:ascii="Palatino Linotype" w:eastAsia="MS Mincho" w:hAnsi="Palatino Linotype" w:cs="Arial"/>
          <w:sz w:val="22"/>
          <w:szCs w:val="22"/>
        </w:rPr>
        <w:t>y</w:t>
      </w:r>
      <w:r w:rsidR="00DA407A">
        <w:rPr>
          <w:rFonts w:ascii="Palatino Linotype" w:eastAsia="MS Mincho" w:hAnsi="Palatino Linotype" w:cs="Arial"/>
          <w:sz w:val="22"/>
          <w:szCs w:val="22"/>
        </w:rPr>
        <w:t xml:space="preserve"> 18 </w:t>
      </w:r>
      <w:r>
        <w:rPr>
          <w:rFonts w:ascii="Palatino Linotype" w:eastAsia="MS Mincho" w:hAnsi="Palatino Linotype" w:cs="Arial"/>
          <w:sz w:val="22"/>
          <w:szCs w:val="22"/>
        </w:rPr>
        <w:t xml:space="preserve">de </w:t>
      </w:r>
      <w:r w:rsidR="00DA407A">
        <w:rPr>
          <w:rFonts w:ascii="Palatino Linotype" w:eastAsia="MS Mincho" w:hAnsi="Palatino Linotype" w:cs="Arial"/>
          <w:sz w:val="22"/>
          <w:szCs w:val="22"/>
        </w:rPr>
        <w:t xml:space="preserve">julio </w:t>
      </w:r>
      <w:r w:rsidRPr="006336FA">
        <w:rPr>
          <w:rFonts w:ascii="Palatino Linotype" w:eastAsia="MS Mincho" w:hAnsi="Palatino Linotype" w:cs="Arial"/>
          <w:sz w:val="22"/>
          <w:szCs w:val="22"/>
        </w:rPr>
        <w:t>de 201</w:t>
      </w:r>
      <w:r>
        <w:rPr>
          <w:rFonts w:ascii="Palatino Linotype" w:eastAsia="MS Mincho" w:hAnsi="Palatino Linotype" w:cs="Arial"/>
          <w:sz w:val="22"/>
          <w:szCs w:val="22"/>
        </w:rPr>
        <w:t>6</w:t>
      </w:r>
      <w:r w:rsidRPr="006336FA">
        <w:rPr>
          <w:rFonts w:ascii="Palatino Linotype" w:eastAsia="MS Mincho" w:hAnsi="Palatino Linotype" w:cs="Arial"/>
          <w:sz w:val="22"/>
          <w:szCs w:val="22"/>
        </w:rPr>
        <w:t>.- Quito,</w:t>
      </w:r>
    </w:p>
    <w:p w:rsidR="00B7466D" w:rsidRDefault="00B7466D" w:rsidP="00B7466D">
      <w:pPr>
        <w:pStyle w:val="Textosinformato"/>
        <w:jc w:val="both"/>
        <w:rPr>
          <w:rFonts w:ascii="Palatino Linotype" w:eastAsia="MS Mincho" w:hAnsi="Palatino Linotype" w:cs="Arial"/>
          <w:sz w:val="22"/>
          <w:szCs w:val="22"/>
        </w:rPr>
      </w:pPr>
    </w:p>
    <w:p w:rsidR="000E2937" w:rsidRDefault="000E2937" w:rsidP="00B7466D">
      <w:pPr>
        <w:pStyle w:val="Textosinformato"/>
        <w:jc w:val="both"/>
        <w:rPr>
          <w:rFonts w:ascii="Palatino Linotype" w:eastAsia="MS Mincho" w:hAnsi="Palatino Linotype" w:cs="Arial"/>
          <w:sz w:val="22"/>
          <w:szCs w:val="22"/>
        </w:rPr>
      </w:pPr>
    </w:p>
    <w:p w:rsidR="00DA407A" w:rsidRDefault="00DA407A" w:rsidP="00B7466D">
      <w:pPr>
        <w:pStyle w:val="Textosinformato"/>
        <w:jc w:val="both"/>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 xml:space="preserve">Abg. María Elisa Holmes </w:t>
      </w:r>
      <w:proofErr w:type="spellStart"/>
      <w:r>
        <w:rPr>
          <w:rFonts w:ascii="Palatino Linotype" w:eastAsia="MS Mincho" w:hAnsi="Palatino Linotype" w:cs="Arial"/>
          <w:sz w:val="22"/>
          <w:szCs w:val="22"/>
        </w:rPr>
        <w:t>Roldós</w:t>
      </w:r>
      <w:proofErr w:type="spellEnd"/>
    </w:p>
    <w:p w:rsidR="00B7466D"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SECRETARI</w:t>
      </w:r>
      <w:r>
        <w:rPr>
          <w:rFonts w:ascii="Palatino Linotype" w:eastAsia="MS Mincho" w:hAnsi="Palatino Linotype" w:cs="Arial"/>
          <w:b/>
          <w:bCs/>
          <w:sz w:val="22"/>
          <w:szCs w:val="22"/>
        </w:rPr>
        <w:t>A</w:t>
      </w:r>
      <w:r w:rsidRPr="006336FA">
        <w:rPr>
          <w:rFonts w:ascii="Palatino Linotype" w:eastAsia="MS Mincho" w:hAnsi="Palatino Linotype" w:cs="Arial"/>
          <w:b/>
          <w:bCs/>
          <w:sz w:val="22"/>
          <w:szCs w:val="22"/>
        </w:rPr>
        <w:t xml:space="preserve"> GENERAL DEL CONCEJO METROPOLITANO DE QUITO</w:t>
      </w:r>
    </w:p>
    <w:p w:rsidR="00370715" w:rsidRPr="006336FA" w:rsidRDefault="00370715" w:rsidP="00B7466D">
      <w:pPr>
        <w:pStyle w:val="Textosinformato"/>
        <w:jc w:val="center"/>
        <w:rPr>
          <w:rFonts w:ascii="Palatino Linotype" w:eastAsia="MS Mincho" w:hAnsi="Palatino Linotype" w:cs="Arial"/>
          <w:b/>
          <w:bCs/>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r w:rsidRPr="006336FA">
        <w:rPr>
          <w:rFonts w:ascii="Palatino Linotype" w:eastAsia="MS Mincho" w:hAnsi="Palatino Linotype" w:cs="Arial"/>
          <w:b/>
          <w:bCs/>
          <w:sz w:val="22"/>
          <w:szCs w:val="22"/>
        </w:rPr>
        <w:t>ALCALDÍA DEL DISTRITO METROPOLITANO.-</w:t>
      </w:r>
      <w:r w:rsidRPr="006336FA">
        <w:rPr>
          <w:rFonts w:ascii="Palatino Linotype" w:eastAsia="MS Mincho" w:hAnsi="Palatino Linotype" w:cs="Arial"/>
          <w:sz w:val="22"/>
          <w:szCs w:val="22"/>
        </w:rPr>
        <w:t xml:space="preserve">  Distrito Metropolitano de Quito,</w:t>
      </w:r>
    </w:p>
    <w:p w:rsidR="00B7466D" w:rsidRPr="006336FA" w:rsidRDefault="00B7466D" w:rsidP="00B7466D">
      <w:pPr>
        <w:pStyle w:val="Textosinformato"/>
        <w:jc w:val="center"/>
        <w:rPr>
          <w:rFonts w:ascii="Palatino Linotype" w:eastAsia="MS Mincho" w:hAnsi="Palatino Linotype" w:cs="Arial"/>
          <w:b/>
          <w:sz w:val="22"/>
          <w:szCs w:val="22"/>
        </w:rPr>
      </w:pPr>
    </w:p>
    <w:p w:rsidR="00B7466D" w:rsidRPr="006336FA" w:rsidRDefault="00B7466D" w:rsidP="00B7466D">
      <w:pPr>
        <w:pStyle w:val="Textosinformato"/>
        <w:jc w:val="center"/>
        <w:rPr>
          <w:rFonts w:ascii="Palatino Linotype" w:eastAsia="MS Mincho" w:hAnsi="Palatino Linotype" w:cs="Arial"/>
          <w:b/>
          <w:sz w:val="22"/>
          <w:szCs w:val="22"/>
        </w:rPr>
      </w:pPr>
      <w:r w:rsidRPr="006336FA">
        <w:rPr>
          <w:rFonts w:ascii="Palatino Linotype" w:eastAsia="MS Mincho" w:hAnsi="Palatino Linotype" w:cs="Arial"/>
          <w:b/>
          <w:sz w:val="22"/>
          <w:szCs w:val="22"/>
        </w:rPr>
        <w:t>EJECÚTESE:</w:t>
      </w:r>
    </w:p>
    <w:p w:rsidR="00B7466D" w:rsidRDefault="00B7466D" w:rsidP="00B7466D">
      <w:pPr>
        <w:pStyle w:val="Textosinformato"/>
        <w:jc w:val="center"/>
        <w:rPr>
          <w:rFonts w:ascii="Palatino Linotype" w:eastAsia="MS Mincho" w:hAnsi="Palatino Linotype" w:cs="Arial"/>
          <w:sz w:val="22"/>
          <w:szCs w:val="22"/>
        </w:rPr>
      </w:pPr>
    </w:p>
    <w:p w:rsidR="000E2937" w:rsidRPr="006336FA" w:rsidRDefault="000E2937"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r w:rsidRPr="006336FA">
        <w:rPr>
          <w:rFonts w:ascii="Palatino Linotype" w:eastAsia="MS Mincho" w:hAnsi="Palatino Linotype" w:cs="Arial"/>
          <w:sz w:val="22"/>
          <w:szCs w:val="22"/>
        </w:rPr>
        <w:t>Dr. Mauricio Rodas Espinel</w:t>
      </w:r>
    </w:p>
    <w:p w:rsidR="00B7466D" w:rsidRPr="006336FA"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ALCALDE DEL DISTRITO METROPOLITANO DE QUITO</w:t>
      </w: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spacing w:line="276" w:lineRule="auto"/>
        <w:jc w:val="both"/>
        <w:rPr>
          <w:rFonts w:ascii="Palatino Linotype" w:eastAsia="MS Mincho" w:hAnsi="Palatino Linotype" w:cs="Arial"/>
          <w:sz w:val="22"/>
          <w:szCs w:val="22"/>
        </w:rPr>
      </w:pPr>
      <w:r w:rsidRPr="006336FA">
        <w:rPr>
          <w:rFonts w:ascii="Palatino Linotype" w:eastAsia="MS Mincho" w:hAnsi="Palatino Linotype" w:cs="Arial"/>
          <w:b/>
          <w:bCs/>
          <w:sz w:val="22"/>
          <w:szCs w:val="22"/>
        </w:rPr>
        <w:t>CERTIFICO,</w:t>
      </w:r>
      <w:r w:rsidRPr="006336FA">
        <w:rPr>
          <w:rFonts w:ascii="Palatino Linotype" w:eastAsia="MS Mincho" w:hAnsi="Palatino Linotype" w:cs="Arial"/>
          <w:sz w:val="22"/>
          <w:szCs w:val="22"/>
        </w:rPr>
        <w:t xml:space="preserve"> que la presente ordenanza fue sancionada por el Dr. Mauricio Rodas Espinel, Alcalde  del Distrito Metropolitano de Quito, el</w:t>
      </w:r>
    </w:p>
    <w:p w:rsidR="00B7466D" w:rsidRPr="006336FA" w:rsidRDefault="00B7466D" w:rsidP="00B7466D">
      <w:pPr>
        <w:pStyle w:val="Textosinformato"/>
        <w:tabs>
          <w:tab w:val="right" w:pos="8504"/>
        </w:tabs>
        <w:spacing w:line="276" w:lineRule="auto"/>
        <w:jc w:val="both"/>
        <w:rPr>
          <w:rFonts w:ascii="Palatino Linotype" w:eastAsia="MS Mincho" w:hAnsi="Palatino Linotype" w:cs="Arial"/>
          <w:sz w:val="22"/>
          <w:szCs w:val="22"/>
        </w:rPr>
      </w:pPr>
      <w:r w:rsidRPr="006336FA">
        <w:rPr>
          <w:rFonts w:ascii="Palatino Linotype" w:eastAsia="MS Mincho" w:hAnsi="Palatino Linotype" w:cs="Arial"/>
          <w:sz w:val="22"/>
          <w:szCs w:val="22"/>
        </w:rPr>
        <w:t>.- Distrito Metropolitano de Quito,</w:t>
      </w: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p>
    <w:p w:rsidR="00B7466D" w:rsidRPr="006336FA" w:rsidRDefault="00B7466D" w:rsidP="00B7466D">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 xml:space="preserve">Abg. María Elisa Holmes </w:t>
      </w:r>
      <w:proofErr w:type="spellStart"/>
      <w:r>
        <w:rPr>
          <w:rFonts w:ascii="Palatino Linotype" w:eastAsia="MS Mincho" w:hAnsi="Palatino Linotype" w:cs="Arial"/>
          <w:sz w:val="22"/>
          <w:szCs w:val="22"/>
        </w:rPr>
        <w:t>Roldós</w:t>
      </w:r>
      <w:proofErr w:type="spellEnd"/>
    </w:p>
    <w:p w:rsidR="00B7466D" w:rsidRPr="006336FA"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SECRETARI</w:t>
      </w:r>
      <w:r>
        <w:rPr>
          <w:rFonts w:ascii="Palatino Linotype" w:eastAsia="MS Mincho" w:hAnsi="Palatino Linotype" w:cs="Arial"/>
          <w:b/>
          <w:bCs/>
          <w:sz w:val="22"/>
          <w:szCs w:val="22"/>
        </w:rPr>
        <w:t>A</w:t>
      </w:r>
      <w:r w:rsidRPr="006336FA">
        <w:rPr>
          <w:rFonts w:ascii="Palatino Linotype" w:eastAsia="MS Mincho" w:hAnsi="Palatino Linotype" w:cs="Arial"/>
          <w:b/>
          <w:bCs/>
          <w:sz w:val="22"/>
          <w:szCs w:val="22"/>
        </w:rPr>
        <w:t xml:space="preserve"> GENERAL DEL CONCEJO METROPOLITANO DE QUITO</w:t>
      </w:r>
    </w:p>
    <w:p w:rsidR="00B7466D" w:rsidRPr="009C0D07" w:rsidRDefault="00B7466D" w:rsidP="00B7466D">
      <w:pPr>
        <w:pStyle w:val="Textosinformato"/>
        <w:rPr>
          <w:rFonts w:ascii="Palatino Linotype" w:eastAsia="MS Mincho" w:hAnsi="Palatino Linotype" w:cs="Arial"/>
          <w:b/>
          <w:bCs/>
          <w:sz w:val="12"/>
          <w:szCs w:val="12"/>
        </w:rPr>
      </w:pPr>
      <w:r>
        <w:rPr>
          <w:rFonts w:ascii="Palatino Linotype" w:eastAsia="MS Mincho" w:hAnsi="Palatino Linotype" w:cs="Arial"/>
          <w:b/>
          <w:bCs/>
          <w:sz w:val="12"/>
          <w:szCs w:val="12"/>
        </w:rPr>
        <w:t>DSCS</w:t>
      </w:r>
    </w:p>
    <w:p w:rsidR="00E66A6D" w:rsidRPr="00EA1685" w:rsidRDefault="00E66A6D" w:rsidP="00EA1685">
      <w:pPr>
        <w:tabs>
          <w:tab w:val="left" w:pos="2977"/>
        </w:tabs>
        <w:spacing w:after="120" w:line="276" w:lineRule="auto"/>
        <w:jc w:val="both"/>
        <w:rPr>
          <w:rFonts w:ascii="Palatino Linotype" w:eastAsia="Arial Unicode MS" w:hAnsi="Palatino Linotype" w:cstheme="minorHAnsi"/>
          <w:lang w:eastAsia="es-EC"/>
        </w:rPr>
      </w:pPr>
    </w:p>
    <w:p w:rsidR="00E56EBE" w:rsidRPr="00EA1685" w:rsidRDefault="00E56EBE" w:rsidP="00EA1685">
      <w:pPr>
        <w:pStyle w:val="Textoindependiente"/>
        <w:spacing w:line="276" w:lineRule="auto"/>
        <w:jc w:val="both"/>
        <w:rPr>
          <w:rFonts w:ascii="Palatino Linotype" w:hAnsi="Palatino Linotype" w:cstheme="minorHAnsi"/>
          <w:sz w:val="22"/>
          <w:szCs w:val="22"/>
          <w:lang w:val="es-EC" w:eastAsia="ar-SA"/>
        </w:rPr>
      </w:pPr>
    </w:p>
    <w:sectPr w:rsidR="00E56EBE" w:rsidRPr="00EA1685" w:rsidSect="00123FE0">
      <w:headerReference w:type="even" r:id="rId11"/>
      <w:headerReference w:type="default" r:id="rId12"/>
      <w:footerReference w:type="default" r:id="rId13"/>
      <w:headerReference w:type="first" r:id="rId14"/>
      <w:pgSz w:w="11907" w:h="16839" w:code="9"/>
      <w:pgMar w:top="1417" w:right="1417" w:bottom="1417" w:left="1701"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blo Hernan Ortega Ramirez" w:date="2017-04-04T15:36:00Z" w:initials="PHOR">
    <w:p w:rsidR="00772C3C" w:rsidRDefault="00772C3C">
      <w:pPr>
        <w:pStyle w:val="Textocomentario"/>
      </w:pPr>
      <w:r>
        <w:rPr>
          <w:rStyle w:val="Refdecomentario"/>
        </w:rPr>
        <w:annotationRef/>
      </w:r>
      <w:r>
        <w:t xml:space="preserve">Se </w:t>
      </w:r>
      <w:r w:rsidR="00564069">
        <w:t>suprime</w:t>
      </w:r>
      <w:r>
        <w:t xml:space="preserve"> este artículo.</w:t>
      </w:r>
    </w:p>
  </w:comment>
  <w:comment w:id="1" w:author="Pablo Hernan Ortega Ramirez" w:date="2017-04-04T10:12:00Z" w:initials="PHOR">
    <w:p w:rsidR="00382782" w:rsidRDefault="00382782">
      <w:pPr>
        <w:pStyle w:val="Textocomentario"/>
      </w:pPr>
      <w:r>
        <w:rPr>
          <w:rStyle w:val="Refdecomentario"/>
        </w:rPr>
        <w:annotationRef/>
      </w:r>
      <w:r>
        <w:t>Se elimina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83" w:rsidRDefault="00C67583" w:rsidP="00EA1685">
      <w:pPr>
        <w:spacing w:after="0" w:line="240" w:lineRule="auto"/>
      </w:pPr>
      <w:r>
        <w:separator/>
      </w:r>
    </w:p>
  </w:endnote>
  <w:endnote w:type="continuationSeparator" w:id="0">
    <w:p w:rsidR="00C67583" w:rsidRDefault="00C67583" w:rsidP="00EA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61931"/>
      <w:docPartObj>
        <w:docPartGallery w:val="Page Numbers (Bottom of Page)"/>
        <w:docPartUnique/>
      </w:docPartObj>
    </w:sdtPr>
    <w:sdtEndPr/>
    <w:sdtContent>
      <w:sdt>
        <w:sdtPr>
          <w:id w:val="-124324645"/>
          <w:docPartObj>
            <w:docPartGallery w:val="Page Numbers (Top of Page)"/>
            <w:docPartUnique/>
          </w:docPartObj>
        </w:sdtPr>
        <w:sdtEndPr/>
        <w:sdtContent>
          <w:p w:rsidR="00074594" w:rsidRDefault="00074594">
            <w:pPr>
              <w:pStyle w:val="Piedepgina"/>
              <w:jc w:val="right"/>
            </w:pPr>
            <w:r w:rsidRPr="00637B39">
              <w:rPr>
                <w:rFonts w:ascii="Palatino Linotype" w:hAnsi="Palatino Linotype"/>
                <w:lang w:val="es-ES"/>
              </w:rPr>
              <w:t xml:space="preserve">Página </w:t>
            </w:r>
            <w:r w:rsidR="005D3116" w:rsidRPr="00637B39">
              <w:rPr>
                <w:rFonts w:ascii="Palatino Linotype" w:hAnsi="Palatino Linotype"/>
                <w:b/>
                <w:bCs/>
              </w:rPr>
              <w:fldChar w:fldCharType="begin"/>
            </w:r>
            <w:r w:rsidRPr="00637B39">
              <w:rPr>
                <w:rFonts w:ascii="Palatino Linotype" w:hAnsi="Palatino Linotype"/>
                <w:b/>
                <w:bCs/>
              </w:rPr>
              <w:instrText>PAGE</w:instrText>
            </w:r>
            <w:r w:rsidR="005D3116" w:rsidRPr="00637B39">
              <w:rPr>
                <w:rFonts w:ascii="Palatino Linotype" w:hAnsi="Palatino Linotype"/>
                <w:b/>
                <w:bCs/>
              </w:rPr>
              <w:fldChar w:fldCharType="separate"/>
            </w:r>
            <w:r w:rsidR="00CF2948">
              <w:rPr>
                <w:rFonts w:ascii="Palatino Linotype" w:hAnsi="Palatino Linotype"/>
                <w:b/>
                <w:bCs/>
                <w:noProof/>
              </w:rPr>
              <w:t>14</w:t>
            </w:r>
            <w:r w:rsidR="005D3116" w:rsidRPr="00637B39">
              <w:rPr>
                <w:rFonts w:ascii="Palatino Linotype" w:hAnsi="Palatino Linotype"/>
                <w:b/>
                <w:bCs/>
              </w:rPr>
              <w:fldChar w:fldCharType="end"/>
            </w:r>
            <w:r w:rsidRPr="00637B39">
              <w:rPr>
                <w:rFonts w:ascii="Palatino Linotype" w:hAnsi="Palatino Linotype"/>
                <w:lang w:val="es-ES"/>
              </w:rPr>
              <w:t xml:space="preserve"> de </w:t>
            </w:r>
            <w:r>
              <w:rPr>
                <w:rFonts w:ascii="Palatino Linotype" w:hAnsi="Palatino Linotype"/>
                <w:b/>
                <w:bCs/>
              </w:rPr>
              <w:t>77</w:t>
            </w:r>
          </w:p>
        </w:sdtContent>
      </w:sdt>
    </w:sdtContent>
  </w:sdt>
  <w:p w:rsidR="00074594" w:rsidRDefault="000745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83" w:rsidRDefault="00C67583" w:rsidP="00EA1685">
      <w:pPr>
        <w:spacing w:after="0" w:line="240" w:lineRule="auto"/>
      </w:pPr>
      <w:r>
        <w:separator/>
      </w:r>
    </w:p>
  </w:footnote>
  <w:footnote w:type="continuationSeparator" w:id="0">
    <w:p w:rsidR="00C67583" w:rsidRDefault="00C67583" w:rsidP="00EA1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94" w:rsidRDefault="00074594">
    <w:pPr>
      <w:pStyle w:val="Encabezado"/>
    </w:pPr>
  </w:p>
  <w:p w:rsidR="00074594" w:rsidRDefault="00074594">
    <w:pPr>
      <w:pStyle w:val="Encabezado"/>
    </w:pPr>
  </w:p>
  <w:p w:rsidR="00074594" w:rsidRDefault="00074594">
    <w:pPr>
      <w:pStyle w:val="Encabezado"/>
    </w:pPr>
  </w:p>
  <w:p w:rsidR="00074594" w:rsidRDefault="00074594">
    <w:pPr>
      <w:pStyle w:val="Encabezado"/>
    </w:pPr>
  </w:p>
  <w:p w:rsidR="00074594" w:rsidRDefault="00074594" w:rsidP="00EA1685">
    <w:pPr>
      <w:pStyle w:val="Ttulo"/>
      <w:tabs>
        <w:tab w:val="left" w:pos="3696"/>
        <w:tab w:val="left" w:pos="4253"/>
      </w:tabs>
      <w:spacing w:after="120" w:line="276" w:lineRule="auto"/>
      <w:rPr>
        <w:rFonts w:ascii="Palatino Linotype" w:hAnsi="Palatino Linotype" w:cstheme="minorHAnsi"/>
        <w:sz w:val="22"/>
        <w:szCs w:val="22"/>
        <w:lang w:val="es-ES"/>
      </w:rPr>
    </w:pPr>
  </w:p>
  <w:p w:rsidR="00074594" w:rsidRPr="00EA1685" w:rsidRDefault="00074594" w:rsidP="00EA1685">
    <w:pPr>
      <w:pStyle w:val="Ttulo"/>
      <w:tabs>
        <w:tab w:val="left" w:pos="3696"/>
        <w:tab w:val="left" w:pos="4253"/>
      </w:tabs>
      <w:spacing w:after="120" w:line="276" w:lineRule="auto"/>
      <w:rPr>
        <w:rFonts w:ascii="Palatino Linotype" w:hAnsi="Palatino Linotype" w:cstheme="minorHAnsi"/>
        <w:sz w:val="22"/>
        <w:szCs w:val="22"/>
        <w:lang w:val="es-ES"/>
      </w:rPr>
    </w:pPr>
    <w:r>
      <w:rPr>
        <w:rFonts w:ascii="Palatino Linotype" w:hAnsi="Palatino Linotype" w:cstheme="minorHAnsi"/>
        <w:sz w:val="22"/>
        <w:szCs w:val="22"/>
        <w:lang w:val="es-ES"/>
      </w:rPr>
      <w:t xml:space="preserve">ORDENANZA METROPOLITANA No.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94" w:rsidRDefault="0007459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94" w:rsidRPr="004E51E6" w:rsidRDefault="00074594">
    <w:pPr>
      <w:pStyle w:val="Encabezado"/>
      <w:rPr>
        <w:lang w:val="es-ES_tradnl"/>
      </w:rPr>
    </w:pPr>
  </w:p>
  <w:p w:rsidR="00074594" w:rsidRDefault="0007459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94" w:rsidRDefault="000745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5E6F8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47940EB"/>
    <w:multiLevelType w:val="hybridMultilevel"/>
    <w:tmpl w:val="F11204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C2377E"/>
    <w:multiLevelType w:val="hybridMultilevel"/>
    <w:tmpl w:val="0F020D8A"/>
    <w:lvl w:ilvl="0" w:tplc="B73889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8A426B"/>
    <w:multiLevelType w:val="hybridMultilevel"/>
    <w:tmpl w:val="98EABC1C"/>
    <w:lvl w:ilvl="0" w:tplc="300A000D">
      <w:start w:val="1"/>
      <w:numFmt w:val="bullet"/>
      <w:lvlText w:val=""/>
      <w:lvlJc w:val="left"/>
      <w:pPr>
        <w:ind w:left="2172" w:hanging="360"/>
      </w:pPr>
      <w:rPr>
        <w:rFonts w:ascii="Wingdings" w:hAnsi="Wingdings" w:hint="default"/>
      </w:rPr>
    </w:lvl>
    <w:lvl w:ilvl="1" w:tplc="300A0003" w:tentative="1">
      <w:start w:val="1"/>
      <w:numFmt w:val="bullet"/>
      <w:lvlText w:val="o"/>
      <w:lvlJc w:val="left"/>
      <w:pPr>
        <w:ind w:left="2892" w:hanging="360"/>
      </w:pPr>
      <w:rPr>
        <w:rFonts w:ascii="Courier New" w:hAnsi="Courier New" w:cs="Courier New" w:hint="default"/>
      </w:rPr>
    </w:lvl>
    <w:lvl w:ilvl="2" w:tplc="300A0005" w:tentative="1">
      <w:start w:val="1"/>
      <w:numFmt w:val="bullet"/>
      <w:lvlText w:val=""/>
      <w:lvlJc w:val="left"/>
      <w:pPr>
        <w:ind w:left="3612" w:hanging="360"/>
      </w:pPr>
      <w:rPr>
        <w:rFonts w:ascii="Wingdings" w:hAnsi="Wingdings" w:hint="default"/>
      </w:rPr>
    </w:lvl>
    <w:lvl w:ilvl="3" w:tplc="300A0001" w:tentative="1">
      <w:start w:val="1"/>
      <w:numFmt w:val="bullet"/>
      <w:lvlText w:val=""/>
      <w:lvlJc w:val="left"/>
      <w:pPr>
        <w:ind w:left="4332" w:hanging="360"/>
      </w:pPr>
      <w:rPr>
        <w:rFonts w:ascii="Symbol" w:hAnsi="Symbol" w:hint="default"/>
      </w:rPr>
    </w:lvl>
    <w:lvl w:ilvl="4" w:tplc="300A0003" w:tentative="1">
      <w:start w:val="1"/>
      <w:numFmt w:val="bullet"/>
      <w:lvlText w:val="o"/>
      <w:lvlJc w:val="left"/>
      <w:pPr>
        <w:ind w:left="5052" w:hanging="360"/>
      </w:pPr>
      <w:rPr>
        <w:rFonts w:ascii="Courier New" w:hAnsi="Courier New" w:cs="Courier New" w:hint="default"/>
      </w:rPr>
    </w:lvl>
    <w:lvl w:ilvl="5" w:tplc="300A0005" w:tentative="1">
      <w:start w:val="1"/>
      <w:numFmt w:val="bullet"/>
      <w:lvlText w:val=""/>
      <w:lvlJc w:val="left"/>
      <w:pPr>
        <w:ind w:left="5772" w:hanging="360"/>
      </w:pPr>
      <w:rPr>
        <w:rFonts w:ascii="Wingdings" w:hAnsi="Wingdings" w:hint="default"/>
      </w:rPr>
    </w:lvl>
    <w:lvl w:ilvl="6" w:tplc="300A0001" w:tentative="1">
      <w:start w:val="1"/>
      <w:numFmt w:val="bullet"/>
      <w:lvlText w:val=""/>
      <w:lvlJc w:val="left"/>
      <w:pPr>
        <w:ind w:left="6492" w:hanging="360"/>
      </w:pPr>
      <w:rPr>
        <w:rFonts w:ascii="Symbol" w:hAnsi="Symbol" w:hint="default"/>
      </w:rPr>
    </w:lvl>
    <w:lvl w:ilvl="7" w:tplc="300A0003" w:tentative="1">
      <w:start w:val="1"/>
      <w:numFmt w:val="bullet"/>
      <w:lvlText w:val="o"/>
      <w:lvlJc w:val="left"/>
      <w:pPr>
        <w:ind w:left="7212" w:hanging="360"/>
      </w:pPr>
      <w:rPr>
        <w:rFonts w:ascii="Courier New" w:hAnsi="Courier New" w:cs="Courier New" w:hint="default"/>
      </w:rPr>
    </w:lvl>
    <w:lvl w:ilvl="8" w:tplc="300A0005" w:tentative="1">
      <w:start w:val="1"/>
      <w:numFmt w:val="bullet"/>
      <w:lvlText w:val=""/>
      <w:lvlJc w:val="left"/>
      <w:pPr>
        <w:ind w:left="7932" w:hanging="360"/>
      </w:pPr>
      <w:rPr>
        <w:rFonts w:ascii="Wingdings" w:hAnsi="Wingdings" w:hint="default"/>
      </w:rPr>
    </w:lvl>
  </w:abstractNum>
  <w:abstractNum w:abstractNumId="4">
    <w:nsid w:val="0EE0558E"/>
    <w:multiLevelType w:val="multilevel"/>
    <w:tmpl w:val="2D744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B5D25"/>
    <w:multiLevelType w:val="hybridMultilevel"/>
    <w:tmpl w:val="26B42796"/>
    <w:lvl w:ilvl="0" w:tplc="341EA902">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10D54BF"/>
    <w:multiLevelType w:val="hybridMultilevel"/>
    <w:tmpl w:val="2EB40EA8"/>
    <w:lvl w:ilvl="0" w:tplc="C4B00B92">
      <w:start w:val="1"/>
      <w:numFmt w:val="lowerLetter"/>
      <w:lvlText w:val="%1)"/>
      <w:lvlJc w:val="left"/>
      <w:pPr>
        <w:ind w:left="5100" w:hanging="705"/>
      </w:pPr>
      <w:rPr>
        <w:rFonts w:hint="default"/>
        <w:b/>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7">
    <w:nsid w:val="12AF0314"/>
    <w:multiLevelType w:val="hybridMultilevel"/>
    <w:tmpl w:val="BFF0EF2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5232666"/>
    <w:multiLevelType w:val="hybridMultilevel"/>
    <w:tmpl w:val="9E8843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41067C"/>
    <w:multiLevelType w:val="hybridMultilevel"/>
    <w:tmpl w:val="F050F774"/>
    <w:lvl w:ilvl="0" w:tplc="ADDC507A">
      <w:start w:val="1"/>
      <w:numFmt w:val="lowerLetter"/>
      <w:lvlText w:val="%1)"/>
      <w:lvlJc w:val="left"/>
      <w:pPr>
        <w:ind w:left="1068" w:hanging="360"/>
      </w:pPr>
      <w:rPr>
        <w:rFonts w:hint="default"/>
        <w:b/>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0">
    <w:nsid w:val="156204F3"/>
    <w:multiLevelType w:val="multilevel"/>
    <w:tmpl w:val="78D64B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9F534F"/>
    <w:multiLevelType w:val="hybridMultilevel"/>
    <w:tmpl w:val="D2140440"/>
    <w:lvl w:ilvl="0" w:tplc="60EEEC86">
      <w:start w:val="1"/>
      <w:numFmt w:val="lowerLetter"/>
      <w:lvlText w:val="%1)"/>
      <w:lvlJc w:val="left"/>
      <w:pPr>
        <w:ind w:left="720" w:hanging="360"/>
      </w:pPr>
      <w:rPr>
        <w:rFonts w:hint="default"/>
        <w:b/>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9591602"/>
    <w:multiLevelType w:val="hybridMultilevel"/>
    <w:tmpl w:val="BBA4F1C4"/>
    <w:lvl w:ilvl="0" w:tplc="3B582326">
      <w:start w:val="4"/>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9AF01C6"/>
    <w:multiLevelType w:val="hybridMultilevel"/>
    <w:tmpl w:val="E314F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BAE2020"/>
    <w:multiLevelType w:val="hybridMultilevel"/>
    <w:tmpl w:val="21B43B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F1B795C"/>
    <w:multiLevelType w:val="hybridMultilevel"/>
    <w:tmpl w:val="236436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FAA7409"/>
    <w:multiLevelType w:val="hybridMultilevel"/>
    <w:tmpl w:val="9F66BB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3DE2DDD"/>
    <w:multiLevelType w:val="multilevel"/>
    <w:tmpl w:val="EB965E74"/>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4A652B"/>
    <w:multiLevelType w:val="hybridMultilevel"/>
    <w:tmpl w:val="894CA380"/>
    <w:lvl w:ilvl="0" w:tplc="F852EA6C">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E8442B9"/>
    <w:multiLevelType w:val="hybridMultilevel"/>
    <w:tmpl w:val="C29202C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39C23B7"/>
    <w:multiLevelType w:val="hybridMultilevel"/>
    <w:tmpl w:val="C4F0DD24"/>
    <w:lvl w:ilvl="0" w:tplc="300A0003">
      <w:start w:val="1"/>
      <w:numFmt w:val="bullet"/>
      <w:lvlText w:val="o"/>
      <w:lvlJc w:val="left"/>
      <w:pPr>
        <w:ind w:left="2138" w:hanging="360"/>
      </w:pPr>
      <w:rPr>
        <w:rFonts w:ascii="Courier New" w:hAnsi="Courier New" w:cs="Courier New"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21">
    <w:nsid w:val="45B97BF3"/>
    <w:multiLevelType w:val="hybridMultilevel"/>
    <w:tmpl w:val="3044211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89D7416"/>
    <w:multiLevelType w:val="hybridMultilevel"/>
    <w:tmpl w:val="C220BB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9A3425A"/>
    <w:multiLevelType w:val="multilevel"/>
    <w:tmpl w:val="D5746AE2"/>
    <w:lvl w:ilvl="0">
      <w:start w:val="1"/>
      <w:numFmt w:val="decimal"/>
      <w:lvlText w:val="%1."/>
      <w:lvlJc w:val="left"/>
      <w:pPr>
        <w:ind w:left="720" w:hanging="360"/>
      </w:pPr>
    </w:lvl>
    <w:lvl w:ilvl="1">
      <w:start w:val="1"/>
      <w:numFmt w:val="decimal"/>
      <w:isLgl/>
      <w:lvlText w:val="%1.%2"/>
      <w:lvlJc w:val="left"/>
      <w:pPr>
        <w:ind w:left="1212" w:hanging="420"/>
      </w:pPr>
      <w:rPr>
        <w:rFonts w:hint="default"/>
        <w:b/>
      </w:rPr>
    </w:lvl>
    <w:lvl w:ilvl="2">
      <w:start w:val="1"/>
      <w:numFmt w:val="decimal"/>
      <w:isLgl/>
      <w:lvlText w:val="%1.%2.%3"/>
      <w:lvlJc w:val="left"/>
      <w:pPr>
        <w:ind w:left="1944" w:hanging="720"/>
      </w:pPr>
      <w:rPr>
        <w:rFonts w:hint="default"/>
        <w:b/>
        <w:sz w:val="22"/>
        <w:szCs w:val="22"/>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4">
    <w:nsid w:val="4ABA0895"/>
    <w:multiLevelType w:val="hybridMultilevel"/>
    <w:tmpl w:val="DD28ED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4AF37FE1"/>
    <w:multiLevelType w:val="hybridMultilevel"/>
    <w:tmpl w:val="A07AEEA0"/>
    <w:lvl w:ilvl="0" w:tplc="FE82489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B5668EB"/>
    <w:multiLevelType w:val="hybridMultilevel"/>
    <w:tmpl w:val="EE140D1C"/>
    <w:lvl w:ilvl="0" w:tplc="69822530">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00B72BE"/>
    <w:multiLevelType w:val="hybridMultilevel"/>
    <w:tmpl w:val="6EAC470C"/>
    <w:lvl w:ilvl="0" w:tplc="3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B525B"/>
    <w:multiLevelType w:val="hybridMultilevel"/>
    <w:tmpl w:val="8B3E69EE"/>
    <w:lvl w:ilvl="0" w:tplc="300A0001">
      <w:start w:val="1"/>
      <w:numFmt w:val="bullet"/>
      <w:lvlText w:val=""/>
      <w:lvlJc w:val="left"/>
      <w:pPr>
        <w:ind w:left="720" w:hanging="360"/>
      </w:pPr>
      <w:rPr>
        <w:rFonts w:ascii="Symbol" w:hAnsi="Symbol" w:hint="default"/>
      </w:rPr>
    </w:lvl>
    <w:lvl w:ilvl="1" w:tplc="3D844C54">
      <w:start w:val="1"/>
      <w:numFmt w:val="bullet"/>
      <w:lvlText w:val="o"/>
      <w:lvlJc w:val="left"/>
      <w:pPr>
        <w:ind w:left="1440" w:hanging="360"/>
      </w:pPr>
      <w:rPr>
        <w:rFonts w:ascii="Courier New" w:hAnsi="Courier New" w:cs="Courier New" w:hint="default"/>
        <w:strike w:val="0"/>
        <w:color w:val="auto"/>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FFA3993"/>
    <w:multiLevelType w:val="hybridMultilevel"/>
    <w:tmpl w:val="DCDC8D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0">
    <w:nsid w:val="65A06AD9"/>
    <w:multiLevelType w:val="hybridMultilevel"/>
    <w:tmpl w:val="2FECBC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72920B3B"/>
    <w:multiLevelType w:val="hybridMultilevel"/>
    <w:tmpl w:val="814A78E0"/>
    <w:lvl w:ilvl="0" w:tplc="04090003">
      <w:start w:val="1"/>
      <w:numFmt w:val="bullet"/>
      <w:lvlText w:val="o"/>
      <w:lvlJc w:val="left"/>
      <w:pPr>
        <w:ind w:left="1213" w:hanging="360"/>
      </w:pPr>
      <w:rPr>
        <w:rFonts w:ascii="Courier New" w:hAnsi="Courier New" w:cs="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2">
    <w:nsid w:val="73361EDC"/>
    <w:multiLevelType w:val="hybridMultilevel"/>
    <w:tmpl w:val="1B70E8D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nsid w:val="7FDD0878"/>
    <w:multiLevelType w:val="hybridMultilevel"/>
    <w:tmpl w:val="4940B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5"/>
  </w:num>
  <w:num w:numId="4">
    <w:abstractNumId w:val="26"/>
  </w:num>
  <w:num w:numId="5">
    <w:abstractNumId w:val="9"/>
  </w:num>
  <w:num w:numId="6">
    <w:abstractNumId w:val="5"/>
  </w:num>
  <w:num w:numId="7">
    <w:abstractNumId w:val="32"/>
  </w:num>
  <w:num w:numId="8">
    <w:abstractNumId w:val="6"/>
  </w:num>
  <w:num w:numId="9">
    <w:abstractNumId w:val="1"/>
  </w:num>
  <w:num w:numId="10">
    <w:abstractNumId w:val="31"/>
  </w:num>
  <w:num w:numId="11">
    <w:abstractNumId w:val="0"/>
  </w:num>
  <w:num w:numId="12">
    <w:abstractNumId w:val="28"/>
  </w:num>
  <w:num w:numId="13">
    <w:abstractNumId w:val="18"/>
  </w:num>
  <w:num w:numId="14">
    <w:abstractNumId w:val="21"/>
  </w:num>
  <w:num w:numId="15">
    <w:abstractNumId w:val="27"/>
  </w:num>
  <w:num w:numId="16">
    <w:abstractNumId w:val="3"/>
  </w:num>
  <w:num w:numId="17">
    <w:abstractNumId w:val="11"/>
  </w:num>
  <w:num w:numId="18">
    <w:abstractNumId w:val="24"/>
  </w:num>
  <w:num w:numId="19">
    <w:abstractNumId w:val="8"/>
  </w:num>
  <w:num w:numId="20">
    <w:abstractNumId w:val="30"/>
  </w:num>
  <w:num w:numId="21">
    <w:abstractNumId w:val="22"/>
  </w:num>
  <w:num w:numId="22">
    <w:abstractNumId w:val="19"/>
  </w:num>
  <w:num w:numId="23">
    <w:abstractNumId w:val="13"/>
  </w:num>
  <w:num w:numId="24">
    <w:abstractNumId w:val="16"/>
  </w:num>
  <w:num w:numId="25">
    <w:abstractNumId w:val="12"/>
  </w:num>
  <w:num w:numId="26">
    <w:abstractNumId w:val="20"/>
  </w:num>
  <w:num w:numId="27">
    <w:abstractNumId w:val="4"/>
  </w:num>
  <w:num w:numId="28">
    <w:abstractNumId w:val="17"/>
  </w:num>
  <w:num w:numId="29">
    <w:abstractNumId w:val="23"/>
  </w:num>
  <w:num w:numId="30">
    <w:abstractNumId w:val="10"/>
  </w:num>
  <w:num w:numId="31">
    <w:abstractNumId w:val="15"/>
  </w:num>
  <w:num w:numId="32">
    <w:abstractNumId w:val="33"/>
  </w:num>
  <w:num w:numId="33">
    <w:abstractNumId w:val="14"/>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2AC"/>
    <w:rsid w:val="00000BC4"/>
    <w:rsid w:val="000048EF"/>
    <w:rsid w:val="00007657"/>
    <w:rsid w:val="00011721"/>
    <w:rsid w:val="00012CB2"/>
    <w:rsid w:val="00014A95"/>
    <w:rsid w:val="0001656C"/>
    <w:rsid w:val="000208D0"/>
    <w:rsid w:val="00021BA4"/>
    <w:rsid w:val="0003197E"/>
    <w:rsid w:val="000325D1"/>
    <w:rsid w:val="00037320"/>
    <w:rsid w:val="00037D8C"/>
    <w:rsid w:val="00042024"/>
    <w:rsid w:val="000455A5"/>
    <w:rsid w:val="00047DC3"/>
    <w:rsid w:val="00050B7D"/>
    <w:rsid w:val="00050D04"/>
    <w:rsid w:val="000521AB"/>
    <w:rsid w:val="00053466"/>
    <w:rsid w:val="00056068"/>
    <w:rsid w:val="000609AA"/>
    <w:rsid w:val="00062294"/>
    <w:rsid w:val="00065F10"/>
    <w:rsid w:val="00066B75"/>
    <w:rsid w:val="00066DD7"/>
    <w:rsid w:val="00070D04"/>
    <w:rsid w:val="00074594"/>
    <w:rsid w:val="00075715"/>
    <w:rsid w:val="00075F61"/>
    <w:rsid w:val="0007610A"/>
    <w:rsid w:val="00076BD6"/>
    <w:rsid w:val="00086F4B"/>
    <w:rsid w:val="00086FE3"/>
    <w:rsid w:val="00096029"/>
    <w:rsid w:val="000A0BA0"/>
    <w:rsid w:val="000A399D"/>
    <w:rsid w:val="000A3F41"/>
    <w:rsid w:val="000A5343"/>
    <w:rsid w:val="000A5B97"/>
    <w:rsid w:val="000A6A9A"/>
    <w:rsid w:val="000B0CB6"/>
    <w:rsid w:val="000B467F"/>
    <w:rsid w:val="000B7FFC"/>
    <w:rsid w:val="000C061D"/>
    <w:rsid w:val="000C2AAD"/>
    <w:rsid w:val="000C31CB"/>
    <w:rsid w:val="000C3F63"/>
    <w:rsid w:val="000C546A"/>
    <w:rsid w:val="000C649C"/>
    <w:rsid w:val="000D6808"/>
    <w:rsid w:val="000D7424"/>
    <w:rsid w:val="000E0854"/>
    <w:rsid w:val="000E2937"/>
    <w:rsid w:val="000E5462"/>
    <w:rsid w:val="000E6D54"/>
    <w:rsid w:val="000E7F59"/>
    <w:rsid w:val="000F1309"/>
    <w:rsid w:val="000F1B9F"/>
    <w:rsid w:val="000F38B7"/>
    <w:rsid w:val="00100C34"/>
    <w:rsid w:val="00101021"/>
    <w:rsid w:val="00103C4B"/>
    <w:rsid w:val="0010456A"/>
    <w:rsid w:val="00104BAA"/>
    <w:rsid w:val="00104CBD"/>
    <w:rsid w:val="00116C1D"/>
    <w:rsid w:val="0012274B"/>
    <w:rsid w:val="00123FE0"/>
    <w:rsid w:val="001254C1"/>
    <w:rsid w:val="0013303B"/>
    <w:rsid w:val="00133534"/>
    <w:rsid w:val="001364F5"/>
    <w:rsid w:val="00137188"/>
    <w:rsid w:val="00137191"/>
    <w:rsid w:val="00137703"/>
    <w:rsid w:val="00137D9E"/>
    <w:rsid w:val="00142C1D"/>
    <w:rsid w:val="00146A84"/>
    <w:rsid w:val="00147F25"/>
    <w:rsid w:val="00150BF2"/>
    <w:rsid w:val="00173225"/>
    <w:rsid w:val="00174388"/>
    <w:rsid w:val="00181CC5"/>
    <w:rsid w:val="00183D48"/>
    <w:rsid w:val="00187310"/>
    <w:rsid w:val="00190D70"/>
    <w:rsid w:val="00194148"/>
    <w:rsid w:val="001A0892"/>
    <w:rsid w:val="001A2122"/>
    <w:rsid w:val="001A629F"/>
    <w:rsid w:val="001A6F6E"/>
    <w:rsid w:val="001B6202"/>
    <w:rsid w:val="001B665C"/>
    <w:rsid w:val="001B74E0"/>
    <w:rsid w:val="001C1634"/>
    <w:rsid w:val="001C5446"/>
    <w:rsid w:val="001C7AE0"/>
    <w:rsid w:val="001D1416"/>
    <w:rsid w:val="001D30A7"/>
    <w:rsid w:val="001D54DE"/>
    <w:rsid w:val="001D5DEB"/>
    <w:rsid w:val="001E26E2"/>
    <w:rsid w:val="001E763D"/>
    <w:rsid w:val="001E7FE9"/>
    <w:rsid w:val="001F5BCA"/>
    <w:rsid w:val="00203B6B"/>
    <w:rsid w:val="002102DC"/>
    <w:rsid w:val="00213925"/>
    <w:rsid w:val="00224C69"/>
    <w:rsid w:val="00230FE7"/>
    <w:rsid w:val="00233195"/>
    <w:rsid w:val="00234AB2"/>
    <w:rsid w:val="002351A0"/>
    <w:rsid w:val="002351AF"/>
    <w:rsid w:val="00235940"/>
    <w:rsid w:val="00241406"/>
    <w:rsid w:val="00247239"/>
    <w:rsid w:val="00254944"/>
    <w:rsid w:val="002558F0"/>
    <w:rsid w:val="0025607C"/>
    <w:rsid w:val="00260315"/>
    <w:rsid w:val="00260E7A"/>
    <w:rsid w:val="002616EE"/>
    <w:rsid w:val="00263094"/>
    <w:rsid w:val="00266CE7"/>
    <w:rsid w:val="00272D6E"/>
    <w:rsid w:val="00273247"/>
    <w:rsid w:val="002750D2"/>
    <w:rsid w:val="00275D64"/>
    <w:rsid w:val="00276B2B"/>
    <w:rsid w:val="00282AE3"/>
    <w:rsid w:val="00293138"/>
    <w:rsid w:val="0029374D"/>
    <w:rsid w:val="00297280"/>
    <w:rsid w:val="002A132B"/>
    <w:rsid w:val="002A2211"/>
    <w:rsid w:val="002A2B9F"/>
    <w:rsid w:val="002A4924"/>
    <w:rsid w:val="002A5AE5"/>
    <w:rsid w:val="002A7E90"/>
    <w:rsid w:val="002B21BC"/>
    <w:rsid w:val="002B7291"/>
    <w:rsid w:val="002C346B"/>
    <w:rsid w:val="002C5002"/>
    <w:rsid w:val="002C5DB6"/>
    <w:rsid w:val="002C6D48"/>
    <w:rsid w:val="002D09A1"/>
    <w:rsid w:val="002D0FD2"/>
    <w:rsid w:val="002D3856"/>
    <w:rsid w:val="002D490A"/>
    <w:rsid w:val="002D5833"/>
    <w:rsid w:val="002D6FB3"/>
    <w:rsid w:val="002D70CA"/>
    <w:rsid w:val="002D7E26"/>
    <w:rsid w:val="002E23F0"/>
    <w:rsid w:val="002E4476"/>
    <w:rsid w:val="002F1857"/>
    <w:rsid w:val="002F2C49"/>
    <w:rsid w:val="002F2E5B"/>
    <w:rsid w:val="002F359B"/>
    <w:rsid w:val="002F370C"/>
    <w:rsid w:val="00300F18"/>
    <w:rsid w:val="00311B39"/>
    <w:rsid w:val="00320DF3"/>
    <w:rsid w:val="00323885"/>
    <w:rsid w:val="0032531E"/>
    <w:rsid w:val="00327C20"/>
    <w:rsid w:val="0033014F"/>
    <w:rsid w:val="003320D4"/>
    <w:rsid w:val="00333B44"/>
    <w:rsid w:val="003360C8"/>
    <w:rsid w:val="00336A60"/>
    <w:rsid w:val="00340C71"/>
    <w:rsid w:val="003415C0"/>
    <w:rsid w:val="00341778"/>
    <w:rsid w:val="00346EA6"/>
    <w:rsid w:val="00353294"/>
    <w:rsid w:val="00354181"/>
    <w:rsid w:val="00356588"/>
    <w:rsid w:val="00363424"/>
    <w:rsid w:val="00364056"/>
    <w:rsid w:val="00370715"/>
    <w:rsid w:val="00371A83"/>
    <w:rsid w:val="00372ABA"/>
    <w:rsid w:val="00375C0C"/>
    <w:rsid w:val="00375CEA"/>
    <w:rsid w:val="00382782"/>
    <w:rsid w:val="00390235"/>
    <w:rsid w:val="00390DFD"/>
    <w:rsid w:val="00390E87"/>
    <w:rsid w:val="00391B47"/>
    <w:rsid w:val="0039444A"/>
    <w:rsid w:val="00396473"/>
    <w:rsid w:val="003A1A15"/>
    <w:rsid w:val="003B3DB6"/>
    <w:rsid w:val="003B4DE3"/>
    <w:rsid w:val="003B51E7"/>
    <w:rsid w:val="003B6891"/>
    <w:rsid w:val="003C1C8B"/>
    <w:rsid w:val="003C3C54"/>
    <w:rsid w:val="003C3FE5"/>
    <w:rsid w:val="003D019E"/>
    <w:rsid w:val="003D5B53"/>
    <w:rsid w:val="003D631D"/>
    <w:rsid w:val="003E17DE"/>
    <w:rsid w:val="003E1A03"/>
    <w:rsid w:val="003E5D3A"/>
    <w:rsid w:val="003E75A4"/>
    <w:rsid w:val="003F12F4"/>
    <w:rsid w:val="003F21A0"/>
    <w:rsid w:val="003F566B"/>
    <w:rsid w:val="003F57C4"/>
    <w:rsid w:val="003F5916"/>
    <w:rsid w:val="003F5D43"/>
    <w:rsid w:val="003F7371"/>
    <w:rsid w:val="00402359"/>
    <w:rsid w:val="00402F34"/>
    <w:rsid w:val="00404843"/>
    <w:rsid w:val="004048DE"/>
    <w:rsid w:val="00407855"/>
    <w:rsid w:val="004113EF"/>
    <w:rsid w:val="004119E0"/>
    <w:rsid w:val="004240D5"/>
    <w:rsid w:val="00434800"/>
    <w:rsid w:val="004362DE"/>
    <w:rsid w:val="00442A1A"/>
    <w:rsid w:val="004437BB"/>
    <w:rsid w:val="00454472"/>
    <w:rsid w:val="00454E09"/>
    <w:rsid w:val="00456AC8"/>
    <w:rsid w:val="004603F2"/>
    <w:rsid w:val="00467723"/>
    <w:rsid w:val="004809C2"/>
    <w:rsid w:val="00485379"/>
    <w:rsid w:val="00485C00"/>
    <w:rsid w:val="00486B19"/>
    <w:rsid w:val="004878B9"/>
    <w:rsid w:val="00491E14"/>
    <w:rsid w:val="00492B40"/>
    <w:rsid w:val="00494752"/>
    <w:rsid w:val="00494CC1"/>
    <w:rsid w:val="00494F31"/>
    <w:rsid w:val="00495AB6"/>
    <w:rsid w:val="00496C22"/>
    <w:rsid w:val="004A11F1"/>
    <w:rsid w:val="004A3F7A"/>
    <w:rsid w:val="004A46C8"/>
    <w:rsid w:val="004A6E17"/>
    <w:rsid w:val="004A7C31"/>
    <w:rsid w:val="004B3721"/>
    <w:rsid w:val="004B4F61"/>
    <w:rsid w:val="004B50C2"/>
    <w:rsid w:val="004C10F9"/>
    <w:rsid w:val="004C5671"/>
    <w:rsid w:val="004D0F26"/>
    <w:rsid w:val="004D2B65"/>
    <w:rsid w:val="004D4021"/>
    <w:rsid w:val="004D4455"/>
    <w:rsid w:val="004D6D18"/>
    <w:rsid w:val="004E0487"/>
    <w:rsid w:val="004E3562"/>
    <w:rsid w:val="004F1522"/>
    <w:rsid w:val="004F2A77"/>
    <w:rsid w:val="004F3498"/>
    <w:rsid w:val="004F427C"/>
    <w:rsid w:val="004F42B6"/>
    <w:rsid w:val="004F629E"/>
    <w:rsid w:val="004F6CD9"/>
    <w:rsid w:val="004F759F"/>
    <w:rsid w:val="00501626"/>
    <w:rsid w:val="00501B17"/>
    <w:rsid w:val="005059BA"/>
    <w:rsid w:val="005075CC"/>
    <w:rsid w:val="00510073"/>
    <w:rsid w:val="00511A89"/>
    <w:rsid w:val="0051759A"/>
    <w:rsid w:val="00521EB5"/>
    <w:rsid w:val="00522210"/>
    <w:rsid w:val="00522288"/>
    <w:rsid w:val="00523EC8"/>
    <w:rsid w:val="00531355"/>
    <w:rsid w:val="00540ADF"/>
    <w:rsid w:val="005539A7"/>
    <w:rsid w:val="005607E7"/>
    <w:rsid w:val="00564069"/>
    <w:rsid w:val="00575F96"/>
    <w:rsid w:val="005776B5"/>
    <w:rsid w:val="00577E11"/>
    <w:rsid w:val="0058136E"/>
    <w:rsid w:val="00581CD4"/>
    <w:rsid w:val="0058313E"/>
    <w:rsid w:val="005851FF"/>
    <w:rsid w:val="005917AD"/>
    <w:rsid w:val="0059436C"/>
    <w:rsid w:val="00597267"/>
    <w:rsid w:val="005A0F7C"/>
    <w:rsid w:val="005A2698"/>
    <w:rsid w:val="005A3BBE"/>
    <w:rsid w:val="005A4F85"/>
    <w:rsid w:val="005A53F2"/>
    <w:rsid w:val="005A7965"/>
    <w:rsid w:val="005B178B"/>
    <w:rsid w:val="005B2E30"/>
    <w:rsid w:val="005B3FED"/>
    <w:rsid w:val="005C16EF"/>
    <w:rsid w:val="005C71BE"/>
    <w:rsid w:val="005D262E"/>
    <w:rsid w:val="005D27EA"/>
    <w:rsid w:val="005D30FB"/>
    <w:rsid w:val="005D3116"/>
    <w:rsid w:val="005D6233"/>
    <w:rsid w:val="005D6E1D"/>
    <w:rsid w:val="005E055F"/>
    <w:rsid w:val="005E23B5"/>
    <w:rsid w:val="005E37BD"/>
    <w:rsid w:val="005F1594"/>
    <w:rsid w:val="005F26B9"/>
    <w:rsid w:val="0060020A"/>
    <w:rsid w:val="0060486B"/>
    <w:rsid w:val="00611C43"/>
    <w:rsid w:val="00615136"/>
    <w:rsid w:val="00616600"/>
    <w:rsid w:val="0062273F"/>
    <w:rsid w:val="006259A4"/>
    <w:rsid w:val="0063125A"/>
    <w:rsid w:val="00632EF9"/>
    <w:rsid w:val="00636962"/>
    <w:rsid w:val="00637B39"/>
    <w:rsid w:val="00654990"/>
    <w:rsid w:val="006605E4"/>
    <w:rsid w:val="0066184F"/>
    <w:rsid w:val="0066563B"/>
    <w:rsid w:val="00666B2B"/>
    <w:rsid w:val="00667628"/>
    <w:rsid w:val="006676CA"/>
    <w:rsid w:val="00677824"/>
    <w:rsid w:val="0068333B"/>
    <w:rsid w:val="006A2E37"/>
    <w:rsid w:val="006B1B5A"/>
    <w:rsid w:val="006B6E10"/>
    <w:rsid w:val="006C1500"/>
    <w:rsid w:val="006C252F"/>
    <w:rsid w:val="006C2BDC"/>
    <w:rsid w:val="006C3BF9"/>
    <w:rsid w:val="006C54E5"/>
    <w:rsid w:val="006D2B79"/>
    <w:rsid w:val="006D487C"/>
    <w:rsid w:val="006D4E85"/>
    <w:rsid w:val="006E2F77"/>
    <w:rsid w:val="006E45D2"/>
    <w:rsid w:val="006E5B75"/>
    <w:rsid w:val="006E7CB4"/>
    <w:rsid w:val="006F1300"/>
    <w:rsid w:val="007009AC"/>
    <w:rsid w:val="00703CEC"/>
    <w:rsid w:val="00703E2E"/>
    <w:rsid w:val="007055EA"/>
    <w:rsid w:val="00705EBB"/>
    <w:rsid w:val="007128FB"/>
    <w:rsid w:val="00723C73"/>
    <w:rsid w:val="00735C86"/>
    <w:rsid w:val="007377C4"/>
    <w:rsid w:val="00742BF5"/>
    <w:rsid w:val="0074687E"/>
    <w:rsid w:val="007500D3"/>
    <w:rsid w:val="00751919"/>
    <w:rsid w:val="00755842"/>
    <w:rsid w:val="00760B5D"/>
    <w:rsid w:val="007617EF"/>
    <w:rsid w:val="00761B7F"/>
    <w:rsid w:val="00764F4E"/>
    <w:rsid w:val="0077083C"/>
    <w:rsid w:val="00772C3C"/>
    <w:rsid w:val="00773489"/>
    <w:rsid w:val="00781426"/>
    <w:rsid w:val="00783A3D"/>
    <w:rsid w:val="00785050"/>
    <w:rsid w:val="00786161"/>
    <w:rsid w:val="00793A41"/>
    <w:rsid w:val="00794152"/>
    <w:rsid w:val="00794786"/>
    <w:rsid w:val="00794C01"/>
    <w:rsid w:val="00795E14"/>
    <w:rsid w:val="0079621B"/>
    <w:rsid w:val="0079718F"/>
    <w:rsid w:val="00797D65"/>
    <w:rsid w:val="007A0689"/>
    <w:rsid w:val="007A6A87"/>
    <w:rsid w:val="007A6DB8"/>
    <w:rsid w:val="007B2B84"/>
    <w:rsid w:val="007B2EA3"/>
    <w:rsid w:val="007B72D2"/>
    <w:rsid w:val="007C494E"/>
    <w:rsid w:val="007C594F"/>
    <w:rsid w:val="007C6028"/>
    <w:rsid w:val="007D01B6"/>
    <w:rsid w:val="007D0E57"/>
    <w:rsid w:val="007D250C"/>
    <w:rsid w:val="007D370F"/>
    <w:rsid w:val="007D4C1A"/>
    <w:rsid w:val="007E1B1F"/>
    <w:rsid w:val="007E4AFE"/>
    <w:rsid w:val="007F1930"/>
    <w:rsid w:val="007F7C54"/>
    <w:rsid w:val="00802A62"/>
    <w:rsid w:val="00802F99"/>
    <w:rsid w:val="00804DBD"/>
    <w:rsid w:val="0080546F"/>
    <w:rsid w:val="008070F1"/>
    <w:rsid w:val="0081371F"/>
    <w:rsid w:val="00814C78"/>
    <w:rsid w:val="00816C05"/>
    <w:rsid w:val="00825837"/>
    <w:rsid w:val="00826517"/>
    <w:rsid w:val="00833131"/>
    <w:rsid w:val="008374EF"/>
    <w:rsid w:val="00844DF2"/>
    <w:rsid w:val="0085004F"/>
    <w:rsid w:val="0085283A"/>
    <w:rsid w:val="00856264"/>
    <w:rsid w:val="008618AB"/>
    <w:rsid w:val="00867FEF"/>
    <w:rsid w:val="00875176"/>
    <w:rsid w:val="008755C0"/>
    <w:rsid w:val="00877F5E"/>
    <w:rsid w:val="00883580"/>
    <w:rsid w:val="00883D2D"/>
    <w:rsid w:val="0088550C"/>
    <w:rsid w:val="00892EF9"/>
    <w:rsid w:val="008932C5"/>
    <w:rsid w:val="00894527"/>
    <w:rsid w:val="00894C01"/>
    <w:rsid w:val="008967D5"/>
    <w:rsid w:val="00896C59"/>
    <w:rsid w:val="008A0766"/>
    <w:rsid w:val="008A1FAF"/>
    <w:rsid w:val="008A39DD"/>
    <w:rsid w:val="008B02EE"/>
    <w:rsid w:val="008B23DD"/>
    <w:rsid w:val="008B57F2"/>
    <w:rsid w:val="008C01C7"/>
    <w:rsid w:val="008C1084"/>
    <w:rsid w:val="008C6F9D"/>
    <w:rsid w:val="008C733C"/>
    <w:rsid w:val="008D0ADD"/>
    <w:rsid w:val="008D1DAA"/>
    <w:rsid w:val="008D3739"/>
    <w:rsid w:val="008D6E67"/>
    <w:rsid w:val="008D7F22"/>
    <w:rsid w:val="008E1A13"/>
    <w:rsid w:val="008E3767"/>
    <w:rsid w:val="008E714F"/>
    <w:rsid w:val="008E7544"/>
    <w:rsid w:val="008F4372"/>
    <w:rsid w:val="00903A29"/>
    <w:rsid w:val="0090652A"/>
    <w:rsid w:val="00907450"/>
    <w:rsid w:val="00910B80"/>
    <w:rsid w:val="00925D66"/>
    <w:rsid w:val="00925F29"/>
    <w:rsid w:val="0092690C"/>
    <w:rsid w:val="00935169"/>
    <w:rsid w:val="00936F08"/>
    <w:rsid w:val="009417D5"/>
    <w:rsid w:val="00942F8F"/>
    <w:rsid w:val="00947315"/>
    <w:rsid w:val="00952799"/>
    <w:rsid w:val="009550F8"/>
    <w:rsid w:val="00957DF2"/>
    <w:rsid w:val="0096114C"/>
    <w:rsid w:val="00962F0D"/>
    <w:rsid w:val="00966747"/>
    <w:rsid w:val="009747E1"/>
    <w:rsid w:val="00975E00"/>
    <w:rsid w:val="0098091C"/>
    <w:rsid w:val="00984A55"/>
    <w:rsid w:val="00987EC0"/>
    <w:rsid w:val="0099146D"/>
    <w:rsid w:val="009921AB"/>
    <w:rsid w:val="00993F75"/>
    <w:rsid w:val="0099638A"/>
    <w:rsid w:val="00997453"/>
    <w:rsid w:val="009A0604"/>
    <w:rsid w:val="009A0BD3"/>
    <w:rsid w:val="009A3A3F"/>
    <w:rsid w:val="009A5CBA"/>
    <w:rsid w:val="009A652A"/>
    <w:rsid w:val="009A7DB0"/>
    <w:rsid w:val="009B365F"/>
    <w:rsid w:val="009B3F4B"/>
    <w:rsid w:val="009B40B1"/>
    <w:rsid w:val="009B68A5"/>
    <w:rsid w:val="009B6B4E"/>
    <w:rsid w:val="009C02EE"/>
    <w:rsid w:val="009C0D25"/>
    <w:rsid w:val="009C4445"/>
    <w:rsid w:val="009C7C7D"/>
    <w:rsid w:val="009D0C19"/>
    <w:rsid w:val="009D16E9"/>
    <w:rsid w:val="009D3AE7"/>
    <w:rsid w:val="009D567E"/>
    <w:rsid w:val="009D6EA4"/>
    <w:rsid w:val="009E1F5B"/>
    <w:rsid w:val="009E64F3"/>
    <w:rsid w:val="009F0F30"/>
    <w:rsid w:val="009F26F6"/>
    <w:rsid w:val="009F4880"/>
    <w:rsid w:val="009F673F"/>
    <w:rsid w:val="009F682B"/>
    <w:rsid w:val="00A04EE9"/>
    <w:rsid w:val="00A06423"/>
    <w:rsid w:val="00A066FD"/>
    <w:rsid w:val="00A1091A"/>
    <w:rsid w:val="00A10C5E"/>
    <w:rsid w:val="00A133A8"/>
    <w:rsid w:val="00A20ED0"/>
    <w:rsid w:val="00A22B4E"/>
    <w:rsid w:val="00A252D1"/>
    <w:rsid w:val="00A27019"/>
    <w:rsid w:val="00A31DC1"/>
    <w:rsid w:val="00A34EA0"/>
    <w:rsid w:val="00A37C7F"/>
    <w:rsid w:val="00A4139A"/>
    <w:rsid w:val="00A41F4E"/>
    <w:rsid w:val="00A44BE6"/>
    <w:rsid w:val="00A52058"/>
    <w:rsid w:val="00A53990"/>
    <w:rsid w:val="00A607A0"/>
    <w:rsid w:val="00A65481"/>
    <w:rsid w:val="00A675BB"/>
    <w:rsid w:val="00A71A3A"/>
    <w:rsid w:val="00A76D12"/>
    <w:rsid w:val="00A76D24"/>
    <w:rsid w:val="00A80700"/>
    <w:rsid w:val="00A82070"/>
    <w:rsid w:val="00A87240"/>
    <w:rsid w:val="00A923A2"/>
    <w:rsid w:val="00A96ED0"/>
    <w:rsid w:val="00AA024A"/>
    <w:rsid w:val="00AA0D62"/>
    <w:rsid w:val="00AA1146"/>
    <w:rsid w:val="00AA38F8"/>
    <w:rsid w:val="00AA663C"/>
    <w:rsid w:val="00AB00EB"/>
    <w:rsid w:val="00AB1A19"/>
    <w:rsid w:val="00AB5F41"/>
    <w:rsid w:val="00AB62A3"/>
    <w:rsid w:val="00AC4A80"/>
    <w:rsid w:val="00AD1322"/>
    <w:rsid w:val="00AD3790"/>
    <w:rsid w:val="00AD48FC"/>
    <w:rsid w:val="00AE1B21"/>
    <w:rsid w:val="00AE5946"/>
    <w:rsid w:val="00AE6B35"/>
    <w:rsid w:val="00AF36A7"/>
    <w:rsid w:val="00AF541D"/>
    <w:rsid w:val="00B00ED6"/>
    <w:rsid w:val="00B0467C"/>
    <w:rsid w:val="00B04BCC"/>
    <w:rsid w:val="00B057E8"/>
    <w:rsid w:val="00B06F5C"/>
    <w:rsid w:val="00B10D95"/>
    <w:rsid w:val="00B14DE7"/>
    <w:rsid w:val="00B262B0"/>
    <w:rsid w:val="00B30D92"/>
    <w:rsid w:val="00B34397"/>
    <w:rsid w:val="00B34E0E"/>
    <w:rsid w:val="00B356D3"/>
    <w:rsid w:val="00B36D56"/>
    <w:rsid w:val="00B42169"/>
    <w:rsid w:val="00B459FB"/>
    <w:rsid w:val="00B46E79"/>
    <w:rsid w:val="00B47018"/>
    <w:rsid w:val="00B47438"/>
    <w:rsid w:val="00B504D3"/>
    <w:rsid w:val="00B508C7"/>
    <w:rsid w:val="00B605F3"/>
    <w:rsid w:val="00B6128E"/>
    <w:rsid w:val="00B73A29"/>
    <w:rsid w:val="00B7466D"/>
    <w:rsid w:val="00B763B7"/>
    <w:rsid w:val="00B76D14"/>
    <w:rsid w:val="00B76F82"/>
    <w:rsid w:val="00B7714E"/>
    <w:rsid w:val="00B8269E"/>
    <w:rsid w:val="00B97BAA"/>
    <w:rsid w:val="00BA304F"/>
    <w:rsid w:val="00BB61E4"/>
    <w:rsid w:val="00BB6BD1"/>
    <w:rsid w:val="00BB733F"/>
    <w:rsid w:val="00BB7528"/>
    <w:rsid w:val="00BC62D6"/>
    <w:rsid w:val="00BC71A5"/>
    <w:rsid w:val="00BD1BFA"/>
    <w:rsid w:val="00BD1DD2"/>
    <w:rsid w:val="00BD4925"/>
    <w:rsid w:val="00BF1A80"/>
    <w:rsid w:val="00BF449F"/>
    <w:rsid w:val="00C00522"/>
    <w:rsid w:val="00C04ADE"/>
    <w:rsid w:val="00C15856"/>
    <w:rsid w:val="00C16CE8"/>
    <w:rsid w:val="00C24D9F"/>
    <w:rsid w:val="00C251A8"/>
    <w:rsid w:val="00C403AD"/>
    <w:rsid w:val="00C43036"/>
    <w:rsid w:val="00C44E9E"/>
    <w:rsid w:val="00C45E40"/>
    <w:rsid w:val="00C52EAF"/>
    <w:rsid w:val="00C5428F"/>
    <w:rsid w:val="00C5501F"/>
    <w:rsid w:val="00C55311"/>
    <w:rsid w:val="00C61A7F"/>
    <w:rsid w:val="00C64C9B"/>
    <w:rsid w:val="00C666B8"/>
    <w:rsid w:val="00C67515"/>
    <w:rsid w:val="00C67583"/>
    <w:rsid w:val="00C67601"/>
    <w:rsid w:val="00C67D2C"/>
    <w:rsid w:val="00C72F1D"/>
    <w:rsid w:val="00C76AF4"/>
    <w:rsid w:val="00C8542E"/>
    <w:rsid w:val="00C92A59"/>
    <w:rsid w:val="00CA3652"/>
    <w:rsid w:val="00CB4FD4"/>
    <w:rsid w:val="00CB72AC"/>
    <w:rsid w:val="00CB7F5F"/>
    <w:rsid w:val="00CC6428"/>
    <w:rsid w:val="00CC7642"/>
    <w:rsid w:val="00CD0F12"/>
    <w:rsid w:val="00CD2383"/>
    <w:rsid w:val="00CD3A3E"/>
    <w:rsid w:val="00CD40FE"/>
    <w:rsid w:val="00CD66CD"/>
    <w:rsid w:val="00CE22FE"/>
    <w:rsid w:val="00CE5EFB"/>
    <w:rsid w:val="00CF2948"/>
    <w:rsid w:val="00CF2E76"/>
    <w:rsid w:val="00D00EC8"/>
    <w:rsid w:val="00D01ED2"/>
    <w:rsid w:val="00D10DA3"/>
    <w:rsid w:val="00D12D05"/>
    <w:rsid w:val="00D150D0"/>
    <w:rsid w:val="00D23029"/>
    <w:rsid w:val="00D23F9B"/>
    <w:rsid w:val="00D31A4D"/>
    <w:rsid w:val="00D329AA"/>
    <w:rsid w:val="00D360FF"/>
    <w:rsid w:val="00D4148E"/>
    <w:rsid w:val="00D41FB2"/>
    <w:rsid w:val="00D423DE"/>
    <w:rsid w:val="00D42E00"/>
    <w:rsid w:val="00D451E7"/>
    <w:rsid w:val="00D466EA"/>
    <w:rsid w:val="00D46763"/>
    <w:rsid w:val="00D474A0"/>
    <w:rsid w:val="00D52EFA"/>
    <w:rsid w:val="00D53212"/>
    <w:rsid w:val="00D53B44"/>
    <w:rsid w:val="00D5431F"/>
    <w:rsid w:val="00D562EE"/>
    <w:rsid w:val="00D61BB2"/>
    <w:rsid w:val="00D61F13"/>
    <w:rsid w:val="00D627C9"/>
    <w:rsid w:val="00D65C29"/>
    <w:rsid w:val="00D71804"/>
    <w:rsid w:val="00D759D4"/>
    <w:rsid w:val="00D76761"/>
    <w:rsid w:val="00D77491"/>
    <w:rsid w:val="00D77B7B"/>
    <w:rsid w:val="00D9067D"/>
    <w:rsid w:val="00D97C46"/>
    <w:rsid w:val="00DA407A"/>
    <w:rsid w:val="00DA5A46"/>
    <w:rsid w:val="00DB085F"/>
    <w:rsid w:val="00DB2474"/>
    <w:rsid w:val="00DB2BE3"/>
    <w:rsid w:val="00DB4E48"/>
    <w:rsid w:val="00DB726F"/>
    <w:rsid w:val="00DB7C27"/>
    <w:rsid w:val="00DC0131"/>
    <w:rsid w:val="00DC0EF0"/>
    <w:rsid w:val="00DC7D79"/>
    <w:rsid w:val="00DD22EE"/>
    <w:rsid w:val="00DD45C4"/>
    <w:rsid w:val="00DD558B"/>
    <w:rsid w:val="00DE0FBA"/>
    <w:rsid w:val="00DE1025"/>
    <w:rsid w:val="00DE1073"/>
    <w:rsid w:val="00DE4C99"/>
    <w:rsid w:val="00DE5883"/>
    <w:rsid w:val="00DE6FB9"/>
    <w:rsid w:val="00DF20DC"/>
    <w:rsid w:val="00DF32A3"/>
    <w:rsid w:val="00DF6825"/>
    <w:rsid w:val="00E0343F"/>
    <w:rsid w:val="00E10118"/>
    <w:rsid w:val="00E158F3"/>
    <w:rsid w:val="00E16A00"/>
    <w:rsid w:val="00E200A8"/>
    <w:rsid w:val="00E21348"/>
    <w:rsid w:val="00E22D8E"/>
    <w:rsid w:val="00E231BC"/>
    <w:rsid w:val="00E2588E"/>
    <w:rsid w:val="00E30B0C"/>
    <w:rsid w:val="00E30FCE"/>
    <w:rsid w:val="00E31B97"/>
    <w:rsid w:val="00E335B9"/>
    <w:rsid w:val="00E33E23"/>
    <w:rsid w:val="00E412C5"/>
    <w:rsid w:val="00E419FC"/>
    <w:rsid w:val="00E51F61"/>
    <w:rsid w:val="00E53611"/>
    <w:rsid w:val="00E56EBE"/>
    <w:rsid w:val="00E60817"/>
    <w:rsid w:val="00E62178"/>
    <w:rsid w:val="00E62E54"/>
    <w:rsid w:val="00E66A6D"/>
    <w:rsid w:val="00E7290A"/>
    <w:rsid w:val="00E73E09"/>
    <w:rsid w:val="00E7691A"/>
    <w:rsid w:val="00E76F7A"/>
    <w:rsid w:val="00E81191"/>
    <w:rsid w:val="00E83BA5"/>
    <w:rsid w:val="00E87242"/>
    <w:rsid w:val="00E87F35"/>
    <w:rsid w:val="00E90F8A"/>
    <w:rsid w:val="00E96465"/>
    <w:rsid w:val="00E96576"/>
    <w:rsid w:val="00EA1227"/>
    <w:rsid w:val="00EA1685"/>
    <w:rsid w:val="00EA1F06"/>
    <w:rsid w:val="00EB460F"/>
    <w:rsid w:val="00EC014C"/>
    <w:rsid w:val="00EC074D"/>
    <w:rsid w:val="00EC0C31"/>
    <w:rsid w:val="00EC149A"/>
    <w:rsid w:val="00EC2A6A"/>
    <w:rsid w:val="00EC2B80"/>
    <w:rsid w:val="00EC697A"/>
    <w:rsid w:val="00ED08E5"/>
    <w:rsid w:val="00ED1323"/>
    <w:rsid w:val="00ED180D"/>
    <w:rsid w:val="00EE2646"/>
    <w:rsid w:val="00EE6958"/>
    <w:rsid w:val="00EE7360"/>
    <w:rsid w:val="00EF1F5A"/>
    <w:rsid w:val="00EF2805"/>
    <w:rsid w:val="00F011D7"/>
    <w:rsid w:val="00F014DE"/>
    <w:rsid w:val="00F0249E"/>
    <w:rsid w:val="00F0291B"/>
    <w:rsid w:val="00F029B0"/>
    <w:rsid w:val="00F124E8"/>
    <w:rsid w:val="00F16CC4"/>
    <w:rsid w:val="00F2007C"/>
    <w:rsid w:val="00F21678"/>
    <w:rsid w:val="00F2287C"/>
    <w:rsid w:val="00F22B37"/>
    <w:rsid w:val="00F35BCF"/>
    <w:rsid w:val="00F41078"/>
    <w:rsid w:val="00F444FC"/>
    <w:rsid w:val="00F44DD6"/>
    <w:rsid w:val="00F4674B"/>
    <w:rsid w:val="00F46CFF"/>
    <w:rsid w:val="00F54BE4"/>
    <w:rsid w:val="00F5542F"/>
    <w:rsid w:val="00F61E08"/>
    <w:rsid w:val="00F71E1F"/>
    <w:rsid w:val="00F73722"/>
    <w:rsid w:val="00F76422"/>
    <w:rsid w:val="00F76D02"/>
    <w:rsid w:val="00F846C6"/>
    <w:rsid w:val="00F86A62"/>
    <w:rsid w:val="00F87C70"/>
    <w:rsid w:val="00F911E3"/>
    <w:rsid w:val="00F937BC"/>
    <w:rsid w:val="00F9412D"/>
    <w:rsid w:val="00F959D1"/>
    <w:rsid w:val="00F961AC"/>
    <w:rsid w:val="00F967F3"/>
    <w:rsid w:val="00F96910"/>
    <w:rsid w:val="00F9744E"/>
    <w:rsid w:val="00FA1C03"/>
    <w:rsid w:val="00FA1FE3"/>
    <w:rsid w:val="00FA5FF5"/>
    <w:rsid w:val="00FB395A"/>
    <w:rsid w:val="00FB6997"/>
    <w:rsid w:val="00FC02DB"/>
    <w:rsid w:val="00FC6D8C"/>
    <w:rsid w:val="00FD08DE"/>
    <w:rsid w:val="00FD7CAC"/>
    <w:rsid w:val="00FE25F4"/>
    <w:rsid w:val="00FE3CC0"/>
    <w:rsid w:val="00FE61AE"/>
    <w:rsid w:val="00FE665B"/>
    <w:rsid w:val="00FE7F52"/>
    <w:rsid w:val="00FF312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C"/>
    <w:pPr>
      <w:spacing w:after="160" w:line="259" w:lineRule="auto"/>
    </w:pPr>
  </w:style>
  <w:style w:type="paragraph" w:styleId="Ttulo1">
    <w:name w:val="heading 1"/>
    <w:basedOn w:val="Normal"/>
    <w:next w:val="Normal"/>
    <w:link w:val="Ttulo1Car"/>
    <w:uiPriority w:val="9"/>
    <w:qFormat/>
    <w:rsid w:val="00B74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74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B7466D"/>
    <w:pPr>
      <w:keepNext/>
      <w:widowControl w:val="0"/>
      <w:numPr>
        <w:numId w:val="28"/>
      </w:numPr>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466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7466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7466D"/>
    <w:rPr>
      <w:rFonts w:ascii="Tahoma" w:eastAsia="Times New Roman" w:hAnsi="Tahoma" w:cs="Tahoma"/>
      <w:b/>
      <w:bCs/>
      <w:spacing w:val="-3"/>
      <w:sz w:val="20"/>
      <w:szCs w:val="20"/>
      <w:lang w:val="en-US" w:eastAsia="es-ES"/>
    </w:rPr>
  </w:style>
  <w:style w:type="paragraph" w:styleId="Textoindependiente">
    <w:name w:val="Body Text"/>
    <w:basedOn w:val="Normal"/>
    <w:link w:val="TextoindependienteCar"/>
    <w:rsid w:val="00CB72AC"/>
    <w:pPr>
      <w:widowControl w:val="0"/>
      <w:suppressAutoHyphens/>
      <w:spacing w:after="120" w:line="240" w:lineRule="auto"/>
    </w:pPr>
    <w:rPr>
      <w:rFonts w:ascii="Times New Roman" w:eastAsia="Arial Unicode MS" w:hAnsi="Times New Roman" w:cs="Times New Roman"/>
      <w:sz w:val="24"/>
      <w:szCs w:val="24"/>
      <w:lang w:val="es-ES_tradnl" w:eastAsia="es-EC"/>
    </w:rPr>
  </w:style>
  <w:style w:type="character" w:customStyle="1" w:styleId="TextoindependienteCar">
    <w:name w:val="Texto independiente Car"/>
    <w:basedOn w:val="Fuentedeprrafopredeter"/>
    <w:link w:val="Textoindependiente"/>
    <w:rsid w:val="00CB72AC"/>
    <w:rPr>
      <w:rFonts w:ascii="Times New Roman" w:eastAsia="Arial Unicode MS" w:hAnsi="Times New Roman" w:cs="Times New Roman"/>
      <w:sz w:val="24"/>
      <w:szCs w:val="24"/>
      <w:lang w:val="es-ES_tradnl" w:eastAsia="es-EC"/>
    </w:rPr>
  </w:style>
  <w:style w:type="paragraph" w:styleId="Ttulo">
    <w:name w:val="Title"/>
    <w:basedOn w:val="Normal"/>
    <w:link w:val="TtuloCar"/>
    <w:qFormat/>
    <w:rsid w:val="00CB72AC"/>
    <w:pPr>
      <w:tabs>
        <w:tab w:val="left" w:pos="1050"/>
      </w:tabs>
      <w:spacing w:after="0" w:line="360" w:lineRule="auto"/>
      <w:jc w:val="center"/>
    </w:pPr>
    <w:rPr>
      <w:rFonts w:ascii="Times New Roman" w:eastAsia="Times New Roman" w:hAnsi="Times New Roman" w:cs="Times New Roman"/>
      <w:b/>
      <w:sz w:val="28"/>
      <w:szCs w:val="24"/>
      <w:lang w:val="es-ES_tradnl" w:eastAsia="es-ES"/>
    </w:rPr>
  </w:style>
  <w:style w:type="character" w:customStyle="1" w:styleId="TtuloCar">
    <w:name w:val="Título Car"/>
    <w:basedOn w:val="Fuentedeprrafopredeter"/>
    <w:link w:val="Ttulo"/>
    <w:rsid w:val="00CB72AC"/>
    <w:rPr>
      <w:rFonts w:ascii="Times New Roman" w:eastAsia="Times New Roman" w:hAnsi="Times New Roman" w:cs="Times New Roman"/>
      <w:b/>
      <w:sz w:val="28"/>
      <w:szCs w:val="24"/>
      <w:lang w:val="es-ES_tradnl" w:eastAsia="es-ES"/>
    </w:rPr>
  </w:style>
  <w:style w:type="paragraph" w:styleId="Prrafodelista">
    <w:name w:val="List Paragraph"/>
    <w:basedOn w:val="Normal"/>
    <w:uiPriority w:val="34"/>
    <w:qFormat/>
    <w:rsid w:val="00454472"/>
    <w:pPr>
      <w:widowControl w:val="0"/>
      <w:suppressAutoHyphens/>
      <w:spacing w:after="0" w:line="240" w:lineRule="auto"/>
      <w:ind w:left="708"/>
    </w:pPr>
    <w:rPr>
      <w:rFonts w:ascii="Times New Roman" w:eastAsia="Arial Unicode MS" w:hAnsi="Times New Roman" w:cs="Times New Roman"/>
      <w:sz w:val="24"/>
      <w:szCs w:val="24"/>
      <w:lang w:val="es-ES_tradnl" w:eastAsia="es-EC"/>
    </w:rPr>
  </w:style>
  <w:style w:type="paragraph" w:styleId="Textodeglobo">
    <w:name w:val="Balloon Text"/>
    <w:basedOn w:val="Normal"/>
    <w:link w:val="TextodegloboCar"/>
    <w:uiPriority w:val="99"/>
    <w:semiHidden/>
    <w:unhideWhenUsed/>
    <w:rsid w:val="003E5D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D3A"/>
    <w:rPr>
      <w:rFonts w:ascii="Tahoma" w:hAnsi="Tahoma" w:cs="Tahoma"/>
      <w:sz w:val="16"/>
      <w:szCs w:val="16"/>
    </w:rPr>
  </w:style>
  <w:style w:type="paragraph" w:styleId="Listaconvietas2">
    <w:name w:val="List Bullet 2"/>
    <w:basedOn w:val="Normal"/>
    <w:rsid w:val="005059BA"/>
    <w:pPr>
      <w:tabs>
        <w:tab w:val="num" w:pos="643"/>
      </w:tabs>
      <w:spacing w:after="0" w:line="240" w:lineRule="auto"/>
      <w:ind w:left="643" w:hanging="360"/>
      <w:jc w:val="both"/>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E714F"/>
    <w:rPr>
      <w:sz w:val="16"/>
      <w:szCs w:val="16"/>
    </w:rPr>
  </w:style>
  <w:style w:type="paragraph" w:styleId="Textocomentario">
    <w:name w:val="annotation text"/>
    <w:basedOn w:val="Normal"/>
    <w:link w:val="TextocomentarioCar"/>
    <w:uiPriority w:val="99"/>
    <w:semiHidden/>
    <w:unhideWhenUsed/>
    <w:rsid w:val="008E7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14F"/>
    <w:rPr>
      <w:sz w:val="20"/>
      <w:szCs w:val="20"/>
    </w:rPr>
  </w:style>
  <w:style w:type="paragraph" w:styleId="Asuntodelcomentario">
    <w:name w:val="annotation subject"/>
    <w:basedOn w:val="Textocomentario"/>
    <w:next w:val="Textocomentario"/>
    <w:link w:val="AsuntodelcomentarioCar"/>
    <w:uiPriority w:val="99"/>
    <w:semiHidden/>
    <w:unhideWhenUsed/>
    <w:rsid w:val="008E714F"/>
    <w:rPr>
      <w:b/>
      <w:bCs/>
    </w:rPr>
  </w:style>
  <w:style w:type="character" w:customStyle="1" w:styleId="AsuntodelcomentarioCar">
    <w:name w:val="Asunto del comentario Car"/>
    <w:basedOn w:val="TextocomentarioCar"/>
    <w:link w:val="Asuntodelcomentario"/>
    <w:uiPriority w:val="99"/>
    <w:semiHidden/>
    <w:rsid w:val="008E714F"/>
    <w:rPr>
      <w:b/>
      <w:bCs/>
      <w:sz w:val="20"/>
      <w:szCs w:val="20"/>
    </w:rPr>
  </w:style>
  <w:style w:type="paragraph" w:styleId="Lista">
    <w:name w:val="List"/>
    <w:basedOn w:val="Normal"/>
    <w:uiPriority w:val="99"/>
    <w:unhideWhenUsed/>
    <w:rsid w:val="00F71E1F"/>
    <w:pPr>
      <w:ind w:left="283" w:hanging="283"/>
      <w:contextualSpacing/>
    </w:pPr>
  </w:style>
  <w:style w:type="paragraph" w:styleId="Lista2">
    <w:name w:val="List 2"/>
    <w:basedOn w:val="Normal"/>
    <w:unhideWhenUsed/>
    <w:rsid w:val="00F71E1F"/>
    <w:pPr>
      <w:ind w:left="566" w:hanging="283"/>
      <w:contextualSpacing/>
    </w:pPr>
  </w:style>
  <w:style w:type="paragraph" w:styleId="Saludo">
    <w:name w:val="Salutation"/>
    <w:basedOn w:val="Normal"/>
    <w:next w:val="Normal"/>
    <w:link w:val="SaludoCar"/>
    <w:uiPriority w:val="99"/>
    <w:unhideWhenUsed/>
    <w:rsid w:val="00F71E1F"/>
  </w:style>
  <w:style w:type="character" w:customStyle="1" w:styleId="SaludoCar">
    <w:name w:val="Saludo Car"/>
    <w:basedOn w:val="Fuentedeprrafopredeter"/>
    <w:link w:val="Saludo"/>
    <w:uiPriority w:val="99"/>
    <w:rsid w:val="00F71E1F"/>
  </w:style>
  <w:style w:type="paragraph" w:styleId="Sangradetextonormal">
    <w:name w:val="Body Text Indent"/>
    <w:basedOn w:val="Normal"/>
    <w:link w:val="SangradetextonormalCar"/>
    <w:uiPriority w:val="99"/>
    <w:unhideWhenUsed/>
    <w:rsid w:val="00F71E1F"/>
    <w:pPr>
      <w:spacing w:after="120"/>
      <w:ind w:left="283"/>
    </w:pPr>
  </w:style>
  <w:style w:type="character" w:customStyle="1" w:styleId="SangradetextonormalCar">
    <w:name w:val="Sangría de texto normal Car"/>
    <w:basedOn w:val="Fuentedeprrafopredeter"/>
    <w:link w:val="Sangradetextonormal"/>
    <w:uiPriority w:val="99"/>
    <w:rsid w:val="00F71E1F"/>
  </w:style>
  <w:style w:type="paragraph" w:styleId="Textoindependienteprimerasangra2">
    <w:name w:val="Body Text First Indent 2"/>
    <w:basedOn w:val="Sangradetextonormal"/>
    <w:link w:val="Textoindependienteprimerasangra2Car"/>
    <w:unhideWhenUsed/>
    <w:rsid w:val="00F71E1F"/>
    <w:pPr>
      <w:spacing w:after="160"/>
      <w:ind w:left="360" w:firstLine="360"/>
    </w:pPr>
  </w:style>
  <w:style w:type="character" w:customStyle="1" w:styleId="Textoindependienteprimerasangra2Car">
    <w:name w:val="Texto independiente primera sangría 2 Car"/>
    <w:basedOn w:val="SangradetextonormalCar"/>
    <w:link w:val="Textoindependienteprimerasangra2"/>
    <w:rsid w:val="00F71E1F"/>
  </w:style>
  <w:style w:type="paragraph" w:styleId="Encabezado">
    <w:name w:val="header"/>
    <w:basedOn w:val="Normal"/>
    <w:link w:val="EncabezadoCar"/>
    <w:uiPriority w:val="99"/>
    <w:unhideWhenUsed/>
    <w:rsid w:val="00EA1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1685"/>
  </w:style>
  <w:style w:type="paragraph" w:styleId="Piedepgina">
    <w:name w:val="footer"/>
    <w:basedOn w:val="Normal"/>
    <w:link w:val="PiedepginaCar"/>
    <w:uiPriority w:val="99"/>
    <w:unhideWhenUsed/>
    <w:rsid w:val="00EA1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685"/>
  </w:style>
  <w:style w:type="paragraph" w:customStyle="1" w:styleId="Textopredeterminado">
    <w:name w:val="Texto predeterminado"/>
    <w:basedOn w:val="Normal"/>
    <w:rsid w:val="00B7466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s-ES"/>
    </w:rPr>
  </w:style>
  <w:style w:type="paragraph" w:styleId="Textosinformato">
    <w:name w:val="Plain Text"/>
    <w:basedOn w:val="Normal"/>
    <w:link w:val="TextosinformatoCar"/>
    <w:rsid w:val="00B7466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466D"/>
    <w:rPr>
      <w:rFonts w:ascii="Courier New" w:eastAsia="Times New Roman" w:hAnsi="Courier New" w:cs="Times New Roman"/>
      <w:sz w:val="20"/>
      <w:szCs w:val="20"/>
      <w:lang w:val="es-ES" w:eastAsia="es-ES"/>
    </w:rPr>
  </w:style>
  <w:style w:type="character" w:customStyle="1" w:styleId="Cuadrculaclara-nfasis3Car">
    <w:name w:val="Cuadrícula clara - Énfasis 3 Car"/>
    <w:link w:val="Cuadrculaclara-nfasis31"/>
    <w:uiPriority w:val="34"/>
    <w:locked/>
    <w:rsid w:val="00B7466D"/>
    <w:rPr>
      <w:rFonts w:ascii="Arial Unicode MS" w:eastAsia="Arial Unicode MS" w:hAnsi="Arial Unicode MS" w:cs="Arial Unicode MS"/>
      <w:kern w:val="2"/>
      <w:sz w:val="24"/>
      <w:szCs w:val="24"/>
      <w:lang w:val="es-ES_tradnl" w:eastAsia="ar-SA"/>
    </w:rPr>
  </w:style>
  <w:style w:type="paragraph" w:customStyle="1" w:styleId="Cuadrculaclara-nfasis31">
    <w:name w:val="Cuadrícula clara - Énfasis 31"/>
    <w:basedOn w:val="Normal"/>
    <w:link w:val="Cuadrculaclara-nfasis3Car"/>
    <w:uiPriority w:val="34"/>
    <w:qFormat/>
    <w:rsid w:val="00B7466D"/>
    <w:pPr>
      <w:suppressAutoHyphens/>
      <w:spacing w:after="0" w:line="100" w:lineRule="atLeast"/>
      <w:ind w:left="708"/>
    </w:pPr>
    <w:rPr>
      <w:rFonts w:ascii="Arial Unicode MS" w:eastAsia="Arial Unicode MS" w:hAnsi="Arial Unicode MS" w:cs="Arial Unicode MS"/>
      <w:kern w:val="2"/>
      <w:sz w:val="24"/>
      <w:szCs w:val="24"/>
      <w:lang w:val="es-ES_tradnl" w:eastAsia="ar-SA"/>
    </w:rPr>
  </w:style>
  <w:style w:type="paragraph" w:styleId="Textoindependiente2">
    <w:name w:val="Body Text 2"/>
    <w:basedOn w:val="Normal"/>
    <w:link w:val="Textoindependiente2Car"/>
    <w:uiPriority w:val="99"/>
    <w:semiHidden/>
    <w:unhideWhenUsed/>
    <w:rsid w:val="00B7466D"/>
    <w:pPr>
      <w:spacing w:after="120" w:line="480" w:lineRule="auto"/>
    </w:pPr>
  </w:style>
  <w:style w:type="character" w:customStyle="1" w:styleId="Textoindependiente2Car">
    <w:name w:val="Texto independiente 2 Car"/>
    <w:basedOn w:val="Fuentedeprrafopredeter"/>
    <w:link w:val="Textoindependiente2"/>
    <w:uiPriority w:val="99"/>
    <w:semiHidden/>
    <w:rsid w:val="00B7466D"/>
  </w:style>
  <w:style w:type="paragraph" w:styleId="Textonotapie">
    <w:name w:val="footnote text"/>
    <w:basedOn w:val="Normal"/>
    <w:link w:val="TextonotapieCar"/>
    <w:semiHidden/>
    <w:rsid w:val="00B7466D"/>
    <w:pPr>
      <w:spacing w:after="0" w:line="240" w:lineRule="auto"/>
      <w:jc w:val="both"/>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semiHidden/>
    <w:rsid w:val="00B7466D"/>
    <w:rPr>
      <w:rFonts w:ascii="Times New Roman" w:eastAsia="Times New Roman" w:hAnsi="Times New Roman" w:cs="Times New Roman"/>
      <w:sz w:val="24"/>
      <w:szCs w:val="24"/>
      <w:lang w:eastAsia="es-ES"/>
    </w:rPr>
  </w:style>
  <w:style w:type="paragraph" w:customStyle="1" w:styleId="Textoindependiente1">
    <w:name w:val="Texto independiente1"/>
    <w:basedOn w:val="Normal"/>
    <w:semiHidden/>
    <w:rsid w:val="00B7466D"/>
    <w:pPr>
      <w:widowControl w:val="0"/>
      <w:spacing w:after="0" w:line="240" w:lineRule="auto"/>
      <w:jc w:val="both"/>
    </w:pPr>
    <w:rPr>
      <w:rFonts w:ascii="Helvetica" w:eastAsia="Times New Roman" w:hAnsi="Helvetica" w:cs="Times New Roman"/>
      <w:b/>
      <w:sz w:val="24"/>
      <w:szCs w:val="24"/>
      <w:lang w:eastAsia="es-ES"/>
    </w:rPr>
  </w:style>
  <w:style w:type="paragraph" w:customStyle="1" w:styleId="BodyText21">
    <w:name w:val="Body Text 21"/>
    <w:basedOn w:val="Normal"/>
    <w:semiHidden/>
    <w:rsid w:val="00B7466D"/>
    <w:pPr>
      <w:widowControl w:val="0"/>
      <w:tabs>
        <w:tab w:val="left" w:pos="4536"/>
      </w:tabs>
      <w:spacing w:after="0" w:line="240" w:lineRule="auto"/>
      <w:jc w:val="both"/>
    </w:pPr>
    <w:rPr>
      <w:rFonts w:ascii="Times New Roman" w:eastAsia="Times New Roman" w:hAnsi="Times New Roman" w:cs="Times New Roman"/>
      <w:szCs w:val="24"/>
      <w:lang w:eastAsia="es-ES"/>
    </w:rPr>
  </w:style>
  <w:style w:type="paragraph" w:customStyle="1" w:styleId="Textodenotaalpie">
    <w:name w:val="Texto de nota al pie"/>
    <w:basedOn w:val="Normal"/>
    <w:semiHidden/>
    <w:rsid w:val="00B7466D"/>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lang w:val="es-SV" w:eastAsia="es-ES"/>
    </w:rPr>
  </w:style>
  <w:style w:type="paragraph" w:styleId="Listaconvietas3">
    <w:name w:val="List Bullet 3"/>
    <w:basedOn w:val="Normal"/>
    <w:uiPriority w:val="99"/>
    <w:semiHidden/>
    <w:unhideWhenUsed/>
    <w:rsid w:val="00B7466D"/>
    <w:pPr>
      <w:numPr>
        <w:numId w:val="11"/>
      </w:numPr>
      <w:contextualSpacing/>
    </w:pPr>
  </w:style>
  <w:style w:type="paragraph" w:styleId="Textoindependiente3">
    <w:name w:val="Body Text 3"/>
    <w:basedOn w:val="Normal"/>
    <w:link w:val="Textoindependiente3Car"/>
    <w:uiPriority w:val="99"/>
    <w:semiHidden/>
    <w:unhideWhenUsed/>
    <w:rsid w:val="00B7466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466D"/>
    <w:rPr>
      <w:sz w:val="16"/>
      <w:szCs w:val="16"/>
    </w:rPr>
  </w:style>
  <w:style w:type="paragraph" w:customStyle="1" w:styleId="Style20">
    <w:name w:val="Style 20"/>
    <w:uiPriority w:val="99"/>
    <w:rsid w:val="00B7466D"/>
    <w:pPr>
      <w:widowControl w:val="0"/>
      <w:autoSpaceDE w:val="0"/>
      <w:autoSpaceDN w:val="0"/>
      <w:spacing w:before="216" w:after="0" w:line="240" w:lineRule="auto"/>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B7466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Body1">
    <w:name w:val="Body 1"/>
    <w:autoRedefine/>
    <w:rsid w:val="00B7466D"/>
    <w:pPr>
      <w:tabs>
        <w:tab w:val="left" w:pos="1160"/>
      </w:tabs>
      <w:spacing w:after="0"/>
      <w:jc w:val="both"/>
      <w:outlineLvl w:val="0"/>
    </w:pPr>
    <w:rPr>
      <w:rFonts w:ascii="Arial Narrow" w:eastAsia="ヒラギノ角ゴ Pro W3" w:hAnsi="Arial Narrow" w:cs="Tahoma"/>
      <w:color w:val="0000FF"/>
      <w:sz w:val="20"/>
      <w:szCs w:val="20"/>
      <w:lang w:eastAsia="es-ES"/>
    </w:rPr>
  </w:style>
  <w:style w:type="character" w:customStyle="1" w:styleId="CharacterStyle1">
    <w:name w:val="Character Style 1"/>
    <w:uiPriority w:val="99"/>
    <w:rsid w:val="00B7466D"/>
    <w:rPr>
      <w:sz w:val="20"/>
      <w:szCs w:val="20"/>
    </w:rPr>
  </w:style>
  <w:style w:type="paragraph" w:customStyle="1" w:styleId="Style2">
    <w:name w:val="Style 2"/>
    <w:uiPriority w:val="99"/>
    <w:rsid w:val="00B7466D"/>
    <w:pPr>
      <w:widowControl w:val="0"/>
      <w:autoSpaceDE w:val="0"/>
      <w:autoSpaceDN w:val="0"/>
      <w:spacing w:before="252" w:after="0" w:line="240" w:lineRule="auto"/>
      <w:jc w:val="both"/>
    </w:pPr>
    <w:rPr>
      <w:rFonts w:ascii="Times New Roman" w:eastAsia="Times New Roman" w:hAnsi="Times New Roman" w:cs="Times New Roman"/>
      <w:sz w:val="24"/>
      <w:szCs w:val="24"/>
      <w:lang w:val="en-US" w:eastAsia="es-ES"/>
    </w:rPr>
  </w:style>
  <w:style w:type="character" w:customStyle="1" w:styleId="TextodecuerpoCar">
    <w:name w:val="Texto de cuerpo Car"/>
    <w:basedOn w:val="Fuentedeprrafopredeter"/>
    <w:rsid w:val="00B7466D"/>
    <w:rPr>
      <w:rFonts w:ascii="Times New Roman" w:eastAsia="Arial Unicode MS" w:hAnsi="Times New Roman" w:cs="Times New Roman"/>
      <w:sz w:val="24"/>
      <w:szCs w:val="24"/>
      <w:lang w:val="es-ES_tradnl" w:eastAsia="es-EC"/>
    </w:rPr>
  </w:style>
  <w:style w:type="paragraph" w:styleId="Epgrafe">
    <w:name w:val="caption"/>
    <w:basedOn w:val="Normal"/>
    <w:next w:val="Normal"/>
    <w:uiPriority w:val="35"/>
    <w:unhideWhenUsed/>
    <w:qFormat/>
    <w:rsid w:val="00B7466D"/>
    <w:pPr>
      <w:spacing w:after="200"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B7466D"/>
    <w:pPr>
      <w:spacing w:line="276" w:lineRule="auto"/>
      <w:outlineLvl w:val="9"/>
    </w:pPr>
    <w:rPr>
      <w:lang w:eastAsia="es-EC"/>
    </w:rPr>
  </w:style>
  <w:style w:type="paragraph" w:styleId="TDC1">
    <w:name w:val="toc 1"/>
    <w:basedOn w:val="Normal"/>
    <w:next w:val="Normal"/>
    <w:autoRedefine/>
    <w:uiPriority w:val="39"/>
    <w:unhideWhenUsed/>
    <w:rsid w:val="00B7466D"/>
    <w:pPr>
      <w:spacing w:after="100"/>
    </w:pPr>
  </w:style>
  <w:style w:type="paragraph" w:styleId="TDC2">
    <w:name w:val="toc 2"/>
    <w:basedOn w:val="Normal"/>
    <w:next w:val="Normal"/>
    <w:autoRedefine/>
    <w:uiPriority w:val="39"/>
    <w:unhideWhenUsed/>
    <w:rsid w:val="00B7466D"/>
    <w:pPr>
      <w:spacing w:after="100"/>
      <w:ind w:left="220"/>
    </w:pPr>
  </w:style>
  <w:style w:type="paragraph" w:styleId="TDC3">
    <w:name w:val="toc 3"/>
    <w:basedOn w:val="Normal"/>
    <w:next w:val="Normal"/>
    <w:autoRedefine/>
    <w:uiPriority w:val="39"/>
    <w:unhideWhenUsed/>
    <w:rsid w:val="00B7466D"/>
    <w:pPr>
      <w:spacing w:after="100"/>
      <w:ind w:left="440"/>
    </w:pPr>
  </w:style>
  <w:style w:type="character" w:styleId="Hipervnculo">
    <w:name w:val="Hyperlink"/>
    <w:basedOn w:val="Fuentedeprrafopredeter"/>
    <w:uiPriority w:val="99"/>
    <w:unhideWhenUsed/>
    <w:rsid w:val="00B74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44A6-DC88-4850-A0B6-0A06131B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7022</Words>
  <Characters>38622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Lourdes González Vásquez</dc:creator>
  <cp:lastModifiedBy>María de Lourdes González Vásquez</cp:lastModifiedBy>
  <cp:revision>10</cp:revision>
  <cp:lastPrinted>2016-07-27T17:09:00Z</cp:lastPrinted>
  <dcterms:created xsi:type="dcterms:W3CDTF">2016-07-28T21:36:00Z</dcterms:created>
  <dcterms:modified xsi:type="dcterms:W3CDTF">2017-04-04T21:22:00Z</dcterms:modified>
</cp:coreProperties>
</file>