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7C2B" w:rsidRPr="0066728D" w:rsidRDefault="00BE7C2B" w:rsidP="0066728D">
      <w:pPr>
        <w:spacing w:after="120" w:line="276" w:lineRule="auto"/>
        <w:jc w:val="center"/>
        <w:rPr>
          <w:rFonts w:ascii="Palatino Linotype" w:hAnsi="Palatino Linotype" w:cs="Arial"/>
          <w:b/>
          <w:sz w:val="22"/>
          <w:szCs w:val="22"/>
        </w:rPr>
      </w:pPr>
      <w:bookmarkStart w:id="0" w:name="_GoBack"/>
      <w:bookmarkEnd w:id="0"/>
      <w:r w:rsidRPr="0066728D">
        <w:rPr>
          <w:rFonts w:ascii="Palatino Linotype" w:hAnsi="Palatino Linotype" w:cs="Arial"/>
          <w:b/>
          <w:sz w:val="22"/>
          <w:szCs w:val="22"/>
        </w:rPr>
        <w:t>EXPOSICIÓN DE MOTIVOS</w:t>
      </w:r>
    </w:p>
    <w:p w:rsidR="0066728D" w:rsidRPr="0066728D" w:rsidRDefault="0066728D" w:rsidP="0066728D">
      <w:pPr>
        <w:spacing w:after="120" w:line="276" w:lineRule="auto"/>
        <w:ind w:right="-1" w:firstLine="360"/>
        <w:jc w:val="both"/>
        <w:rPr>
          <w:rFonts w:ascii="Palatino Linotype" w:hAnsi="Palatino Linotype" w:cs="Arial"/>
          <w:bCs/>
          <w:color w:val="000000"/>
          <w:sz w:val="22"/>
          <w:szCs w:val="22"/>
        </w:rPr>
      </w:pPr>
      <w:r w:rsidRPr="0066728D">
        <w:rPr>
          <w:rFonts w:ascii="Palatino Linotype" w:hAnsi="Palatino Linotype" w:cs="Arial"/>
          <w:bCs/>
          <w:color w:val="000000"/>
          <w:sz w:val="22"/>
          <w:szCs w:val="22"/>
        </w:rPr>
        <w:t>El 3 de diciembre de 2015, el Municipio del Distrito Metropolitano de Quito sancionó la Ordenanza Metropolitana No. 0086, que contiene las regulaciones para el proyecto urbanístico arquitectónico especial “Centro de Convenciones Metropolitano de la Ciudad de Quito”, promovido por la Empresa Pública Metropolitana de Gestión del Destino Turístico “Quito Turismo”, ubicado en el en el lote con predio No. 3553162 de propiedad del Municipio del Distrito Metropolitano con una superficie de 107.500 m2, ubicado en la parroquia La Concepción, en la intersección de las extensiones de las avenidas Amazonas y Florida, parte del complejo urbanístico del Parque Bicentenario.</w:t>
      </w:r>
    </w:p>
    <w:p w:rsidR="0066728D" w:rsidRPr="0066728D" w:rsidRDefault="0066728D" w:rsidP="0066728D">
      <w:pPr>
        <w:spacing w:after="120" w:line="276" w:lineRule="auto"/>
        <w:ind w:right="-1" w:firstLine="360"/>
        <w:jc w:val="both"/>
        <w:rPr>
          <w:rFonts w:ascii="Palatino Linotype" w:hAnsi="Palatino Linotype" w:cs="Arial"/>
          <w:bCs/>
          <w:color w:val="000000"/>
          <w:sz w:val="22"/>
          <w:szCs w:val="22"/>
        </w:rPr>
      </w:pPr>
      <w:r w:rsidRPr="0066728D">
        <w:rPr>
          <w:rFonts w:ascii="Palatino Linotype" w:hAnsi="Palatino Linotype" w:cs="Arial"/>
          <w:bCs/>
          <w:color w:val="000000"/>
          <w:sz w:val="22"/>
          <w:szCs w:val="22"/>
        </w:rPr>
        <w:t>Mediante oficio No. EPMGDT – 2017- 000016 del 31 de enero de 2017, la Empresa Pública Metropolitana de Gestión del Destino Turístico “Quito Turismo”, remite a la Secretaría de Territorio Hábitat y Vivienda el “alcance del estudio de mercado y justificación técnica del nuevo programa arquitectónico del Centro de Convenciones Metropolitano de la Ciudad de Quito”, en el cual se recomienda:</w:t>
      </w:r>
    </w:p>
    <w:p w:rsidR="0066728D" w:rsidRPr="0066728D" w:rsidRDefault="0066728D" w:rsidP="0066728D">
      <w:pPr>
        <w:pStyle w:val="Prrafodelista"/>
        <w:numPr>
          <w:ilvl w:val="0"/>
          <w:numId w:val="41"/>
        </w:numPr>
        <w:spacing w:after="120"/>
        <w:ind w:right="-1"/>
        <w:rPr>
          <w:rFonts w:ascii="Palatino Linotype" w:hAnsi="Palatino Linotype" w:cs="Arial"/>
          <w:bCs/>
          <w:color w:val="000000"/>
        </w:rPr>
      </w:pPr>
      <w:r w:rsidRPr="0066728D">
        <w:rPr>
          <w:rFonts w:ascii="Palatino Linotype" w:hAnsi="Palatino Linotype" w:cs="Arial"/>
          <w:bCs/>
          <w:color w:val="000000"/>
        </w:rPr>
        <w:t>Solicitar que el nuevo diseño planteado y el programa arquitectónico en la Etapa 1, fase 1 y 2 sea presentado a la mesa técnica de PUAE a través de la Secretaría de Territorio, Hábitat y Vivienda para su revisión y de ser el caso proceder a plantear los cambios de la Ordenanza No. 086, relacionados con las Obras Básicas.</w:t>
      </w:r>
    </w:p>
    <w:p w:rsidR="0066728D" w:rsidRPr="0066728D" w:rsidRDefault="0066728D" w:rsidP="0066728D">
      <w:pPr>
        <w:pStyle w:val="Prrafodelista"/>
        <w:numPr>
          <w:ilvl w:val="0"/>
          <w:numId w:val="41"/>
        </w:numPr>
        <w:spacing w:after="120"/>
        <w:ind w:right="-1"/>
        <w:rPr>
          <w:rFonts w:ascii="Palatino Linotype" w:hAnsi="Palatino Linotype" w:cs="Arial"/>
          <w:bCs/>
          <w:color w:val="000000"/>
        </w:rPr>
      </w:pPr>
      <w:r w:rsidRPr="0066728D">
        <w:rPr>
          <w:rFonts w:ascii="Palatino Linotype" w:hAnsi="Palatino Linotype" w:cs="Arial"/>
          <w:bCs/>
          <w:color w:val="000000"/>
        </w:rPr>
        <w:t xml:space="preserve">Que los planos de implantación y anexos técnicos que sean parte del proyecto de desarrollo integral del Centro de Convenciones Metropolitano de Quito puedan ser modificados por la Secretaría de Territorio, Hábitat y Vivienda a solicitud del promotor y de acuerdo a los análisis de mercado y necesidades futuras de cada componente del proyecto  (obras básicas y complementarias) para mantener su flexibilidad en el desarrollo futuro.  </w:t>
      </w:r>
    </w:p>
    <w:p w:rsidR="0066728D" w:rsidRPr="0066728D" w:rsidRDefault="0066728D" w:rsidP="0066728D">
      <w:pPr>
        <w:spacing w:after="120" w:line="276" w:lineRule="auto"/>
        <w:ind w:right="-1" w:firstLine="360"/>
        <w:jc w:val="both"/>
        <w:rPr>
          <w:rFonts w:ascii="Palatino Linotype" w:hAnsi="Palatino Linotype" w:cs="Arial"/>
          <w:bCs/>
          <w:color w:val="000000"/>
          <w:sz w:val="22"/>
          <w:szCs w:val="22"/>
        </w:rPr>
      </w:pPr>
      <w:r w:rsidRPr="0066728D">
        <w:rPr>
          <w:rFonts w:ascii="Palatino Linotype" w:hAnsi="Palatino Linotype" w:cs="Arial"/>
          <w:bCs/>
          <w:color w:val="000000"/>
          <w:sz w:val="22"/>
          <w:szCs w:val="22"/>
        </w:rPr>
        <w:t>Debido a que el diseño definitivo propuesto para el Centro de Convenciones planteado dentro de las Obras Básicas (edificaciones esenciales), aumenta el área edificable, modifica los límites y la ubicación de los elementos arquitectónicos planteados en la implantación, perfil urbano referencial y etapas de consolidación,  modifica los coeficientes de ocupación del suelo tanto en planta baja como en el total, se hace necesaria la reformatoria de la normativa vigente en la Ordenanza Metropolitana No. 0086.</w:t>
      </w:r>
    </w:p>
    <w:p w:rsidR="0066728D" w:rsidRPr="0066728D" w:rsidRDefault="0066728D" w:rsidP="0066728D">
      <w:pPr>
        <w:spacing w:after="120" w:line="276" w:lineRule="auto"/>
        <w:ind w:right="-1" w:firstLine="360"/>
        <w:jc w:val="both"/>
        <w:rPr>
          <w:rFonts w:ascii="Palatino Linotype" w:hAnsi="Palatino Linotype" w:cs="Arial"/>
          <w:bCs/>
          <w:color w:val="000000"/>
          <w:sz w:val="22"/>
          <w:szCs w:val="22"/>
        </w:rPr>
      </w:pPr>
      <w:r w:rsidRPr="0066728D">
        <w:rPr>
          <w:rFonts w:ascii="Palatino Linotype" w:hAnsi="Palatino Linotype" w:cs="Arial"/>
          <w:bCs/>
          <w:color w:val="000000"/>
          <w:sz w:val="22"/>
          <w:szCs w:val="22"/>
        </w:rPr>
        <w:t xml:space="preserve">Cabe recalcar que el proyecto del Centro de Convenciones Metropolitano de la ciudad de Quito, es un proyecto urbanístico arquitectónico especial que representa un elemento central de la transformación proyectada por el Plan Especial Bicentenario impulsado por el </w:t>
      </w:r>
      <w:r w:rsidRPr="0066728D">
        <w:rPr>
          <w:rFonts w:ascii="Palatino Linotype" w:hAnsi="Palatino Linotype" w:cs="Arial"/>
          <w:bCs/>
          <w:color w:val="000000"/>
          <w:sz w:val="22"/>
          <w:szCs w:val="22"/>
        </w:rPr>
        <w:lastRenderedPageBreak/>
        <w:t>Municipio del Distrito Metropolitano de Quito, con el objetivo de fomentar el turismo de negocios en la ciudad.</w:t>
      </w:r>
    </w:p>
    <w:p w:rsidR="00D966D1" w:rsidRPr="00F37371" w:rsidRDefault="00D966D1" w:rsidP="00D966D1">
      <w:pPr>
        <w:spacing w:after="120" w:line="276" w:lineRule="auto"/>
        <w:jc w:val="both"/>
        <w:rPr>
          <w:rFonts w:ascii="Palatino Linotype" w:hAnsi="Palatino Linotype" w:cs="Arial"/>
          <w:sz w:val="22"/>
          <w:szCs w:val="22"/>
        </w:rPr>
        <w:sectPr w:rsidR="00D966D1" w:rsidRPr="00F37371" w:rsidSect="00D44D3B">
          <w:headerReference w:type="even" r:id="rId9"/>
          <w:headerReference w:type="default" r:id="rId10"/>
          <w:headerReference w:type="first" r:id="rId11"/>
          <w:pgSz w:w="11906" w:h="16838" w:code="9"/>
          <w:pgMar w:top="1134" w:right="1418" w:bottom="1134" w:left="1418" w:header="720" w:footer="720" w:gutter="0"/>
          <w:cols w:space="720"/>
          <w:docGrid w:linePitch="240" w:charSpace="32768"/>
        </w:sectPr>
      </w:pPr>
    </w:p>
    <w:p w:rsidR="008122FF" w:rsidRPr="00F37371" w:rsidRDefault="00984EB9" w:rsidP="00D966D1">
      <w:pPr>
        <w:spacing w:after="120" w:line="276" w:lineRule="auto"/>
        <w:ind w:right="-1"/>
        <w:jc w:val="center"/>
        <w:rPr>
          <w:rFonts w:ascii="Palatino Linotype" w:hAnsi="Palatino Linotype" w:cs="Arial"/>
          <w:b/>
          <w:bCs/>
          <w:sz w:val="22"/>
          <w:szCs w:val="22"/>
        </w:rPr>
      </w:pPr>
      <w:r w:rsidRPr="00F37371">
        <w:rPr>
          <w:rFonts w:ascii="Palatino Linotype" w:hAnsi="Palatino Linotype" w:cs="Arial"/>
          <w:b/>
          <w:bCs/>
          <w:sz w:val="22"/>
          <w:szCs w:val="22"/>
        </w:rPr>
        <w:lastRenderedPageBreak/>
        <w:t>EL CONCEJO METROPOLITANO DE QUITO</w:t>
      </w:r>
    </w:p>
    <w:p w:rsidR="00955AE7" w:rsidRPr="0066728D" w:rsidRDefault="00984EB9" w:rsidP="0066728D">
      <w:pPr>
        <w:spacing w:after="120" w:line="276" w:lineRule="auto"/>
        <w:ind w:right="-1"/>
        <w:jc w:val="both"/>
        <w:rPr>
          <w:rFonts w:ascii="Palatino Linotype" w:hAnsi="Palatino Linotype" w:cs="Arial"/>
          <w:sz w:val="22"/>
          <w:szCs w:val="22"/>
        </w:rPr>
      </w:pPr>
      <w:r w:rsidRPr="00F37371">
        <w:rPr>
          <w:rFonts w:ascii="Palatino Linotype" w:hAnsi="Palatino Linotype" w:cs="Arial"/>
          <w:sz w:val="22"/>
          <w:szCs w:val="22"/>
        </w:rPr>
        <w:t xml:space="preserve">Visto el Informe </w:t>
      </w:r>
      <w:r w:rsidR="001E46FA" w:rsidRPr="00F37371">
        <w:rPr>
          <w:rFonts w:ascii="Palatino Linotype" w:hAnsi="Palatino Linotype" w:cs="Arial"/>
          <w:sz w:val="22"/>
          <w:szCs w:val="22"/>
        </w:rPr>
        <w:t>N</w:t>
      </w:r>
      <w:r w:rsidR="00D966D1" w:rsidRPr="00F37371">
        <w:rPr>
          <w:rFonts w:ascii="Palatino Linotype" w:hAnsi="Palatino Linotype" w:cs="Arial"/>
          <w:sz w:val="22"/>
          <w:szCs w:val="22"/>
        </w:rPr>
        <w:t xml:space="preserve">o. </w:t>
      </w:r>
      <w:r w:rsidR="00D966D1" w:rsidRPr="00F37371">
        <w:rPr>
          <w:rFonts w:ascii="Palatino Linotype" w:hAnsi="Palatino Linotype" w:cs="Arial"/>
          <w:sz w:val="22"/>
          <w:szCs w:val="22"/>
        </w:rPr>
        <w:tab/>
        <w:t>IC-O-201</w:t>
      </w:r>
      <w:r w:rsidR="0066728D">
        <w:rPr>
          <w:rFonts w:ascii="Palatino Linotype" w:hAnsi="Palatino Linotype" w:cs="Arial"/>
          <w:sz w:val="22"/>
          <w:szCs w:val="22"/>
        </w:rPr>
        <w:t>7</w:t>
      </w:r>
      <w:r w:rsidR="00D966D1" w:rsidRPr="00F37371">
        <w:rPr>
          <w:rFonts w:ascii="Palatino Linotype" w:hAnsi="Palatino Linotype" w:cs="Arial"/>
          <w:sz w:val="22"/>
          <w:szCs w:val="22"/>
        </w:rPr>
        <w:t>-</w:t>
      </w:r>
      <w:r w:rsidR="0066728D">
        <w:rPr>
          <w:rFonts w:ascii="Palatino Linotype" w:hAnsi="Palatino Linotype" w:cs="Arial"/>
          <w:sz w:val="22"/>
          <w:szCs w:val="22"/>
        </w:rPr>
        <w:t>078</w:t>
      </w:r>
      <w:r w:rsidR="00D966D1" w:rsidRPr="00F37371">
        <w:rPr>
          <w:rFonts w:ascii="Palatino Linotype" w:hAnsi="Palatino Linotype" w:cs="Arial"/>
          <w:sz w:val="22"/>
          <w:szCs w:val="22"/>
        </w:rPr>
        <w:t xml:space="preserve">, </w:t>
      </w:r>
      <w:r w:rsidR="001E46FA" w:rsidRPr="00F37371">
        <w:rPr>
          <w:rFonts w:ascii="Palatino Linotype" w:hAnsi="Palatino Linotype" w:cs="Arial"/>
          <w:sz w:val="22"/>
          <w:szCs w:val="22"/>
        </w:rPr>
        <w:t xml:space="preserve">de </w:t>
      </w:r>
      <w:r w:rsidR="00D966D1" w:rsidRPr="00F37371">
        <w:rPr>
          <w:rFonts w:ascii="Palatino Linotype" w:hAnsi="Palatino Linotype" w:cs="Arial"/>
          <w:sz w:val="22"/>
          <w:szCs w:val="22"/>
        </w:rPr>
        <w:t>1</w:t>
      </w:r>
      <w:r w:rsidR="0066728D">
        <w:rPr>
          <w:rFonts w:ascii="Palatino Linotype" w:hAnsi="Palatino Linotype" w:cs="Arial"/>
          <w:sz w:val="22"/>
          <w:szCs w:val="22"/>
        </w:rPr>
        <w:t>6</w:t>
      </w:r>
      <w:r w:rsidR="00D966D1" w:rsidRPr="00F37371">
        <w:rPr>
          <w:rFonts w:ascii="Palatino Linotype" w:hAnsi="Palatino Linotype" w:cs="Arial"/>
          <w:sz w:val="22"/>
          <w:szCs w:val="22"/>
        </w:rPr>
        <w:t xml:space="preserve"> de </w:t>
      </w:r>
      <w:r w:rsidR="0066728D">
        <w:rPr>
          <w:rFonts w:ascii="Palatino Linotype" w:hAnsi="Palatino Linotype" w:cs="Arial"/>
          <w:sz w:val="22"/>
          <w:szCs w:val="22"/>
        </w:rPr>
        <w:t xml:space="preserve">marzo </w:t>
      </w:r>
      <w:r w:rsidR="001E46FA" w:rsidRPr="00F37371">
        <w:rPr>
          <w:rFonts w:ascii="Palatino Linotype" w:hAnsi="Palatino Linotype" w:cs="Arial"/>
          <w:sz w:val="22"/>
          <w:szCs w:val="22"/>
        </w:rPr>
        <w:t>de 201</w:t>
      </w:r>
      <w:r w:rsidR="0066728D">
        <w:rPr>
          <w:rFonts w:ascii="Palatino Linotype" w:hAnsi="Palatino Linotype" w:cs="Arial"/>
          <w:sz w:val="22"/>
          <w:szCs w:val="22"/>
        </w:rPr>
        <w:t>7</w:t>
      </w:r>
      <w:r w:rsidRPr="00F37371">
        <w:rPr>
          <w:rFonts w:ascii="Palatino Linotype" w:hAnsi="Palatino Linotype" w:cs="Arial"/>
          <w:sz w:val="22"/>
          <w:szCs w:val="22"/>
        </w:rPr>
        <w:t xml:space="preserve">, </w:t>
      </w:r>
      <w:r w:rsidR="00D966D1" w:rsidRPr="00F37371">
        <w:rPr>
          <w:rFonts w:ascii="Palatino Linotype" w:hAnsi="Palatino Linotype" w:cs="Arial"/>
          <w:sz w:val="22"/>
          <w:szCs w:val="22"/>
        </w:rPr>
        <w:t xml:space="preserve">emitido por </w:t>
      </w:r>
      <w:r w:rsidRPr="00F37371">
        <w:rPr>
          <w:rFonts w:ascii="Palatino Linotype" w:hAnsi="Palatino Linotype" w:cs="Arial"/>
          <w:sz w:val="22"/>
          <w:szCs w:val="22"/>
        </w:rPr>
        <w:t xml:space="preserve">la Comisión de </w:t>
      </w:r>
      <w:r w:rsidRPr="0066728D">
        <w:rPr>
          <w:rFonts w:ascii="Palatino Linotype" w:hAnsi="Palatino Linotype" w:cs="Arial"/>
          <w:sz w:val="22"/>
          <w:szCs w:val="22"/>
        </w:rPr>
        <w:t>Suelo.</w:t>
      </w:r>
    </w:p>
    <w:p w:rsidR="00955AE7" w:rsidRPr="0066728D" w:rsidRDefault="00984EB9" w:rsidP="0066728D">
      <w:pPr>
        <w:spacing w:after="120" w:line="276" w:lineRule="auto"/>
        <w:ind w:right="-1"/>
        <w:jc w:val="center"/>
        <w:outlineLvl w:val="0"/>
        <w:rPr>
          <w:rFonts w:ascii="Palatino Linotype" w:hAnsi="Palatino Linotype" w:cs="Arial"/>
          <w:b/>
          <w:bCs/>
          <w:sz w:val="22"/>
          <w:szCs w:val="22"/>
        </w:rPr>
      </w:pPr>
      <w:r w:rsidRPr="0066728D">
        <w:rPr>
          <w:rFonts w:ascii="Palatino Linotype" w:hAnsi="Palatino Linotype" w:cs="Arial"/>
          <w:b/>
          <w:bCs/>
          <w:sz w:val="22"/>
          <w:szCs w:val="22"/>
        </w:rPr>
        <w:t>CONSIDERANDO:</w:t>
      </w:r>
    </w:p>
    <w:p w:rsidR="0066728D" w:rsidRPr="0066728D" w:rsidRDefault="0066728D" w:rsidP="0066728D">
      <w:pPr>
        <w:spacing w:after="120" w:line="276" w:lineRule="auto"/>
        <w:ind w:left="705" w:hanging="705"/>
        <w:jc w:val="both"/>
        <w:rPr>
          <w:rFonts w:ascii="Palatino Linotype" w:hAnsi="Palatino Linotype" w:cs="Arial"/>
          <w:b/>
          <w:bCs/>
          <w:color w:val="000000"/>
          <w:sz w:val="22"/>
          <w:szCs w:val="22"/>
        </w:rPr>
      </w:pPr>
      <w:r w:rsidRPr="0066728D">
        <w:rPr>
          <w:rFonts w:ascii="Palatino Linotype" w:hAnsi="Palatino Linotype" w:cs="Arial"/>
          <w:b/>
          <w:sz w:val="22"/>
          <w:szCs w:val="22"/>
        </w:rPr>
        <w:t xml:space="preserve">Que, </w:t>
      </w:r>
      <w:r>
        <w:rPr>
          <w:rFonts w:ascii="Palatino Linotype" w:hAnsi="Palatino Linotype" w:cs="Arial"/>
          <w:sz w:val="22"/>
          <w:szCs w:val="22"/>
        </w:rPr>
        <w:tab/>
      </w:r>
      <w:r w:rsidRPr="0066728D">
        <w:rPr>
          <w:rFonts w:ascii="Palatino Linotype" w:hAnsi="Palatino Linotype" w:cs="Arial"/>
          <w:sz w:val="22"/>
          <w:szCs w:val="22"/>
        </w:rPr>
        <w:t>los numerales 1 y 2 del artículo 264 de la Constitución de la República del Ecuador señalan como competencias exclusivas de los gobiernos municipales las siguientes:</w:t>
      </w:r>
      <w:r w:rsidRPr="0066728D">
        <w:rPr>
          <w:rFonts w:ascii="Palatino Linotype" w:hAnsi="Palatino Linotype" w:cs="Arial"/>
          <w:i/>
          <w:sz w:val="22"/>
          <w:szCs w:val="22"/>
        </w:rPr>
        <w:t xml:space="preserve">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66728D">
        <w:rPr>
          <w:rFonts w:ascii="Palatino Linotype" w:hAnsi="Palatino Linotype" w:cs="Arial"/>
          <w:sz w:val="22"/>
          <w:szCs w:val="22"/>
        </w:rPr>
        <w:t>;</w:t>
      </w:r>
    </w:p>
    <w:p w:rsidR="0066728D" w:rsidRPr="0066728D" w:rsidRDefault="0066728D" w:rsidP="0066728D">
      <w:pPr>
        <w:spacing w:after="120" w:line="276" w:lineRule="auto"/>
        <w:ind w:left="705" w:hanging="705"/>
        <w:jc w:val="both"/>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sidRPr="0066728D">
        <w:rPr>
          <w:rFonts w:ascii="Palatino Linotype" w:hAnsi="Palatino Linotype" w:cs="Arial"/>
          <w:bCs/>
          <w:color w:val="000000"/>
          <w:sz w:val="22"/>
          <w:szCs w:val="22"/>
        </w:rPr>
        <w:t xml:space="preserv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el literal b) del artículo 55 del Código Orgánico de Organización Territorial, Autonomía y Descentralización (COOTAD) (R.O No. 303 de 19 de octubre de 2010) establece como competencia exclusiva del gobierno autónomo descentralizado municipal la de ejercer el control sobre el uso y ocupación del suelo en el cantón</w:t>
      </w:r>
      <w:r>
        <w:rPr>
          <w:rFonts w:ascii="Palatino Linotype" w:hAnsi="Palatino Linotype" w:cs="Arial"/>
          <w:bCs/>
          <w:color w:val="000000"/>
          <w:sz w:val="22"/>
          <w:szCs w:val="22"/>
        </w:rPr>
        <w:t>;</w:t>
      </w:r>
    </w:p>
    <w:p w:rsidR="0066728D" w:rsidRPr="0066728D" w:rsidRDefault="0066728D" w:rsidP="0066728D">
      <w:pPr>
        <w:spacing w:after="120" w:line="276" w:lineRule="auto"/>
        <w:ind w:left="705" w:hanging="705"/>
        <w:jc w:val="both"/>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sidRPr="0066728D">
        <w:rPr>
          <w:rFonts w:ascii="Palatino Linotype" w:hAnsi="Palatino Linotype" w:cs="Arial"/>
          <w:bCs/>
          <w:color w:val="000000"/>
          <w:sz w:val="22"/>
          <w:szCs w:val="22"/>
        </w:rPr>
        <w:t xml:space="preserv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 xml:space="preserve">el artículo 84 del Código Orgánico de Organización Territorial, Autonomía y Descentralización (COOTAD) (R.O. No. 303 de 19 de octubre de 2010) establece como funciones del gobierno del distrito autónomo metropolitano: </w:t>
      </w:r>
      <w:r w:rsidRPr="0066728D">
        <w:rPr>
          <w:rFonts w:ascii="Palatino Linotype" w:hAnsi="Palatino Linotype" w:cs="Arial"/>
          <w:bCs/>
          <w:i/>
          <w:color w:val="000000"/>
          <w:sz w:val="22"/>
          <w:szCs w:val="22"/>
        </w:rPr>
        <w:t>“a) Promover el desarrollo sustentable de su circunscripción distrital metropolitana, para garantizar la realización del buen vivir a través de la implementación de políticas públicas metropolitanas, en el marco de sus competencias constitucionales y legales”</w:t>
      </w:r>
      <w:r>
        <w:rPr>
          <w:rFonts w:ascii="Palatino Linotype" w:hAnsi="Palatino Linotype" w:cs="Arial"/>
          <w:bCs/>
          <w:color w:val="000000"/>
          <w:sz w:val="22"/>
          <w:szCs w:val="22"/>
        </w:rPr>
        <w:t>;</w:t>
      </w:r>
    </w:p>
    <w:p w:rsidR="0066728D" w:rsidRPr="0066728D" w:rsidRDefault="0066728D" w:rsidP="0066728D">
      <w:pPr>
        <w:spacing w:after="120" w:line="276" w:lineRule="auto"/>
        <w:ind w:left="705" w:hanging="705"/>
        <w:jc w:val="both"/>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sidRPr="0066728D">
        <w:rPr>
          <w:rFonts w:ascii="Palatino Linotype" w:hAnsi="Palatino Linotype" w:cs="Arial"/>
          <w:bCs/>
          <w:color w:val="000000"/>
          <w:sz w:val="22"/>
          <w:szCs w:val="22"/>
        </w:rPr>
        <w:t xml:space="preserv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el artículo 85 del Código Orgánico de Organización Territorial, Autonomía y Descentralización (COOTAD) (R.O. No. 303 de 19 de octubre de 2010), estipula de los gobiernos autónomos descentralizados de los distritos metropolitanos ejercerán las competencias que corresponden a los gobiernos cantonales y todas las asumidas de los gobiernos provinciales y regionales, sin perjuicio de las adicionales que se les asigne</w:t>
      </w:r>
      <w:r>
        <w:rPr>
          <w:rFonts w:ascii="Palatino Linotype" w:hAnsi="Palatino Linotype" w:cs="Arial"/>
          <w:bCs/>
          <w:color w:val="000000"/>
          <w:sz w:val="22"/>
          <w:szCs w:val="22"/>
        </w:rPr>
        <w:t>;</w:t>
      </w:r>
    </w:p>
    <w:p w:rsidR="0066728D" w:rsidRPr="0066728D" w:rsidRDefault="0066728D" w:rsidP="0066728D">
      <w:pPr>
        <w:spacing w:after="120" w:line="276" w:lineRule="auto"/>
        <w:ind w:left="705" w:hanging="705"/>
        <w:jc w:val="both"/>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sidRPr="0066728D">
        <w:rPr>
          <w:rFonts w:ascii="Palatino Linotype" w:hAnsi="Palatino Linotype" w:cs="Arial"/>
          <w:bCs/>
          <w:color w:val="000000"/>
          <w:sz w:val="22"/>
          <w:szCs w:val="22"/>
        </w:rPr>
        <w:t xml:space="preserv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el artículo 87 del Código Orgánico de Organización Territorial, Autonomía y Descentralización (COOTAD) (R.O. No. 303 de 19 de octubre de 2010) establece como Atribuciones del Concejo Metropolitano</w:t>
      </w:r>
      <w:r>
        <w:rPr>
          <w:rFonts w:ascii="Palatino Linotype" w:hAnsi="Palatino Linotype" w:cs="Arial"/>
          <w:bCs/>
          <w:color w:val="000000"/>
          <w:sz w:val="22"/>
          <w:szCs w:val="22"/>
        </w:rPr>
        <w:t>:</w:t>
      </w:r>
      <w:r w:rsidRPr="0066728D">
        <w:rPr>
          <w:rFonts w:ascii="Palatino Linotype" w:hAnsi="Palatino Linotype" w:cs="Arial"/>
          <w:bCs/>
          <w:color w:val="000000"/>
          <w:sz w:val="22"/>
          <w:szCs w:val="22"/>
        </w:rPr>
        <w:t xml:space="preserve"> </w:t>
      </w:r>
      <w:r w:rsidRPr="0066728D">
        <w:rPr>
          <w:rFonts w:ascii="Palatino Linotype" w:hAnsi="Palatino Linotype" w:cs="Arial"/>
          <w:bCs/>
          <w:i/>
          <w:color w:val="000000"/>
          <w:sz w:val="22"/>
          <w:szCs w:val="22"/>
        </w:rPr>
        <w:t>“Ejercer la facultad normativa en las materias de competencia del gobierno autónomo descentralizado metropolitano, mediante la expedición de ordenanzas metropolitanas, acuerdos y resoluciones”</w:t>
      </w:r>
      <w:r>
        <w:rPr>
          <w:rFonts w:ascii="Palatino Linotype" w:hAnsi="Palatino Linotype" w:cs="Arial"/>
          <w:bCs/>
          <w:color w:val="000000"/>
          <w:sz w:val="22"/>
          <w:szCs w:val="22"/>
        </w:rPr>
        <w:t>;</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lastRenderedPageBreak/>
        <w:t xml:space="preserve">Que,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 xml:space="preserve">en materia de planeamiento y urbanismo, a la administración municipal le compete expedir las ordenanzas y normativa específica con el objeto de cumplir las funciones prescritas en el COOTAD, teniendo en cuenta el armónico desarrollo urbano y rural; </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sidRPr="0066728D">
        <w:rPr>
          <w:rFonts w:ascii="Palatino Linotype" w:hAnsi="Palatino Linotype" w:cs="Arial"/>
          <w:bCs/>
          <w:color w:val="000000"/>
          <w:sz w:val="22"/>
          <w:szCs w:val="22"/>
        </w:rPr>
        <w:t xml:space="preserv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la Ley Orgánica de Régimen para el Distrito Metropolitano de Quito, en su artículo 26, (R.O. No. 345 del 10 de agosto de 1998), establece como competencia exclusiva del Distrito Metropolitano de Quito, la decisión sobre el destino del suelo y su forma de aprovechamiento dentro del territorio distrital;</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t xml:space="preserve">Que,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el artículo 21 de la Ordenanza Metropolitana No. 432 modificatoria de la No. 172 del Régimen Administrativo del Suelo en el Distrito Metropolitano de Quito sancionada el 20 de septiembre de 2013, determina que forma parte del sistema de planificación territorial del Distrito Metropolitano de Quito como un instrumento complementario al Plan Metropolitano de Ordenamiento Territorial los planes de escala parroquial o sectorial dentro de los cuales se enmarcan los proyectos urbanísticos arquitectónicos especiales (PUAE)</w:t>
      </w:r>
      <w:r>
        <w:rPr>
          <w:rFonts w:ascii="Palatino Linotype" w:hAnsi="Palatino Linotype" w:cs="Arial"/>
          <w:bCs/>
          <w:color w:val="000000"/>
          <w:sz w:val="22"/>
          <w:szCs w:val="22"/>
        </w:rPr>
        <w:t>;</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Pr>
          <w:rFonts w:ascii="Palatino Linotype" w:hAnsi="Palatino Linotype" w:cs="Arial"/>
          <w:b/>
          <w:bCs/>
          <w:color w:val="000000"/>
          <w:sz w:val="22"/>
          <w:szCs w:val="22"/>
        </w:rPr>
        <w:t>,</w:t>
      </w:r>
      <w:r w:rsidRPr="0066728D">
        <w:rPr>
          <w:rFonts w:ascii="Palatino Linotype" w:hAnsi="Palatino Linotype" w:cs="Arial"/>
          <w:bCs/>
          <w:color w:val="000000"/>
          <w:sz w:val="22"/>
          <w:szCs w:val="22"/>
        </w:rPr>
        <w:t xml:space="preserv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el artículo 26 de la Ordenanza Metropolitana No. 432 modificatoria de la No. 172 del Régimen Administrativo del Suelo en el Distrito Metropolitano de Quito sancionada el 20 de septiembre de 2013, define a los proyectos urbanísticos 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Pr>
          <w:rFonts w:ascii="Palatino Linotype" w:hAnsi="Palatino Linotype" w:cs="Arial"/>
          <w:b/>
          <w:bCs/>
          <w:color w:val="000000"/>
          <w:sz w:val="22"/>
          <w:szCs w:val="22"/>
        </w:rPr>
        <w:t>,</w:t>
      </w:r>
      <w:r w:rsidRPr="0066728D">
        <w:rPr>
          <w:rFonts w:ascii="Palatino Linotype" w:hAnsi="Palatino Linotype" w:cs="Arial"/>
          <w:b/>
          <w:bCs/>
          <w:color w:val="000000"/>
          <w:sz w:val="22"/>
          <w:szCs w:val="22"/>
        </w:rPr>
        <w:t xml:space="preserve"> </w:t>
      </w:r>
      <w:r>
        <w:rPr>
          <w:rFonts w:ascii="Palatino Linotype" w:hAnsi="Palatino Linotype" w:cs="Arial"/>
          <w:b/>
          <w:bCs/>
          <w:color w:val="000000"/>
          <w:sz w:val="22"/>
          <w:szCs w:val="22"/>
        </w:rPr>
        <w:tab/>
      </w:r>
      <w:r w:rsidRPr="0066728D">
        <w:rPr>
          <w:rFonts w:ascii="Palatino Linotype" w:hAnsi="Palatino Linotype" w:cs="Arial"/>
          <w:bCs/>
          <w:color w:val="000000"/>
          <w:sz w:val="22"/>
          <w:szCs w:val="22"/>
        </w:rPr>
        <w:t xml:space="preserve">el proyecto urbanístico arquitectónico especial “Centro de Convenciones Metropolitano de la Ciudad de Quito” está regulado mediante </w:t>
      </w:r>
      <w:r w:rsidRPr="0066728D">
        <w:rPr>
          <w:rFonts w:ascii="Palatino Linotype" w:hAnsi="Palatino Linotype" w:cs="Arial"/>
          <w:sz w:val="22"/>
          <w:szCs w:val="22"/>
        </w:rPr>
        <w:t xml:space="preserve">la </w:t>
      </w:r>
      <w:r>
        <w:rPr>
          <w:rFonts w:ascii="Palatino Linotype" w:hAnsi="Palatino Linotype" w:cs="Arial"/>
          <w:sz w:val="22"/>
          <w:szCs w:val="22"/>
        </w:rPr>
        <w:t>O</w:t>
      </w:r>
      <w:r w:rsidRPr="0066728D">
        <w:rPr>
          <w:rFonts w:ascii="Palatino Linotype" w:hAnsi="Palatino Linotype" w:cs="Arial"/>
          <w:sz w:val="22"/>
          <w:szCs w:val="22"/>
        </w:rPr>
        <w:t xml:space="preserve">rdenanza </w:t>
      </w:r>
      <w:r>
        <w:rPr>
          <w:rFonts w:ascii="Palatino Linotype" w:hAnsi="Palatino Linotype" w:cs="Arial"/>
          <w:sz w:val="22"/>
          <w:szCs w:val="22"/>
        </w:rPr>
        <w:t>M</w:t>
      </w:r>
      <w:r w:rsidRPr="0066728D">
        <w:rPr>
          <w:rFonts w:ascii="Palatino Linotype" w:hAnsi="Palatino Linotype" w:cs="Arial"/>
          <w:sz w:val="22"/>
          <w:szCs w:val="22"/>
        </w:rPr>
        <w:t>etropolitana No. 0086, sancionada el 3 de diciembre de 2015</w:t>
      </w:r>
      <w:r>
        <w:rPr>
          <w:rFonts w:ascii="Palatino Linotype" w:hAnsi="Palatino Linotype" w:cs="Arial"/>
          <w:sz w:val="22"/>
          <w:szCs w:val="22"/>
        </w:rPr>
        <w:t>;</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t>Que</w:t>
      </w:r>
      <w:r>
        <w:rPr>
          <w:rFonts w:ascii="Palatino Linotype" w:hAnsi="Palatino Linotype" w:cs="Arial"/>
          <w:bCs/>
          <w:color w:val="000000"/>
          <w:sz w:val="22"/>
          <w:szCs w:val="22"/>
        </w:rPr>
        <w:t>,</w:t>
      </w:r>
      <w:r w:rsidRPr="0066728D">
        <w:rPr>
          <w:rFonts w:ascii="Palatino Linotype" w:hAnsi="Palatino Linotype" w:cs="Arial"/>
          <w:bCs/>
          <w:color w:val="000000"/>
          <w:sz w:val="22"/>
          <w:szCs w:val="22"/>
        </w:rPr>
        <w:t xml:space="preserv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mediante oficio No. EPMGD-2017-000016, del 31 de enero de 2017, la Empresa Pública Metropolitana de Gestión del Destino Turístico “Quito Turismo”, ingresa a la Secretaría de Territorio hábitat y Vivienda “El alcance del estudio de mercado y justificación técnica del nuevo programa arquitectónico del centro de Convenciones Metropolitano de Quito” y solicitan la reforma a la ordenanza Metropolitana No. 0086 del Proyecto Urbanístico Arquitectónico Especial “Centro de Convenciones Metropolitano de la Ciudad de Quito”</w:t>
      </w:r>
      <w:r>
        <w:rPr>
          <w:rFonts w:ascii="Palatino Linotype" w:hAnsi="Palatino Linotype" w:cs="Arial"/>
          <w:bCs/>
          <w:color w:val="000000"/>
          <w:sz w:val="22"/>
          <w:szCs w:val="22"/>
        </w:rPr>
        <w:t>;</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lastRenderedPageBreak/>
        <w:t xml:space="preserve">Que, </w:t>
      </w:r>
      <w:r w:rsidRPr="0066728D">
        <w:rPr>
          <w:rFonts w:ascii="Palatino Linotype" w:hAnsi="Palatino Linotype" w:cs="Arial"/>
          <w:b/>
          <w:bCs/>
          <w:color w:val="000000"/>
          <w:sz w:val="22"/>
          <w:szCs w:val="22"/>
        </w:rPr>
        <w:tab/>
      </w:r>
      <w:r w:rsidRPr="0066728D">
        <w:rPr>
          <w:rFonts w:ascii="Palatino Linotype" w:hAnsi="Palatino Linotype" w:cs="Arial"/>
          <w:bCs/>
          <w:color w:val="000000"/>
          <w:sz w:val="22"/>
          <w:szCs w:val="22"/>
        </w:rPr>
        <w:t xml:space="preserve">mediante oficio No. </w:t>
      </w:r>
      <w:proofErr w:type="gramStart"/>
      <w:r w:rsidRPr="0066728D">
        <w:rPr>
          <w:rFonts w:ascii="Palatino Linotype" w:hAnsi="Palatino Linotype" w:cs="Arial"/>
          <w:bCs/>
          <w:color w:val="000000"/>
          <w:sz w:val="22"/>
          <w:szCs w:val="22"/>
        </w:rPr>
        <w:t>STHV …</w:t>
      </w:r>
      <w:proofErr w:type="gramEnd"/>
      <w:r w:rsidRPr="0066728D">
        <w:rPr>
          <w:rFonts w:ascii="Palatino Linotype" w:hAnsi="Palatino Linotype" w:cs="Arial"/>
          <w:bCs/>
          <w:color w:val="000000"/>
          <w:sz w:val="22"/>
          <w:szCs w:val="22"/>
        </w:rPr>
        <w:t>., la Secretaría de Territorio, Hábitat y Vivienda, emite informe técnico favorable para la expe</w:t>
      </w:r>
      <w:r>
        <w:rPr>
          <w:rFonts w:ascii="Palatino Linotype" w:hAnsi="Palatino Linotype" w:cs="Arial"/>
          <w:bCs/>
          <w:color w:val="000000"/>
          <w:sz w:val="22"/>
          <w:szCs w:val="22"/>
        </w:rPr>
        <w:t>dición de la presente ordenanza;</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t xml:space="preserve">Que,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 xml:space="preserve">mediante oficio No. …., la Secretaría de Movilidad, emite informe técnico favorable para la expedición de la presente ordenanza, y, </w:t>
      </w:r>
    </w:p>
    <w:p w:rsidR="0066728D" w:rsidRPr="0066728D" w:rsidRDefault="0066728D" w:rsidP="0066728D">
      <w:pPr>
        <w:spacing w:after="120" w:line="276" w:lineRule="auto"/>
        <w:ind w:left="705" w:hanging="705"/>
        <w:jc w:val="both"/>
        <w:outlineLvl w:val="0"/>
        <w:rPr>
          <w:rFonts w:ascii="Palatino Linotype" w:hAnsi="Palatino Linotype" w:cs="Arial"/>
          <w:bCs/>
          <w:color w:val="000000"/>
          <w:sz w:val="22"/>
          <w:szCs w:val="22"/>
        </w:rPr>
      </w:pPr>
      <w:r w:rsidRPr="0066728D">
        <w:rPr>
          <w:rFonts w:ascii="Palatino Linotype" w:hAnsi="Palatino Linotype" w:cs="Arial"/>
          <w:b/>
          <w:bCs/>
          <w:color w:val="000000"/>
          <w:sz w:val="22"/>
          <w:szCs w:val="22"/>
        </w:rPr>
        <w:t xml:space="preserve">Que, </w:t>
      </w:r>
      <w:r>
        <w:rPr>
          <w:rFonts w:ascii="Palatino Linotype" w:hAnsi="Palatino Linotype" w:cs="Arial"/>
          <w:bCs/>
          <w:color w:val="000000"/>
          <w:sz w:val="22"/>
          <w:szCs w:val="22"/>
        </w:rPr>
        <w:tab/>
      </w:r>
      <w:r w:rsidRPr="0066728D">
        <w:rPr>
          <w:rFonts w:ascii="Palatino Linotype" w:hAnsi="Palatino Linotype" w:cs="Arial"/>
          <w:bCs/>
          <w:color w:val="000000"/>
          <w:sz w:val="22"/>
          <w:szCs w:val="22"/>
        </w:rPr>
        <w:t>mediante oficio, referencia expediente No. …., la Procuraduría Metropolitana emite informe legal favorable para la expedición de la presente ordenanza.</w:t>
      </w:r>
    </w:p>
    <w:p w:rsidR="0066728D" w:rsidRPr="0066728D" w:rsidRDefault="0066728D" w:rsidP="0066728D">
      <w:pPr>
        <w:spacing w:after="120" w:line="276" w:lineRule="auto"/>
        <w:jc w:val="both"/>
        <w:outlineLvl w:val="0"/>
        <w:rPr>
          <w:rFonts w:ascii="Palatino Linotype" w:hAnsi="Palatino Linotype" w:cs="Arial"/>
          <w:b/>
          <w:bCs/>
          <w:color w:val="000000"/>
          <w:sz w:val="22"/>
          <w:szCs w:val="22"/>
        </w:rPr>
      </w:pPr>
      <w:r w:rsidRPr="0066728D">
        <w:rPr>
          <w:rFonts w:ascii="Palatino Linotype" w:hAnsi="Palatino Linotype" w:cs="Arial"/>
          <w:b/>
          <w:bCs/>
          <w:color w:val="000000"/>
          <w:sz w:val="22"/>
          <w:szCs w:val="22"/>
        </w:rPr>
        <w:t>En ejercicio de la atribución que le confiere el art. 57, letra a) y art. 87, letra a) del Código Orgánico de Organización Territorial, Autonomía y Descentralización y art. 8, numeral 1 de la Ley Orgánica de Régimen del Distrito Metropolitano de Quito</w:t>
      </w:r>
      <w:r>
        <w:rPr>
          <w:rFonts w:ascii="Palatino Linotype" w:hAnsi="Palatino Linotype" w:cs="Arial"/>
          <w:b/>
          <w:bCs/>
          <w:color w:val="000000"/>
          <w:sz w:val="22"/>
          <w:szCs w:val="22"/>
        </w:rPr>
        <w:t>.</w:t>
      </w:r>
    </w:p>
    <w:p w:rsidR="0066728D" w:rsidRPr="0066728D" w:rsidRDefault="0066728D" w:rsidP="0066728D">
      <w:pPr>
        <w:spacing w:after="120" w:line="276" w:lineRule="auto"/>
        <w:jc w:val="center"/>
        <w:rPr>
          <w:rFonts w:ascii="Palatino Linotype" w:hAnsi="Palatino Linotype"/>
          <w:b/>
          <w:sz w:val="22"/>
          <w:szCs w:val="22"/>
        </w:rPr>
      </w:pPr>
      <w:r>
        <w:rPr>
          <w:rFonts w:ascii="Palatino Linotype" w:hAnsi="Palatino Linotype"/>
          <w:b/>
          <w:sz w:val="22"/>
          <w:szCs w:val="22"/>
        </w:rPr>
        <w:t>EXPIDE LA SIGUIENTE</w:t>
      </w:r>
    </w:p>
    <w:p w:rsidR="0066728D" w:rsidRPr="0066728D" w:rsidRDefault="0066728D" w:rsidP="0066728D">
      <w:pPr>
        <w:spacing w:after="120" w:line="276" w:lineRule="auto"/>
        <w:jc w:val="center"/>
        <w:rPr>
          <w:rFonts w:ascii="Palatino Linotype" w:hAnsi="Palatino Linotype"/>
          <w:sz w:val="22"/>
          <w:szCs w:val="22"/>
        </w:rPr>
      </w:pPr>
      <w:r w:rsidRPr="0066728D">
        <w:rPr>
          <w:rFonts w:ascii="Palatino Linotype" w:hAnsi="Palatino Linotype"/>
          <w:b/>
          <w:sz w:val="22"/>
          <w:szCs w:val="22"/>
        </w:rPr>
        <w:t>ORDENANZA METROPOLITANA REFORMATORIA DE LA ORDENANZA METROPOLITANA No. 0086 DEL PROYECTO URBANÍSTICO ARQUITECTÓNICO ESPECIAL “CENTRO DE CONVENCIONES METROPOLITANO DE LA CIUDAD DE QUITO</w:t>
      </w:r>
      <w:r w:rsidRPr="0066728D">
        <w:rPr>
          <w:rFonts w:ascii="Palatino Linotype" w:hAnsi="Palatino Linotype"/>
          <w:sz w:val="22"/>
          <w:szCs w:val="22"/>
        </w:rPr>
        <w:t>”</w:t>
      </w:r>
    </w:p>
    <w:p w:rsidR="0066728D" w:rsidRPr="0066728D" w:rsidRDefault="0066728D" w:rsidP="0066728D">
      <w:pPr>
        <w:spacing w:after="120" w:line="276" w:lineRule="auto"/>
        <w:jc w:val="both"/>
        <w:rPr>
          <w:rFonts w:ascii="Palatino Linotype" w:hAnsi="Palatino Linotype"/>
          <w:sz w:val="22"/>
          <w:szCs w:val="22"/>
        </w:rPr>
      </w:pPr>
      <w:r w:rsidRPr="0066728D">
        <w:rPr>
          <w:rFonts w:ascii="Palatino Linotype" w:hAnsi="Palatino Linotype"/>
          <w:b/>
          <w:sz w:val="22"/>
          <w:szCs w:val="22"/>
        </w:rPr>
        <w:t xml:space="preserve">Artículo 1.- </w:t>
      </w:r>
      <w:r w:rsidRPr="0066728D">
        <w:rPr>
          <w:rFonts w:ascii="Palatino Linotype" w:hAnsi="Palatino Linotype"/>
          <w:sz w:val="22"/>
          <w:szCs w:val="22"/>
        </w:rPr>
        <w:t>Sustitúyase el artículo 5</w:t>
      </w:r>
      <w:r>
        <w:rPr>
          <w:rFonts w:ascii="Palatino Linotype" w:hAnsi="Palatino Linotype"/>
          <w:sz w:val="22"/>
          <w:szCs w:val="22"/>
        </w:rPr>
        <w:t>,</w:t>
      </w:r>
      <w:r w:rsidRPr="0066728D">
        <w:rPr>
          <w:rFonts w:ascii="Palatino Linotype" w:hAnsi="Palatino Linotype"/>
          <w:sz w:val="22"/>
          <w:szCs w:val="22"/>
        </w:rPr>
        <w:t xml:space="preserve"> </w:t>
      </w:r>
      <w:r>
        <w:rPr>
          <w:rFonts w:ascii="Palatino Linotype" w:hAnsi="Palatino Linotype"/>
          <w:sz w:val="22"/>
          <w:szCs w:val="22"/>
        </w:rPr>
        <w:t>C</w:t>
      </w:r>
      <w:r w:rsidRPr="0066728D">
        <w:rPr>
          <w:rFonts w:ascii="Palatino Linotype" w:hAnsi="Palatino Linotype"/>
          <w:sz w:val="22"/>
          <w:szCs w:val="22"/>
        </w:rPr>
        <w:t>ondiciones urbanísticas generales, por el siguiente:</w:t>
      </w:r>
    </w:p>
    <w:p w:rsidR="0066728D" w:rsidRPr="0066728D" w:rsidRDefault="0066728D" w:rsidP="0066728D">
      <w:pPr>
        <w:tabs>
          <w:tab w:val="left" w:pos="426"/>
        </w:tabs>
        <w:spacing w:after="120" w:line="276" w:lineRule="auto"/>
        <w:ind w:left="426"/>
        <w:jc w:val="both"/>
        <w:rPr>
          <w:rFonts w:ascii="Palatino Linotype" w:hAnsi="Palatino Linotype" w:cs="Calibri"/>
          <w:i/>
          <w:sz w:val="22"/>
          <w:szCs w:val="22"/>
        </w:rPr>
      </w:pPr>
      <w:r>
        <w:rPr>
          <w:rFonts w:ascii="Palatino Linotype" w:hAnsi="Palatino Linotype"/>
          <w:b/>
          <w:sz w:val="22"/>
          <w:szCs w:val="22"/>
        </w:rPr>
        <w:t>“</w:t>
      </w:r>
      <w:r w:rsidRPr="0066728D">
        <w:rPr>
          <w:rFonts w:ascii="Palatino Linotype" w:hAnsi="Palatino Linotype"/>
          <w:b/>
          <w:i/>
          <w:sz w:val="22"/>
          <w:szCs w:val="22"/>
        </w:rPr>
        <w:t xml:space="preserve">Artículo 5.- Condiciones Urbanísticas Generales.- </w:t>
      </w:r>
      <w:r w:rsidRPr="0066728D">
        <w:rPr>
          <w:rFonts w:ascii="Palatino Linotype" w:eastAsia="Times New Roman" w:hAnsi="Palatino Linotype"/>
          <w:i/>
          <w:sz w:val="22"/>
          <w:szCs w:val="22"/>
          <w:lang w:eastAsia="es-ES"/>
        </w:rPr>
        <w:t xml:space="preserve">El proyecto urbanístico arquitectónico especial “Centro de Convenciones Metropolitano de la Ciudad de Quito” se enmarca dentro de las políticas y objetivos del Plan Metropolitano de Desarrollo y Ordenamiento Territorial del Distrito Metropolitano de Quito 2015-2025, el cual establece un modelo de ordenamiento territorial basado en un sistema urbano </w:t>
      </w:r>
      <w:proofErr w:type="spellStart"/>
      <w:r w:rsidRPr="0066728D">
        <w:rPr>
          <w:rFonts w:ascii="Palatino Linotype" w:eastAsia="Times New Roman" w:hAnsi="Palatino Linotype"/>
          <w:i/>
          <w:sz w:val="22"/>
          <w:szCs w:val="22"/>
          <w:lang w:eastAsia="es-ES"/>
        </w:rPr>
        <w:t>policéntrico</w:t>
      </w:r>
      <w:proofErr w:type="spellEnd"/>
      <w:r w:rsidRPr="0066728D">
        <w:rPr>
          <w:rFonts w:ascii="Palatino Linotype" w:eastAsia="Times New Roman" w:hAnsi="Palatino Linotype"/>
          <w:i/>
          <w:sz w:val="22"/>
          <w:szCs w:val="22"/>
          <w:lang w:eastAsia="es-ES"/>
        </w:rPr>
        <w:t xml:space="preserve">, al tiempo que observa las determinaciones urbano-arquitectónicas establecidas en la ordenanza metropolitana No. 352 </w:t>
      </w:r>
      <w:r w:rsidRPr="0066728D">
        <w:rPr>
          <w:rFonts w:ascii="Palatino Linotype" w:hAnsi="Palatino Linotype" w:cs="Arial"/>
          <w:i/>
          <w:sz w:val="22"/>
          <w:szCs w:val="22"/>
        </w:rPr>
        <w:t>que contiene el Plan Especial Bicentenario para la consolidación del Parque de la Ciudad y el redesarrollo de su entorno urbano</w:t>
      </w:r>
      <w:r w:rsidRPr="0066728D">
        <w:rPr>
          <w:rFonts w:ascii="Palatino Linotype" w:eastAsia="Times New Roman" w:hAnsi="Palatino Linotype"/>
          <w:i/>
          <w:sz w:val="22"/>
          <w:szCs w:val="22"/>
          <w:lang w:eastAsia="es-ES"/>
        </w:rPr>
        <w:t>, generado una oferta diversificada de usos de suelo bajo el siguiente programa.</w:t>
      </w:r>
    </w:p>
    <w:p w:rsidR="0066728D" w:rsidRPr="0066728D" w:rsidRDefault="0066728D" w:rsidP="0066728D">
      <w:pPr>
        <w:autoSpaceDE w:val="0"/>
        <w:autoSpaceDN w:val="0"/>
        <w:adjustRightInd w:val="0"/>
        <w:spacing w:after="120" w:line="276" w:lineRule="auto"/>
        <w:ind w:left="426"/>
        <w:jc w:val="both"/>
        <w:rPr>
          <w:rFonts w:ascii="Palatino Linotype" w:hAnsi="Palatino Linotype"/>
          <w:b/>
          <w:i/>
          <w:sz w:val="22"/>
          <w:szCs w:val="22"/>
        </w:rPr>
      </w:pPr>
      <w:r w:rsidRPr="0066728D">
        <w:rPr>
          <w:rFonts w:ascii="Palatino Linotype" w:hAnsi="Palatino Linotype"/>
          <w:b/>
          <w:i/>
          <w:sz w:val="22"/>
          <w:szCs w:val="22"/>
        </w:rPr>
        <w:t>Obras Básicas (edificaciones esenciales):</w:t>
      </w:r>
    </w:p>
    <w:p w:rsidR="0066728D" w:rsidRPr="0066728D" w:rsidRDefault="0066728D" w:rsidP="00CD0D50">
      <w:pPr>
        <w:numPr>
          <w:ilvl w:val="0"/>
          <w:numId w:val="42"/>
        </w:numPr>
        <w:suppressAutoHyphens w:val="0"/>
        <w:autoSpaceDE w:val="0"/>
        <w:autoSpaceDN w:val="0"/>
        <w:adjustRightInd w:val="0"/>
        <w:spacing w:after="120" w:line="276" w:lineRule="auto"/>
        <w:jc w:val="both"/>
        <w:rPr>
          <w:rFonts w:ascii="Palatino Linotype" w:hAnsi="Palatino Linotype"/>
          <w:i/>
          <w:sz w:val="22"/>
          <w:szCs w:val="22"/>
        </w:rPr>
      </w:pPr>
      <w:r w:rsidRPr="0066728D">
        <w:rPr>
          <w:rFonts w:ascii="Palatino Linotype" w:hAnsi="Palatino Linotype"/>
          <w:i/>
          <w:sz w:val="22"/>
          <w:szCs w:val="22"/>
        </w:rPr>
        <w:t xml:space="preserve">Centro de Convenciones: </w:t>
      </w:r>
      <w:r w:rsidR="00CD0D50" w:rsidRPr="00CD0D50">
        <w:rPr>
          <w:rFonts w:ascii="Palatino Linotype" w:hAnsi="Palatino Linotype"/>
          <w:i/>
          <w:sz w:val="22"/>
          <w:szCs w:val="22"/>
        </w:rPr>
        <w:t xml:space="preserve">: </w:t>
      </w:r>
      <w:r w:rsidR="00CD0D50" w:rsidRPr="00CD0D50">
        <w:rPr>
          <w:rFonts w:ascii="Palatino Linotype" w:hAnsi="Palatino Linotype"/>
          <w:i/>
          <w:color w:val="5B9BD5" w:themeColor="accent1"/>
          <w:sz w:val="22"/>
          <w:szCs w:val="22"/>
        </w:rPr>
        <w:t>Con un área total de hasta 28.000 m2</w:t>
      </w:r>
    </w:p>
    <w:p w:rsidR="0066728D" w:rsidRPr="0066728D" w:rsidRDefault="0066728D" w:rsidP="0066728D">
      <w:pPr>
        <w:numPr>
          <w:ilvl w:val="0"/>
          <w:numId w:val="43"/>
        </w:numPr>
        <w:suppressAutoHyphens w:val="0"/>
        <w:autoSpaceDE w:val="0"/>
        <w:autoSpaceDN w:val="0"/>
        <w:adjustRightInd w:val="0"/>
        <w:spacing w:after="120" w:line="276" w:lineRule="auto"/>
        <w:ind w:left="1866"/>
        <w:jc w:val="both"/>
        <w:rPr>
          <w:rFonts w:ascii="Palatino Linotype" w:hAnsi="Palatino Linotype"/>
          <w:i/>
          <w:sz w:val="22"/>
          <w:szCs w:val="22"/>
        </w:rPr>
      </w:pPr>
      <w:r w:rsidRPr="0066728D">
        <w:rPr>
          <w:rFonts w:ascii="Palatino Linotype" w:hAnsi="Palatino Linotype"/>
          <w:i/>
          <w:sz w:val="22"/>
          <w:szCs w:val="22"/>
        </w:rPr>
        <w:t>Recinto ferial.</w:t>
      </w:r>
    </w:p>
    <w:p w:rsidR="0066728D" w:rsidRPr="0066728D" w:rsidRDefault="0066728D" w:rsidP="0066728D">
      <w:pPr>
        <w:numPr>
          <w:ilvl w:val="0"/>
          <w:numId w:val="43"/>
        </w:numPr>
        <w:suppressAutoHyphens w:val="0"/>
        <w:autoSpaceDE w:val="0"/>
        <w:autoSpaceDN w:val="0"/>
        <w:adjustRightInd w:val="0"/>
        <w:spacing w:after="120" w:line="276" w:lineRule="auto"/>
        <w:ind w:left="1866"/>
        <w:jc w:val="both"/>
        <w:rPr>
          <w:rFonts w:ascii="Palatino Linotype" w:hAnsi="Palatino Linotype"/>
          <w:i/>
          <w:sz w:val="22"/>
          <w:szCs w:val="22"/>
        </w:rPr>
      </w:pPr>
      <w:r w:rsidRPr="0066728D">
        <w:rPr>
          <w:rFonts w:ascii="Palatino Linotype" w:hAnsi="Palatino Linotype"/>
          <w:i/>
          <w:sz w:val="22"/>
          <w:szCs w:val="22"/>
        </w:rPr>
        <w:t>Área de convenciones y congresos.</w:t>
      </w:r>
    </w:p>
    <w:p w:rsidR="0066728D" w:rsidRPr="00CD0D50" w:rsidRDefault="0066728D" w:rsidP="0066728D">
      <w:pPr>
        <w:numPr>
          <w:ilvl w:val="0"/>
          <w:numId w:val="43"/>
        </w:numPr>
        <w:suppressAutoHyphens w:val="0"/>
        <w:autoSpaceDE w:val="0"/>
        <w:autoSpaceDN w:val="0"/>
        <w:adjustRightInd w:val="0"/>
        <w:spacing w:after="120" w:line="276" w:lineRule="auto"/>
        <w:ind w:left="1866"/>
        <w:jc w:val="both"/>
        <w:rPr>
          <w:rFonts w:ascii="Palatino Linotype" w:hAnsi="Palatino Linotype"/>
          <w:i/>
          <w:sz w:val="22"/>
          <w:szCs w:val="22"/>
        </w:rPr>
      </w:pPr>
      <w:r w:rsidRPr="0066728D">
        <w:rPr>
          <w:rFonts w:ascii="Palatino Linotype" w:hAnsi="Palatino Linotype"/>
          <w:i/>
          <w:sz w:val="22"/>
          <w:szCs w:val="22"/>
        </w:rPr>
        <w:t xml:space="preserve">Servicios vinculados al centro de convenciones: oficinas, catering, bodegas, </w:t>
      </w:r>
      <w:r w:rsidRPr="00CD0D50">
        <w:rPr>
          <w:rFonts w:ascii="Palatino Linotype" w:hAnsi="Palatino Linotype"/>
          <w:i/>
          <w:sz w:val="22"/>
          <w:szCs w:val="22"/>
        </w:rPr>
        <w:t>servicios higiénicos, seguridad, etc.</w:t>
      </w:r>
    </w:p>
    <w:p w:rsidR="0066728D" w:rsidRPr="00CD0D50" w:rsidRDefault="0066728D" w:rsidP="0066728D">
      <w:pPr>
        <w:autoSpaceDE w:val="0"/>
        <w:autoSpaceDN w:val="0"/>
        <w:adjustRightInd w:val="0"/>
        <w:spacing w:after="120" w:line="276" w:lineRule="auto"/>
        <w:ind w:left="426"/>
        <w:jc w:val="both"/>
        <w:rPr>
          <w:rFonts w:ascii="Palatino Linotype" w:hAnsi="Palatino Linotype"/>
          <w:b/>
          <w:i/>
          <w:sz w:val="22"/>
          <w:szCs w:val="22"/>
        </w:rPr>
      </w:pPr>
      <w:r w:rsidRPr="00CD0D50">
        <w:rPr>
          <w:rFonts w:ascii="Palatino Linotype" w:hAnsi="Palatino Linotype"/>
          <w:b/>
          <w:i/>
          <w:sz w:val="22"/>
          <w:szCs w:val="22"/>
        </w:rPr>
        <w:t>Obras o Servicios Complementarios (edificaciones complementarias):</w:t>
      </w:r>
    </w:p>
    <w:p w:rsidR="00CD0D50" w:rsidRPr="00CD0D50" w:rsidRDefault="00CD0D50" w:rsidP="00CD0D50">
      <w:pPr>
        <w:numPr>
          <w:ilvl w:val="0"/>
          <w:numId w:val="42"/>
        </w:numPr>
        <w:suppressAutoHyphens w:val="0"/>
        <w:autoSpaceDE w:val="0"/>
        <w:autoSpaceDN w:val="0"/>
        <w:adjustRightInd w:val="0"/>
        <w:spacing w:after="120" w:line="276" w:lineRule="auto"/>
        <w:jc w:val="both"/>
        <w:rPr>
          <w:rFonts w:ascii="Palatino Linotype" w:hAnsi="Palatino Linotype"/>
          <w:i/>
          <w:sz w:val="22"/>
          <w:szCs w:val="22"/>
        </w:rPr>
      </w:pPr>
      <w:r w:rsidRPr="00CD0D50">
        <w:rPr>
          <w:rFonts w:ascii="Palatino Linotype" w:hAnsi="Palatino Linotype"/>
          <w:i/>
          <w:sz w:val="22"/>
          <w:szCs w:val="22"/>
        </w:rPr>
        <w:t>Cultura:</w:t>
      </w:r>
    </w:p>
    <w:p w:rsidR="00CD0D50" w:rsidRPr="00CD0D50" w:rsidRDefault="00CD0D50" w:rsidP="00CD0D50">
      <w:pPr>
        <w:numPr>
          <w:ilvl w:val="0"/>
          <w:numId w:val="44"/>
        </w:numPr>
        <w:suppressAutoHyphens w:val="0"/>
        <w:autoSpaceDE w:val="0"/>
        <w:autoSpaceDN w:val="0"/>
        <w:adjustRightInd w:val="0"/>
        <w:spacing w:line="240" w:lineRule="auto"/>
        <w:ind w:firstLine="120"/>
        <w:jc w:val="both"/>
        <w:rPr>
          <w:rFonts w:ascii="Palatino Linotype" w:hAnsi="Palatino Linotype"/>
          <w:i/>
          <w:sz w:val="22"/>
          <w:szCs w:val="22"/>
          <w:lang w:val="es-EC"/>
        </w:rPr>
      </w:pPr>
      <w:r w:rsidRPr="00CD0D50">
        <w:rPr>
          <w:rFonts w:ascii="Palatino Linotype" w:hAnsi="Palatino Linotype"/>
          <w:i/>
          <w:sz w:val="22"/>
          <w:szCs w:val="22"/>
          <w:lang w:val="es-EC"/>
        </w:rPr>
        <w:lastRenderedPageBreak/>
        <w:t xml:space="preserve">Mediateca, </w:t>
      </w:r>
      <w:r w:rsidRPr="00CD0D50">
        <w:rPr>
          <w:rFonts w:ascii="Palatino Linotype" w:hAnsi="Palatino Linotype"/>
          <w:i/>
          <w:color w:val="548DD4"/>
          <w:sz w:val="22"/>
          <w:szCs w:val="22"/>
          <w:lang w:val="es-EC"/>
        </w:rPr>
        <w:t>con un área total de hasta 500 m2.</w:t>
      </w:r>
    </w:p>
    <w:p w:rsidR="00CD0D50" w:rsidRPr="00CD0D50" w:rsidRDefault="00CD0D50" w:rsidP="00CD0D50">
      <w:pPr>
        <w:numPr>
          <w:ilvl w:val="0"/>
          <w:numId w:val="44"/>
        </w:numPr>
        <w:suppressAutoHyphens w:val="0"/>
        <w:autoSpaceDE w:val="0"/>
        <w:autoSpaceDN w:val="0"/>
        <w:adjustRightInd w:val="0"/>
        <w:spacing w:line="240" w:lineRule="auto"/>
        <w:ind w:firstLine="120"/>
        <w:jc w:val="both"/>
        <w:rPr>
          <w:rFonts w:ascii="Palatino Linotype" w:hAnsi="Palatino Linotype"/>
          <w:i/>
          <w:sz w:val="22"/>
          <w:szCs w:val="22"/>
          <w:lang w:val="es-EC"/>
        </w:rPr>
      </w:pPr>
      <w:r w:rsidRPr="00CD0D50">
        <w:rPr>
          <w:rFonts w:ascii="Palatino Linotype" w:hAnsi="Palatino Linotype"/>
          <w:i/>
          <w:sz w:val="22"/>
          <w:szCs w:val="22"/>
          <w:lang w:val="es-EC"/>
        </w:rPr>
        <w:t xml:space="preserve">Salas de cine especializado, </w:t>
      </w:r>
      <w:r w:rsidRPr="00CD0D50">
        <w:rPr>
          <w:rFonts w:ascii="Palatino Linotype" w:hAnsi="Palatino Linotype"/>
          <w:i/>
          <w:color w:val="548DD4"/>
          <w:sz w:val="22"/>
          <w:szCs w:val="22"/>
          <w:lang w:val="es-EC"/>
        </w:rPr>
        <w:t>con un área total de hasta 600 m2.</w:t>
      </w:r>
    </w:p>
    <w:p w:rsidR="00CD0D50" w:rsidRPr="00CD0D50" w:rsidRDefault="00CD0D50" w:rsidP="00CD0D50">
      <w:pPr>
        <w:numPr>
          <w:ilvl w:val="0"/>
          <w:numId w:val="44"/>
        </w:numPr>
        <w:suppressAutoHyphens w:val="0"/>
        <w:autoSpaceDE w:val="0"/>
        <w:autoSpaceDN w:val="0"/>
        <w:adjustRightInd w:val="0"/>
        <w:spacing w:line="240" w:lineRule="auto"/>
        <w:ind w:firstLine="120"/>
        <w:jc w:val="both"/>
        <w:rPr>
          <w:rFonts w:ascii="Palatino Linotype" w:hAnsi="Palatino Linotype"/>
          <w:i/>
          <w:sz w:val="22"/>
          <w:szCs w:val="22"/>
          <w:lang w:val="es-EC"/>
        </w:rPr>
      </w:pPr>
      <w:r w:rsidRPr="00CD0D50">
        <w:rPr>
          <w:rFonts w:ascii="Palatino Linotype" w:hAnsi="Palatino Linotype"/>
          <w:i/>
          <w:sz w:val="22"/>
          <w:szCs w:val="22"/>
          <w:lang w:val="es-EC"/>
        </w:rPr>
        <w:t xml:space="preserve">Centro interactivo u otro equipamiento destinado a la difusión, conocimiento y creación cultural, </w:t>
      </w:r>
      <w:r w:rsidRPr="00CD0D50">
        <w:rPr>
          <w:rFonts w:ascii="Palatino Linotype" w:hAnsi="Palatino Linotype"/>
          <w:i/>
          <w:color w:val="548DD4"/>
          <w:sz w:val="22"/>
          <w:szCs w:val="22"/>
          <w:lang w:val="es-EC"/>
        </w:rPr>
        <w:t>con un área total de hasta 4.350 m2.</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Alojamiento hotelero:</w:t>
      </w:r>
    </w:p>
    <w:p w:rsidR="00CD0D50" w:rsidRPr="00CD0D50" w:rsidRDefault="00CD0D50" w:rsidP="00CD0D50">
      <w:pPr>
        <w:numPr>
          <w:ilvl w:val="0"/>
          <w:numId w:val="46"/>
        </w:numPr>
        <w:suppressAutoHyphens w:val="0"/>
        <w:autoSpaceDE w:val="0"/>
        <w:autoSpaceDN w:val="0"/>
        <w:adjustRightInd w:val="0"/>
        <w:spacing w:line="240" w:lineRule="auto"/>
        <w:jc w:val="both"/>
        <w:rPr>
          <w:rFonts w:ascii="Palatino Linotype" w:hAnsi="Palatino Linotype"/>
          <w:i/>
          <w:color w:val="4F81BD"/>
          <w:sz w:val="22"/>
          <w:szCs w:val="22"/>
          <w:lang w:val="es-EC"/>
        </w:rPr>
      </w:pPr>
      <w:r w:rsidRPr="00CD0D50">
        <w:rPr>
          <w:rFonts w:ascii="Palatino Linotype" w:hAnsi="Palatino Linotype"/>
          <w:i/>
          <w:color w:val="4F81BD"/>
          <w:sz w:val="22"/>
          <w:szCs w:val="22"/>
          <w:lang w:val="es-EC"/>
        </w:rPr>
        <w:t>Con un área total de hasta 32.500 m2.</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color w:val="4F81BD"/>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Servicios hoteleros:</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color w:val="4F81BD"/>
          <w:sz w:val="22"/>
          <w:szCs w:val="22"/>
          <w:lang w:val="es-EC"/>
        </w:rPr>
      </w:pPr>
      <w:r w:rsidRPr="00CD0D50">
        <w:rPr>
          <w:rFonts w:ascii="Palatino Linotype" w:hAnsi="Palatino Linotype"/>
          <w:i/>
          <w:color w:val="4F81BD"/>
          <w:sz w:val="22"/>
          <w:szCs w:val="22"/>
          <w:lang w:val="es-EC"/>
        </w:rPr>
        <w:t>Con un área total de hasta 3.400 m2.</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color w:val="4F81BD"/>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Centro de Negocios:</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color w:val="4F81BD"/>
          <w:sz w:val="22"/>
          <w:szCs w:val="22"/>
          <w:lang w:val="es-EC"/>
        </w:rPr>
      </w:pPr>
      <w:r w:rsidRPr="00CD0D50">
        <w:rPr>
          <w:rFonts w:ascii="Palatino Linotype" w:hAnsi="Palatino Linotype"/>
          <w:i/>
          <w:color w:val="4F81BD"/>
          <w:sz w:val="22"/>
          <w:szCs w:val="22"/>
          <w:lang w:val="es-EC"/>
        </w:rPr>
        <w:t>Con un área total de hasta 12.500 m2.</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color w:val="4F81BD"/>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Comercios y restaurantes:</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color w:val="4F81BD"/>
          <w:sz w:val="22"/>
          <w:szCs w:val="22"/>
          <w:lang w:val="es-EC"/>
        </w:rPr>
      </w:pPr>
      <w:r w:rsidRPr="00CD0D50">
        <w:rPr>
          <w:rFonts w:ascii="Palatino Linotype" w:hAnsi="Palatino Linotype"/>
          <w:i/>
          <w:color w:val="4F81BD"/>
          <w:sz w:val="22"/>
          <w:szCs w:val="22"/>
          <w:lang w:val="es-EC"/>
        </w:rPr>
        <w:t>Con un área total de hasta 6.400 m2.</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color w:val="4F81BD"/>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Arena de espectáculos:</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color w:val="4F81BD"/>
          <w:sz w:val="22"/>
          <w:szCs w:val="22"/>
          <w:lang w:val="es-EC"/>
        </w:rPr>
      </w:pPr>
      <w:r w:rsidRPr="00CD0D50">
        <w:rPr>
          <w:rFonts w:ascii="Palatino Linotype" w:hAnsi="Palatino Linotype"/>
          <w:i/>
          <w:color w:val="4F81BD"/>
          <w:sz w:val="22"/>
          <w:szCs w:val="22"/>
          <w:lang w:val="es-EC"/>
        </w:rPr>
        <w:t>Con un área total de hasta 14.100 m2.</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color w:val="4F81BD"/>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Edificios con valor testimonial que deberán ser recuperados y puestos en valor:</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color w:val="4F81BD"/>
          <w:sz w:val="22"/>
          <w:szCs w:val="22"/>
          <w:lang w:val="es-EC"/>
        </w:rPr>
      </w:pPr>
      <w:r w:rsidRPr="00CD0D50">
        <w:rPr>
          <w:rFonts w:ascii="Palatino Linotype" w:hAnsi="Palatino Linotype"/>
          <w:i/>
          <w:color w:val="4F81BD"/>
          <w:sz w:val="22"/>
          <w:szCs w:val="22"/>
          <w:lang w:val="es-EC"/>
        </w:rPr>
        <w:t>Torre original.</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color w:val="4F81BD"/>
          <w:sz w:val="22"/>
          <w:szCs w:val="22"/>
          <w:lang w:val="es-EC"/>
        </w:rPr>
      </w:pPr>
      <w:r w:rsidRPr="00CD0D50">
        <w:rPr>
          <w:rFonts w:ascii="Palatino Linotype" w:hAnsi="Palatino Linotype"/>
          <w:i/>
          <w:color w:val="4F81BD"/>
          <w:sz w:val="22"/>
          <w:szCs w:val="22"/>
          <w:lang w:val="es-EC"/>
        </w:rPr>
        <w:t>Terminal aérea original.</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 xml:space="preserve">Estacionamientos: </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i/>
          <w:strike/>
          <w:sz w:val="22"/>
          <w:szCs w:val="22"/>
          <w:lang w:val="es-EC"/>
        </w:rPr>
      </w:pPr>
      <w:r w:rsidRPr="00CD0D50">
        <w:rPr>
          <w:rFonts w:ascii="Palatino Linotype" w:hAnsi="Palatino Linotype"/>
          <w:i/>
          <w:color w:val="4F81BD"/>
          <w:sz w:val="22"/>
          <w:szCs w:val="22"/>
          <w:lang w:val="es-EC"/>
        </w:rPr>
        <w:t>El número de estacionamientos se calculará en base a la normativa vigente y responderá a la demanda efectiva para cada equipamiento.</w:t>
      </w:r>
    </w:p>
    <w:p w:rsidR="00CD0D50" w:rsidRPr="00CD0D50" w:rsidRDefault="00CD0D50" w:rsidP="00CD0D50">
      <w:pPr>
        <w:suppressAutoHyphens w:val="0"/>
        <w:autoSpaceDE w:val="0"/>
        <w:autoSpaceDN w:val="0"/>
        <w:adjustRightInd w:val="0"/>
        <w:spacing w:line="240" w:lineRule="auto"/>
        <w:ind w:left="1440"/>
        <w:jc w:val="both"/>
        <w:rPr>
          <w:rFonts w:ascii="Palatino Linotype" w:hAnsi="Palatino Linotype"/>
          <w:i/>
          <w:strike/>
          <w:sz w:val="22"/>
          <w:szCs w:val="22"/>
          <w:lang w:val="es-EC"/>
        </w:rPr>
      </w:pPr>
    </w:p>
    <w:p w:rsidR="00CD0D50" w:rsidRPr="00CD0D50" w:rsidRDefault="00CD0D50" w:rsidP="00CD0D50">
      <w:pPr>
        <w:numPr>
          <w:ilvl w:val="0"/>
          <w:numId w:val="42"/>
        </w:numPr>
        <w:suppressAutoHyphens w:val="0"/>
        <w:autoSpaceDE w:val="0"/>
        <w:autoSpaceDN w:val="0"/>
        <w:adjustRightInd w:val="0"/>
        <w:spacing w:line="240" w:lineRule="auto"/>
        <w:jc w:val="both"/>
        <w:rPr>
          <w:rFonts w:ascii="Palatino Linotype" w:hAnsi="Palatino Linotype"/>
          <w:i/>
          <w:sz w:val="22"/>
          <w:szCs w:val="22"/>
          <w:lang w:val="es-EC"/>
        </w:rPr>
      </w:pPr>
      <w:r w:rsidRPr="00CD0D50">
        <w:rPr>
          <w:rFonts w:ascii="Palatino Linotype" w:hAnsi="Palatino Linotype"/>
          <w:i/>
          <w:sz w:val="22"/>
          <w:szCs w:val="22"/>
          <w:lang w:val="es-EC"/>
        </w:rPr>
        <w:t xml:space="preserve">Áreas exteriores y espacios públicos. </w:t>
      </w:r>
    </w:p>
    <w:p w:rsidR="00CD0D50" w:rsidRPr="00CD0D50" w:rsidRDefault="00CD0D50" w:rsidP="00CD0D50">
      <w:pPr>
        <w:numPr>
          <w:ilvl w:val="0"/>
          <w:numId w:val="45"/>
        </w:numPr>
        <w:suppressAutoHyphens w:val="0"/>
        <w:autoSpaceDE w:val="0"/>
        <w:autoSpaceDN w:val="0"/>
        <w:adjustRightInd w:val="0"/>
        <w:spacing w:line="240" w:lineRule="auto"/>
        <w:jc w:val="both"/>
        <w:rPr>
          <w:rFonts w:ascii="Palatino Linotype" w:hAnsi="Palatino Linotype"/>
          <w:b/>
          <w:i/>
          <w:color w:val="4F81BD"/>
          <w:sz w:val="22"/>
          <w:szCs w:val="22"/>
          <w:lang w:val="es-EC"/>
        </w:rPr>
      </w:pPr>
      <w:r w:rsidRPr="00CD0D50">
        <w:rPr>
          <w:rFonts w:ascii="Palatino Linotype" w:hAnsi="Palatino Linotype"/>
          <w:i/>
          <w:color w:val="4F81BD"/>
          <w:sz w:val="22"/>
          <w:szCs w:val="22"/>
          <w:lang w:val="es-EC"/>
        </w:rPr>
        <w:t xml:space="preserve">Conformados por plazas, plazoletas, patios abiertos y cubiertos, explanadas, aceras y </w:t>
      </w:r>
      <w:proofErr w:type="spellStart"/>
      <w:r w:rsidRPr="00CD0D50">
        <w:rPr>
          <w:rFonts w:ascii="Palatino Linotype" w:hAnsi="Palatino Linotype"/>
          <w:i/>
          <w:color w:val="4F81BD"/>
          <w:sz w:val="22"/>
          <w:szCs w:val="22"/>
          <w:lang w:val="es-EC"/>
        </w:rPr>
        <w:t>caminerías</w:t>
      </w:r>
      <w:proofErr w:type="spellEnd"/>
      <w:r w:rsidRPr="00CD0D50">
        <w:rPr>
          <w:rFonts w:ascii="Palatino Linotype" w:hAnsi="Palatino Linotype"/>
          <w:i/>
          <w:color w:val="4F81BD"/>
          <w:sz w:val="22"/>
          <w:szCs w:val="22"/>
          <w:lang w:val="es-EC"/>
        </w:rPr>
        <w:t xml:space="preserve"> peatonales, iluminación y señalética, jardines, áreas abiertas de estancia y áreas de libre circulación. </w:t>
      </w:r>
    </w:p>
    <w:p w:rsidR="00CD0D50" w:rsidRPr="00FD59A0" w:rsidRDefault="00CD0D50" w:rsidP="00CD0D50">
      <w:pPr>
        <w:suppressAutoHyphens w:val="0"/>
        <w:autoSpaceDE w:val="0"/>
        <w:autoSpaceDN w:val="0"/>
        <w:adjustRightInd w:val="0"/>
        <w:spacing w:line="240" w:lineRule="auto"/>
        <w:ind w:left="1440"/>
        <w:jc w:val="both"/>
        <w:rPr>
          <w:rFonts w:ascii="Calibri" w:hAnsi="Calibri"/>
          <w:b/>
          <w:color w:val="4F81BD"/>
          <w:sz w:val="22"/>
          <w:szCs w:val="22"/>
          <w:lang w:val="es-EC"/>
        </w:rPr>
      </w:pPr>
    </w:p>
    <w:p w:rsidR="0066728D" w:rsidRPr="0066728D" w:rsidRDefault="0066728D" w:rsidP="0066728D">
      <w:pPr>
        <w:spacing w:after="120" w:line="276" w:lineRule="auto"/>
        <w:jc w:val="both"/>
        <w:rPr>
          <w:rFonts w:ascii="Palatino Linotype" w:hAnsi="Palatino Linotype"/>
          <w:sz w:val="22"/>
          <w:szCs w:val="22"/>
        </w:rPr>
      </w:pPr>
      <w:r w:rsidRPr="0066728D">
        <w:rPr>
          <w:rFonts w:ascii="Palatino Linotype" w:hAnsi="Palatino Linotype"/>
          <w:b/>
          <w:sz w:val="22"/>
          <w:szCs w:val="22"/>
        </w:rPr>
        <w:t xml:space="preserve">Artículo 2.- </w:t>
      </w:r>
      <w:r w:rsidRPr="0066728D">
        <w:rPr>
          <w:rFonts w:ascii="Palatino Linotype" w:hAnsi="Palatino Linotype"/>
          <w:sz w:val="22"/>
          <w:szCs w:val="22"/>
        </w:rPr>
        <w:t>Sustitúyase el literal b)</w:t>
      </w:r>
      <w:r>
        <w:rPr>
          <w:rFonts w:ascii="Palatino Linotype" w:hAnsi="Palatino Linotype"/>
          <w:sz w:val="22"/>
          <w:szCs w:val="22"/>
        </w:rPr>
        <w:t>,</w:t>
      </w:r>
      <w:r w:rsidRPr="0066728D">
        <w:rPr>
          <w:rFonts w:ascii="Palatino Linotype" w:hAnsi="Palatino Linotype"/>
          <w:sz w:val="22"/>
          <w:szCs w:val="22"/>
        </w:rPr>
        <w:t xml:space="preserve"> </w:t>
      </w:r>
      <w:r>
        <w:rPr>
          <w:rFonts w:ascii="Palatino Linotype" w:hAnsi="Palatino Linotype"/>
          <w:sz w:val="22"/>
          <w:szCs w:val="22"/>
        </w:rPr>
        <w:t>e</w:t>
      </w:r>
      <w:r w:rsidRPr="0066728D">
        <w:rPr>
          <w:rFonts w:ascii="Palatino Linotype" w:hAnsi="Palatino Linotype"/>
          <w:sz w:val="22"/>
          <w:szCs w:val="22"/>
        </w:rPr>
        <w:t>dificabilidad, del artículo 6</w:t>
      </w:r>
      <w:r>
        <w:rPr>
          <w:rFonts w:ascii="Palatino Linotype" w:hAnsi="Palatino Linotype"/>
          <w:sz w:val="22"/>
          <w:szCs w:val="22"/>
        </w:rPr>
        <w:t>,</w:t>
      </w:r>
      <w:r w:rsidRPr="0066728D">
        <w:rPr>
          <w:rFonts w:ascii="Palatino Linotype" w:hAnsi="Palatino Linotype"/>
          <w:sz w:val="22"/>
          <w:szCs w:val="22"/>
        </w:rPr>
        <w:t xml:space="preserve"> Condiciones urbanísticas específicas, por el siguiente:</w:t>
      </w:r>
    </w:p>
    <w:p w:rsidR="0066728D" w:rsidRPr="0066728D" w:rsidRDefault="0066728D" w:rsidP="0066728D">
      <w:pPr>
        <w:spacing w:after="120" w:line="276" w:lineRule="auto"/>
        <w:ind w:left="708" w:right="-1"/>
        <w:jc w:val="both"/>
        <w:rPr>
          <w:rFonts w:ascii="Palatino Linotype" w:eastAsia="Times New Roman" w:hAnsi="Palatino Linotype"/>
          <w:sz w:val="22"/>
          <w:szCs w:val="22"/>
          <w:lang w:eastAsia="es-ES"/>
        </w:rPr>
      </w:pPr>
      <w:r>
        <w:rPr>
          <w:rFonts w:ascii="Palatino Linotype" w:hAnsi="Palatino Linotype"/>
          <w:sz w:val="22"/>
          <w:szCs w:val="22"/>
        </w:rPr>
        <w:t>“</w:t>
      </w:r>
      <w:r w:rsidRPr="0066728D">
        <w:rPr>
          <w:rFonts w:ascii="Palatino Linotype" w:hAnsi="Palatino Linotype"/>
          <w:b/>
          <w:i/>
          <w:sz w:val="22"/>
          <w:szCs w:val="22"/>
        </w:rPr>
        <w:t>b)</w:t>
      </w:r>
      <w:r w:rsidRPr="0066728D">
        <w:rPr>
          <w:rFonts w:ascii="Palatino Linotype" w:hAnsi="Palatino Linotype"/>
          <w:i/>
          <w:sz w:val="22"/>
          <w:szCs w:val="22"/>
        </w:rPr>
        <w:t xml:space="preserve"> </w:t>
      </w:r>
      <w:r w:rsidRPr="0066728D">
        <w:rPr>
          <w:rFonts w:ascii="Palatino Linotype" w:hAnsi="Palatino Linotype"/>
          <w:b/>
          <w:i/>
          <w:sz w:val="22"/>
          <w:szCs w:val="22"/>
        </w:rPr>
        <w:t xml:space="preserve">Edificabilidad.- </w:t>
      </w:r>
      <w:r w:rsidRPr="0066728D">
        <w:rPr>
          <w:rFonts w:ascii="Palatino Linotype" w:eastAsia="Times New Roman" w:hAnsi="Palatino Linotype"/>
          <w:i/>
          <w:sz w:val="22"/>
          <w:szCs w:val="22"/>
          <w:lang w:eastAsia="es-ES"/>
        </w:rPr>
        <w:t>La edificabilidad total del proyecto observará los coeficientes de ocupación de suelo en planta baja (PB) y total, consignados en el cuadro No. 1 de este articulado.</w:t>
      </w:r>
      <w:r>
        <w:rPr>
          <w:rFonts w:ascii="Palatino Linotype" w:eastAsia="Times New Roman" w:hAnsi="Palatino Linotype"/>
          <w:sz w:val="22"/>
          <w:szCs w:val="22"/>
          <w:lang w:eastAsia="es-ES"/>
        </w:rPr>
        <w:t>”</w:t>
      </w:r>
    </w:p>
    <w:p w:rsidR="0066728D" w:rsidRDefault="0066728D" w:rsidP="0066728D">
      <w:pPr>
        <w:spacing w:after="120" w:line="276" w:lineRule="auto"/>
        <w:jc w:val="both"/>
        <w:rPr>
          <w:rFonts w:ascii="Palatino Linotype" w:hAnsi="Palatino Linotype"/>
          <w:sz w:val="22"/>
          <w:szCs w:val="22"/>
        </w:rPr>
      </w:pPr>
      <w:r w:rsidRPr="0066728D">
        <w:rPr>
          <w:rFonts w:ascii="Palatino Linotype" w:hAnsi="Palatino Linotype"/>
          <w:b/>
          <w:sz w:val="22"/>
          <w:szCs w:val="22"/>
        </w:rPr>
        <w:lastRenderedPageBreak/>
        <w:t xml:space="preserve">Artículo 3.- </w:t>
      </w:r>
      <w:r w:rsidRPr="0066728D">
        <w:rPr>
          <w:rFonts w:ascii="Palatino Linotype" w:hAnsi="Palatino Linotype"/>
          <w:sz w:val="22"/>
          <w:szCs w:val="22"/>
        </w:rPr>
        <w:t>Sustitúyase el cuadro No. 1 del artículo 6</w:t>
      </w:r>
      <w:r>
        <w:rPr>
          <w:rFonts w:ascii="Palatino Linotype" w:hAnsi="Palatino Linotype"/>
          <w:sz w:val="22"/>
          <w:szCs w:val="22"/>
        </w:rPr>
        <w:t>,</w:t>
      </w:r>
      <w:r w:rsidRPr="0066728D">
        <w:rPr>
          <w:rFonts w:ascii="Palatino Linotype" w:hAnsi="Palatino Linotype"/>
          <w:sz w:val="22"/>
          <w:szCs w:val="22"/>
        </w:rPr>
        <w:t xml:space="preserve"> Condiciones urbanísticas específicas, por el siguiente cuadro: </w:t>
      </w:r>
    </w:p>
    <w:p w:rsidR="00A721F0" w:rsidRDefault="00A721F0" w:rsidP="0066728D">
      <w:pPr>
        <w:spacing w:after="120" w:line="276" w:lineRule="auto"/>
        <w:jc w:val="both"/>
        <w:rPr>
          <w:rFonts w:ascii="Palatino Linotype" w:hAnsi="Palatino Linotype"/>
          <w:sz w:val="22"/>
          <w:szCs w:val="22"/>
        </w:rPr>
      </w:pPr>
    </w:p>
    <w:p w:rsidR="00A721F0" w:rsidRPr="0066728D" w:rsidRDefault="00A721F0" w:rsidP="0066728D">
      <w:pPr>
        <w:spacing w:after="120" w:line="276" w:lineRule="auto"/>
        <w:jc w:val="both"/>
        <w:rPr>
          <w:rFonts w:ascii="Palatino Linotype" w:hAnsi="Palatino Linotype"/>
          <w:sz w:val="22"/>
          <w:szCs w:val="22"/>
        </w:rPr>
      </w:pPr>
    </w:p>
    <w:p w:rsidR="0066728D" w:rsidRDefault="0066728D" w:rsidP="0066728D">
      <w:pPr>
        <w:pStyle w:val="Textodebloque"/>
        <w:spacing w:after="120" w:line="276" w:lineRule="auto"/>
        <w:ind w:left="720" w:right="0" w:firstLine="0"/>
        <w:jc w:val="center"/>
        <w:rPr>
          <w:rFonts w:ascii="Palatino Linotype" w:hAnsi="Palatino Linotype"/>
          <w:b/>
        </w:rPr>
      </w:pPr>
    </w:p>
    <w:p w:rsidR="0066728D" w:rsidRPr="0066728D" w:rsidRDefault="0066728D" w:rsidP="0066728D">
      <w:pPr>
        <w:pStyle w:val="Textodebloque"/>
        <w:spacing w:after="120" w:line="276" w:lineRule="auto"/>
        <w:ind w:left="720" w:right="0" w:firstLine="0"/>
        <w:jc w:val="center"/>
        <w:rPr>
          <w:rFonts w:ascii="Palatino Linotype" w:hAnsi="Palatino Linotype"/>
          <w:b/>
          <w:i/>
        </w:rPr>
      </w:pPr>
      <w:r>
        <w:rPr>
          <w:rFonts w:ascii="Palatino Linotype" w:hAnsi="Palatino Linotype"/>
          <w:b/>
        </w:rPr>
        <w:t>“</w:t>
      </w:r>
      <w:r w:rsidRPr="0066728D">
        <w:rPr>
          <w:rFonts w:ascii="Palatino Linotype" w:hAnsi="Palatino Linotype"/>
          <w:b/>
          <w:i/>
        </w:rPr>
        <w:t>Cuadro N°1</w:t>
      </w:r>
    </w:p>
    <w:p w:rsidR="0066728D" w:rsidRPr="0066728D" w:rsidRDefault="0066728D" w:rsidP="0066728D">
      <w:pPr>
        <w:pStyle w:val="Textodebloque"/>
        <w:spacing w:after="120" w:line="276" w:lineRule="auto"/>
        <w:ind w:left="720" w:right="0" w:firstLine="0"/>
        <w:jc w:val="center"/>
        <w:rPr>
          <w:rFonts w:ascii="Palatino Linotype" w:hAnsi="Palatino Linotype"/>
          <w:b/>
          <w:i/>
        </w:rPr>
      </w:pPr>
      <w:r w:rsidRPr="0066728D">
        <w:rPr>
          <w:rFonts w:ascii="Palatino Linotype" w:hAnsi="Palatino Linotype"/>
          <w:b/>
          <w:i/>
        </w:rPr>
        <w:t xml:space="preserve">Uso de Suelo y Edificabilidad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17"/>
        <w:gridCol w:w="910"/>
        <w:gridCol w:w="1154"/>
        <w:gridCol w:w="853"/>
        <w:gridCol w:w="840"/>
        <w:gridCol w:w="1168"/>
        <w:gridCol w:w="1314"/>
      </w:tblGrid>
      <w:tr w:rsidR="0066728D" w:rsidRPr="0066728D" w:rsidTr="00081D74">
        <w:tc>
          <w:tcPr>
            <w:tcW w:w="984" w:type="dxa"/>
            <w:vMerge w:val="restart"/>
          </w:tcPr>
          <w:p w:rsidR="0066728D" w:rsidRPr="0066728D" w:rsidRDefault="0066728D" w:rsidP="0066728D">
            <w:pPr>
              <w:pStyle w:val="Textodebloque"/>
              <w:spacing w:after="120" w:line="276" w:lineRule="auto"/>
              <w:ind w:left="0" w:right="-1" w:firstLine="0"/>
              <w:jc w:val="center"/>
              <w:rPr>
                <w:rFonts w:ascii="Palatino Linotype" w:hAnsi="Palatino Linotype"/>
                <w:b/>
                <w:i/>
                <w:sz w:val="20"/>
                <w:szCs w:val="20"/>
              </w:rPr>
            </w:pPr>
            <w:r w:rsidRPr="0066728D">
              <w:rPr>
                <w:rFonts w:ascii="Palatino Linotype" w:hAnsi="Palatino Linotype"/>
                <w:b/>
                <w:i/>
                <w:sz w:val="20"/>
                <w:szCs w:val="20"/>
              </w:rPr>
              <w:t>Predio No.</w:t>
            </w:r>
          </w:p>
        </w:tc>
        <w:tc>
          <w:tcPr>
            <w:tcW w:w="1117" w:type="dxa"/>
            <w:vMerge w:val="restart"/>
          </w:tcPr>
          <w:p w:rsidR="0066728D" w:rsidRPr="0066728D" w:rsidRDefault="0066728D" w:rsidP="0066728D">
            <w:pPr>
              <w:pStyle w:val="Textodebloque"/>
              <w:spacing w:after="120" w:line="276" w:lineRule="auto"/>
              <w:ind w:left="0" w:right="-1" w:firstLine="0"/>
              <w:jc w:val="center"/>
              <w:rPr>
                <w:rFonts w:ascii="Palatino Linotype" w:hAnsi="Palatino Linotype"/>
                <w:b/>
                <w:i/>
                <w:sz w:val="20"/>
                <w:szCs w:val="20"/>
              </w:rPr>
            </w:pPr>
            <w:r w:rsidRPr="0066728D">
              <w:rPr>
                <w:rFonts w:ascii="Palatino Linotype" w:hAnsi="Palatino Linotype"/>
                <w:b/>
                <w:i/>
                <w:sz w:val="20"/>
                <w:szCs w:val="20"/>
              </w:rPr>
              <w:t>Polígono*</w:t>
            </w:r>
          </w:p>
        </w:tc>
        <w:tc>
          <w:tcPr>
            <w:tcW w:w="910" w:type="dxa"/>
            <w:vMerge w:val="restart"/>
          </w:tcPr>
          <w:p w:rsidR="0066728D" w:rsidRPr="0066728D" w:rsidRDefault="0066728D" w:rsidP="0066728D">
            <w:pPr>
              <w:pStyle w:val="Textodebloque"/>
              <w:spacing w:after="120" w:line="276" w:lineRule="auto"/>
              <w:ind w:left="0" w:right="-1" w:firstLine="0"/>
              <w:jc w:val="center"/>
              <w:rPr>
                <w:rFonts w:ascii="Palatino Linotype" w:hAnsi="Palatino Linotype"/>
                <w:b/>
                <w:i/>
                <w:sz w:val="20"/>
                <w:szCs w:val="20"/>
              </w:rPr>
            </w:pPr>
            <w:r w:rsidRPr="0066728D">
              <w:rPr>
                <w:rFonts w:ascii="Palatino Linotype" w:hAnsi="Palatino Linotype"/>
                <w:b/>
                <w:i/>
                <w:sz w:val="20"/>
                <w:szCs w:val="20"/>
              </w:rPr>
              <w:t>Área Ha.</w:t>
            </w:r>
          </w:p>
        </w:tc>
        <w:tc>
          <w:tcPr>
            <w:tcW w:w="1154" w:type="dxa"/>
            <w:vMerge w:val="restart"/>
          </w:tcPr>
          <w:p w:rsidR="0066728D" w:rsidRPr="0066728D" w:rsidRDefault="0066728D" w:rsidP="0066728D">
            <w:pPr>
              <w:pStyle w:val="Textodebloque"/>
              <w:spacing w:after="120" w:line="276" w:lineRule="auto"/>
              <w:ind w:left="0" w:right="-1" w:firstLine="0"/>
              <w:jc w:val="center"/>
              <w:rPr>
                <w:rFonts w:ascii="Palatino Linotype" w:hAnsi="Palatino Linotype"/>
                <w:b/>
                <w:i/>
                <w:sz w:val="20"/>
                <w:szCs w:val="20"/>
              </w:rPr>
            </w:pPr>
            <w:r w:rsidRPr="0066728D">
              <w:rPr>
                <w:rFonts w:ascii="Palatino Linotype" w:hAnsi="Palatino Linotype"/>
                <w:b/>
                <w:i/>
                <w:sz w:val="20"/>
                <w:szCs w:val="20"/>
              </w:rPr>
              <w:t>Uso de suelo</w:t>
            </w:r>
          </w:p>
        </w:tc>
        <w:tc>
          <w:tcPr>
            <w:tcW w:w="4175" w:type="dxa"/>
            <w:gridSpan w:val="4"/>
          </w:tcPr>
          <w:p w:rsidR="0066728D" w:rsidRPr="0066728D" w:rsidRDefault="0066728D" w:rsidP="0066728D">
            <w:pPr>
              <w:pStyle w:val="Textodebloque"/>
              <w:spacing w:after="120" w:line="276" w:lineRule="auto"/>
              <w:ind w:left="0" w:right="0" w:firstLine="0"/>
              <w:jc w:val="center"/>
              <w:rPr>
                <w:rFonts w:ascii="Palatino Linotype" w:hAnsi="Palatino Linotype"/>
                <w:b/>
                <w:i/>
                <w:sz w:val="20"/>
                <w:szCs w:val="20"/>
              </w:rPr>
            </w:pPr>
            <w:r w:rsidRPr="0066728D">
              <w:rPr>
                <w:rFonts w:ascii="Palatino Linotype" w:hAnsi="Palatino Linotype"/>
                <w:b/>
                <w:i/>
                <w:sz w:val="20"/>
                <w:szCs w:val="20"/>
              </w:rPr>
              <w:t>Edificabilidad</w:t>
            </w:r>
          </w:p>
        </w:tc>
      </w:tr>
      <w:tr w:rsidR="0066728D" w:rsidRPr="0066728D" w:rsidTr="00081D74">
        <w:trPr>
          <w:trHeight w:val="202"/>
        </w:trPr>
        <w:tc>
          <w:tcPr>
            <w:tcW w:w="984" w:type="dxa"/>
            <w:vMerge/>
          </w:tcPr>
          <w:p w:rsidR="0066728D" w:rsidRPr="0066728D"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117" w:type="dxa"/>
            <w:vMerge/>
          </w:tcPr>
          <w:p w:rsidR="0066728D" w:rsidRPr="0066728D"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910" w:type="dxa"/>
            <w:vMerge/>
          </w:tcPr>
          <w:p w:rsidR="0066728D" w:rsidRPr="0066728D" w:rsidRDefault="0066728D" w:rsidP="0066728D">
            <w:pPr>
              <w:pStyle w:val="Textodebloque"/>
              <w:spacing w:after="120" w:line="276" w:lineRule="auto"/>
              <w:ind w:left="0" w:right="-1"/>
              <w:jc w:val="center"/>
              <w:rPr>
                <w:rFonts w:ascii="Palatino Linotype" w:hAnsi="Palatino Linotype"/>
                <w:i/>
                <w:sz w:val="20"/>
                <w:szCs w:val="20"/>
              </w:rPr>
            </w:pPr>
          </w:p>
        </w:tc>
        <w:tc>
          <w:tcPr>
            <w:tcW w:w="1154" w:type="dxa"/>
            <w:vMerge/>
          </w:tcPr>
          <w:p w:rsidR="0066728D" w:rsidRPr="0066728D"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693" w:type="dxa"/>
            <w:gridSpan w:val="2"/>
          </w:tcPr>
          <w:p w:rsidR="0066728D" w:rsidRPr="0066728D" w:rsidRDefault="0066728D" w:rsidP="0066728D">
            <w:pPr>
              <w:pStyle w:val="Textodebloque"/>
              <w:spacing w:after="120" w:line="276" w:lineRule="auto"/>
              <w:ind w:left="0" w:right="-1" w:firstLine="0"/>
              <w:jc w:val="center"/>
              <w:rPr>
                <w:rFonts w:ascii="Palatino Linotype" w:hAnsi="Palatino Linotype"/>
                <w:b/>
                <w:i/>
                <w:sz w:val="20"/>
                <w:szCs w:val="20"/>
              </w:rPr>
            </w:pPr>
            <w:r w:rsidRPr="0066728D">
              <w:rPr>
                <w:rFonts w:ascii="Palatino Linotype" w:hAnsi="Palatino Linotype"/>
                <w:b/>
                <w:i/>
                <w:sz w:val="20"/>
                <w:szCs w:val="20"/>
              </w:rPr>
              <w:t>Altura**</w:t>
            </w:r>
          </w:p>
        </w:tc>
        <w:tc>
          <w:tcPr>
            <w:tcW w:w="1168" w:type="dxa"/>
            <w:vMerge w:val="restart"/>
          </w:tcPr>
          <w:p w:rsidR="0066728D" w:rsidRPr="0066728D" w:rsidRDefault="0066728D" w:rsidP="0066728D">
            <w:pPr>
              <w:pStyle w:val="Textodebloque"/>
              <w:spacing w:after="120" w:line="276" w:lineRule="auto"/>
              <w:ind w:left="0" w:right="0" w:firstLine="0"/>
              <w:jc w:val="center"/>
              <w:rPr>
                <w:rFonts w:ascii="Palatino Linotype" w:hAnsi="Palatino Linotype"/>
                <w:b/>
                <w:i/>
                <w:sz w:val="20"/>
                <w:szCs w:val="20"/>
              </w:rPr>
            </w:pPr>
            <w:r w:rsidRPr="0066728D">
              <w:rPr>
                <w:rFonts w:ascii="Palatino Linotype" w:hAnsi="Palatino Linotype"/>
                <w:b/>
                <w:i/>
                <w:sz w:val="20"/>
                <w:szCs w:val="20"/>
              </w:rPr>
              <w:t>COS PB %</w:t>
            </w:r>
          </w:p>
        </w:tc>
        <w:tc>
          <w:tcPr>
            <w:tcW w:w="1314" w:type="dxa"/>
            <w:vMerge w:val="restart"/>
          </w:tcPr>
          <w:p w:rsidR="0066728D" w:rsidRPr="0066728D" w:rsidRDefault="0066728D" w:rsidP="0066728D">
            <w:pPr>
              <w:pStyle w:val="Textodebloque"/>
              <w:spacing w:after="120" w:line="276" w:lineRule="auto"/>
              <w:ind w:left="0" w:right="0" w:firstLine="0"/>
              <w:rPr>
                <w:rFonts w:ascii="Palatino Linotype" w:hAnsi="Palatino Linotype"/>
                <w:b/>
                <w:i/>
                <w:sz w:val="20"/>
                <w:szCs w:val="20"/>
              </w:rPr>
            </w:pPr>
            <w:r w:rsidRPr="0066728D">
              <w:rPr>
                <w:rFonts w:ascii="Palatino Linotype" w:hAnsi="Palatino Linotype"/>
                <w:b/>
                <w:i/>
                <w:sz w:val="20"/>
                <w:szCs w:val="20"/>
              </w:rPr>
              <w:t>COS TOTAL %</w:t>
            </w:r>
          </w:p>
        </w:tc>
      </w:tr>
      <w:tr w:rsidR="0066728D" w:rsidRPr="0066728D" w:rsidTr="00081D74">
        <w:trPr>
          <w:trHeight w:val="120"/>
        </w:trPr>
        <w:tc>
          <w:tcPr>
            <w:tcW w:w="984" w:type="dxa"/>
            <w:vMerge/>
          </w:tcPr>
          <w:p w:rsidR="0066728D" w:rsidRPr="0066728D"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117" w:type="dxa"/>
            <w:vMerge/>
          </w:tcPr>
          <w:p w:rsidR="0066728D" w:rsidRPr="0066728D"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910" w:type="dxa"/>
            <w:vMerge/>
          </w:tcPr>
          <w:p w:rsidR="0066728D" w:rsidRPr="0066728D"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1154" w:type="dxa"/>
            <w:vMerge/>
          </w:tcPr>
          <w:p w:rsidR="0066728D" w:rsidRPr="0066728D" w:rsidRDefault="0066728D" w:rsidP="0066728D">
            <w:pPr>
              <w:pStyle w:val="Textodebloque"/>
              <w:spacing w:after="120" w:line="276" w:lineRule="auto"/>
              <w:ind w:left="0" w:right="-1" w:firstLine="0"/>
              <w:jc w:val="center"/>
              <w:rPr>
                <w:rFonts w:ascii="Palatino Linotype" w:hAnsi="Palatino Linotype"/>
                <w:i/>
                <w:sz w:val="20"/>
                <w:szCs w:val="20"/>
              </w:rPr>
            </w:pPr>
          </w:p>
        </w:tc>
        <w:tc>
          <w:tcPr>
            <w:tcW w:w="853" w:type="dxa"/>
          </w:tcPr>
          <w:p w:rsidR="0066728D" w:rsidRPr="0066728D" w:rsidRDefault="0066728D" w:rsidP="0066728D">
            <w:pPr>
              <w:pStyle w:val="Textodebloque"/>
              <w:spacing w:after="120" w:line="276" w:lineRule="auto"/>
              <w:ind w:left="0" w:right="0" w:firstLine="0"/>
              <w:jc w:val="center"/>
              <w:rPr>
                <w:rFonts w:ascii="Palatino Linotype" w:hAnsi="Palatino Linotype"/>
                <w:b/>
                <w:i/>
                <w:sz w:val="20"/>
                <w:szCs w:val="20"/>
              </w:rPr>
            </w:pPr>
            <w:r w:rsidRPr="0066728D">
              <w:rPr>
                <w:rFonts w:ascii="Palatino Linotype" w:hAnsi="Palatino Linotype"/>
                <w:b/>
                <w:i/>
                <w:sz w:val="20"/>
                <w:szCs w:val="20"/>
              </w:rPr>
              <w:t>Pisos</w:t>
            </w:r>
          </w:p>
        </w:tc>
        <w:tc>
          <w:tcPr>
            <w:tcW w:w="840" w:type="dxa"/>
          </w:tcPr>
          <w:p w:rsidR="0066728D" w:rsidRPr="0066728D" w:rsidRDefault="0066728D" w:rsidP="0066728D">
            <w:pPr>
              <w:pStyle w:val="Textodebloque"/>
              <w:spacing w:after="120" w:line="276" w:lineRule="auto"/>
              <w:ind w:left="0" w:right="0" w:firstLine="0"/>
              <w:jc w:val="center"/>
              <w:rPr>
                <w:rFonts w:ascii="Palatino Linotype" w:hAnsi="Palatino Linotype"/>
                <w:b/>
                <w:i/>
                <w:sz w:val="20"/>
                <w:szCs w:val="20"/>
              </w:rPr>
            </w:pPr>
            <w:r w:rsidRPr="0066728D">
              <w:rPr>
                <w:rFonts w:ascii="Palatino Linotype" w:hAnsi="Palatino Linotype"/>
                <w:b/>
                <w:i/>
                <w:sz w:val="20"/>
                <w:szCs w:val="20"/>
              </w:rPr>
              <w:t>m</w:t>
            </w:r>
          </w:p>
        </w:tc>
        <w:tc>
          <w:tcPr>
            <w:tcW w:w="1168" w:type="dxa"/>
            <w:vMerge/>
          </w:tcPr>
          <w:p w:rsidR="0066728D" w:rsidRPr="0066728D" w:rsidRDefault="0066728D" w:rsidP="0066728D">
            <w:pPr>
              <w:pStyle w:val="Textodebloque"/>
              <w:spacing w:after="120" w:line="276" w:lineRule="auto"/>
              <w:ind w:left="0" w:right="0" w:firstLine="0"/>
              <w:jc w:val="center"/>
              <w:rPr>
                <w:rFonts w:ascii="Palatino Linotype" w:hAnsi="Palatino Linotype"/>
                <w:i/>
                <w:sz w:val="20"/>
                <w:szCs w:val="20"/>
              </w:rPr>
            </w:pPr>
          </w:p>
        </w:tc>
        <w:tc>
          <w:tcPr>
            <w:tcW w:w="1314" w:type="dxa"/>
            <w:vMerge/>
          </w:tcPr>
          <w:p w:rsidR="0066728D" w:rsidRPr="0066728D" w:rsidRDefault="0066728D" w:rsidP="0066728D">
            <w:pPr>
              <w:pStyle w:val="Textodebloque"/>
              <w:spacing w:after="120" w:line="276" w:lineRule="auto"/>
              <w:ind w:left="0" w:right="0" w:firstLine="0"/>
              <w:jc w:val="center"/>
              <w:rPr>
                <w:rFonts w:ascii="Palatino Linotype" w:hAnsi="Palatino Linotype"/>
                <w:i/>
                <w:sz w:val="20"/>
                <w:szCs w:val="20"/>
              </w:rPr>
            </w:pPr>
          </w:p>
        </w:tc>
      </w:tr>
      <w:tr w:rsidR="00081D74" w:rsidRPr="0066728D" w:rsidTr="00081D74">
        <w:tc>
          <w:tcPr>
            <w:tcW w:w="984" w:type="dxa"/>
            <w:vMerge w:val="restart"/>
          </w:tcPr>
          <w:p w:rsidR="00081D74" w:rsidRPr="0066728D" w:rsidRDefault="00081D74" w:rsidP="0066728D">
            <w:pPr>
              <w:pStyle w:val="Textodebloque"/>
              <w:spacing w:after="120" w:line="276" w:lineRule="auto"/>
              <w:ind w:left="0" w:right="-1" w:firstLine="0"/>
              <w:jc w:val="center"/>
              <w:rPr>
                <w:rFonts w:ascii="Palatino Linotype" w:hAnsi="Palatino Linotype"/>
                <w:i/>
                <w:sz w:val="20"/>
                <w:szCs w:val="20"/>
              </w:rPr>
            </w:pPr>
            <w:r w:rsidRPr="0066728D">
              <w:rPr>
                <w:rFonts w:ascii="Palatino Linotype" w:hAnsi="Palatino Linotype"/>
                <w:i/>
                <w:sz w:val="20"/>
                <w:szCs w:val="20"/>
              </w:rPr>
              <w:t>3553162</w:t>
            </w:r>
          </w:p>
        </w:tc>
        <w:tc>
          <w:tcPr>
            <w:tcW w:w="1117" w:type="dxa"/>
          </w:tcPr>
          <w:p w:rsidR="00081D74" w:rsidRPr="0066728D" w:rsidRDefault="00081D74" w:rsidP="0066728D">
            <w:pPr>
              <w:pStyle w:val="Textodebloque"/>
              <w:spacing w:after="120" w:line="276" w:lineRule="auto"/>
              <w:ind w:left="0" w:right="-1" w:firstLine="0"/>
              <w:jc w:val="center"/>
              <w:rPr>
                <w:rFonts w:ascii="Palatino Linotype" w:hAnsi="Palatino Linotype"/>
                <w:i/>
                <w:sz w:val="20"/>
                <w:szCs w:val="20"/>
              </w:rPr>
            </w:pPr>
            <w:r w:rsidRPr="0066728D">
              <w:rPr>
                <w:rFonts w:ascii="Palatino Linotype" w:hAnsi="Palatino Linotype"/>
                <w:i/>
                <w:sz w:val="20"/>
                <w:szCs w:val="20"/>
              </w:rPr>
              <w:t>3</w:t>
            </w:r>
          </w:p>
        </w:tc>
        <w:tc>
          <w:tcPr>
            <w:tcW w:w="910" w:type="dxa"/>
            <w:vMerge w:val="restart"/>
          </w:tcPr>
          <w:p w:rsidR="00081D74" w:rsidRPr="00081D74" w:rsidRDefault="00081D74" w:rsidP="0066728D">
            <w:pPr>
              <w:pStyle w:val="Textodebloque"/>
              <w:spacing w:after="120" w:line="276" w:lineRule="auto"/>
              <w:ind w:left="0" w:right="-1" w:firstLine="0"/>
              <w:jc w:val="center"/>
              <w:rPr>
                <w:rFonts w:ascii="Palatino Linotype" w:hAnsi="Palatino Linotype"/>
                <w:i/>
                <w:color w:val="5B9BD5" w:themeColor="accent1"/>
                <w:sz w:val="20"/>
                <w:szCs w:val="20"/>
              </w:rPr>
            </w:pPr>
            <w:r w:rsidRPr="00081D74">
              <w:rPr>
                <w:rFonts w:ascii="Palatino Linotype" w:hAnsi="Palatino Linotype"/>
                <w:i/>
                <w:color w:val="5B9BD5" w:themeColor="accent1"/>
                <w:sz w:val="20"/>
                <w:szCs w:val="20"/>
              </w:rPr>
              <w:t>10.75</w:t>
            </w:r>
          </w:p>
        </w:tc>
        <w:tc>
          <w:tcPr>
            <w:tcW w:w="1154" w:type="dxa"/>
            <w:vMerge w:val="restart"/>
          </w:tcPr>
          <w:p w:rsidR="00081D74" w:rsidRPr="0066728D" w:rsidRDefault="00081D74" w:rsidP="0066728D">
            <w:pPr>
              <w:pStyle w:val="Textodebloque"/>
              <w:spacing w:after="120" w:line="276" w:lineRule="auto"/>
              <w:ind w:left="0" w:right="-1" w:firstLine="0"/>
              <w:jc w:val="center"/>
              <w:rPr>
                <w:rFonts w:ascii="Palatino Linotype" w:hAnsi="Palatino Linotype"/>
                <w:i/>
                <w:sz w:val="20"/>
                <w:szCs w:val="20"/>
              </w:rPr>
            </w:pPr>
            <w:r w:rsidRPr="0066728D">
              <w:rPr>
                <w:rFonts w:ascii="Palatino Linotype" w:hAnsi="Palatino Linotype"/>
                <w:i/>
                <w:sz w:val="20"/>
                <w:szCs w:val="20"/>
              </w:rPr>
              <w:t xml:space="preserve">ESS, ESP y Comercio </w:t>
            </w:r>
          </w:p>
        </w:tc>
        <w:tc>
          <w:tcPr>
            <w:tcW w:w="853" w:type="dxa"/>
          </w:tcPr>
          <w:p w:rsidR="00081D74" w:rsidRPr="0066728D" w:rsidRDefault="00081D74" w:rsidP="0066728D">
            <w:pPr>
              <w:pStyle w:val="Textodebloque"/>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V</w:t>
            </w:r>
          </w:p>
        </w:tc>
        <w:tc>
          <w:tcPr>
            <w:tcW w:w="840" w:type="dxa"/>
          </w:tcPr>
          <w:p w:rsidR="00081D74" w:rsidRPr="0066728D" w:rsidRDefault="00081D74" w:rsidP="0066728D">
            <w:pPr>
              <w:pStyle w:val="Textodebloque"/>
              <w:tabs>
                <w:tab w:val="left" w:pos="288"/>
                <w:tab w:val="center" w:pos="337"/>
              </w:tabs>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V hasta 80 m</w:t>
            </w:r>
          </w:p>
        </w:tc>
        <w:tc>
          <w:tcPr>
            <w:tcW w:w="1168" w:type="dxa"/>
          </w:tcPr>
          <w:p w:rsidR="00081D74" w:rsidRPr="0066728D" w:rsidRDefault="00081D74" w:rsidP="0066728D">
            <w:pPr>
              <w:pStyle w:val="Textodebloque"/>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50</w:t>
            </w:r>
          </w:p>
        </w:tc>
        <w:tc>
          <w:tcPr>
            <w:tcW w:w="1314" w:type="dxa"/>
            <w:shd w:val="clear" w:color="auto" w:fill="auto"/>
          </w:tcPr>
          <w:p w:rsidR="00081D74" w:rsidRPr="0066728D" w:rsidRDefault="00081D74" w:rsidP="0066728D">
            <w:pPr>
              <w:pStyle w:val="Textodebloque"/>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100</w:t>
            </w:r>
          </w:p>
        </w:tc>
      </w:tr>
      <w:tr w:rsidR="00081D74" w:rsidRPr="0066728D" w:rsidTr="00081D74">
        <w:tc>
          <w:tcPr>
            <w:tcW w:w="984" w:type="dxa"/>
            <w:vMerge/>
          </w:tcPr>
          <w:p w:rsidR="00081D74" w:rsidRPr="0066728D" w:rsidRDefault="00081D74" w:rsidP="0066728D">
            <w:pPr>
              <w:pStyle w:val="Textodebloque"/>
              <w:spacing w:after="120" w:line="276" w:lineRule="auto"/>
              <w:ind w:left="0" w:right="-1" w:firstLine="0"/>
              <w:jc w:val="center"/>
              <w:rPr>
                <w:rFonts w:ascii="Palatino Linotype" w:hAnsi="Palatino Linotype"/>
                <w:i/>
                <w:sz w:val="20"/>
                <w:szCs w:val="20"/>
              </w:rPr>
            </w:pPr>
          </w:p>
        </w:tc>
        <w:tc>
          <w:tcPr>
            <w:tcW w:w="1117" w:type="dxa"/>
          </w:tcPr>
          <w:p w:rsidR="00081D74" w:rsidRPr="0066728D" w:rsidRDefault="00081D74" w:rsidP="0066728D">
            <w:pPr>
              <w:pStyle w:val="Textodebloque"/>
              <w:spacing w:after="120" w:line="276" w:lineRule="auto"/>
              <w:ind w:left="0" w:right="-1" w:firstLine="0"/>
              <w:jc w:val="center"/>
              <w:rPr>
                <w:rFonts w:ascii="Palatino Linotype" w:hAnsi="Palatino Linotype"/>
                <w:i/>
                <w:sz w:val="20"/>
                <w:szCs w:val="20"/>
              </w:rPr>
            </w:pPr>
            <w:r w:rsidRPr="0066728D">
              <w:rPr>
                <w:rFonts w:ascii="Palatino Linotype" w:hAnsi="Palatino Linotype"/>
                <w:i/>
                <w:sz w:val="20"/>
                <w:szCs w:val="20"/>
              </w:rPr>
              <w:t>3.1</w:t>
            </w:r>
          </w:p>
        </w:tc>
        <w:tc>
          <w:tcPr>
            <w:tcW w:w="910" w:type="dxa"/>
            <w:vMerge/>
          </w:tcPr>
          <w:p w:rsidR="00081D74" w:rsidRPr="0066728D" w:rsidRDefault="00081D74" w:rsidP="0066728D">
            <w:pPr>
              <w:pStyle w:val="Textodebloque"/>
              <w:spacing w:after="120" w:line="276" w:lineRule="auto"/>
              <w:ind w:left="0" w:right="-1" w:firstLine="0"/>
              <w:jc w:val="center"/>
              <w:rPr>
                <w:rFonts w:ascii="Palatino Linotype" w:hAnsi="Palatino Linotype"/>
                <w:i/>
                <w:sz w:val="20"/>
                <w:szCs w:val="20"/>
              </w:rPr>
            </w:pPr>
          </w:p>
        </w:tc>
        <w:tc>
          <w:tcPr>
            <w:tcW w:w="1154" w:type="dxa"/>
            <w:vMerge/>
          </w:tcPr>
          <w:p w:rsidR="00081D74" w:rsidRPr="0066728D" w:rsidRDefault="00081D74" w:rsidP="0066728D">
            <w:pPr>
              <w:pStyle w:val="Textodebloque"/>
              <w:spacing w:after="120" w:line="276" w:lineRule="auto"/>
              <w:ind w:left="0" w:right="-1" w:firstLine="0"/>
              <w:jc w:val="center"/>
              <w:rPr>
                <w:rFonts w:ascii="Palatino Linotype" w:hAnsi="Palatino Linotype"/>
                <w:i/>
                <w:sz w:val="20"/>
                <w:szCs w:val="20"/>
              </w:rPr>
            </w:pPr>
          </w:p>
        </w:tc>
        <w:tc>
          <w:tcPr>
            <w:tcW w:w="853" w:type="dxa"/>
          </w:tcPr>
          <w:p w:rsidR="00081D74" w:rsidRPr="0066728D" w:rsidRDefault="00081D74" w:rsidP="0066728D">
            <w:pPr>
              <w:pStyle w:val="Textodebloque"/>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V</w:t>
            </w:r>
          </w:p>
        </w:tc>
        <w:tc>
          <w:tcPr>
            <w:tcW w:w="840" w:type="dxa"/>
          </w:tcPr>
          <w:p w:rsidR="00081D74" w:rsidRPr="0066728D" w:rsidRDefault="00081D74" w:rsidP="0066728D">
            <w:pPr>
              <w:pStyle w:val="Textodebloque"/>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V hasta 80 m</w:t>
            </w:r>
          </w:p>
        </w:tc>
        <w:tc>
          <w:tcPr>
            <w:tcW w:w="1168" w:type="dxa"/>
          </w:tcPr>
          <w:p w:rsidR="00081D74" w:rsidRPr="0066728D" w:rsidRDefault="00081D74" w:rsidP="0066728D">
            <w:pPr>
              <w:pStyle w:val="Textodebloque"/>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50</w:t>
            </w:r>
          </w:p>
        </w:tc>
        <w:tc>
          <w:tcPr>
            <w:tcW w:w="1314" w:type="dxa"/>
          </w:tcPr>
          <w:p w:rsidR="00081D74" w:rsidRPr="0066728D" w:rsidRDefault="00081D74" w:rsidP="0066728D">
            <w:pPr>
              <w:pStyle w:val="Textodebloque"/>
              <w:spacing w:after="120" w:line="276" w:lineRule="auto"/>
              <w:ind w:left="0" w:right="0" w:firstLine="0"/>
              <w:jc w:val="center"/>
              <w:rPr>
                <w:rFonts w:ascii="Palatino Linotype" w:hAnsi="Palatino Linotype"/>
                <w:i/>
                <w:sz w:val="20"/>
                <w:szCs w:val="20"/>
              </w:rPr>
            </w:pPr>
            <w:r w:rsidRPr="0066728D">
              <w:rPr>
                <w:rFonts w:ascii="Palatino Linotype" w:hAnsi="Palatino Linotype"/>
                <w:i/>
                <w:sz w:val="20"/>
                <w:szCs w:val="20"/>
              </w:rPr>
              <w:t>100</w:t>
            </w:r>
          </w:p>
        </w:tc>
      </w:tr>
    </w:tbl>
    <w:p w:rsidR="0066728D" w:rsidRPr="0066728D" w:rsidRDefault="0066728D" w:rsidP="0066728D">
      <w:pPr>
        <w:spacing w:after="120" w:line="276" w:lineRule="auto"/>
        <w:ind w:left="708"/>
        <w:jc w:val="both"/>
        <w:rPr>
          <w:rFonts w:ascii="Palatino Linotype" w:hAnsi="Palatino Linotype"/>
          <w:i/>
          <w:sz w:val="18"/>
          <w:szCs w:val="18"/>
        </w:rPr>
      </w:pPr>
      <w:r w:rsidRPr="0066728D">
        <w:rPr>
          <w:rFonts w:ascii="Palatino Linotype" w:hAnsi="Palatino Linotype"/>
          <w:i/>
          <w:sz w:val="18"/>
          <w:szCs w:val="18"/>
        </w:rPr>
        <w:t>*Se permite la integración urbanística de los edificios implantados indistintamente en los 2 polígonos de zonificación que conforman a este predio, según lo establecido en el Plano No. 7 de la ordenanza metropolitana No. 352.</w:t>
      </w:r>
    </w:p>
    <w:p w:rsidR="0066728D" w:rsidRDefault="0066728D" w:rsidP="0066728D">
      <w:pPr>
        <w:spacing w:after="120" w:line="276" w:lineRule="auto"/>
        <w:ind w:left="708"/>
        <w:jc w:val="both"/>
        <w:rPr>
          <w:rFonts w:ascii="Palatino Linotype" w:hAnsi="Palatino Linotype"/>
          <w:i/>
          <w:sz w:val="18"/>
          <w:szCs w:val="18"/>
        </w:rPr>
      </w:pPr>
      <w:r w:rsidRPr="0066728D">
        <w:rPr>
          <w:rFonts w:ascii="Palatino Linotype" w:hAnsi="Palatino Linotype"/>
          <w:i/>
          <w:sz w:val="18"/>
          <w:szCs w:val="18"/>
        </w:rPr>
        <w:t>**La altura y número de pisos será variable siempre que las edificaciones con volumetría vertical (torres hoteleras y de oficinas, según el anexo 2 Perfil Urbano Referencial de esta ordenanza) no superen los 80 metros de altura ni la edificabilidad total en el predio (COS total).</w:t>
      </w:r>
      <w:r>
        <w:rPr>
          <w:rFonts w:ascii="Palatino Linotype" w:hAnsi="Palatino Linotype"/>
          <w:i/>
          <w:sz w:val="18"/>
          <w:szCs w:val="18"/>
        </w:rPr>
        <w:t>”</w:t>
      </w:r>
    </w:p>
    <w:p w:rsidR="00A721F0" w:rsidRPr="00A721F0" w:rsidRDefault="00081D74" w:rsidP="00A721F0">
      <w:pPr>
        <w:spacing w:after="120" w:line="276" w:lineRule="auto"/>
        <w:jc w:val="both"/>
        <w:rPr>
          <w:rFonts w:ascii="Palatino Linotype" w:hAnsi="Palatino Linotype"/>
          <w:color w:val="5B9BD5" w:themeColor="accent1"/>
          <w:sz w:val="22"/>
          <w:szCs w:val="22"/>
        </w:rPr>
      </w:pPr>
      <w:r w:rsidRPr="00A721F0">
        <w:rPr>
          <w:rFonts w:ascii="Palatino Linotype" w:hAnsi="Palatino Linotype"/>
          <w:b/>
          <w:color w:val="5B9BD5" w:themeColor="accent1"/>
          <w:sz w:val="22"/>
          <w:szCs w:val="22"/>
        </w:rPr>
        <w:t xml:space="preserve">Artículo 4.- </w:t>
      </w:r>
      <w:r w:rsidR="00A721F0" w:rsidRPr="00A721F0">
        <w:rPr>
          <w:rFonts w:ascii="Palatino Linotype" w:hAnsi="Palatino Linotype"/>
          <w:color w:val="5B9BD5" w:themeColor="accent1"/>
          <w:sz w:val="22"/>
          <w:szCs w:val="22"/>
        </w:rPr>
        <w:t>Sustitúyase los anexos No. 1 Implantación referencial, No. 2 Perfil Urbano y No. 3 Etapas de Consolidación de la ordenanza metropolitana No.0086 del Centro de Convenciones Metropolitano de la Ciudad de Quito, por los Anexos No. 1 Implantación referencial, No. 2 Perfil Urbano y No. 3 Etapas de Consolidación</w:t>
      </w:r>
      <w:r w:rsidR="00851DE5">
        <w:rPr>
          <w:rFonts w:ascii="Palatino Linotype" w:hAnsi="Palatino Linotype"/>
          <w:color w:val="5B9BD5" w:themeColor="accent1"/>
          <w:sz w:val="22"/>
          <w:szCs w:val="22"/>
        </w:rPr>
        <w:t xml:space="preserve"> d</w:t>
      </w:r>
      <w:r w:rsidR="00A721F0" w:rsidRPr="00A721F0">
        <w:rPr>
          <w:rFonts w:ascii="Palatino Linotype" w:hAnsi="Palatino Linotype"/>
          <w:color w:val="5B9BD5" w:themeColor="accent1"/>
          <w:sz w:val="22"/>
          <w:szCs w:val="22"/>
        </w:rPr>
        <w:t xml:space="preserve">e la presente ordenanza. </w:t>
      </w:r>
    </w:p>
    <w:p w:rsidR="0066728D" w:rsidRDefault="0066728D" w:rsidP="0066728D">
      <w:pPr>
        <w:spacing w:after="120" w:line="276" w:lineRule="auto"/>
        <w:jc w:val="both"/>
        <w:rPr>
          <w:rFonts w:ascii="Palatino Linotype" w:hAnsi="Palatino Linotype"/>
          <w:sz w:val="22"/>
          <w:szCs w:val="22"/>
        </w:rPr>
      </w:pPr>
      <w:r w:rsidRPr="0066728D">
        <w:rPr>
          <w:rFonts w:ascii="Palatino Linotype" w:hAnsi="Palatino Linotype"/>
          <w:b/>
          <w:sz w:val="22"/>
          <w:szCs w:val="22"/>
        </w:rPr>
        <w:t xml:space="preserve">Artículo </w:t>
      </w:r>
      <w:r w:rsidR="00A721F0" w:rsidRPr="00A721F0">
        <w:rPr>
          <w:rFonts w:ascii="Palatino Linotype" w:hAnsi="Palatino Linotype"/>
          <w:b/>
          <w:color w:val="5B9BD5" w:themeColor="accent1"/>
          <w:sz w:val="22"/>
          <w:szCs w:val="22"/>
        </w:rPr>
        <w:t>5</w:t>
      </w:r>
      <w:r w:rsidRPr="0066728D">
        <w:rPr>
          <w:rFonts w:ascii="Palatino Linotype" w:hAnsi="Palatino Linotype"/>
          <w:b/>
          <w:sz w:val="22"/>
          <w:szCs w:val="22"/>
        </w:rPr>
        <w:t xml:space="preserve">.- </w:t>
      </w:r>
      <w:r w:rsidRPr="0066728D">
        <w:rPr>
          <w:rFonts w:ascii="Palatino Linotype" w:hAnsi="Palatino Linotype"/>
          <w:sz w:val="22"/>
          <w:szCs w:val="22"/>
        </w:rPr>
        <w:t xml:space="preserve">Agréguese la siguiente disposición general: </w:t>
      </w:r>
    </w:p>
    <w:p w:rsidR="0066728D" w:rsidRDefault="0066728D" w:rsidP="0066728D">
      <w:pPr>
        <w:spacing w:after="120" w:line="276" w:lineRule="auto"/>
        <w:ind w:left="709"/>
        <w:jc w:val="both"/>
        <w:rPr>
          <w:rFonts w:ascii="Palatino Linotype" w:hAnsi="Palatino Linotype"/>
          <w:sz w:val="21"/>
          <w:szCs w:val="21"/>
          <w:lang w:val="es-ES"/>
        </w:rPr>
      </w:pPr>
      <w:r>
        <w:rPr>
          <w:rFonts w:ascii="Palatino Linotype" w:hAnsi="Palatino Linotype"/>
          <w:b/>
          <w:bCs/>
          <w:i/>
          <w:iCs/>
          <w:sz w:val="21"/>
          <w:szCs w:val="21"/>
          <w:lang w:val="es-ES"/>
        </w:rPr>
        <w:t xml:space="preserve">“Disposición General Tercera.- </w:t>
      </w:r>
      <w:r>
        <w:rPr>
          <w:rFonts w:ascii="Palatino Linotype" w:hAnsi="Palatino Linotype"/>
          <w:i/>
          <w:iCs/>
          <w:sz w:val="21"/>
          <w:szCs w:val="21"/>
          <w:lang w:val="es-ES"/>
        </w:rPr>
        <w:t>Los gráficos contenidos en los Anexos Técnicos 1, 2 y 3  de la presente Ordenanza podrán ser actualizados, hasta lo que represente un 10%</w:t>
      </w:r>
      <w:r w:rsidR="00851DE5">
        <w:rPr>
          <w:rFonts w:ascii="Palatino Linotype" w:hAnsi="Palatino Linotype"/>
          <w:i/>
          <w:iCs/>
          <w:sz w:val="21"/>
          <w:szCs w:val="21"/>
          <w:lang w:val="es-ES"/>
        </w:rPr>
        <w:t xml:space="preserve"> </w:t>
      </w:r>
      <w:r w:rsidR="00851DE5">
        <w:rPr>
          <w:rFonts w:ascii="Palatino Linotype" w:hAnsi="Palatino Linotype"/>
          <w:i/>
          <w:iCs/>
          <w:color w:val="5B9BD5" w:themeColor="accent1"/>
          <w:sz w:val="21"/>
          <w:szCs w:val="21"/>
          <w:lang w:val="es-ES"/>
        </w:rPr>
        <w:t>las áreas correspondientes a los componentes señalados en el Art. 5 de la presente ordenanza</w:t>
      </w:r>
      <w:r>
        <w:rPr>
          <w:rFonts w:ascii="Palatino Linotype" w:hAnsi="Palatino Linotype"/>
          <w:i/>
          <w:iCs/>
          <w:sz w:val="21"/>
          <w:szCs w:val="21"/>
          <w:lang w:val="es-ES"/>
        </w:rPr>
        <w:t>, sin exceder las asignaciones respectivas y  sin interferir en las competencias puntuales del Concejo Metropolitano, con la debida motivación por la Secretaría de Territorio, Hábitat y Vivienda, a través de una resolución generada para el efecto. En caso de requerirse actualizaciones mayores al porcentaje indicado deberá procederse la reforma de la Ordenanza respectiva</w:t>
      </w:r>
      <w:r>
        <w:rPr>
          <w:rFonts w:ascii="Palatino Linotype" w:hAnsi="Palatino Linotype"/>
          <w:sz w:val="21"/>
          <w:szCs w:val="21"/>
          <w:lang w:val="es-ES"/>
        </w:rPr>
        <w:t>.”</w:t>
      </w:r>
    </w:p>
    <w:p w:rsidR="00A721F0" w:rsidRPr="0066728D" w:rsidRDefault="00A721F0" w:rsidP="0066728D">
      <w:pPr>
        <w:spacing w:after="120" w:line="276" w:lineRule="auto"/>
        <w:ind w:left="709"/>
        <w:jc w:val="both"/>
        <w:rPr>
          <w:rFonts w:ascii="Palatino Linotype" w:hAnsi="Palatino Linotype"/>
          <w:sz w:val="22"/>
          <w:szCs w:val="22"/>
        </w:rPr>
      </w:pPr>
    </w:p>
    <w:p w:rsidR="00DE5301" w:rsidRDefault="00DE5301" w:rsidP="0066728D">
      <w:pPr>
        <w:spacing w:after="120" w:line="276" w:lineRule="auto"/>
        <w:jc w:val="both"/>
        <w:rPr>
          <w:rFonts w:ascii="Palatino Linotype" w:hAnsi="Palatino Linotype"/>
          <w:b/>
          <w:sz w:val="22"/>
          <w:szCs w:val="22"/>
        </w:rPr>
      </w:pPr>
      <w:r>
        <w:rPr>
          <w:rFonts w:ascii="Palatino Linotype" w:hAnsi="Palatino Linotype"/>
          <w:b/>
          <w:sz w:val="22"/>
          <w:szCs w:val="22"/>
        </w:rPr>
        <w:t xml:space="preserve">Disposición transitoria.- </w:t>
      </w:r>
      <w:r w:rsidR="00A84750" w:rsidRPr="00A84750">
        <w:rPr>
          <w:rFonts w:ascii="Palatino Linotype" w:hAnsi="Palatino Linotype"/>
          <w:sz w:val="22"/>
          <w:szCs w:val="22"/>
        </w:rPr>
        <w:t xml:space="preserve">En el plazo de 60 días contados a partir de la sanción de la presente ordenanza, la </w:t>
      </w:r>
      <w:r w:rsidR="00A84750">
        <w:rPr>
          <w:rFonts w:ascii="Palatino Linotype" w:hAnsi="Palatino Linotype"/>
          <w:sz w:val="22"/>
          <w:szCs w:val="22"/>
        </w:rPr>
        <w:t>Comisión de Propiedad y Espacio Público y la Empresa Pública Metropolitana de Gestión del Destino Turístico “Quito Turismo”</w:t>
      </w:r>
      <w:r w:rsidR="00A84750" w:rsidRPr="00A84750">
        <w:rPr>
          <w:rFonts w:ascii="Palatino Linotype" w:hAnsi="Palatino Linotype"/>
          <w:sz w:val="22"/>
          <w:szCs w:val="22"/>
        </w:rPr>
        <w:t xml:space="preserve">, </w:t>
      </w:r>
      <w:r w:rsidR="00446ACD">
        <w:rPr>
          <w:rFonts w:ascii="Palatino Linotype" w:hAnsi="Palatino Linotype"/>
          <w:sz w:val="22"/>
          <w:szCs w:val="22"/>
        </w:rPr>
        <w:t>presentará</w:t>
      </w:r>
      <w:r w:rsidR="00A84750">
        <w:rPr>
          <w:rFonts w:ascii="Palatino Linotype" w:hAnsi="Palatino Linotype"/>
          <w:sz w:val="22"/>
          <w:szCs w:val="22"/>
        </w:rPr>
        <w:t xml:space="preserve">n al Concejo Metropolitano de Quito la </w:t>
      </w:r>
      <w:r w:rsidR="00446ACD">
        <w:rPr>
          <w:rFonts w:ascii="Palatino Linotype" w:hAnsi="Palatino Linotype"/>
          <w:sz w:val="22"/>
          <w:szCs w:val="22"/>
        </w:rPr>
        <w:t xml:space="preserve">propuesta reformatoria de la Resolución C 023 del 27 de Enero de 2016, que entrega en comodato  el inmueble municipal de dominio privado de 10,75 ha. </w:t>
      </w:r>
      <w:proofErr w:type="gramStart"/>
      <w:r w:rsidR="00446ACD">
        <w:rPr>
          <w:rFonts w:ascii="Palatino Linotype" w:hAnsi="Palatino Linotype"/>
          <w:sz w:val="22"/>
          <w:szCs w:val="22"/>
        </w:rPr>
        <w:t>identificado</w:t>
      </w:r>
      <w:proofErr w:type="gramEnd"/>
      <w:r w:rsidR="00446ACD">
        <w:rPr>
          <w:rFonts w:ascii="Palatino Linotype" w:hAnsi="Palatino Linotype"/>
          <w:sz w:val="22"/>
          <w:szCs w:val="22"/>
        </w:rPr>
        <w:t xml:space="preserve"> con el predio NO. 3553162, con la finalidad de limitar el área del comodato al polígono de intervención en base a las etapas de consolidación (anexo No. 3 de la presente ordenanza) y de ser necesario establecer el nuevo plazo de dicho comodato.  </w:t>
      </w:r>
    </w:p>
    <w:p w:rsidR="0066728D" w:rsidRPr="0066728D" w:rsidRDefault="0066728D" w:rsidP="0066728D">
      <w:pPr>
        <w:spacing w:after="120" w:line="276" w:lineRule="auto"/>
        <w:jc w:val="both"/>
        <w:rPr>
          <w:rFonts w:ascii="Palatino Linotype" w:eastAsiaTheme="minorEastAsia" w:hAnsi="Palatino Linotype" w:cs="Arial"/>
          <w:sz w:val="22"/>
          <w:szCs w:val="22"/>
          <w:lang w:eastAsia="es-EC"/>
        </w:rPr>
      </w:pPr>
      <w:r>
        <w:rPr>
          <w:rFonts w:ascii="Palatino Linotype" w:hAnsi="Palatino Linotype"/>
          <w:b/>
          <w:sz w:val="22"/>
          <w:szCs w:val="22"/>
        </w:rPr>
        <w:t>Disposición final</w:t>
      </w:r>
      <w:r w:rsidRPr="0066728D">
        <w:rPr>
          <w:rFonts w:ascii="Palatino Linotype" w:eastAsiaTheme="minorEastAsia" w:hAnsi="Palatino Linotype" w:cs="Arial"/>
          <w:b/>
          <w:sz w:val="22"/>
          <w:szCs w:val="22"/>
          <w:lang w:eastAsia="es-EC"/>
        </w:rPr>
        <w:t xml:space="preserve">.- </w:t>
      </w:r>
      <w:r w:rsidRPr="0066728D">
        <w:rPr>
          <w:rFonts w:ascii="Palatino Linotype" w:hAnsi="Palatino Linotype"/>
          <w:sz w:val="22"/>
          <w:szCs w:val="22"/>
        </w:rPr>
        <w:t>La presente Ordenanza Metropolitana entrará en vigencia a partir de la fecha de su sanción, sin perjuicio de su publicación en la Gaceta Oficial y dominio web de la Municipalidad.</w:t>
      </w:r>
    </w:p>
    <w:p w:rsidR="0019029F" w:rsidRPr="0066728D" w:rsidRDefault="0019029F" w:rsidP="0066728D">
      <w:pPr>
        <w:pStyle w:val="Cuadrculaclara-nfasis31"/>
        <w:tabs>
          <w:tab w:val="left" w:pos="2410"/>
        </w:tabs>
        <w:suppressAutoHyphens w:val="0"/>
        <w:spacing w:after="120" w:line="276" w:lineRule="auto"/>
        <w:ind w:left="0"/>
        <w:jc w:val="both"/>
        <w:rPr>
          <w:rFonts w:ascii="Palatino Linotype" w:hAnsi="Palatino Linotype"/>
          <w:sz w:val="22"/>
          <w:szCs w:val="22"/>
        </w:rPr>
      </w:pPr>
      <w:r w:rsidRPr="0066728D">
        <w:rPr>
          <w:rFonts w:ascii="Palatino Linotype" w:hAnsi="Palatino Linotype"/>
          <w:sz w:val="22"/>
          <w:szCs w:val="22"/>
        </w:rPr>
        <w:t>Dada, en la Sala de Sesiones del Concejo Metropolitan</w:t>
      </w:r>
      <w:r w:rsidR="0066728D">
        <w:rPr>
          <w:rFonts w:ascii="Palatino Linotype" w:hAnsi="Palatino Linotype"/>
          <w:sz w:val="22"/>
          <w:szCs w:val="22"/>
        </w:rPr>
        <w:t>o de Quito, el xx de xxx de 2017</w:t>
      </w:r>
      <w:r w:rsidRPr="0066728D">
        <w:rPr>
          <w:rFonts w:ascii="Palatino Linotype" w:hAnsi="Palatino Linotype"/>
          <w:sz w:val="22"/>
          <w:szCs w:val="22"/>
        </w:rPr>
        <w:t>.</w:t>
      </w:r>
    </w:p>
    <w:p w:rsidR="0019029F" w:rsidRPr="0066728D" w:rsidRDefault="0019029F" w:rsidP="0019029F">
      <w:pPr>
        <w:pStyle w:val="Textopredeterminado"/>
        <w:shd w:val="clear" w:color="auto" w:fill="FFFFFF"/>
        <w:jc w:val="both"/>
        <w:rPr>
          <w:rFonts w:ascii="Palatino Linotype" w:hAnsi="Palatino Linotype"/>
          <w:sz w:val="22"/>
          <w:szCs w:val="22"/>
          <w:lang w:val="es-ES_tradnl"/>
        </w:rPr>
      </w:pPr>
    </w:p>
    <w:tbl>
      <w:tblPr>
        <w:tblW w:w="10899" w:type="dxa"/>
        <w:jc w:val="center"/>
        <w:tblLook w:val="04A0" w:firstRow="1" w:lastRow="0" w:firstColumn="1" w:lastColumn="0" w:noHBand="0" w:noVBand="1"/>
      </w:tblPr>
      <w:tblGrid>
        <w:gridCol w:w="5575"/>
        <w:gridCol w:w="5324"/>
      </w:tblGrid>
      <w:tr w:rsidR="0019029F" w:rsidRPr="008D7F62" w:rsidTr="00553AB2">
        <w:trPr>
          <w:jc w:val="center"/>
        </w:trPr>
        <w:tc>
          <w:tcPr>
            <w:tcW w:w="5575" w:type="dxa"/>
            <w:hideMark/>
          </w:tcPr>
          <w:p w:rsidR="0019029F" w:rsidRPr="008D7F62" w:rsidRDefault="0019029F" w:rsidP="00553AB2">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Pr>
                <w:rFonts w:ascii="Palatino Linotype" w:hAnsi="Palatino Linotype" w:cs="Arial"/>
                <w:sz w:val="18"/>
                <w:szCs w:val="18"/>
              </w:rPr>
              <w:t>Eduardo Del Pozo</w:t>
            </w:r>
          </w:p>
          <w:p w:rsidR="0019029F" w:rsidRPr="008D7F62" w:rsidRDefault="0019029F" w:rsidP="00553AB2">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w:t>
            </w:r>
            <w:r>
              <w:rPr>
                <w:rFonts w:ascii="Palatino Linotype" w:hAnsi="Palatino Linotype" w:cs="Arial"/>
                <w:b/>
                <w:sz w:val="18"/>
                <w:szCs w:val="18"/>
              </w:rPr>
              <w:t xml:space="preserve"> Vicepresidente</w:t>
            </w:r>
            <w:r w:rsidRPr="008D7F62">
              <w:rPr>
                <w:rFonts w:ascii="Palatino Linotype" w:hAnsi="Palatino Linotype" w:cs="Arial"/>
                <w:b/>
                <w:sz w:val="18"/>
                <w:szCs w:val="18"/>
              </w:rPr>
              <w:t xml:space="preserve"> del Concejo Metropolitano de Quito</w:t>
            </w:r>
          </w:p>
        </w:tc>
        <w:tc>
          <w:tcPr>
            <w:tcW w:w="5324" w:type="dxa"/>
            <w:hideMark/>
          </w:tcPr>
          <w:p w:rsidR="0019029F" w:rsidRPr="008D7F62" w:rsidRDefault="0019029F" w:rsidP="00553AB2">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66728D">
              <w:rPr>
                <w:rFonts w:ascii="Palatino Linotype" w:hAnsi="Palatino Linotype" w:cs="Arial"/>
                <w:sz w:val="18"/>
                <w:szCs w:val="18"/>
              </w:rPr>
              <w:t>Diego Cevallos Salgado</w:t>
            </w:r>
          </w:p>
          <w:p w:rsidR="0019029F" w:rsidRPr="008D7F62" w:rsidRDefault="0019029F" w:rsidP="00553AB2">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sidR="0066728D">
              <w:rPr>
                <w:rFonts w:ascii="Palatino Linotype" w:hAnsi="Palatino Linotype" w:cs="Arial"/>
                <w:b/>
                <w:sz w:val="18"/>
                <w:szCs w:val="18"/>
              </w:rPr>
              <w:t>o</w:t>
            </w:r>
            <w:r w:rsidRPr="008D7F62">
              <w:rPr>
                <w:rFonts w:ascii="Palatino Linotype" w:hAnsi="Palatino Linotype" w:cs="Arial"/>
                <w:b/>
                <w:sz w:val="18"/>
                <w:szCs w:val="18"/>
              </w:rPr>
              <w:t xml:space="preserve"> General del Concejo Metropolitano de Quito</w:t>
            </w:r>
          </w:p>
          <w:p w:rsidR="0019029F" w:rsidRPr="008D7F62" w:rsidRDefault="0019029F" w:rsidP="00553AB2">
            <w:pPr>
              <w:pStyle w:val="Textopredeterminado"/>
              <w:rPr>
                <w:rFonts w:ascii="Palatino Linotype" w:hAnsi="Palatino Linotype" w:cs="Arial"/>
                <w:b/>
                <w:sz w:val="18"/>
                <w:szCs w:val="18"/>
              </w:rPr>
            </w:pPr>
          </w:p>
        </w:tc>
      </w:tr>
    </w:tbl>
    <w:p w:rsidR="0019029F" w:rsidRPr="006336FA" w:rsidRDefault="0019029F" w:rsidP="0019029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19029F" w:rsidRPr="006336FA" w:rsidRDefault="0019029F" w:rsidP="0019029F">
      <w:pPr>
        <w:pStyle w:val="Textosinformato"/>
        <w:jc w:val="both"/>
        <w:rPr>
          <w:rFonts w:ascii="Palatino Linotype" w:eastAsia="MS Mincho" w:hAnsi="Palatino Linotype" w:cs="Arial"/>
          <w:sz w:val="22"/>
          <w:szCs w:val="22"/>
        </w:rPr>
      </w:pPr>
    </w:p>
    <w:p w:rsidR="0019029F" w:rsidRPr="006336FA" w:rsidRDefault="0066728D" w:rsidP="0019029F">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19029F"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19029F">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19029F"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19029F">
        <w:rPr>
          <w:rFonts w:ascii="Palatino Linotype" w:eastAsia="MS Mincho" w:hAnsi="Palatino Linotype" w:cs="Arial"/>
          <w:sz w:val="22"/>
          <w:szCs w:val="22"/>
        </w:rPr>
        <w:t xml:space="preserve">xx de </w:t>
      </w:r>
      <w:proofErr w:type="spellStart"/>
      <w:r w:rsidR="0019029F">
        <w:rPr>
          <w:rFonts w:ascii="Palatino Linotype" w:eastAsia="MS Mincho" w:hAnsi="Palatino Linotype" w:cs="Arial"/>
          <w:sz w:val="22"/>
          <w:szCs w:val="22"/>
        </w:rPr>
        <w:t>xxxx</w:t>
      </w:r>
      <w:proofErr w:type="spellEnd"/>
      <w:r w:rsidR="0019029F">
        <w:rPr>
          <w:rFonts w:ascii="Palatino Linotype" w:eastAsia="MS Mincho" w:hAnsi="Palatino Linotype" w:cs="Arial"/>
          <w:sz w:val="22"/>
          <w:szCs w:val="22"/>
        </w:rPr>
        <w:t xml:space="preserve"> </w:t>
      </w:r>
      <w:r w:rsidR="0019029F" w:rsidRPr="006336FA">
        <w:rPr>
          <w:rFonts w:ascii="Palatino Linotype" w:eastAsia="MS Mincho" w:hAnsi="Palatino Linotype" w:cs="Arial"/>
          <w:sz w:val="22"/>
          <w:szCs w:val="22"/>
        </w:rPr>
        <w:t xml:space="preserve">y </w:t>
      </w:r>
      <w:r w:rsidR="0019029F">
        <w:rPr>
          <w:rFonts w:ascii="Palatino Linotype" w:eastAsia="MS Mincho" w:hAnsi="Palatino Linotype" w:cs="Arial"/>
          <w:sz w:val="22"/>
          <w:szCs w:val="22"/>
        </w:rPr>
        <w:t>xx</w:t>
      </w:r>
      <w:r w:rsidR="0019029F" w:rsidRPr="006336FA">
        <w:rPr>
          <w:rFonts w:ascii="Palatino Linotype" w:eastAsia="MS Mincho" w:hAnsi="Palatino Linotype" w:cs="Arial"/>
          <w:sz w:val="22"/>
          <w:szCs w:val="22"/>
        </w:rPr>
        <w:t xml:space="preserve"> de </w:t>
      </w:r>
      <w:proofErr w:type="spellStart"/>
      <w:r w:rsidR="0019029F">
        <w:rPr>
          <w:rFonts w:ascii="Palatino Linotype" w:eastAsia="MS Mincho" w:hAnsi="Palatino Linotype" w:cs="Arial"/>
          <w:sz w:val="22"/>
          <w:szCs w:val="22"/>
        </w:rPr>
        <w:t>xxxx</w:t>
      </w:r>
      <w:proofErr w:type="spellEnd"/>
      <w:r w:rsidR="0019029F">
        <w:rPr>
          <w:rFonts w:ascii="Palatino Linotype" w:eastAsia="MS Mincho" w:hAnsi="Palatino Linotype" w:cs="Arial"/>
          <w:sz w:val="22"/>
          <w:szCs w:val="22"/>
        </w:rPr>
        <w:t xml:space="preserve"> </w:t>
      </w:r>
      <w:r w:rsidR="0019029F"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0019029F" w:rsidRPr="006336FA">
        <w:rPr>
          <w:rFonts w:ascii="Palatino Linotype" w:eastAsia="MS Mincho" w:hAnsi="Palatino Linotype" w:cs="Arial"/>
          <w:sz w:val="22"/>
          <w:szCs w:val="22"/>
        </w:rPr>
        <w:t>.- Quito,</w:t>
      </w:r>
    </w:p>
    <w:p w:rsidR="0019029F" w:rsidRPr="006336FA" w:rsidRDefault="0019029F" w:rsidP="0019029F">
      <w:pPr>
        <w:pStyle w:val="Textosinformato"/>
        <w:jc w:val="center"/>
        <w:rPr>
          <w:rFonts w:ascii="Palatino Linotype" w:eastAsia="MS Mincho" w:hAnsi="Palatino Linotype" w:cs="Arial"/>
          <w:sz w:val="22"/>
          <w:szCs w:val="22"/>
        </w:rPr>
      </w:pPr>
    </w:p>
    <w:p w:rsidR="0066728D" w:rsidRDefault="0066728D" w:rsidP="0019029F">
      <w:pPr>
        <w:pStyle w:val="Textosinformato"/>
        <w:jc w:val="center"/>
        <w:rPr>
          <w:rFonts w:ascii="Palatino Linotype" w:eastAsia="MS Mincho" w:hAnsi="Palatino Linotype" w:cs="Arial"/>
          <w:sz w:val="22"/>
          <w:szCs w:val="22"/>
        </w:rPr>
      </w:pPr>
    </w:p>
    <w:p w:rsidR="0066728D" w:rsidRDefault="0066728D" w:rsidP="0019029F">
      <w:pPr>
        <w:pStyle w:val="Textosinformato"/>
        <w:jc w:val="center"/>
        <w:rPr>
          <w:rFonts w:ascii="Palatino Linotype" w:eastAsia="MS Mincho" w:hAnsi="Palatino Linotype" w:cs="Arial"/>
          <w:sz w:val="22"/>
          <w:szCs w:val="22"/>
        </w:rPr>
      </w:pPr>
    </w:p>
    <w:p w:rsidR="0019029F" w:rsidRPr="006336FA" w:rsidRDefault="0019029F" w:rsidP="0019029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66728D">
        <w:rPr>
          <w:rFonts w:ascii="Palatino Linotype" w:eastAsia="MS Mincho" w:hAnsi="Palatino Linotype" w:cs="Arial"/>
          <w:sz w:val="22"/>
          <w:szCs w:val="22"/>
        </w:rPr>
        <w:t>Diego Cevallos Salgado</w:t>
      </w:r>
    </w:p>
    <w:p w:rsidR="0019029F" w:rsidRPr="006336FA" w:rsidRDefault="0019029F" w:rsidP="0019029F">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66728D">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19029F" w:rsidRDefault="0019029F" w:rsidP="0019029F">
      <w:pPr>
        <w:pStyle w:val="Textosinformato"/>
        <w:jc w:val="center"/>
        <w:rPr>
          <w:rFonts w:ascii="Palatino Linotype" w:eastAsia="MS Mincho" w:hAnsi="Palatino Linotype" w:cs="Arial"/>
          <w:sz w:val="22"/>
          <w:szCs w:val="22"/>
        </w:rPr>
      </w:pPr>
    </w:p>
    <w:p w:rsidR="0019029F" w:rsidRPr="006336FA" w:rsidRDefault="0019029F" w:rsidP="0019029F">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19029F" w:rsidRPr="006336FA" w:rsidRDefault="0019029F" w:rsidP="0019029F">
      <w:pPr>
        <w:pStyle w:val="Textosinformato"/>
        <w:jc w:val="center"/>
        <w:rPr>
          <w:rFonts w:ascii="Palatino Linotype" w:eastAsia="MS Mincho" w:hAnsi="Palatino Linotype" w:cs="Arial"/>
          <w:b/>
          <w:sz w:val="22"/>
          <w:szCs w:val="22"/>
        </w:rPr>
      </w:pPr>
    </w:p>
    <w:p w:rsidR="0019029F" w:rsidRPr="006336FA" w:rsidRDefault="0019029F" w:rsidP="0019029F">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19029F" w:rsidRPr="006336FA" w:rsidRDefault="0019029F" w:rsidP="0019029F">
      <w:pPr>
        <w:pStyle w:val="Textosinformato"/>
        <w:jc w:val="center"/>
        <w:rPr>
          <w:rFonts w:ascii="Palatino Linotype" w:eastAsia="MS Mincho" w:hAnsi="Palatino Linotype" w:cs="Arial"/>
          <w:sz w:val="22"/>
          <w:szCs w:val="22"/>
        </w:rPr>
      </w:pPr>
    </w:p>
    <w:p w:rsidR="0019029F" w:rsidRPr="006336FA" w:rsidRDefault="0019029F" w:rsidP="0019029F">
      <w:pPr>
        <w:pStyle w:val="Textosinformato"/>
        <w:jc w:val="center"/>
        <w:rPr>
          <w:rFonts w:ascii="Palatino Linotype" w:eastAsia="MS Mincho" w:hAnsi="Palatino Linotype" w:cs="Arial"/>
          <w:sz w:val="22"/>
          <w:szCs w:val="22"/>
        </w:rPr>
      </w:pPr>
    </w:p>
    <w:p w:rsidR="0019029F" w:rsidRPr="006336FA" w:rsidRDefault="0019029F" w:rsidP="0019029F">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19029F" w:rsidRPr="006336FA" w:rsidRDefault="0019029F" w:rsidP="0019029F">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19029F" w:rsidRPr="006336FA" w:rsidRDefault="0019029F" w:rsidP="0019029F">
      <w:pPr>
        <w:pStyle w:val="Textosinformato"/>
        <w:jc w:val="center"/>
        <w:rPr>
          <w:rFonts w:ascii="Palatino Linotype" w:eastAsia="MS Mincho" w:hAnsi="Palatino Linotype" w:cs="Arial"/>
          <w:sz w:val="22"/>
          <w:szCs w:val="22"/>
        </w:rPr>
      </w:pPr>
    </w:p>
    <w:p w:rsidR="0019029F" w:rsidRPr="006336FA" w:rsidRDefault="0019029F" w:rsidP="0019029F">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19029F" w:rsidRPr="006336FA" w:rsidRDefault="0019029F" w:rsidP="0019029F">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66728D" w:rsidRDefault="0066728D" w:rsidP="0066728D">
      <w:pPr>
        <w:pStyle w:val="Textosinformato"/>
        <w:jc w:val="center"/>
        <w:rPr>
          <w:rFonts w:ascii="Palatino Linotype" w:eastAsia="MS Mincho" w:hAnsi="Palatino Linotype" w:cs="Arial"/>
          <w:sz w:val="22"/>
          <w:szCs w:val="22"/>
        </w:rPr>
      </w:pPr>
    </w:p>
    <w:p w:rsidR="0066728D" w:rsidRDefault="0066728D" w:rsidP="0066728D">
      <w:pPr>
        <w:pStyle w:val="Textosinformato"/>
        <w:jc w:val="center"/>
        <w:rPr>
          <w:rFonts w:ascii="Palatino Linotype" w:eastAsia="MS Mincho" w:hAnsi="Palatino Linotype" w:cs="Arial"/>
          <w:sz w:val="22"/>
          <w:szCs w:val="22"/>
        </w:rPr>
      </w:pPr>
    </w:p>
    <w:p w:rsidR="0066728D" w:rsidRDefault="0066728D" w:rsidP="0066728D">
      <w:pPr>
        <w:pStyle w:val="Textosinformato"/>
        <w:jc w:val="center"/>
        <w:rPr>
          <w:rFonts w:ascii="Palatino Linotype" w:eastAsia="MS Mincho" w:hAnsi="Palatino Linotype" w:cs="Arial"/>
          <w:sz w:val="22"/>
          <w:szCs w:val="22"/>
        </w:rPr>
      </w:pPr>
    </w:p>
    <w:p w:rsidR="0066728D" w:rsidRPr="006336FA" w:rsidRDefault="0066728D" w:rsidP="0066728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B45CC" w:rsidRDefault="0066728D" w:rsidP="0066728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B45CC" w:rsidRDefault="00AB45CC">
      <w:pPr>
        <w:suppressAutoHyphens w:val="0"/>
        <w:spacing w:line="240" w:lineRule="auto"/>
        <w:rPr>
          <w:rFonts w:ascii="Palatino Linotype" w:eastAsia="MS Mincho" w:hAnsi="Palatino Linotype" w:cs="Arial"/>
          <w:b/>
          <w:bCs/>
          <w:kern w:val="0"/>
          <w:sz w:val="22"/>
          <w:szCs w:val="22"/>
          <w:lang w:val="es-ES" w:eastAsia="es-ES"/>
        </w:rPr>
      </w:pPr>
      <w:r>
        <w:rPr>
          <w:rFonts w:ascii="Palatino Linotype" w:eastAsia="MS Mincho" w:hAnsi="Palatino Linotype" w:cs="Arial"/>
          <w:b/>
          <w:bCs/>
          <w:sz w:val="22"/>
          <w:szCs w:val="22"/>
        </w:rPr>
        <w:br w:type="page"/>
      </w:r>
    </w:p>
    <w:p w:rsidR="00AB45CC" w:rsidRDefault="00AB45CC" w:rsidP="0066728D">
      <w:pPr>
        <w:pStyle w:val="Textosinformato"/>
        <w:jc w:val="center"/>
        <w:rPr>
          <w:rFonts w:ascii="Palatino Linotype" w:eastAsia="MS Mincho" w:hAnsi="Palatino Linotype" w:cs="Arial"/>
          <w:b/>
          <w:bCs/>
          <w:sz w:val="22"/>
          <w:szCs w:val="22"/>
        </w:rPr>
      </w:pPr>
    </w:p>
    <w:p w:rsidR="00AB45CC" w:rsidRDefault="00AB45CC" w:rsidP="0066728D">
      <w:pPr>
        <w:pStyle w:val="Textosinformato"/>
        <w:jc w:val="center"/>
        <w:rPr>
          <w:rFonts w:ascii="Palatino Linotype" w:eastAsia="MS Mincho" w:hAnsi="Palatino Linotype" w:cs="Arial"/>
          <w:b/>
          <w:bCs/>
          <w:sz w:val="22"/>
          <w:szCs w:val="22"/>
        </w:rPr>
      </w:pPr>
    </w:p>
    <w:p w:rsidR="00AB45CC" w:rsidRDefault="00AB45CC" w:rsidP="0066728D">
      <w:pPr>
        <w:pStyle w:val="Textosinformato"/>
        <w:jc w:val="center"/>
        <w:rPr>
          <w:rFonts w:ascii="Palatino Linotype" w:eastAsia="MS Mincho" w:hAnsi="Palatino Linotype" w:cs="Arial"/>
          <w:b/>
          <w:bCs/>
          <w:sz w:val="22"/>
          <w:szCs w:val="22"/>
        </w:rPr>
      </w:pPr>
    </w:p>
    <w:p w:rsidR="0066728D" w:rsidRPr="00CD0DEC" w:rsidRDefault="00AB45CC" w:rsidP="0066728D">
      <w:pPr>
        <w:pStyle w:val="Textosinformato"/>
        <w:jc w:val="center"/>
        <w:rPr>
          <w:rFonts w:ascii="Palatino Linotype" w:eastAsia="MS Mincho" w:hAnsi="Palatino Linotype" w:cs="Arial"/>
          <w:b/>
          <w:bCs/>
          <w:color w:val="4472C4" w:themeColor="accent5"/>
          <w:sz w:val="22"/>
          <w:szCs w:val="22"/>
        </w:rPr>
      </w:pPr>
      <w:r w:rsidRPr="00CD0DEC">
        <w:rPr>
          <w:rFonts w:ascii="Palatino Linotype" w:eastAsia="MS Mincho" w:hAnsi="Palatino Linotype" w:cs="Arial"/>
          <w:b/>
          <w:bCs/>
          <w:color w:val="4472C4" w:themeColor="accent5"/>
          <w:sz w:val="22"/>
          <w:szCs w:val="22"/>
        </w:rPr>
        <w:t>ANEXOS</w:t>
      </w:r>
    </w:p>
    <w:p w:rsidR="00AB45CC" w:rsidRPr="00CD0DEC" w:rsidRDefault="00AB45CC" w:rsidP="0066728D">
      <w:pPr>
        <w:pStyle w:val="Textosinformato"/>
        <w:jc w:val="center"/>
        <w:rPr>
          <w:rFonts w:ascii="Palatino Linotype" w:eastAsia="MS Mincho" w:hAnsi="Palatino Linotype" w:cs="Arial"/>
          <w:b/>
          <w:bCs/>
          <w:color w:val="4472C4" w:themeColor="accent5"/>
          <w:sz w:val="22"/>
          <w:szCs w:val="22"/>
        </w:rPr>
      </w:pPr>
    </w:p>
    <w:p w:rsidR="00AB45CC" w:rsidRPr="00CD0DEC" w:rsidRDefault="00AB45CC" w:rsidP="0066728D">
      <w:pPr>
        <w:pStyle w:val="Textosinformato"/>
        <w:jc w:val="center"/>
        <w:rPr>
          <w:rFonts w:ascii="Palatino Linotype" w:eastAsia="MS Mincho" w:hAnsi="Palatino Linotype" w:cs="Arial"/>
          <w:b/>
          <w:bCs/>
          <w:color w:val="4472C4" w:themeColor="accent5"/>
          <w:sz w:val="22"/>
          <w:szCs w:val="22"/>
        </w:rPr>
      </w:pPr>
    </w:p>
    <w:p w:rsidR="00AB45CC" w:rsidRPr="00CD0DEC" w:rsidRDefault="00AB45CC" w:rsidP="00AB45CC">
      <w:pPr>
        <w:spacing w:after="120" w:line="276" w:lineRule="auto"/>
        <w:jc w:val="both"/>
        <w:rPr>
          <w:rFonts w:ascii="Palatino Linotype" w:hAnsi="Palatino Linotype"/>
          <w:color w:val="4472C4" w:themeColor="accent5"/>
          <w:sz w:val="22"/>
          <w:szCs w:val="22"/>
        </w:rPr>
      </w:pPr>
      <w:r w:rsidRPr="00CD0DEC">
        <w:rPr>
          <w:rFonts w:ascii="Palatino Linotype" w:hAnsi="Palatino Linotype"/>
          <w:color w:val="4472C4" w:themeColor="accent5"/>
          <w:sz w:val="22"/>
          <w:szCs w:val="22"/>
          <w:lang w:val="es-ES"/>
        </w:rPr>
        <w:t xml:space="preserve">Anexo </w:t>
      </w:r>
      <w:r w:rsidRPr="00CD0DEC">
        <w:rPr>
          <w:rFonts w:ascii="Palatino Linotype" w:hAnsi="Palatino Linotype"/>
          <w:color w:val="4472C4" w:themeColor="accent5"/>
          <w:sz w:val="22"/>
          <w:szCs w:val="22"/>
        </w:rPr>
        <w:t>No. 1 Implantación referencial,</w:t>
      </w:r>
    </w:p>
    <w:p w:rsidR="00AB45CC" w:rsidRPr="00CD0DEC" w:rsidRDefault="00AB45CC" w:rsidP="00AB45CC">
      <w:pPr>
        <w:spacing w:after="120" w:line="276" w:lineRule="auto"/>
        <w:jc w:val="both"/>
        <w:rPr>
          <w:rFonts w:ascii="Palatino Linotype" w:hAnsi="Palatino Linotype"/>
          <w:color w:val="4472C4" w:themeColor="accent5"/>
          <w:sz w:val="22"/>
          <w:szCs w:val="22"/>
        </w:rPr>
      </w:pPr>
      <w:r w:rsidRPr="00CD0DEC">
        <w:rPr>
          <w:rFonts w:ascii="Palatino Linotype" w:hAnsi="Palatino Linotype"/>
          <w:color w:val="4472C4" w:themeColor="accent5"/>
          <w:sz w:val="22"/>
          <w:szCs w:val="22"/>
        </w:rPr>
        <w:t>Anexo  No. 2 Perfil Urbano y</w:t>
      </w:r>
    </w:p>
    <w:p w:rsidR="00AB45CC" w:rsidRPr="00CD0DEC" w:rsidRDefault="00AB45CC" w:rsidP="00AB45CC">
      <w:pPr>
        <w:spacing w:after="120" w:line="276" w:lineRule="auto"/>
        <w:jc w:val="both"/>
        <w:rPr>
          <w:rFonts w:ascii="Palatino Linotype" w:hAnsi="Palatino Linotype"/>
          <w:color w:val="4472C4" w:themeColor="accent5"/>
          <w:sz w:val="22"/>
          <w:szCs w:val="22"/>
        </w:rPr>
      </w:pPr>
      <w:r w:rsidRPr="00CD0DEC">
        <w:rPr>
          <w:rFonts w:ascii="Palatino Linotype" w:hAnsi="Palatino Linotype"/>
          <w:color w:val="4472C4" w:themeColor="accent5"/>
          <w:sz w:val="22"/>
          <w:szCs w:val="22"/>
        </w:rPr>
        <w:t xml:space="preserve">Anexo No. 3 Etapas de Consolidación. </w:t>
      </w:r>
    </w:p>
    <w:p w:rsidR="00AB45CC" w:rsidRPr="00AB45CC" w:rsidRDefault="00AB45CC" w:rsidP="0066728D">
      <w:pPr>
        <w:pStyle w:val="Textosinformato"/>
        <w:jc w:val="center"/>
        <w:rPr>
          <w:rFonts w:ascii="Palatino Linotype" w:eastAsia="MS Mincho" w:hAnsi="Palatino Linotype" w:cs="Arial"/>
          <w:b/>
          <w:bCs/>
          <w:sz w:val="22"/>
          <w:szCs w:val="22"/>
          <w:lang w:val="es-ES_tradnl"/>
        </w:rPr>
      </w:pPr>
    </w:p>
    <w:sectPr w:rsidR="00AB45CC" w:rsidRPr="00AB45CC" w:rsidSect="0066728D">
      <w:headerReference w:type="default" r:id="rId12"/>
      <w:footerReference w:type="default" r:id="rId13"/>
      <w:pgSz w:w="11906" w:h="16838" w:code="9"/>
      <w:pgMar w:top="1134" w:right="1418" w:bottom="1134" w:left="1418" w:header="720" w:footer="720" w:gutter="0"/>
      <w:pgNumType w:start="1"/>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21" w:rsidRDefault="00EE0621" w:rsidP="00D966D1">
      <w:pPr>
        <w:spacing w:line="240" w:lineRule="auto"/>
      </w:pPr>
      <w:r>
        <w:separator/>
      </w:r>
    </w:p>
  </w:endnote>
  <w:endnote w:type="continuationSeparator" w:id="0">
    <w:p w:rsidR="00EE0621" w:rsidRDefault="00EE0621" w:rsidP="00D96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C" w:rsidRDefault="005856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21" w:rsidRDefault="00EE0621" w:rsidP="00D966D1">
      <w:pPr>
        <w:spacing w:line="240" w:lineRule="auto"/>
      </w:pPr>
      <w:r>
        <w:separator/>
      </w:r>
    </w:p>
  </w:footnote>
  <w:footnote w:type="continuationSeparator" w:id="0">
    <w:p w:rsidR="00EE0621" w:rsidRDefault="00EE0621" w:rsidP="00D96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C" w:rsidRDefault="00D134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32581" o:spid="_x0000_s2050" type="#_x0000_t136" style="position:absolute;margin-left:0;margin-top:0;width:538.4pt;height:100.95pt;rotation:315;z-index:-251655168;mso-position-horizontal:center;mso-position-horizontal-relative:margin;mso-position-vertical:center;mso-position-vertical-relative:margin" o:allowincell="f" fillcolor="#404040 [2429]" stroked="f">
          <v:fill opacity=".5"/>
          <v:textpath style="font-family:&quot;Palatino Linotype&quot;;font-size:1pt" string="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C" w:rsidRDefault="00D134DF">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32582" o:spid="_x0000_s2051" type="#_x0000_t136" style="position:absolute;margin-left:0;margin-top:0;width:538.4pt;height:100.95pt;rotation:315;z-index:-251653120;mso-position-horizontal:center;mso-position-horizontal-relative:margin;mso-position-vertical:center;mso-position-vertical-relative:margin" o:allowincell="f" fillcolor="#404040 [2429]" stroked="f">
          <v:fill opacity=".5"/>
          <v:textpath style="font-family:&quot;Palatino Linotype&quot;;font-size:1pt" string="PRIMER DEBATE"/>
          <w10:wrap anchorx="margin" anchory="margin"/>
        </v:shape>
      </w:pict>
    </w: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Pr="00D966D1" w:rsidRDefault="0058567C" w:rsidP="00D966D1">
    <w:pPr>
      <w:jc w:val="center"/>
      <w:rPr>
        <w:rFonts w:ascii="Palatino Linotype" w:hAnsi="Palatino Linotype" w:cs="Arial"/>
        <w:b/>
        <w:sz w:val="22"/>
        <w:szCs w:val="22"/>
      </w:rPr>
    </w:pPr>
  </w:p>
  <w:p w:rsidR="0058567C" w:rsidRPr="00D966D1" w:rsidRDefault="0058567C"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C" w:rsidRDefault="00D134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32580" o:spid="_x0000_s2049" type="#_x0000_t136" style="position:absolute;margin-left:0;margin-top:0;width:538.4pt;height:100.95pt;rotation:315;z-index:-251657216;mso-position-horizontal:center;mso-position-horizontal-relative:margin;mso-position-vertical:center;mso-position-vertical-relative:margin" o:allowincell="f" fillcolor="#404040 [2429]" stroked="f">
          <v:fill opacity=".5"/>
          <v:textpath style="font-family:&quot;Palatino Linotype&quot;;font-size:1pt" string="PRIMER DEB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C" w:rsidRDefault="000C4AAE">
    <w:pPr>
      <w:pStyle w:val="Encabezado"/>
      <w:rPr>
        <w:lang w:val="es-EC"/>
      </w:rPr>
    </w:pPr>
    <w:r>
      <w:rPr>
        <w:noProof/>
        <w:lang w:val="es-ES" w:eastAsia="es-ES"/>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837680" cy="1282065"/>
              <wp:effectExtent l="0" t="2181225" r="0" b="19469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37680" cy="1282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C4AAE" w:rsidRDefault="000C4AAE" w:rsidP="000C4AAE">
                          <w:pPr>
                            <w:pStyle w:val="NormalWeb"/>
                            <w:spacing w:before="0" w:beforeAutospacing="0" w:after="0" w:afterAutospacing="0"/>
                            <w:jc w:val="center"/>
                          </w:pPr>
                          <w:r>
                            <w:rPr>
                              <w:rFonts w:ascii="Palatino Linotype" w:hAnsi="Palatino Linotype"/>
                              <w:color w:val="404040" w:themeColor="text1" w:themeTint="BF"/>
                              <w:sz w:val="2"/>
                              <w:szCs w:val="2"/>
                              <w14:textFill>
                                <w14:solidFill>
                                  <w14:schemeClr w14:val="tx1">
                                    <w14:alpha w14:val="50000"/>
                                    <w14:lumMod w14:val="75000"/>
                                    <w14:lumOff w14:val="25000"/>
                                  </w14:schemeClr>
                                </w14:solidFill>
                              </w14:textFill>
                            </w:rPr>
                            <w:t>PRIMER DEBATE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5" o:spid="_x0000_s1026" type="#_x0000_t202" style="position:absolute;margin-left:0;margin-top:0;width:538.4pt;height:100.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" o:allowincell="f" filled="f" stroked="f">
              <v:stroke joinstyle="round"/>
              <o:lock v:ext="edit" shapetype="t"/>
              <v:textbox style="mso-fit-shape-to-text:t">
                <w:txbxContent>
                  <w:p w:rsidR="000C4AAE" w:rsidRDefault="000C4AAE" w:rsidP="000C4AAE">
                    <w:pPr>
                      <w:pStyle w:val="NormalWeb"/>
                      <w:spacing w:before="0" w:beforeAutospacing="0" w:after="0" w:afterAutospacing="0"/>
                      <w:jc w:val="center"/>
                    </w:pPr>
                    <w:r>
                      <w:rPr>
                        <w:rFonts w:ascii="Palatino Linotype" w:hAnsi="Palatino Linotype"/>
                        <w:color w:val="404040" w:themeColor="text1" w:themeTint="BF"/>
                        <w:sz w:val="2"/>
                        <w:szCs w:val="2"/>
                        <w14:textFill>
                          <w14:solidFill>
                            <w14:schemeClr w14:val="tx1">
                              <w14:alpha w14:val="50000"/>
                              <w14:lumMod w14:val="75000"/>
                              <w14:lumOff w14:val="25000"/>
                            </w14:schemeClr>
                          </w14:solidFill>
                        </w14:textFill>
                      </w:rPr>
                      <w:t>PRIMER DEBATE</w:t>
                    </w:r>
                  </w:p>
                </w:txbxContent>
              </v:textbox>
              <w10:wrap anchorx="margin" anchory="margin"/>
            </v:shape>
          </w:pict>
        </mc:Fallback>
      </mc:AlternateContent>
    </w: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Default="0058567C">
    <w:pPr>
      <w:pStyle w:val="Encabezado"/>
      <w:rPr>
        <w:lang w:val="es-EC"/>
      </w:rPr>
    </w:pPr>
  </w:p>
  <w:p w:rsidR="0058567C" w:rsidRPr="00D966D1" w:rsidRDefault="0058567C" w:rsidP="00D966D1">
    <w:pPr>
      <w:jc w:val="center"/>
      <w:rPr>
        <w:rFonts w:ascii="Palatino Linotype" w:hAnsi="Palatino Linotype" w:cs="Arial"/>
        <w:b/>
        <w:sz w:val="22"/>
        <w:szCs w:val="22"/>
      </w:rPr>
    </w:pPr>
  </w:p>
  <w:p w:rsidR="0058567C" w:rsidRPr="00D966D1" w:rsidRDefault="0058567C"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5E2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o"/>
      <w:lvlJc w:val="left"/>
      <w:pPr>
        <w:tabs>
          <w:tab w:val="num" w:pos="720"/>
        </w:tabs>
        <w:ind w:left="0" w:firstLine="0"/>
      </w:pPr>
      <w:rPr>
        <w:rFonts w:ascii="Courier New" w:hAnsi="Courier New" w:cs="StarSymbol"/>
        <w:sz w:val="18"/>
        <w:szCs w:val="18"/>
      </w:rPr>
    </w:lvl>
    <w:lvl w:ilvl="1">
      <w:start w:val="1"/>
      <w:numFmt w:val="bullet"/>
      <w:lvlText w:val="o"/>
      <w:lvlJc w:val="left"/>
      <w:pPr>
        <w:tabs>
          <w:tab w:val="num" w:pos="1080"/>
        </w:tabs>
        <w:ind w:left="0" w:firstLine="0"/>
      </w:pPr>
      <w:rPr>
        <w:rFonts w:ascii="Courier New" w:hAnsi="Courier New" w:cs="StarSymbol"/>
        <w:sz w:val="18"/>
        <w:szCs w:val="18"/>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StarSymbol"/>
        <w:sz w:val="18"/>
        <w:szCs w:val="18"/>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StarSymbol"/>
        <w:sz w:val="18"/>
        <w:szCs w:val="18"/>
      </w:rPr>
    </w:lvl>
    <w:lvl w:ilvl="8">
      <w:start w:val="1"/>
      <w:numFmt w:val="bullet"/>
      <w:lvlText w:val=""/>
      <w:lvlJc w:val="left"/>
      <w:pPr>
        <w:tabs>
          <w:tab w:val="num" w:pos="3600"/>
        </w:tabs>
        <w:ind w:left="0" w:firstLine="0"/>
      </w:pPr>
      <w:rPr>
        <w:rFonts w:ascii="Wingdings" w:hAnsi="Wingdings"/>
      </w:rPr>
    </w:lvl>
  </w:abstractNum>
  <w:abstractNum w:abstractNumId="2">
    <w:nsid w:val="00000002"/>
    <w:multiLevelType w:val="multilevel"/>
    <w:tmpl w:val="00000002"/>
    <w:name w:val="WW8Num2"/>
    <w:lvl w:ilvl="0">
      <w:start w:val="1"/>
      <w:numFmt w:val="lowerLetter"/>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5"/>
    <w:multiLevelType w:val="multilevel"/>
    <w:tmpl w:val="00000005"/>
    <w:name w:val="WW8Num5"/>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6">
    <w:nsid w:val="00000006"/>
    <w:multiLevelType w:val="multilevel"/>
    <w:tmpl w:val="3CB4503A"/>
    <w:name w:val="WW8Num6"/>
    <w:lvl w:ilvl="0">
      <w:start w:val="1"/>
      <w:numFmt w:val="decimal"/>
      <w:lvlText w:val="%1."/>
      <w:lvlJc w:val="left"/>
      <w:pPr>
        <w:tabs>
          <w:tab w:val="num" w:pos="0"/>
        </w:tabs>
        <w:ind w:left="0" w:firstLine="0"/>
      </w:pPr>
      <w:rPr>
        <w:b w:val="0"/>
        <w:strike w:val="0"/>
        <w:sz w:val="24"/>
        <w:szCs w:val="18"/>
      </w:rPr>
    </w:lvl>
    <w:lvl w:ilvl="1">
      <w:start w:val="1"/>
      <w:numFmt w:val="bullet"/>
      <w:lvlText w:val="o"/>
      <w:lvlJc w:val="left"/>
      <w:pPr>
        <w:tabs>
          <w:tab w:val="num" w:pos="0"/>
        </w:tabs>
        <w:ind w:left="0" w:firstLine="0"/>
      </w:pPr>
      <w:rPr>
        <w:rFonts w:ascii="Courier New" w:hAnsi="Courier New" w:cs="OpenSymbol"/>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o"/>
      <w:lvlJc w:val="left"/>
      <w:pPr>
        <w:tabs>
          <w:tab w:val="num" w:pos="0"/>
        </w:tabs>
        <w:ind w:left="0" w:firstLine="0"/>
      </w:pPr>
      <w:rPr>
        <w:rFonts w:ascii="Courier New" w:hAnsi="Courier New" w:cs="OpenSymbol"/>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o"/>
      <w:lvlJc w:val="left"/>
      <w:pPr>
        <w:tabs>
          <w:tab w:val="num" w:pos="0"/>
        </w:tabs>
        <w:ind w:left="0" w:firstLine="0"/>
      </w:pPr>
      <w:rPr>
        <w:rFonts w:ascii="Courier New" w:hAnsi="Courier New" w:cs="OpenSymbol"/>
      </w:rPr>
    </w:lvl>
    <w:lvl w:ilvl="8">
      <w:start w:val="1"/>
      <w:numFmt w:val="bullet"/>
      <w:lvlText w:val=""/>
      <w:lvlJc w:val="left"/>
      <w:pPr>
        <w:tabs>
          <w:tab w:val="num" w:pos="0"/>
        </w:tabs>
        <w:ind w:left="0" w:firstLine="0"/>
      </w:pPr>
      <w:rPr>
        <w:rFonts w:ascii="Wingdings" w:hAnsi="Wingdings"/>
      </w:rPr>
    </w:lvl>
  </w:abstractNum>
  <w:abstractNum w:abstractNumId="7">
    <w:nsid w:val="00000007"/>
    <w:multiLevelType w:val="singleLevel"/>
    <w:tmpl w:val="00000007"/>
    <w:name w:val="WW8Num7"/>
    <w:lvl w:ilvl="0">
      <w:start w:val="14"/>
      <w:numFmt w:val="bullet"/>
      <w:lvlText w:val="←"/>
      <w:lvlJc w:val="left"/>
      <w:pPr>
        <w:tabs>
          <w:tab w:val="num" w:pos="0"/>
        </w:tabs>
        <w:ind w:left="720" w:hanging="360"/>
      </w:pPr>
      <w:rPr>
        <w:rFonts w:ascii="Symbol" w:hAnsi="Symbol" w:cs="OpenSymbol"/>
      </w:rPr>
    </w:lvl>
  </w:abstractNum>
  <w:abstractNum w:abstractNumId="8">
    <w:nsid w:val="0A2A30B5"/>
    <w:multiLevelType w:val="hybridMultilevel"/>
    <w:tmpl w:val="A7DC2CE2"/>
    <w:lvl w:ilvl="0" w:tplc="1E3401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A9E0C07"/>
    <w:multiLevelType w:val="hybridMultilevel"/>
    <w:tmpl w:val="A2566546"/>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5F5575"/>
    <w:multiLevelType w:val="hybridMultilevel"/>
    <w:tmpl w:val="6E08BF5E"/>
    <w:lvl w:ilvl="0" w:tplc="0C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nsid w:val="0E297BC0"/>
    <w:multiLevelType w:val="hybridMultilevel"/>
    <w:tmpl w:val="97EE06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E811998"/>
    <w:multiLevelType w:val="hybridMultilevel"/>
    <w:tmpl w:val="1EB2E578"/>
    <w:lvl w:ilvl="0" w:tplc="0C0A0005">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nsid w:val="0E982082"/>
    <w:multiLevelType w:val="hybridMultilevel"/>
    <w:tmpl w:val="25FA447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nsid w:val="123532AF"/>
    <w:multiLevelType w:val="hybridMultilevel"/>
    <w:tmpl w:val="443C2CDC"/>
    <w:lvl w:ilvl="0" w:tplc="811A44D0">
      <w:start w:val="1"/>
      <w:numFmt w:val="low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55A6244"/>
    <w:multiLevelType w:val="hybridMultilevel"/>
    <w:tmpl w:val="1A907E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6696CE2"/>
    <w:multiLevelType w:val="hybridMultilevel"/>
    <w:tmpl w:val="A5540D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80F2B2F"/>
    <w:multiLevelType w:val="hybridMultilevel"/>
    <w:tmpl w:val="ADEEF2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1B985075"/>
    <w:multiLevelType w:val="hybridMultilevel"/>
    <w:tmpl w:val="17B028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6246468"/>
    <w:multiLevelType w:val="hybridMultilevel"/>
    <w:tmpl w:val="87FAEB5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nsid w:val="281B45C2"/>
    <w:multiLevelType w:val="hybridMultilevel"/>
    <w:tmpl w:val="FCF4E60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8D5F6B"/>
    <w:multiLevelType w:val="hybridMultilevel"/>
    <w:tmpl w:val="B816D6CA"/>
    <w:lvl w:ilvl="0" w:tplc="64103F1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2">
    <w:nsid w:val="2E0E1854"/>
    <w:multiLevelType w:val="hybridMultilevel"/>
    <w:tmpl w:val="34086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2360581"/>
    <w:multiLevelType w:val="hybridMultilevel"/>
    <w:tmpl w:val="87567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9CB6766"/>
    <w:multiLevelType w:val="hybridMultilevel"/>
    <w:tmpl w:val="05A862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3C7C155B"/>
    <w:multiLevelType w:val="hybridMultilevel"/>
    <w:tmpl w:val="CA14096E"/>
    <w:lvl w:ilvl="0" w:tplc="225801DC">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6">
    <w:nsid w:val="3C861CDF"/>
    <w:multiLevelType w:val="hybridMultilevel"/>
    <w:tmpl w:val="ABCE96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3C8F6F9B"/>
    <w:multiLevelType w:val="hybridMultilevel"/>
    <w:tmpl w:val="A86CB14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3D6878F5"/>
    <w:multiLevelType w:val="hybridMultilevel"/>
    <w:tmpl w:val="3926EEC0"/>
    <w:lvl w:ilvl="0" w:tplc="D3BEAD1A">
      <w:start w:val="1"/>
      <w:numFmt w:val="decimal"/>
      <w:lvlText w:val="Art.%1.-"/>
      <w:lvlJc w:val="left"/>
      <w:pPr>
        <w:ind w:left="644" w:hanging="360"/>
      </w:pPr>
      <w:rPr>
        <w:rFonts w:ascii="Times New Roman" w:hAnsi="Times New Roman" w:cs="Times New Roman" w:hint="default"/>
        <w:b/>
        <w:bCs/>
        <w:color w:val="auto"/>
        <w:sz w:val="24"/>
        <w:szCs w:val="24"/>
      </w:rPr>
    </w:lvl>
    <w:lvl w:ilvl="1" w:tplc="300A0019">
      <w:start w:val="1"/>
      <w:numFmt w:val="lowerLetter"/>
      <w:lvlText w:val="%2."/>
      <w:lvlJc w:val="left"/>
      <w:pPr>
        <w:ind w:left="1156" w:hanging="360"/>
      </w:pPr>
    </w:lvl>
    <w:lvl w:ilvl="2" w:tplc="300A001B">
      <w:start w:val="1"/>
      <w:numFmt w:val="lowerRoman"/>
      <w:lvlText w:val="%3."/>
      <w:lvlJc w:val="right"/>
      <w:pPr>
        <w:ind w:left="1876" w:hanging="180"/>
      </w:pPr>
    </w:lvl>
    <w:lvl w:ilvl="3" w:tplc="300A000F">
      <w:start w:val="1"/>
      <w:numFmt w:val="decimal"/>
      <w:lvlText w:val="%4."/>
      <w:lvlJc w:val="left"/>
      <w:pPr>
        <w:ind w:left="2596" w:hanging="360"/>
      </w:pPr>
    </w:lvl>
    <w:lvl w:ilvl="4" w:tplc="300A0019">
      <w:start w:val="1"/>
      <w:numFmt w:val="lowerLetter"/>
      <w:lvlText w:val="%5."/>
      <w:lvlJc w:val="left"/>
      <w:pPr>
        <w:ind w:left="3316" w:hanging="360"/>
      </w:pPr>
    </w:lvl>
    <w:lvl w:ilvl="5" w:tplc="300A001B">
      <w:start w:val="1"/>
      <w:numFmt w:val="lowerRoman"/>
      <w:lvlText w:val="%6."/>
      <w:lvlJc w:val="right"/>
      <w:pPr>
        <w:ind w:left="4036" w:hanging="180"/>
      </w:pPr>
    </w:lvl>
    <w:lvl w:ilvl="6" w:tplc="300A000F">
      <w:start w:val="1"/>
      <w:numFmt w:val="decimal"/>
      <w:lvlText w:val="%7."/>
      <w:lvlJc w:val="left"/>
      <w:pPr>
        <w:ind w:left="4756" w:hanging="360"/>
      </w:pPr>
    </w:lvl>
    <w:lvl w:ilvl="7" w:tplc="300A0019">
      <w:start w:val="1"/>
      <w:numFmt w:val="lowerLetter"/>
      <w:lvlText w:val="%8."/>
      <w:lvlJc w:val="left"/>
      <w:pPr>
        <w:ind w:left="5476" w:hanging="360"/>
      </w:pPr>
    </w:lvl>
    <w:lvl w:ilvl="8" w:tplc="300A001B">
      <w:start w:val="1"/>
      <w:numFmt w:val="lowerRoman"/>
      <w:lvlText w:val="%9."/>
      <w:lvlJc w:val="right"/>
      <w:pPr>
        <w:ind w:left="6196" w:hanging="180"/>
      </w:pPr>
    </w:lvl>
  </w:abstractNum>
  <w:abstractNum w:abstractNumId="29">
    <w:nsid w:val="3DF80CA1"/>
    <w:multiLevelType w:val="hybridMultilevel"/>
    <w:tmpl w:val="590EF0F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0">
    <w:nsid w:val="40930185"/>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217363A"/>
    <w:multiLevelType w:val="hybridMultilevel"/>
    <w:tmpl w:val="11460D6A"/>
    <w:lvl w:ilvl="0" w:tplc="300A0005">
      <w:start w:val="1"/>
      <w:numFmt w:val="bullet"/>
      <w:lvlText w:val=""/>
      <w:lvlJc w:val="left"/>
      <w:pPr>
        <w:ind w:left="862" w:hanging="360"/>
      </w:pPr>
      <w:rPr>
        <w:rFonts w:ascii="Wingdings" w:hAnsi="Wingdings"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32">
    <w:nsid w:val="4413576B"/>
    <w:multiLevelType w:val="hybridMultilevel"/>
    <w:tmpl w:val="F29AC71E"/>
    <w:lvl w:ilvl="0" w:tplc="0C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3">
    <w:nsid w:val="44692297"/>
    <w:multiLevelType w:val="hybridMultilevel"/>
    <w:tmpl w:val="5E5C71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969145B"/>
    <w:multiLevelType w:val="hybridMultilevel"/>
    <w:tmpl w:val="8FE61270"/>
    <w:lvl w:ilvl="0" w:tplc="300A0005">
      <w:start w:val="1"/>
      <w:numFmt w:val="bullet"/>
      <w:lvlText w:val=""/>
      <w:lvlJc w:val="left"/>
      <w:pPr>
        <w:ind w:left="1418" w:hanging="360"/>
      </w:pPr>
      <w:rPr>
        <w:rFonts w:ascii="Wingdings" w:hAnsi="Wingdings" w:hint="default"/>
      </w:rPr>
    </w:lvl>
    <w:lvl w:ilvl="1" w:tplc="300A0003" w:tentative="1">
      <w:start w:val="1"/>
      <w:numFmt w:val="bullet"/>
      <w:lvlText w:val="o"/>
      <w:lvlJc w:val="left"/>
      <w:pPr>
        <w:ind w:left="2138" w:hanging="360"/>
      </w:pPr>
      <w:rPr>
        <w:rFonts w:ascii="Courier New" w:hAnsi="Courier New" w:cs="Courier New" w:hint="default"/>
      </w:rPr>
    </w:lvl>
    <w:lvl w:ilvl="2" w:tplc="300A0005" w:tentative="1">
      <w:start w:val="1"/>
      <w:numFmt w:val="bullet"/>
      <w:lvlText w:val=""/>
      <w:lvlJc w:val="left"/>
      <w:pPr>
        <w:ind w:left="2858" w:hanging="360"/>
      </w:pPr>
      <w:rPr>
        <w:rFonts w:ascii="Wingdings" w:hAnsi="Wingdings" w:hint="default"/>
      </w:rPr>
    </w:lvl>
    <w:lvl w:ilvl="3" w:tplc="300A0001" w:tentative="1">
      <w:start w:val="1"/>
      <w:numFmt w:val="bullet"/>
      <w:lvlText w:val=""/>
      <w:lvlJc w:val="left"/>
      <w:pPr>
        <w:ind w:left="3578" w:hanging="360"/>
      </w:pPr>
      <w:rPr>
        <w:rFonts w:ascii="Symbol" w:hAnsi="Symbol" w:hint="default"/>
      </w:rPr>
    </w:lvl>
    <w:lvl w:ilvl="4" w:tplc="300A0003" w:tentative="1">
      <w:start w:val="1"/>
      <w:numFmt w:val="bullet"/>
      <w:lvlText w:val="o"/>
      <w:lvlJc w:val="left"/>
      <w:pPr>
        <w:ind w:left="4298" w:hanging="360"/>
      </w:pPr>
      <w:rPr>
        <w:rFonts w:ascii="Courier New" w:hAnsi="Courier New" w:cs="Courier New" w:hint="default"/>
      </w:rPr>
    </w:lvl>
    <w:lvl w:ilvl="5" w:tplc="300A0005" w:tentative="1">
      <w:start w:val="1"/>
      <w:numFmt w:val="bullet"/>
      <w:lvlText w:val=""/>
      <w:lvlJc w:val="left"/>
      <w:pPr>
        <w:ind w:left="5018" w:hanging="360"/>
      </w:pPr>
      <w:rPr>
        <w:rFonts w:ascii="Wingdings" w:hAnsi="Wingdings" w:hint="default"/>
      </w:rPr>
    </w:lvl>
    <w:lvl w:ilvl="6" w:tplc="300A0001" w:tentative="1">
      <w:start w:val="1"/>
      <w:numFmt w:val="bullet"/>
      <w:lvlText w:val=""/>
      <w:lvlJc w:val="left"/>
      <w:pPr>
        <w:ind w:left="5738" w:hanging="360"/>
      </w:pPr>
      <w:rPr>
        <w:rFonts w:ascii="Symbol" w:hAnsi="Symbol" w:hint="default"/>
      </w:rPr>
    </w:lvl>
    <w:lvl w:ilvl="7" w:tplc="300A0003" w:tentative="1">
      <w:start w:val="1"/>
      <w:numFmt w:val="bullet"/>
      <w:lvlText w:val="o"/>
      <w:lvlJc w:val="left"/>
      <w:pPr>
        <w:ind w:left="6458" w:hanging="360"/>
      </w:pPr>
      <w:rPr>
        <w:rFonts w:ascii="Courier New" w:hAnsi="Courier New" w:cs="Courier New" w:hint="default"/>
      </w:rPr>
    </w:lvl>
    <w:lvl w:ilvl="8" w:tplc="300A0005" w:tentative="1">
      <w:start w:val="1"/>
      <w:numFmt w:val="bullet"/>
      <w:lvlText w:val=""/>
      <w:lvlJc w:val="left"/>
      <w:pPr>
        <w:ind w:left="7178" w:hanging="360"/>
      </w:pPr>
      <w:rPr>
        <w:rFonts w:ascii="Wingdings" w:hAnsi="Wingdings" w:hint="default"/>
      </w:rPr>
    </w:lvl>
  </w:abstractNum>
  <w:abstractNum w:abstractNumId="35">
    <w:nsid w:val="4AEE537F"/>
    <w:multiLevelType w:val="hybridMultilevel"/>
    <w:tmpl w:val="CB4492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4B2D5185"/>
    <w:multiLevelType w:val="hybridMultilevel"/>
    <w:tmpl w:val="125A5A14"/>
    <w:lvl w:ilvl="0" w:tplc="3514900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4BFF2B82"/>
    <w:multiLevelType w:val="hybridMultilevel"/>
    <w:tmpl w:val="8A4AD48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8">
    <w:nsid w:val="4E497EDC"/>
    <w:multiLevelType w:val="hybridMultilevel"/>
    <w:tmpl w:val="191802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4F8310E9"/>
    <w:multiLevelType w:val="hybridMultilevel"/>
    <w:tmpl w:val="2306052C"/>
    <w:lvl w:ilvl="0" w:tplc="300A0017">
      <w:start w:val="1"/>
      <w:numFmt w:val="lowerLetter"/>
      <w:lvlText w:val="%1)"/>
      <w:lvlJc w:val="left"/>
      <w:pPr>
        <w:ind w:left="928" w:hanging="360"/>
      </w:pPr>
      <w:rPr>
        <w:rFonts w:hint="default"/>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40">
    <w:nsid w:val="526C3185"/>
    <w:multiLevelType w:val="hybridMultilevel"/>
    <w:tmpl w:val="7B68D616"/>
    <w:lvl w:ilvl="0" w:tplc="B1F805F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A926BE1"/>
    <w:multiLevelType w:val="hybridMultilevel"/>
    <w:tmpl w:val="446C6734"/>
    <w:lvl w:ilvl="0" w:tplc="CFC8C1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B604B03"/>
    <w:multiLevelType w:val="hybridMultilevel"/>
    <w:tmpl w:val="AE322A8C"/>
    <w:lvl w:ilvl="0" w:tplc="8C3E90C2">
      <w:start w:val="1"/>
      <w:numFmt w:val="decimal"/>
      <w:lvlText w:val="%1."/>
      <w:lvlJc w:val="left"/>
      <w:pPr>
        <w:ind w:left="360" w:hanging="360"/>
      </w:pPr>
      <w:rPr>
        <w:rFonts w:ascii="Arial" w:hAnsi="Arial" w:cs="Arial" w:hint="default"/>
        <w:sz w:val="20"/>
        <w:szCs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3">
    <w:nsid w:val="5D8A468B"/>
    <w:multiLevelType w:val="hybridMultilevel"/>
    <w:tmpl w:val="24E6E75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4">
    <w:nsid w:val="61E13ED3"/>
    <w:multiLevelType w:val="hybridMultilevel"/>
    <w:tmpl w:val="B2F4E3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62397E8C"/>
    <w:multiLevelType w:val="hybridMultilevel"/>
    <w:tmpl w:val="AFCEDEA4"/>
    <w:lvl w:ilvl="0" w:tplc="47B453B4">
      <w:start w:val="320"/>
      <w:numFmt w:val="bullet"/>
      <w:lvlText w:val="-"/>
      <w:lvlJc w:val="left"/>
      <w:pPr>
        <w:ind w:left="720" w:hanging="360"/>
      </w:pPr>
      <w:rPr>
        <w:rFonts w:ascii="Arial" w:eastAsia="Arial Unicode MS"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650963E5"/>
    <w:multiLevelType w:val="hybridMultilevel"/>
    <w:tmpl w:val="25D492BC"/>
    <w:lvl w:ilvl="0" w:tplc="D58880E6">
      <w:start w:val="1"/>
      <w:numFmt w:val="lowerLetter"/>
      <w:lvlText w:val="%1)"/>
      <w:lvlJc w:val="left"/>
      <w:pPr>
        <w:ind w:left="720"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47">
    <w:nsid w:val="66035755"/>
    <w:multiLevelType w:val="hybridMultilevel"/>
    <w:tmpl w:val="91CE037C"/>
    <w:lvl w:ilvl="0" w:tplc="12CC870E">
      <w:start w:val="320"/>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8">
    <w:nsid w:val="676845F7"/>
    <w:multiLevelType w:val="hybridMultilevel"/>
    <w:tmpl w:val="56B48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C170DD7"/>
    <w:multiLevelType w:val="hybridMultilevel"/>
    <w:tmpl w:val="50BE15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74361780"/>
    <w:multiLevelType w:val="hybridMultilevel"/>
    <w:tmpl w:val="2334F492"/>
    <w:lvl w:ilvl="0" w:tplc="FCBC5292">
      <w:start w:val="4"/>
      <w:numFmt w:val="bullet"/>
      <w:lvlText w:val="-"/>
      <w:lvlJc w:val="left"/>
      <w:pPr>
        <w:ind w:left="1069" w:hanging="360"/>
      </w:pPr>
      <w:rPr>
        <w:rFonts w:ascii="Arial" w:eastAsia="Arial Unicode MS" w:hAnsi="Arial" w:cs="Aria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51">
    <w:nsid w:val="759F208C"/>
    <w:multiLevelType w:val="hybridMultilevel"/>
    <w:tmpl w:val="8DEE4C9C"/>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4"/>
  </w:num>
  <w:num w:numId="4">
    <w:abstractNumId w:val="12"/>
  </w:num>
  <w:num w:numId="5">
    <w:abstractNumId w:val="14"/>
  </w:num>
  <w:num w:numId="6">
    <w:abstractNumId w:val="40"/>
  </w:num>
  <w:num w:numId="7">
    <w:abstractNumId w:val="48"/>
  </w:num>
  <w:num w:numId="8">
    <w:abstractNumId w:val="22"/>
  </w:num>
  <w:num w:numId="9">
    <w:abstractNumId w:val="41"/>
  </w:num>
  <w:num w:numId="10">
    <w:abstractNumId w:val="16"/>
  </w:num>
  <w:num w:numId="11">
    <w:abstractNumId w:val="0"/>
  </w:num>
  <w:num w:numId="12">
    <w:abstractNumId w:val="39"/>
  </w:num>
  <w:num w:numId="13">
    <w:abstractNumId w:val="21"/>
  </w:num>
  <w:num w:numId="14">
    <w:abstractNumId w:val="42"/>
  </w:num>
  <w:num w:numId="15">
    <w:abstractNumId w:val="23"/>
  </w:num>
  <w:num w:numId="16">
    <w:abstractNumId w:val="24"/>
  </w:num>
  <w:num w:numId="17">
    <w:abstractNumId w:val="25"/>
  </w:num>
  <w:num w:numId="18">
    <w:abstractNumId w:val="49"/>
  </w:num>
  <w:num w:numId="19">
    <w:abstractNumId w:val="18"/>
  </w:num>
  <w:num w:numId="20">
    <w:abstractNumId w:val="35"/>
  </w:num>
  <w:num w:numId="21">
    <w:abstractNumId w:val="43"/>
  </w:num>
  <w:num w:numId="22">
    <w:abstractNumId w:val="29"/>
  </w:num>
  <w:num w:numId="23">
    <w:abstractNumId w:val="33"/>
  </w:num>
  <w:num w:numId="24">
    <w:abstractNumId w:val="17"/>
  </w:num>
  <w:num w:numId="25">
    <w:abstractNumId w:val="15"/>
  </w:num>
  <w:num w:numId="26">
    <w:abstractNumId w:val="3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5"/>
  </w:num>
  <w:num w:numId="30">
    <w:abstractNumId w:val="47"/>
  </w:num>
  <w:num w:numId="31">
    <w:abstractNumId w:val="26"/>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44"/>
  </w:num>
  <w:num w:numId="35">
    <w:abstractNumId w:val="11"/>
  </w:num>
  <w:num w:numId="36">
    <w:abstractNumId w:val="20"/>
  </w:num>
  <w:num w:numId="37">
    <w:abstractNumId w:val="51"/>
  </w:num>
  <w:num w:numId="38">
    <w:abstractNumId w:val="13"/>
  </w:num>
  <w:num w:numId="39">
    <w:abstractNumId w:val="8"/>
  </w:num>
  <w:num w:numId="40">
    <w:abstractNumId w:val="36"/>
  </w:num>
  <w:num w:numId="41">
    <w:abstractNumId w:val="27"/>
  </w:num>
  <w:num w:numId="42">
    <w:abstractNumId w:val="9"/>
  </w:num>
  <w:num w:numId="43">
    <w:abstractNumId w:val="10"/>
  </w:num>
  <w:num w:numId="44">
    <w:abstractNumId w:val="32"/>
  </w:num>
  <w:num w:numId="45">
    <w:abstractNumId w:val="37"/>
  </w:num>
  <w:num w:numId="4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4"/>
    <w:rsid w:val="0000344F"/>
    <w:rsid w:val="00014460"/>
    <w:rsid w:val="00015308"/>
    <w:rsid w:val="000177F7"/>
    <w:rsid w:val="000178F5"/>
    <w:rsid w:val="00020298"/>
    <w:rsid w:val="0002177A"/>
    <w:rsid w:val="000229A9"/>
    <w:rsid w:val="0002740F"/>
    <w:rsid w:val="00027A07"/>
    <w:rsid w:val="00030553"/>
    <w:rsid w:val="000335C6"/>
    <w:rsid w:val="00034BA9"/>
    <w:rsid w:val="00035E45"/>
    <w:rsid w:val="00037652"/>
    <w:rsid w:val="00040075"/>
    <w:rsid w:val="00041B2D"/>
    <w:rsid w:val="00042364"/>
    <w:rsid w:val="00042CFA"/>
    <w:rsid w:val="00043B8B"/>
    <w:rsid w:val="0004544C"/>
    <w:rsid w:val="0004555C"/>
    <w:rsid w:val="00047184"/>
    <w:rsid w:val="00050B24"/>
    <w:rsid w:val="0005280A"/>
    <w:rsid w:val="00053851"/>
    <w:rsid w:val="00057B89"/>
    <w:rsid w:val="00062E87"/>
    <w:rsid w:val="00064749"/>
    <w:rsid w:val="00071EB9"/>
    <w:rsid w:val="000745EF"/>
    <w:rsid w:val="00080C6E"/>
    <w:rsid w:val="00081D74"/>
    <w:rsid w:val="00084C62"/>
    <w:rsid w:val="00091E47"/>
    <w:rsid w:val="000954F6"/>
    <w:rsid w:val="000A3402"/>
    <w:rsid w:val="000A3749"/>
    <w:rsid w:val="000A3968"/>
    <w:rsid w:val="000A543A"/>
    <w:rsid w:val="000A551B"/>
    <w:rsid w:val="000A7D32"/>
    <w:rsid w:val="000B2E39"/>
    <w:rsid w:val="000B3CB5"/>
    <w:rsid w:val="000B4CF5"/>
    <w:rsid w:val="000C085C"/>
    <w:rsid w:val="000C3A06"/>
    <w:rsid w:val="000C4AAE"/>
    <w:rsid w:val="000C6187"/>
    <w:rsid w:val="000C74C9"/>
    <w:rsid w:val="000D09D9"/>
    <w:rsid w:val="000D4DB5"/>
    <w:rsid w:val="000E0478"/>
    <w:rsid w:val="000E096F"/>
    <w:rsid w:val="000E1E5A"/>
    <w:rsid w:val="000E2077"/>
    <w:rsid w:val="000E66A0"/>
    <w:rsid w:val="000E6894"/>
    <w:rsid w:val="000F23D6"/>
    <w:rsid w:val="000F2628"/>
    <w:rsid w:val="000F3DB7"/>
    <w:rsid w:val="00100FF4"/>
    <w:rsid w:val="00102C93"/>
    <w:rsid w:val="001077F3"/>
    <w:rsid w:val="00111374"/>
    <w:rsid w:val="001122B8"/>
    <w:rsid w:val="0011490B"/>
    <w:rsid w:val="00122A8E"/>
    <w:rsid w:val="00123324"/>
    <w:rsid w:val="001359DB"/>
    <w:rsid w:val="00141418"/>
    <w:rsid w:val="00141B7B"/>
    <w:rsid w:val="00143B6B"/>
    <w:rsid w:val="00151F71"/>
    <w:rsid w:val="00153889"/>
    <w:rsid w:val="0015624C"/>
    <w:rsid w:val="00157759"/>
    <w:rsid w:val="00160625"/>
    <w:rsid w:val="00161581"/>
    <w:rsid w:val="00162DFD"/>
    <w:rsid w:val="00163BC7"/>
    <w:rsid w:val="00163C4A"/>
    <w:rsid w:val="0016474C"/>
    <w:rsid w:val="00170B38"/>
    <w:rsid w:val="001773B4"/>
    <w:rsid w:val="00181E6F"/>
    <w:rsid w:val="0019029F"/>
    <w:rsid w:val="00190FE5"/>
    <w:rsid w:val="00197AFD"/>
    <w:rsid w:val="001A0F49"/>
    <w:rsid w:val="001A162F"/>
    <w:rsid w:val="001A3D70"/>
    <w:rsid w:val="001A50D6"/>
    <w:rsid w:val="001A55CC"/>
    <w:rsid w:val="001B03DA"/>
    <w:rsid w:val="001B5149"/>
    <w:rsid w:val="001C0ABA"/>
    <w:rsid w:val="001C57FC"/>
    <w:rsid w:val="001D23B0"/>
    <w:rsid w:val="001D40C9"/>
    <w:rsid w:val="001D7183"/>
    <w:rsid w:val="001D73A6"/>
    <w:rsid w:val="001D7C80"/>
    <w:rsid w:val="001D7F8F"/>
    <w:rsid w:val="001E1E73"/>
    <w:rsid w:val="001E46FA"/>
    <w:rsid w:val="001E4AB5"/>
    <w:rsid w:val="001F761D"/>
    <w:rsid w:val="0020060C"/>
    <w:rsid w:val="002024A4"/>
    <w:rsid w:val="00202E88"/>
    <w:rsid w:val="002050A4"/>
    <w:rsid w:val="00205A19"/>
    <w:rsid w:val="00206F2D"/>
    <w:rsid w:val="00207795"/>
    <w:rsid w:val="00207ACB"/>
    <w:rsid w:val="00212966"/>
    <w:rsid w:val="00217163"/>
    <w:rsid w:val="00217EBD"/>
    <w:rsid w:val="00223D96"/>
    <w:rsid w:val="002312D1"/>
    <w:rsid w:val="00232981"/>
    <w:rsid w:val="002335AF"/>
    <w:rsid w:val="0023453D"/>
    <w:rsid w:val="00241E3A"/>
    <w:rsid w:val="00242B7A"/>
    <w:rsid w:val="00245989"/>
    <w:rsid w:val="0025171D"/>
    <w:rsid w:val="0025191A"/>
    <w:rsid w:val="00253218"/>
    <w:rsid w:val="002533BC"/>
    <w:rsid w:val="00253991"/>
    <w:rsid w:val="00255DA6"/>
    <w:rsid w:val="00267081"/>
    <w:rsid w:val="00270283"/>
    <w:rsid w:val="0028025E"/>
    <w:rsid w:val="00280338"/>
    <w:rsid w:val="00280B99"/>
    <w:rsid w:val="0028167A"/>
    <w:rsid w:val="0028213D"/>
    <w:rsid w:val="00287B1B"/>
    <w:rsid w:val="00287FE0"/>
    <w:rsid w:val="00292661"/>
    <w:rsid w:val="002932FC"/>
    <w:rsid w:val="00293538"/>
    <w:rsid w:val="00296D8A"/>
    <w:rsid w:val="002A35B1"/>
    <w:rsid w:val="002A42AE"/>
    <w:rsid w:val="002A4AE1"/>
    <w:rsid w:val="002B1661"/>
    <w:rsid w:val="002B18A4"/>
    <w:rsid w:val="002B1E4E"/>
    <w:rsid w:val="002B42AD"/>
    <w:rsid w:val="002B56AB"/>
    <w:rsid w:val="002C071F"/>
    <w:rsid w:val="002C0FCE"/>
    <w:rsid w:val="002C17B4"/>
    <w:rsid w:val="002C4945"/>
    <w:rsid w:val="002D1AA0"/>
    <w:rsid w:val="002D1D91"/>
    <w:rsid w:val="002D30C6"/>
    <w:rsid w:val="002D5518"/>
    <w:rsid w:val="002D754A"/>
    <w:rsid w:val="002D754C"/>
    <w:rsid w:val="002E61D0"/>
    <w:rsid w:val="002F010C"/>
    <w:rsid w:val="002F07AE"/>
    <w:rsid w:val="002F2CD5"/>
    <w:rsid w:val="002F3621"/>
    <w:rsid w:val="00305859"/>
    <w:rsid w:val="00306331"/>
    <w:rsid w:val="00307B5C"/>
    <w:rsid w:val="0031011B"/>
    <w:rsid w:val="00310273"/>
    <w:rsid w:val="00314FD9"/>
    <w:rsid w:val="0031759E"/>
    <w:rsid w:val="00317769"/>
    <w:rsid w:val="0032186C"/>
    <w:rsid w:val="00322275"/>
    <w:rsid w:val="003236A1"/>
    <w:rsid w:val="00333790"/>
    <w:rsid w:val="003429F0"/>
    <w:rsid w:val="0034424C"/>
    <w:rsid w:val="0034563C"/>
    <w:rsid w:val="00346C00"/>
    <w:rsid w:val="0034718F"/>
    <w:rsid w:val="0035138B"/>
    <w:rsid w:val="0035249B"/>
    <w:rsid w:val="0035489A"/>
    <w:rsid w:val="00357995"/>
    <w:rsid w:val="00357E3E"/>
    <w:rsid w:val="00361AC3"/>
    <w:rsid w:val="00362D15"/>
    <w:rsid w:val="003632A9"/>
    <w:rsid w:val="003676F5"/>
    <w:rsid w:val="00371734"/>
    <w:rsid w:val="00376B74"/>
    <w:rsid w:val="00381328"/>
    <w:rsid w:val="00381745"/>
    <w:rsid w:val="0038196F"/>
    <w:rsid w:val="00384B7F"/>
    <w:rsid w:val="00385B35"/>
    <w:rsid w:val="00390173"/>
    <w:rsid w:val="00394DAB"/>
    <w:rsid w:val="003A065B"/>
    <w:rsid w:val="003A0B51"/>
    <w:rsid w:val="003A112B"/>
    <w:rsid w:val="003A14D7"/>
    <w:rsid w:val="003A4553"/>
    <w:rsid w:val="003A490A"/>
    <w:rsid w:val="003A5615"/>
    <w:rsid w:val="003B27E2"/>
    <w:rsid w:val="003B351B"/>
    <w:rsid w:val="003B45E6"/>
    <w:rsid w:val="003B70BB"/>
    <w:rsid w:val="003C4839"/>
    <w:rsid w:val="003C4F3A"/>
    <w:rsid w:val="003C5F7F"/>
    <w:rsid w:val="003C615F"/>
    <w:rsid w:val="003C68CD"/>
    <w:rsid w:val="003C6989"/>
    <w:rsid w:val="003D1960"/>
    <w:rsid w:val="003D2742"/>
    <w:rsid w:val="003D2FE2"/>
    <w:rsid w:val="003D4CA3"/>
    <w:rsid w:val="003D5F97"/>
    <w:rsid w:val="003D6C9D"/>
    <w:rsid w:val="003E3EF6"/>
    <w:rsid w:val="003E6A77"/>
    <w:rsid w:val="003E7ABD"/>
    <w:rsid w:val="003F0E44"/>
    <w:rsid w:val="003F4603"/>
    <w:rsid w:val="003F5D79"/>
    <w:rsid w:val="003F6E20"/>
    <w:rsid w:val="003F7BE8"/>
    <w:rsid w:val="004001F0"/>
    <w:rsid w:val="00400D93"/>
    <w:rsid w:val="00402573"/>
    <w:rsid w:val="00407803"/>
    <w:rsid w:val="0041137E"/>
    <w:rsid w:val="004149C2"/>
    <w:rsid w:val="00414CDE"/>
    <w:rsid w:val="00415A5F"/>
    <w:rsid w:val="00415EF5"/>
    <w:rsid w:val="00416FE5"/>
    <w:rsid w:val="00420832"/>
    <w:rsid w:val="0042104A"/>
    <w:rsid w:val="00422157"/>
    <w:rsid w:val="004276BF"/>
    <w:rsid w:val="00427EA4"/>
    <w:rsid w:val="00432D91"/>
    <w:rsid w:val="00434637"/>
    <w:rsid w:val="00435D96"/>
    <w:rsid w:val="0043727B"/>
    <w:rsid w:val="00437D0D"/>
    <w:rsid w:val="00441EBA"/>
    <w:rsid w:val="00442600"/>
    <w:rsid w:val="00446ACD"/>
    <w:rsid w:val="004528B0"/>
    <w:rsid w:val="004555D1"/>
    <w:rsid w:val="00456481"/>
    <w:rsid w:val="004578CA"/>
    <w:rsid w:val="00460BD9"/>
    <w:rsid w:val="00460CD2"/>
    <w:rsid w:val="0046319F"/>
    <w:rsid w:val="004666CF"/>
    <w:rsid w:val="004704A3"/>
    <w:rsid w:val="004723C6"/>
    <w:rsid w:val="00473557"/>
    <w:rsid w:val="0048089F"/>
    <w:rsid w:val="004827AF"/>
    <w:rsid w:val="00484320"/>
    <w:rsid w:val="00490711"/>
    <w:rsid w:val="0049298C"/>
    <w:rsid w:val="00493184"/>
    <w:rsid w:val="004A38B0"/>
    <w:rsid w:val="004A5ED4"/>
    <w:rsid w:val="004A7314"/>
    <w:rsid w:val="004B5001"/>
    <w:rsid w:val="004B57B1"/>
    <w:rsid w:val="004B60AC"/>
    <w:rsid w:val="004C45B6"/>
    <w:rsid w:val="004C71C5"/>
    <w:rsid w:val="004D07BD"/>
    <w:rsid w:val="004D0B35"/>
    <w:rsid w:val="004D0D18"/>
    <w:rsid w:val="004D15A8"/>
    <w:rsid w:val="004D1E28"/>
    <w:rsid w:val="004D239D"/>
    <w:rsid w:val="004D7E2F"/>
    <w:rsid w:val="004E0089"/>
    <w:rsid w:val="004E308C"/>
    <w:rsid w:val="004E392C"/>
    <w:rsid w:val="004E5181"/>
    <w:rsid w:val="004E75BE"/>
    <w:rsid w:val="004F0909"/>
    <w:rsid w:val="004F140B"/>
    <w:rsid w:val="004F2F00"/>
    <w:rsid w:val="00504CEC"/>
    <w:rsid w:val="00506F7B"/>
    <w:rsid w:val="00510ABF"/>
    <w:rsid w:val="005133E1"/>
    <w:rsid w:val="00513C07"/>
    <w:rsid w:val="005155D9"/>
    <w:rsid w:val="00515D46"/>
    <w:rsid w:val="00516995"/>
    <w:rsid w:val="00517CCC"/>
    <w:rsid w:val="005238C6"/>
    <w:rsid w:val="005249F1"/>
    <w:rsid w:val="005256C2"/>
    <w:rsid w:val="00525D04"/>
    <w:rsid w:val="00527272"/>
    <w:rsid w:val="00531E95"/>
    <w:rsid w:val="00531F0D"/>
    <w:rsid w:val="00534F3C"/>
    <w:rsid w:val="005363FD"/>
    <w:rsid w:val="00537915"/>
    <w:rsid w:val="00540E47"/>
    <w:rsid w:val="0054257E"/>
    <w:rsid w:val="00542A46"/>
    <w:rsid w:val="00547944"/>
    <w:rsid w:val="00553AB2"/>
    <w:rsid w:val="005565A8"/>
    <w:rsid w:val="00567F64"/>
    <w:rsid w:val="00570DE4"/>
    <w:rsid w:val="00574968"/>
    <w:rsid w:val="005754DC"/>
    <w:rsid w:val="0057554F"/>
    <w:rsid w:val="005823EC"/>
    <w:rsid w:val="00582D32"/>
    <w:rsid w:val="00583ADF"/>
    <w:rsid w:val="005849C9"/>
    <w:rsid w:val="0058567C"/>
    <w:rsid w:val="00590DA3"/>
    <w:rsid w:val="00595FBF"/>
    <w:rsid w:val="005A09C6"/>
    <w:rsid w:val="005A45EA"/>
    <w:rsid w:val="005A6355"/>
    <w:rsid w:val="005B3B9E"/>
    <w:rsid w:val="005C153D"/>
    <w:rsid w:val="005C1CAB"/>
    <w:rsid w:val="005D15D4"/>
    <w:rsid w:val="005D344A"/>
    <w:rsid w:val="005D47AF"/>
    <w:rsid w:val="005E0D59"/>
    <w:rsid w:val="005E6633"/>
    <w:rsid w:val="005F0728"/>
    <w:rsid w:val="005F1013"/>
    <w:rsid w:val="005F104C"/>
    <w:rsid w:val="005F532C"/>
    <w:rsid w:val="005F7817"/>
    <w:rsid w:val="006009D2"/>
    <w:rsid w:val="00600BAE"/>
    <w:rsid w:val="00601FD2"/>
    <w:rsid w:val="006038EC"/>
    <w:rsid w:val="006047E1"/>
    <w:rsid w:val="006072D9"/>
    <w:rsid w:val="00611170"/>
    <w:rsid w:val="00611A64"/>
    <w:rsid w:val="00613D32"/>
    <w:rsid w:val="00617CEE"/>
    <w:rsid w:val="0062037A"/>
    <w:rsid w:val="00623821"/>
    <w:rsid w:val="00625E77"/>
    <w:rsid w:val="0062726A"/>
    <w:rsid w:val="00631D10"/>
    <w:rsid w:val="006435E5"/>
    <w:rsid w:val="006464D9"/>
    <w:rsid w:val="0064674F"/>
    <w:rsid w:val="00646862"/>
    <w:rsid w:val="00647788"/>
    <w:rsid w:val="00647EEA"/>
    <w:rsid w:val="006504C6"/>
    <w:rsid w:val="00653C44"/>
    <w:rsid w:val="0066119D"/>
    <w:rsid w:val="00661BBB"/>
    <w:rsid w:val="00662F97"/>
    <w:rsid w:val="006635F5"/>
    <w:rsid w:val="006646F2"/>
    <w:rsid w:val="00666550"/>
    <w:rsid w:val="0066728D"/>
    <w:rsid w:val="00670394"/>
    <w:rsid w:val="00672C00"/>
    <w:rsid w:val="006748B5"/>
    <w:rsid w:val="00675548"/>
    <w:rsid w:val="006764D8"/>
    <w:rsid w:val="00677FBD"/>
    <w:rsid w:val="00684EEA"/>
    <w:rsid w:val="00687001"/>
    <w:rsid w:val="0069428B"/>
    <w:rsid w:val="00695973"/>
    <w:rsid w:val="0069696A"/>
    <w:rsid w:val="00696FE5"/>
    <w:rsid w:val="006A244E"/>
    <w:rsid w:val="006A2BBC"/>
    <w:rsid w:val="006B5E67"/>
    <w:rsid w:val="006C17D1"/>
    <w:rsid w:val="006C30D9"/>
    <w:rsid w:val="006C5227"/>
    <w:rsid w:val="006C6C02"/>
    <w:rsid w:val="006D1130"/>
    <w:rsid w:val="006D4BFE"/>
    <w:rsid w:val="006D4F86"/>
    <w:rsid w:val="006D6E2B"/>
    <w:rsid w:val="006E2808"/>
    <w:rsid w:val="006E2823"/>
    <w:rsid w:val="006E33E1"/>
    <w:rsid w:val="006E36E0"/>
    <w:rsid w:val="006E783C"/>
    <w:rsid w:val="006F5F75"/>
    <w:rsid w:val="006F60BB"/>
    <w:rsid w:val="00702938"/>
    <w:rsid w:val="00710C91"/>
    <w:rsid w:val="00711039"/>
    <w:rsid w:val="007162B2"/>
    <w:rsid w:val="007174D1"/>
    <w:rsid w:val="00720661"/>
    <w:rsid w:val="00720E92"/>
    <w:rsid w:val="00722B69"/>
    <w:rsid w:val="00723194"/>
    <w:rsid w:val="0073069A"/>
    <w:rsid w:val="00730AF6"/>
    <w:rsid w:val="00731BA6"/>
    <w:rsid w:val="00732C58"/>
    <w:rsid w:val="00736CC9"/>
    <w:rsid w:val="007379B1"/>
    <w:rsid w:val="007426AE"/>
    <w:rsid w:val="00746824"/>
    <w:rsid w:val="007469A5"/>
    <w:rsid w:val="00751535"/>
    <w:rsid w:val="00752FB3"/>
    <w:rsid w:val="0075596A"/>
    <w:rsid w:val="00760F92"/>
    <w:rsid w:val="00762520"/>
    <w:rsid w:val="00767FF3"/>
    <w:rsid w:val="00772417"/>
    <w:rsid w:val="00773113"/>
    <w:rsid w:val="00776465"/>
    <w:rsid w:val="00776E0B"/>
    <w:rsid w:val="00777016"/>
    <w:rsid w:val="007817F7"/>
    <w:rsid w:val="007824E3"/>
    <w:rsid w:val="007858D5"/>
    <w:rsid w:val="00787694"/>
    <w:rsid w:val="007905E1"/>
    <w:rsid w:val="007922FB"/>
    <w:rsid w:val="0079288C"/>
    <w:rsid w:val="00793CDD"/>
    <w:rsid w:val="00794EB1"/>
    <w:rsid w:val="00795896"/>
    <w:rsid w:val="0079621D"/>
    <w:rsid w:val="007967A8"/>
    <w:rsid w:val="007968F7"/>
    <w:rsid w:val="007A05C3"/>
    <w:rsid w:val="007A2F66"/>
    <w:rsid w:val="007A3861"/>
    <w:rsid w:val="007A4C5E"/>
    <w:rsid w:val="007A5184"/>
    <w:rsid w:val="007A743D"/>
    <w:rsid w:val="007B0561"/>
    <w:rsid w:val="007B0D49"/>
    <w:rsid w:val="007B13A8"/>
    <w:rsid w:val="007B27D7"/>
    <w:rsid w:val="007B50E7"/>
    <w:rsid w:val="007B525A"/>
    <w:rsid w:val="007B680E"/>
    <w:rsid w:val="007B703E"/>
    <w:rsid w:val="007C154A"/>
    <w:rsid w:val="007C6D9C"/>
    <w:rsid w:val="007D08DE"/>
    <w:rsid w:val="007D1559"/>
    <w:rsid w:val="007D2935"/>
    <w:rsid w:val="007D3349"/>
    <w:rsid w:val="007D7047"/>
    <w:rsid w:val="007E0E7D"/>
    <w:rsid w:val="007E2490"/>
    <w:rsid w:val="007E4FE0"/>
    <w:rsid w:val="007F047F"/>
    <w:rsid w:val="007F0551"/>
    <w:rsid w:val="007F51A0"/>
    <w:rsid w:val="00807D44"/>
    <w:rsid w:val="0081039D"/>
    <w:rsid w:val="008122FF"/>
    <w:rsid w:val="0081705A"/>
    <w:rsid w:val="00820974"/>
    <w:rsid w:val="0082107E"/>
    <w:rsid w:val="00821986"/>
    <w:rsid w:val="00822BCF"/>
    <w:rsid w:val="00827489"/>
    <w:rsid w:val="00827510"/>
    <w:rsid w:val="008305FC"/>
    <w:rsid w:val="00832A87"/>
    <w:rsid w:val="00836C42"/>
    <w:rsid w:val="0083780F"/>
    <w:rsid w:val="0084099E"/>
    <w:rsid w:val="0084176C"/>
    <w:rsid w:val="0084180D"/>
    <w:rsid w:val="00841D9C"/>
    <w:rsid w:val="00842380"/>
    <w:rsid w:val="00844459"/>
    <w:rsid w:val="00844F08"/>
    <w:rsid w:val="008475FB"/>
    <w:rsid w:val="00850F31"/>
    <w:rsid w:val="00851DE5"/>
    <w:rsid w:val="00853074"/>
    <w:rsid w:val="00853DC5"/>
    <w:rsid w:val="008548BB"/>
    <w:rsid w:val="008571C7"/>
    <w:rsid w:val="00862BD4"/>
    <w:rsid w:val="0086375B"/>
    <w:rsid w:val="00865949"/>
    <w:rsid w:val="008674CC"/>
    <w:rsid w:val="00871F68"/>
    <w:rsid w:val="00872004"/>
    <w:rsid w:val="008725A3"/>
    <w:rsid w:val="00883E12"/>
    <w:rsid w:val="00884EBD"/>
    <w:rsid w:val="00886287"/>
    <w:rsid w:val="00890560"/>
    <w:rsid w:val="00893E40"/>
    <w:rsid w:val="00895770"/>
    <w:rsid w:val="0089599D"/>
    <w:rsid w:val="00897F78"/>
    <w:rsid w:val="008A2D08"/>
    <w:rsid w:val="008A520A"/>
    <w:rsid w:val="008A6248"/>
    <w:rsid w:val="008A6460"/>
    <w:rsid w:val="008B207F"/>
    <w:rsid w:val="008B3020"/>
    <w:rsid w:val="008C0E62"/>
    <w:rsid w:val="008C1A5F"/>
    <w:rsid w:val="008C6BC2"/>
    <w:rsid w:val="008C73C2"/>
    <w:rsid w:val="008C7C70"/>
    <w:rsid w:val="008D1283"/>
    <w:rsid w:val="008E1D8F"/>
    <w:rsid w:val="008E1E86"/>
    <w:rsid w:val="008E3FE5"/>
    <w:rsid w:val="008E43E5"/>
    <w:rsid w:val="008E57C2"/>
    <w:rsid w:val="008E5FF9"/>
    <w:rsid w:val="008E697D"/>
    <w:rsid w:val="008F2701"/>
    <w:rsid w:val="008F43EE"/>
    <w:rsid w:val="008F4491"/>
    <w:rsid w:val="0090374D"/>
    <w:rsid w:val="0091023E"/>
    <w:rsid w:val="00913736"/>
    <w:rsid w:val="00916545"/>
    <w:rsid w:val="00925073"/>
    <w:rsid w:val="0092799C"/>
    <w:rsid w:val="00927E05"/>
    <w:rsid w:val="009300C8"/>
    <w:rsid w:val="00930E9C"/>
    <w:rsid w:val="00930F00"/>
    <w:rsid w:val="009321A6"/>
    <w:rsid w:val="00936C21"/>
    <w:rsid w:val="009379D7"/>
    <w:rsid w:val="00941D33"/>
    <w:rsid w:val="00943CE7"/>
    <w:rsid w:val="00943F01"/>
    <w:rsid w:val="009476A5"/>
    <w:rsid w:val="0095366E"/>
    <w:rsid w:val="00955AE7"/>
    <w:rsid w:val="0095797D"/>
    <w:rsid w:val="009657B2"/>
    <w:rsid w:val="00967466"/>
    <w:rsid w:val="00973E6F"/>
    <w:rsid w:val="00974E93"/>
    <w:rsid w:val="00975941"/>
    <w:rsid w:val="0098106E"/>
    <w:rsid w:val="00982EE8"/>
    <w:rsid w:val="00982FBE"/>
    <w:rsid w:val="00984EB9"/>
    <w:rsid w:val="009852FD"/>
    <w:rsid w:val="00986978"/>
    <w:rsid w:val="0099366A"/>
    <w:rsid w:val="00994CA7"/>
    <w:rsid w:val="00997857"/>
    <w:rsid w:val="009A1F7F"/>
    <w:rsid w:val="009A6087"/>
    <w:rsid w:val="009A699E"/>
    <w:rsid w:val="009B1759"/>
    <w:rsid w:val="009B1D84"/>
    <w:rsid w:val="009B2101"/>
    <w:rsid w:val="009B683A"/>
    <w:rsid w:val="009C02B5"/>
    <w:rsid w:val="009C08D0"/>
    <w:rsid w:val="009C1EED"/>
    <w:rsid w:val="009C2060"/>
    <w:rsid w:val="009C7275"/>
    <w:rsid w:val="009D7A91"/>
    <w:rsid w:val="009E04A3"/>
    <w:rsid w:val="009E22A5"/>
    <w:rsid w:val="009E2B26"/>
    <w:rsid w:val="009E2F79"/>
    <w:rsid w:val="009E3536"/>
    <w:rsid w:val="009E36C9"/>
    <w:rsid w:val="009E4B1B"/>
    <w:rsid w:val="009E72DF"/>
    <w:rsid w:val="009F0EFC"/>
    <w:rsid w:val="009F48C3"/>
    <w:rsid w:val="009F4BA8"/>
    <w:rsid w:val="009F5F25"/>
    <w:rsid w:val="00A01C05"/>
    <w:rsid w:val="00A03372"/>
    <w:rsid w:val="00A06A44"/>
    <w:rsid w:val="00A13206"/>
    <w:rsid w:val="00A21AED"/>
    <w:rsid w:val="00A251F8"/>
    <w:rsid w:val="00A2671C"/>
    <w:rsid w:val="00A26C4F"/>
    <w:rsid w:val="00A35D69"/>
    <w:rsid w:val="00A421C5"/>
    <w:rsid w:val="00A42872"/>
    <w:rsid w:val="00A43688"/>
    <w:rsid w:val="00A44E89"/>
    <w:rsid w:val="00A4567D"/>
    <w:rsid w:val="00A463C7"/>
    <w:rsid w:val="00A536B8"/>
    <w:rsid w:val="00A55107"/>
    <w:rsid w:val="00A57001"/>
    <w:rsid w:val="00A60A79"/>
    <w:rsid w:val="00A61881"/>
    <w:rsid w:val="00A706AA"/>
    <w:rsid w:val="00A721F0"/>
    <w:rsid w:val="00A72C2B"/>
    <w:rsid w:val="00A735CF"/>
    <w:rsid w:val="00A74441"/>
    <w:rsid w:val="00A75571"/>
    <w:rsid w:val="00A768FC"/>
    <w:rsid w:val="00A76F1A"/>
    <w:rsid w:val="00A770C4"/>
    <w:rsid w:val="00A77E7D"/>
    <w:rsid w:val="00A816C1"/>
    <w:rsid w:val="00A84750"/>
    <w:rsid w:val="00A857EE"/>
    <w:rsid w:val="00A90942"/>
    <w:rsid w:val="00A91CC1"/>
    <w:rsid w:val="00A925C0"/>
    <w:rsid w:val="00A92E1A"/>
    <w:rsid w:val="00A9321F"/>
    <w:rsid w:val="00AA10BB"/>
    <w:rsid w:val="00AA3C12"/>
    <w:rsid w:val="00AB319F"/>
    <w:rsid w:val="00AB45CC"/>
    <w:rsid w:val="00AB4DE9"/>
    <w:rsid w:val="00AB6575"/>
    <w:rsid w:val="00AB7D64"/>
    <w:rsid w:val="00AC0289"/>
    <w:rsid w:val="00AC12DB"/>
    <w:rsid w:val="00AC5F09"/>
    <w:rsid w:val="00AC5F86"/>
    <w:rsid w:val="00AD39AA"/>
    <w:rsid w:val="00AD5B35"/>
    <w:rsid w:val="00AE16AA"/>
    <w:rsid w:val="00AE23A1"/>
    <w:rsid w:val="00AE41F9"/>
    <w:rsid w:val="00B03BA5"/>
    <w:rsid w:val="00B054BC"/>
    <w:rsid w:val="00B15262"/>
    <w:rsid w:val="00B15F44"/>
    <w:rsid w:val="00B176D2"/>
    <w:rsid w:val="00B22A01"/>
    <w:rsid w:val="00B31B0C"/>
    <w:rsid w:val="00B329D6"/>
    <w:rsid w:val="00B34757"/>
    <w:rsid w:val="00B3641B"/>
    <w:rsid w:val="00B378D2"/>
    <w:rsid w:val="00B42337"/>
    <w:rsid w:val="00B43398"/>
    <w:rsid w:val="00B458C3"/>
    <w:rsid w:val="00B459E9"/>
    <w:rsid w:val="00B50143"/>
    <w:rsid w:val="00B501A8"/>
    <w:rsid w:val="00B549CE"/>
    <w:rsid w:val="00B56B5F"/>
    <w:rsid w:val="00B572F2"/>
    <w:rsid w:val="00B6448A"/>
    <w:rsid w:val="00B7570C"/>
    <w:rsid w:val="00B84693"/>
    <w:rsid w:val="00B878E0"/>
    <w:rsid w:val="00B91419"/>
    <w:rsid w:val="00B924EA"/>
    <w:rsid w:val="00B95D60"/>
    <w:rsid w:val="00B96062"/>
    <w:rsid w:val="00B96B26"/>
    <w:rsid w:val="00BA49F0"/>
    <w:rsid w:val="00BA4C03"/>
    <w:rsid w:val="00BA4C59"/>
    <w:rsid w:val="00BA6FE6"/>
    <w:rsid w:val="00BA748F"/>
    <w:rsid w:val="00BA7906"/>
    <w:rsid w:val="00BB5A1E"/>
    <w:rsid w:val="00BB6973"/>
    <w:rsid w:val="00BD0A79"/>
    <w:rsid w:val="00BD157A"/>
    <w:rsid w:val="00BD47E2"/>
    <w:rsid w:val="00BD7ADB"/>
    <w:rsid w:val="00BE056E"/>
    <w:rsid w:val="00BE1241"/>
    <w:rsid w:val="00BE623E"/>
    <w:rsid w:val="00BE7C2B"/>
    <w:rsid w:val="00BF17A2"/>
    <w:rsid w:val="00BF62A0"/>
    <w:rsid w:val="00C03550"/>
    <w:rsid w:val="00C056D6"/>
    <w:rsid w:val="00C05E4A"/>
    <w:rsid w:val="00C100BB"/>
    <w:rsid w:val="00C111F0"/>
    <w:rsid w:val="00C16898"/>
    <w:rsid w:val="00C2098E"/>
    <w:rsid w:val="00C20AB4"/>
    <w:rsid w:val="00C21239"/>
    <w:rsid w:val="00C236E4"/>
    <w:rsid w:val="00C243A1"/>
    <w:rsid w:val="00C30F03"/>
    <w:rsid w:val="00C32A3F"/>
    <w:rsid w:val="00C418A9"/>
    <w:rsid w:val="00C436F0"/>
    <w:rsid w:val="00C44C6E"/>
    <w:rsid w:val="00C45042"/>
    <w:rsid w:val="00C51599"/>
    <w:rsid w:val="00C523D4"/>
    <w:rsid w:val="00C52D6E"/>
    <w:rsid w:val="00C553D1"/>
    <w:rsid w:val="00C61A15"/>
    <w:rsid w:val="00C61C69"/>
    <w:rsid w:val="00C62AC5"/>
    <w:rsid w:val="00C62ED6"/>
    <w:rsid w:val="00C63311"/>
    <w:rsid w:val="00C642BC"/>
    <w:rsid w:val="00C644B8"/>
    <w:rsid w:val="00C7256E"/>
    <w:rsid w:val="00C72DFC"/>
    <w:rsid w:val="00C73688"/>
    <w:rsid w:val="00C8047D"/>
    <w:rsid w:val="00C81105"/>
    <w:rsid w:val="00C81F09"/>
    <w:rsid w:val="00C85442"/>
    <w:rsid w:val="00C9581F"/>
    <w:rsid w:val="00C97C00"/>
    <w:rsid w:val="00CA08A5"/>
    <w:rsid w:val="00CA11FF"/>
    <w:rsid w:val="00CB0892"/>
    <w:rsid w:val="00CB3FF4"/>
    <w:rsid w:val="00CC0D02"/>
    <w:rsid w:val="00CC6DBE"/>
    <w:rsid w:val="00CC7428"/>
    <w:rsid w:val="00CD01FD"/>
    <w:rsid w:val="00CD0D50"/>
    <w:rsid w:val="00CD0DEC"/>
    <w:rsid w:val="00CD177A"/>
    <w:rsid w:val="00CD3A2F"/>
    <w:rsid w:val="00CD44DF"/>
    <w:rsid w:val="00CD6297"/>
    <w:rsid w:val="00CD70C1"/>
    <w:rsid w:val="00CE0EFE"/>
    <w:rsid w:val="00CE229F"/>
    <w:rsid w:val="00CE3522"/>
    <w:rsid w:val="00CE3FA2"/>
    <w:rsid w:val="00CE7995"/>
    <w:rsid w:val="00CF1261"/>
    <w:rsid w:val="00CF2422"/>
    <w:rsid w:val="00CF3121"/>
    <w:rsid w:val="00CF35A9"/>
    <w:rsid w:val="00CF5691"/>
    <w:rsid w:val="00D01708"/>
    <w:rsid w:val="00D01CEE"/>
    <w:rsid w:val="00D0257F"/>
    <w:rsid w:val="00D027EF"/>
    <w:rsid w:val="00D045E2"/>
    <w:rsid w:val="00D04AAD"/>
    <w:rsid w:val="00D06BA8"/>
    <w:rsid w:val="00D07F49"/>
    <w:rsid w:val="00D123C8"/>
    <w:rsid w:val="00D134DF"/>
    <w:rsid w:val="00D14E1F"/>
    <w:rsid w:val="00D15710"/>
    <w:rsid w:val="00D16686"/>
    <w:rsid w:val="00D24AB2"/>
    <w:rsid w:val="00D24ECD"/>
    <w:rsid w:val="00D30E84"/>
    <w:rsid w:val="00D3302A"/>
    <w:rsid w:val="00D347B3"/>
    <w:rsid w:val="00D34828"/>
    <w:rsid w:val="00D40B97"/>
    <w:rsid w:val="00D43E77"/>
    <w:rsid w:val="00D44D3B"/>
    <w:rsid w:val="00D44DD6"/>
    <w:rsid w:val="00D4545F"/>
    <w:rsid w:val="00D467E2"/>
    <w:rsid w:val="00D5405F"/>
    <w:rsid w:val="00D55DC8"/>
    <w:rsid w:val="00D624C0"/>
    <w:rsid w:val="00D645B5"/>
    <w:rsid w:val="00D6526F"/>
    <w:rsid w:val="00D6527F"/>
    <w:rsid w:val="00D67D0D"/>
    <w:rsid w:val="00D707A6"/>
    <w:rsid w:val="00D728A5"/>
    <w:rsid w:val="00D72B2B"/>
    <w:rsid w:val="00D73CAD"/>
    <w:rsid w:val="00D75F10"/>
    <w:rsid w:val="00D7776A"/>
    <w:rsid w:val="00D822A4"/>
    <w:rsid w:val="00D84C0F"/>
    <w:rsid w:val="00D86B68"/>
    <w:rsid w:val="00D90EEB"/>
    <w:rsid w:val="00D92A45"/>
    <w:rsid w:val="00D952B7"/>
    <w:rsid w:val="00D966D1"/>
    <w:rsid w:val="00D96975"/>
    <w:rsid w:val="00DA3A09"/>
    <w:rsid w:val="00DB1314"/>
    <w:rsid w:val="00DB2064"/>
    <w:rsid w:val="00DB3EC1"/>
    <w:rsid w:val="00DB4D24"/>
    <w:rsid w:val="00DB6CD8"/>
    <w:rsid w:val="00DC048F"/>
    <w:rsid w:val="00DC0C3B"/>
    <w:rsid w:val="00DC2F6C"/>
    <w:rsid w:val="00DC4416"/>
    <w:rsid w:val="00DD2115"/>
    <w:rsid w:val="00DD4713"/>
    <w:rsid w:val="00DD47A4"/>
    <w:rsid w:val="00DE0B35"/>
    <w:rsid w:val="00DE22CC"/>
    <w:rsid w:val="00DE2393"/>
    <w:rsid w:val="00DE5301"/>
    <w:rsid w:val="00DE65D6"/>
    <w:rsid w:val="00DE72D4"/>
    <w:rsid w:val="00DF2846"/>
    <w:rsid w:val="00DF2A7B"/>
    <w:rsid w:val="00DF3E2D"/>
    <w:rsid w:val="00DF722C"/>
    <w:rsid w:val="00E00006"/>
    <w:rsid w:val="00E07185"/>
    <w:rsid w:val="00E1269E"/>
    <w:rsid w:val="00E146CE"/>
    <w:rsid w:val="00E23B1A"/>
    <w:rsid w:val="00E270EA"/>
    <w:rsid w:val="00E30904"/>
    <w:rsid w:val="00E30E5C"/>
    <w:rsid w:val="00E35E1E"/>
    <w:rsid w:val="00E41211"/>
    <w:rsid w:val="00E42404"/>
    <w:rsid w:val="00E4377A"/>
    <w:rsid w:val="00E446BB"/>
    <w:rsid w:val="00E45303"/>
    <w:rsid w:val="00E46A0C"/>
    <w:rsid w:val="00E53B62"/>
    <w:rsid w:val="00E53D11"/>
    <w:rsid w:val="00E56790"/>
    <w:rsid w:val="00E6799A"/>
    <w:rsid w:val="00E719D5"/>
    <w:rsid w:val="00E72B6F"/>
    <w:rsid w:val="00E81465"/>
    <w:rsid w:val="00E84818"/>
    <w:rsid w:val="00E86924"/>
    <w:rsid w:val="00EA3DAC"/>
    <w:rsid w:val="00EA5D01"/>
    <w:rsid w:val="00EB03B4"/>
    <w:rsid w:val="00EB386D"/>
    <w:rsid w:val="00EB406C"/>
    <w:rsid w:val="00EB584B"/>
    <w:rsid w:val="00EB6A2B"/>
    <w:rsid w:val="00EB741E"/>
    <w:rsid w:val="00EC3027"/>
    <w:rsid w:val="00EC488D"/>
    <w:rsid w:val="00EC5974"/>
    <w:rsid w:val="00EC5B04"/>
    <w:rsid w:val="00EC7B82"/>
    <w:rsid w:val="00ED2ED1"/>
    <w:rsid w:val="00ED5446"/>
    <w:rsid w:val="00ED569B"/>
    <w:rsid w:val="00ED6B5F"/>
    <w:rsid w:val="00ED708A"/>
    <w:rsid w:val="00EE0621"/>
    <w:rsid w:val="00EE1288"/>
    <w:rsid w:val="00EE1565"/>
    <w:rsid w:val="00EE5EF7"/>
    <w:rsid w:val="00F03FA5"/>
    <w:rsid w:val="00F0632A"/>
    <w:rsid w:val="00F07621"/>
    <w:rsid w:val="00F07AC3"/>
    <w:rsid w:val="00F100BA"/>
    <w:rsid w:val="00F1160B"/>
    <w:rsid w:val="00F20C3C"/>
    <w:rsid w:val="00F2225E"/>
    <w:rsid w:val="00F24F87"/>
    <w:rsid w:val="00F27E6F"/>
    <w:rsid w:val="00F303C1"/>
    <w:rsid w:val="00F35740"/>
    <w:rsid w:val="00F37371"/>
    <w:rsid w:val="00F3742E"/>
    <w:rsid w:val="00F400EC"/>
    <w:rsid w:val="00F579A0"/>
    <w:rsid w:val="00F616C9"/>
    <w:rsid w:val="00F636CE"/>
    <w:rsid w:val="00F66E6B"/>
    <w:rsid w:val="00F67ED5"/>
    <w:rsid w:val="00F70FC5"/>
    <w:rsid w:val="00F77674"/>
    <w:rsid w:val="00F81DC0"/>
    <w:rsid w:val="00F844A2"/>
    <w:rsid w:val="00F929C3"/>
    <w:rsid w:val="00F96ED9"/>
    <w:rsid w:val="00F979C2"/>
    <w:rsid w:val="00F97F7C"/>
    <w:rsid w:val="00FA1ACC"/>
    <w:rsid w:val="00FA36F6"/>
    <w:rsid w:val="00FA5A3B"/>
    <w:rsid w:val="00FA73A8"/>
    <w:rsid w:val="00FB06CD"/>
    <w:rsid w:val="00FB1DC3"/>
    <w:rsid w:val="00FB4CE1"/>
    <w:rsid w:val="00FC1383"/>
    <w:rsid w:val="00FC1796"/>
    <w:rsid w:val="00FC2A8F"/>
    <w:rsid w:val="00FC2FD6"/>
    <w:rsid w:val="00FD44FE"/>
    <w:rsid w:val="00FE017C"/>
    <w:rsid w:val="00FE12CC"/>
    <w:rsid w:val="00FE475C"/>
    <w:rsid w:val="00FE6839"/>
    <w:rsid w:val="00FE7A34"/>
    <w:rsid w:val="00FF091B"/>
    <w:rsid w:val="00FF38E8"/>
    <w:rsid w:val="00FF4001"/>
    <w:rsid w:val="00FF6B6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D966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66D1"/>
    <w:rPr>
      <w:rFonts w:eastAsia="Arial Unicode MS"/>
      <w:kern w:val="1"/>
      <w:sz w:val="24"/>
      <w:szCs w:val="24"/>
      <w:lang w:val="es-ES_tradnl" w:eastAsia="ar-SA"/>
    </w:rPr>
  </w:style>
  <w:style w:type="paragraph" w:styleId="Piedepgina">
    <w:name w:val="footer"/>
    <w:basedOn w:val="Normal"/>
    <w:link w:val="PiedepginaCar"/>
    <w:uiPriority w:val="99"/>
    <w:unhideWhenUsed/>
    <w:rsid w:val="00D966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66D1"/>
    <w:rPr>
      <w:rFonts w:eastAsia="Arial Unicode MS"/>
      <w:kern w:val="1"/>
      <w:sz w:val="24"/>
      <w:szCs w:val="24"/>
      <w:lang w:val="es-ES_tradnl" w:eastAsia="ar-SA"/>
    </w:rPr>
  </w:style>
  <w:style w:type="paragraph" w:customStyle="1" w:styleId="Textopredeterminado">
    <w:name w:val="Texto predeterminado"/>
    <w:basedOn w:val="Normal"/>
    <w:rsid w:val="0019029F"/>
    <w:pPr>
      <w:suppressAutoHyphens w:val="0"/>
      <w:overflowPunct w:val="0"/>
      <w:autoSpaceDE w:val="0"/>
      <w:autoSpaceDN w:val="0"/>
      <w:adjustRightInd w:val="0"/>
      <w:spacing w:line="240" w:lineRule="auto"/>
      <w:textAlignment w:val="baseline"/>
    </w:pPr>
    <w:rPr>
      <w:rFonts w:eastAsia="Times New Roman"/>
      <w:color w:val="000000"/>
      <w:kern w:val="0"/>
      <w:szCs w:val="20"/>
      <w:lang w:val="es-EC" w:eastAsia="es-ES"/>
    </w:rPr>
  </w:style>
  <w:style w:type="paragraph" w:styleId="Textosinformato">
    <w:name w:val="Plain Text"/>
    <w:basedOn w:val="Normal"/>
    <w:link w:val="TextosinformatoCar"/>
    <w:rsid w:val="0019029F"/>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19029F"/>
    <w:rPr>
      <w:rFonts w:ascii="Courier New" w:hAnsi="Courier New"/>
      <w:lang w:val="es-ES" w:eastAsia="es-ES"/>
    </w:rPr>
  </w:style>
  <w:style w:type="paragraph" w:styleId="NormalWeb">
    <w:name w:val="Normal (Web)"/>
    <w:basedOn w:val="Normal"/>
    <w:uiPriority w:val="99"/>
    <w:semiHidden/>
    <w:unhideWhenUsed/>
    <w:rsid w:val="000C4AAE"/>
    <w:pPr>
      <w:suppressAutoHyphens w:val="0"/>
      <w:spacing w:before="100" w:beforeAutospacing="1" w:after="100" w:afterAutospacing="1" w:line="240" w:lineRule="auto"/>
    </w:pPr>
    <w:rPr>
      <w:rFonts w:eastAsiaTheme="minorEastAsia"/>
      <w:kern w:val="0"/>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D966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66D1"/>
    <w:rPr>
      <w:rFonts w:eastAsia="Arial Unicode MS"/>
      <w:kern w:val="1"/>
      <w:sz w:val="24"/>
      <w:szCs w:val="24"/>
      <w:lang w:val="es-ES_tradnl" w:eastAsia="ar-SA"/>
    </w:rPr>
  </w:style>
  <w:style w:type="paragraph" w:styleId="Piedepgina">
    <w:name w:val="footer"/>
    <w:basedOn w:val="Normal"/>
    <w:link w:val="PiedepginaCar"/>
    <w:uiPriority w:val="99"/>
    <w:unhideWhenUsed/>
    <w:rsid w:val="00D966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66D1"/>
    <w:rPr>
      <w:rFonts w:eastAsia="Arial Unicode MS"/>
      <w:kern w:val="1"/>
      <w:sz w:val="24"/>
      <w:szCs w:val="24"/>
      <w:lang w:val="es-ES_tradnl" w:eastAsia="ar-SA"/>
    </w:rPr>
  </w:style>
  <w:style w:type="paragraph" w:customStyle="1" w:styleId="Textopredeterminado">
    <w:name w:val="Texto predeterminado"/>
    <w:basedOn w:val="Normal"/>
    <w:rsid w:val="0019029F"/>
    <w:pPr>
      <w:suppressAutoHyphens w:val="0"/>
      <w:overflowPunct w:val="0"/>
      <w:autoSpaceDE w:val="0"/>
      <w:autoSpaceDN w:val="0"/>
      <w:adjustRightInd w:val="0"/>
      <w:spacing w:line="240" w:lineRule="auto"/>
      <w:textAlignment w:val="baseline"/>
    </w:pPr>
    <w:rPr>
      <w:rFonts w:eastAsia="Times New Roman"/>
      <w:color w:val="000000"/>
      <w:kern w:val="0"/>
      <w:szCs w:val="20"/>
      <w:lang w:val="es-EC" w:eastAsia="es-ES"/>
    </w:rPr>
  </w:style>
  <w:style w:type="paragraph" w:styleId="Textosinformato">
    <w:name w:val="Plain Text"/>
    <w:basedOn w:val="Normal"/>
    <w:link w:val="TextosinformatoCar"/>
    <w:rsid w:val="0019029F"/>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19029F"/>
    <w:rPr>
      <w:rFonts w:ascii="Courier New" w:hAnsi="Courier New"/>
      <w:lang w:val="es-ES" w:eastAsia="es-ES"/>
    </w:rPr>
  </w:style>
  <w:style w:type="paragraph" w:styleId="NormalWeb">
    <w:name w:val="Normal (Web)"/>
    <w:basedOn w:val="Normal"/>
    <w:uiPriority w:val="99"/>
    <w:semiHidden/>
    <w:unhideWhenUsed/>
    <w:rsid w:val="000C4AAE"/>
    <w:pPr>
      <w:suppressAutoHyphens w:val="0"/>
      <w:spacing w:before="100" w:beforeAutospacing="1" w:after="100" w:afterAutospacing="1" w:line="240" w:lineRule="auto"/>
    </w:pPr>
    <w:rPr>
      <w:rFonts w:eastAsiaTheme="minorEastAsia"/>
      <w:kern w:val="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430">
      <w:bodyDiv w:val="1"/>
      <w:marLeft w:val="0"/>
      <w:marRight w:val="0"/>
      <w:marTop w:val="0"/>
      <w:marBottom w:val="0"/>
      <w:divBdr>
        <w:top w:val="none" w:sz="0" w:space="0" w:color="auto"/>
        <w:left w:val="none" w:sz="0" w:space="0" w:color="auto"/>
        <w:bottom w:val="none" w:sz="0" w:space="0" w:color="auto"/>
        <w:right w:val="none" w:sz="0" w:space="0" w:color="auto"/>
      </w:divBdr>
    </w:div>
    <w:div w:id="33819126">
      <w:bodyDiv w:val="1"/>
      <w:marLeft w:val="0"/>
      <w:marRight w:val="0"/>
      <w:marTop w:val="0"/>
      <w:marBottom w:val="0"/>
      <w:divBdr>
        <w:top w:val="none" w:sz="0" w:space="0" w:color="auto"/>
        <w:left w:val="none" w:sz="0" w:space="0" w:color="auto"/>
        <w:bottom w:val="none" w:sz="0" w:space="0" w:color="auto"/>
        <w:right w:val="none" w:sz="0" w:space="0" w:color="auto"/>
      </w:divBdr>
    </w:div>
    <w:div w:id="96340691">
      <w:bodyDiv w:val="1"/>
      <w:marLeft w:val="0"/>
      <w:marRight w:val="0"/>
      <w:marTop w:val="0"/>
      <w:marBottom w:val="0"/>
      <w:divBdr>
        <w:top w:val="none" w:sz="0" w:space="0" w:color="auto"/>
        <w:left w:val="none" w:sz="0" w:space="0" w:color="auto"/>
        <w:bottom w:val="none" w:sz="0" w:space="0" w:color="auto"/>
        <w:right w:val="none" w:sz="0" w:space="0" w:color="auto"/>
      </w:divBdr>
    </w:div>
    <w:div w:id="99110372">
      <w:bodyDiv w:val="1"/>
      <w:marLeft w:val="0"/>
      <w:marRight w:val="0"/>
      <w:marTop w:val="0"/>
      <w:marBottom w:val="0"/>
      <w:divBdr>
        <w:top w:val="none" w:sz="0" w:space="0" w:color="auto"/>
        <w:left w:val="none" w:sz="0" w:space="0" w:color="auto"/>
        <w:bottom w:val="none" w:sz="0" w:space="0" w:color="auto"/>
        <w:right w:val="none" w:sz="0" w:space="0" w:color="auto"/>
      </w:divBdr>
    </w:div>
    <w:div w:id="109515735">
      <w:bodyDiv w:val="1"/>
      <w:marLeft w:val="0"/>
      <w:marRight w:val="0"/>
      <w:marTop w:val="0"/>
      <w:marBottom w:val="0"/>
      <w:divBdr>
        <w:top w:val="none" w:sz="0" w:space="0" w:color="auto"/>
        <w:left w:val="none" w:sz="0" w:space="0" w:color="auto"/>
        <w:bottom w:val="none" w:sz="0" w:space="0" w:color="auto"/>
        <w:right w:val="none" w:sz="0" w:space="0" w:color="auto"/>
      </w:divBdr>
    </w:div>
    <w:div w:id="114832676">
      <w:bodyDiv w:val="1"/>
      <w:marLeft w:val="0"/>
      <w:marRight w:val="0"/>
      <w:marTop w:val="0"/>
      <w:marBottom w:val="0"/>
      <w:divBdr>
        <w:top w:val="none" w:sz="0" w:space="0" w:color="auto"/>
        <w:left w:val="none" w:sz="0" w:space="0" w:color="auto"/>
        <w:bottom w:val="none" w:sz="0" w:space="0" w:color="auto"/>
        <w:right w:val="none" w:sz="0" w:space="0" w:color="auto"/>
      </w:divBdr>
    </w:div>
    <w:div w:id="115686732">
      <w:bodyDiv w:val="1"/>
      <w:marLeft w:val="0"/>
      <w:marRight w:val="0"/>
      <w:marTop w:val="0"/>
      <w:marBottom w:val="0"/>
      <w:divBdr>
        <w:top w:val="none" w:sz="0" w:space="0" w:color="auto"/>
        <w:left w:val="none" w:sz="0" w:space="0" w:color="auto"/>
        <w:bottom w:val="none" w:sz="0" w:space="0" w:color="auto"/>
        <w:right w:val="none" w:sz="0" w:space="0" w:color="auto"/>
      </w:divBdr>
    </w:div>
    <w:div w:id="168064498">
      <w:bodyDiv w:val="1"/>
      <w:marLeft w:val="0"/>
      <w:marRight w:val="0"/>
      <w:marTop w:val="0"/>
      <w:marBottom w:val="0"/>
      <w:divBdr>
        <w:top w:val="none" w:sz="0" w:space="0" w:color="auto"/>
        <w:left w:val="none" w:sz="0" w:space="0" w:color="auto"/>
        <w:bottom w:val="none" w:sz="0" w:space="0" w:color="auto"/>
        <w:right w:val="none" w:sz="0" w:space="0" w:color="auto"/>
      </w:divBdr>
    </w:div>
    <w:div w:id="245916501">
      <w:bodyDiv w:val="1"/>
      <w:marLeft w:val="0"/>
      <w:marRight w:val="0"/>
      <w:marTop w:val="0"/>
      <w:marBottom w:val="0"/>
      <w:divBdr>
        <w:top w:val="none" w:sz="0" w:space="0" w:color="auto"/>
        <w:left w:val="none" w:sz="0" w:space="0" w:color="auto"/>
        <w:bottom w:val="none" w:sz="0" w:space="0" w:color="auto"/>
        <w:right w:val="none" w:sz="0" w:space="0" w:color="auto"/>
      </w:divBdr>
    </w:div>
    <w:div w:id="260573297">
      <w:bodyDiv w:val="1"/>
      <w:marLeft w:val="0"/>
      <w:marRight w:val="0"/>
      <w:marTop w:val="0"/>
      <w:marBottom w:val="0"/>
      <w:divBdr>
        <w:top w:val="none" w:sz="0" w:space="0" w:color="auto"/>
        <w:left w:val="none" w:sz="0" w:space="0" w:color="auto"/>
        <w:bottom w:val="none" w:sz="0" w:space="0" w:color="auto"/>
        <w:right w:val="none" w:sz="0" w:space="0" w:color="auto"/>
      </w:divBdr>
    </w:div>
    <w:div w:id="281230058">
      <w:bodyDiv w:val="1"/>
      <w:marLeft w:val="0"/>
      <w:marRight w:val="0"/>
      <w:marTop w:val="0"/>
      <w:marBottom w:val="0"/>
      <w:divBdr>
        <w:top w:val="none" w:sz="0" w:space="0" w:color="auto"/>
        <w:left w:val="none" w:sz="0" w:space="0" w:color="auto"/>
        <w:bottom w:val="none" w:sz="0" w:space="0" w:color="auto"/>
        <w:right w:val="none" w:sz="0" w:space="0" w:color="auto"/>
      </w:divBdr>
    </w:div>
    <w:div w:id="283660766">
      <w:bodyDiv w:val="1"/>
      <w:marLeft w:val="0"/>
      <w:marRight w:val="0"/>
      <w:marTop w:val="0"/>
      <w:marBottom w:val="0"/>
      <w:divBdr>
        <w:top w:val="none" w:sz="0" w:space="0" w:color="auto"/>
        <w:left w:val="none" w:sz="0" w:space="0" w:color="auto"/>
        <w:bottom w:val="none" w:sz="0" w:space="0" w:color="auto"/>
        <w:right w:val="none" w:sz="0" w:space="0" w:color="auto"/>
      </w:divBdr>
    </w:div>
    <w:div w:id="289555892">
      <w:bodyDiv w:val="1"/>
      <w:marLeft w:val="0"/>
      <w:marRight w:val="0"/>
      <w:marTop w:val="0"/>
      <w:marBottom w:val="0"/>
      <w:divBdr>
        <w:top w:val="none" w:sz="0" w:space="0" w:color="auto"/>
        <w:left w:val="none" w:sz="0" w:space="0" w:color="auto"/>
        <w:bottom w:val="none" w:sz="0" w:space="0" w:color="auto"/>
        <w:right w:val="none" w:sz="0" w:space="0" w:color="auto"/>
      </w:divBdr>
    </w:div>
    <w:div w:id="339160246">
      <w:bodyDiv w:val="1"/>
      <w:marLeft w:val="0"/>
      <w:marRight w:val="0"/>
      <w:marTop w:val="0"/>
      <w:marBottom w:val="0"/>
      <w:divBdr>
        <w:top w:val="none" w:sz="0" w:space="0" w:color="auto"/>
        <w:left w:val="none" w:sz="0" w:space="0" w:color="auto"/>
        <w:bottom w:val="none" w:sz="0" w:space="0" w:color="auto"/>
        <w:right w:val="none" w:sz="0" w:space="0" w:color="auto"/>
      </w:divBdr>
    </w:div>
    <w:div w:id="397822195">
      <w:bodyDiv w:val="1"/>
      <w:marLeft w:val="0"/>
      <w:marRight w:val="0"/>
      <w:marTop w:val="0"/>
      <w:marBottom w:val="0"/>
      <w:divBdr>
        <w:top w:val="none" w:sz="0" w:space="0" w:color="auto"/>
        <w:left w:val="none" w:sz="0" w:space="0" w:color="auto"/>
        <w:bottom w:val="none" w:sz="0" w:space="0" w:color="auto"/>
        <w:right w:val="none" w:sz="0" w:space="0" w:color="auto"/>
      </w:divBdr>
    </w:div>
    <w:div w:id="419916072">
      <w:bodyDiv w:val="1"/>
      <w:marLeft w:val="0"/>
      <w:marRight w:val="0"/>
      <w:marTop w:val="0"/>
      <w:marBottom w:val="0"/>
      <w:divBdr>
        <w:top w:val="none" w:sz="0" w:space="0" w:color="auto"/>
        <w:left w:val="none" w:sz="0" w:space="0" w:color="auto"/>
        <w:bottom w:val="none" w:sz="0" w:space="0" w:color="auto"/>
        <w:right w:val="none" w:sz="0" w:space="0" w:color="auto"/>
      </w:divBdr>
    </w:div>
    <w:div w:id="467280087">
      <w:bodyDiv w:val="1"/>
      <w:marLeft w:val="0"/>
      <w:marRight w:val="0"/>
      <w:marTop w:val="0"/>
      <w:marBottom w:val="0"/>
      <w:divBdr>
        <w:top w:val="none" w:sz="0" w:space="0" w:color="auto"/>
        <w:left w:val="none" w:sz="0" w:space="0" w:color="auto"/>
        <w:bottom w:val="none" w:sz="0" w:space="0" w:color="auto"/>
        <w:right w:val="none" w:sz="0" w:space="0" w:color="auto"/>
      </w:divBdr>
    </w:div>
    <w:div w:id="476262931">
      <w:bodyDiv w:val="1"/>
      <w:marLeft w:val="0"/>
      <w:marRight w:val="0"/>
      <w:marTop w:val="0"/>
      <w:marBottom w:val="0"/>
      <w:divBdr>
        <w:top w:val="none" w:sz="0" w:space="0" w:color="auto"/>
        <w:left w:val="none" w:sz="0" w:space="0" w:color="auto"/>
        <w:bottom w:val="none" w:sz="0" w:space="0" w:color="auto"/>
        <w:right w:val="none" w:sz="0" w:space="0" w:color="auto"/>
      </w:divBdr>
    </w:div>
    <w:div w:id="526409528">
      <w:bodyDiv w:val="1"/>
      <w:marLeft w:val="0"/>
      <w:marRight w:val="0"/>
      <w:marTop w:val="0"/>
      <w:marBottom w:val="0"/>
      <w:divBdr>
        <w:top w:val="none" w:sz="0" w:space="0" w:color="auto"/>
        <w:left w:val="none" w:sz="0" w:space="0" w:color="auto"/>
        <w:bottom w:val="none" w:sz="0" w:space="0" w:color="auto"/>
        <w:right w:val="none" w:sz="0" w:space="0" w:color="auto"/>
      </w:divBdr>
    </w:div>
    <w:div w:id="538125998">
      <w:bodyDiv w:val="1"/>
      <w:marLeft w:val="0"/>
      <w:marRight w:val="0"/>
      <w:marTop w:val="0"/>
      <w:marBottom w:val="0"/>
      <w:divBdr>
        <w:top w:val="none" w:sz="0" w:space="0" w:color="auto"/>
        <w:left w:val="none" w:sz="0" w:space="0" w:color="auto"/>
        <w:bottom w:val="none" w:sz="0" w:space="0" w:color="auto"/>
        <w:right w:val="none" w:sz="0" w:space="0" w:color="auto"/>
      </w:divBdr>
    </w:div>
    <w:div w:id="542669949">
      <w:bodyDiv w:val="1"/>
      <w:marLeft w:val="0"/>
      <w:marRight w:val="0"/>
      <w:marTop w:val="0"/>
      <w:marBottom w:val="0"/>
      <w:divBdr>
        <w:top w:val="none" w:sz="0" w:space="0" w:color="auto"/>
        <w:left w:val="none" w:sz="0" w:space="0" w:color="auto"/>
        <w:bottom w:val="none" w:sz="0" w:space="0" w:color="auto"/>
        <w:right w:val="none" w:sz="0" w:space="0" w:color="auto"/>
      </w:divBdr>
    </w:div>
    <w:div w:id="560989985">
      <w:bodyDiv w:val="1"/>
      <w:marLeft w:val="0"/>
      <w:marRight w:val="0"/>
      <w:marTop w:val="0"/>
      <w:marBottom w:val="0"/>
      <w:divBdr>
        <w:top w:val="none" w:sz="0" w:space="0" w:color="auto"/>
        <w:left w:val="none" w:sz="0" w:space="0" w:color="auto"/>
        <w:bottom w:val="none" w:sz="0" w:space="0" w:color="auto"/>
        <w:right w:val="none" w:sz="0" w:space="0" w:color="auto"/>
      </w:divBdr>
    </w:div>
    <w:div w:id="618146586">
      <w:bodyDiv w:val="1"/>
      <w:marLeft w:val="0"/>
      <w:marRight w:val="0"/>
      <w:marTop w:val="0"/>
      <w:marBottom w:val="0"/>
      <w:divBdr>
        <w:top w:val="none" w:sz="0" w:space="0" w:color="auto"/>
        <w:left w:val="none" w:sz="0" w:space="0" w:color="auto"/>
        <w:bottom w:val="none" w:sz="0" w:space="0" w:color="auto"/>
        <w:right w:val="none" w:sz="0" w:space="0" w:color="auto"/>
      </w:divBdr>
    </w:div>
    <w:div w:id="620769159">
      <w:bodyDiv w:val="1"/>
      <w:marLeft w:val="0"/>
      <w:marRight w:val="0"/>
      <w:marTop w:val="0"/>
      <w:marBottom w:val="0"/>
      <w:divBdr>
        <w:top w:val="none" w:sz="0" w:space="0" w:color="auto"/>
        <w:left w:val="none" w:sz="0" w:space="0" w:color="auto"/>
        <w:bottom w:val="none" w:sz="0" w:space="0" w:color="auto"/>
        <w:right w:val="none" w:sz="0" w:space="0" w:color="auto"/>
      </w:divBdr>
    </w:div>
    <w:div w:id="622730076">
      <w:bodyDiv w:val="1"/>
      <w:marLeft w:val="0"/>
      <w:marRight w:val="0"/>
      <w:marTop w:val="0"/>
      <w:marBottom w:val="0"/>
      <w:divBdr>
        <w:top w:val="none" w:sz="0" w:space="0" w:color="auto"/>
        <w:left w:val="none" w:sz="0" w:space="0" w:color="auto"/>
        <w:bottom w:val="none" w:sz="0" w:space="0" w:color="auto"/>
        <w:right w:val="none" w:sz="0" w:space="0" w:color="auto"/>
      </w:divBdr>
    </w:div>
    <w:div w:id="681904326">
      <w:bodyDiv w:val="1"/>
      <w:marLeft w:val="0"/>
      <w:marRight w:val="0"/>
      <w:marTop w:val="0"/>
      <w:marBottom w:val="0"/>
      <w:divBdr>
        <w:top w:val="none" w:sz="0" w:space="0" w:color="auto"/>
        <w:left w:val="none" w:sz="0" w:space="0" w:color="auto"/>
        <w:bottom w:val="none" w:sz="0" w:space="0" w:color="auto"/>
        <w:right w:val="none" w:sz="0" w:space="0" w:color="auto"/>
      </w:divBdr>
    </w:div>
    <w:div w:id="700281932">
      <w:bodyDiv w:val="1"/>
      <w:marLeft w:val="0"/>
      <w:marRight w:val="0"/>
      <w:marTop w:val="0"/>
      <w:marBottom w:val="0"/>
      <w:divBdr>
        <w:top w:val="none" w:sz="0" w:space="0" w:color="auto"/>
        <w:left w:val="none" w:sz="0" w:space="0" w:color="auto"/>
        <w:bottom w:val="none" w:sz="0" w:space="0" w:color="auto"/>
        <w:right w:val="none" w:sz="0" w:space="0" w:color="auto"/>
      </w:divBdr>
    </w:div>
    <w:div w:id="705646064">
      <w:bodyDiv w:val="1"/>
      <w:marLeft w:val="0"/>
      <w:marRight w:val="0"/>
      <w:marTop w:val="0"/>
      <w:marBottom w:val="0"/>
      <w:divBdr>
        <w:top w:val="none" w:sz="0" w:space="0" w:color="auto"/>
        <w:left w:val="none" w:sz="0" w:space="0" w:color="auto"/>
        <w:bottom w:val="none" w:sz="0" w:space="0" w:color="auto"/>
        <w:right w:val="none" w:sz="0" w:space="0" w:color="auto"/>
      </w:divBdr>
    </w:div>
    <w:div w:id="708998106">
      <w:bodyDiv w:val="1"/>
      <w:marLeft w:val="0"/>
      <w:marRight w:val="0"/>
      <w:marTop w:val="0"/>
      <w:marBottom w:val="0"/>
      <w:divBdr>
        <w:top w:val="none" w:sz="0" w:space="0" w:color="auto"/>
        <w:left w:val="none" w:sz="0" w:space="0" w:color="auto"/>
        <w:bottom w:val="none" w:sz="0" w:space="0" w:color="auto"/>
        <w:right w:val="none" w:sz="0" w:space="0" w:color="auto"/>
      </w:divBdr>
    </w:div>
    <w:div w:id="807825070">
      <w:bodyDiv w:val="1"/>
      <w:marLeft w:val="0"/>
      <w:marRight w:val="0"/>
      <w:marTop w:val="0"/>
      <w:marBottom w:val="0"/>
      <w:divBdr>
        <w:top w:val="none" w:sz="0" w:space="0" w:color="auto"/>
        <w:left w:val="none" w:sz="0" w:space="0" w:color="auto"/>
        <w:bottom w:val="none" w:sz="0" w:space="0" w:color="auto"/>
        <w:right w:val="none" w:sz="0" w:space="0" w:color="auto"/>
      </w:divBdr>
    </w:div>
    <w:div w:id="831289293">
      <w:bodyDiv w:val="1"/>
      <w:marLeft w:val="0"/>
      <w:marRight w:val="0"/>
      <w:marTop w:val="0"/>
      <w:marBottom w:val="0"/>
      <w:divBdr>
        <w:top w:val="none" w:sz="0" w:space="0" w:color="auto"/>
        <w:left w:val="none" w:sz="0" w:space="0" w:color="auto"/>
        <w:bottom w:val="none" w:sz="0" w:space="0" w:color="auto"/>
        <w:right w:val="none" w:sz="0" w:space="0" w:color="auto"/>
      </w:divBdr>
    </w:div>
    <w:div w:id="929656419">
      <w:bodyDiv w:val="1"/>
      <w:marLeft w:val="0"/>
      <w:marRight w:val="0"/>
      <w:marTop w:val="0"/>
      <w:marBottom w:val="0"/>
      <w:divBdr>
        <w:top w:val="none" w:sz="0" w:space="0" w:color="auto"/>
        <w:left w:val="none" w:sz="0" w:space="0" w:color="auto"/>
        <w:bottom w:val="none" w:sz="0" w:space="0" w:color="auto"/>
        <w:right w:val="none" w:sz="0" w:space="0" w:color="auto"/>
      </w:divBdr>
    </w:div>
    <w:div w:id="948123395">
      <w:bodyDiv w:val="1"/>
      <w:marLeft w:val="0"/>
      <w:marRight w:val="0"/>
      <w:marTop w:val="0"/>
      <w:marBottom w:val="0"/>
      <w:divBdr>
        <w:top w:val="none" w:sz="0" w:space="0" w:color="auto"/>
        <w:left w:val="none" w:sz="0" w:space="0" w:color="auto"/>
        <w:bottom w:val="none" w:sz="0" w:space="0" w:color="auto"/>
        <w:right w:val="none" w:sz="0" w:space="0" w:color="auto"/>
      </w:divBdr>
    </w:div>
    <w:div w:id="1005591313">
      <w:bodyDiv w:val="1"/>
      <w:marLeft w:val="0"/>
      <w:marRight w:val="0"/>
      <w:marTop w:val="0"/>
      <w:marBottom w:val="0"/>
      <w:divBdr>
        <w:top w:val="none" w:sz="0" w:space="0" w:color="auto"/>
        <w:left w:val="none" w:sz="0" w:space="0" w:color="auto"/>
        <w:bottom w:val="none" w:sz="0" w:space="0" w:color="auto"/>
        <w:right w:val="none" w:sz="0" w:space="0" w:color="auto"/>
      </w:divBdr>
    </w:div>
    <w:div w:id="1017079809">
      <w:bodyDiv w:val="1"/>
      <w:marLeft w:val="0"/>
      <w:marRight w:val="0"/>
      <w:marTop w:val="0"/>
      <w:marBottom w:val="0"/>
      <w:divBdr>
        <w:top w:val="none" w:sz="0" w:space="0" w:color="auto"/>
        <w:left w:val="none" w:sz="0" w:space="0" w:color="auto"/>
        <w:bottom w:val="none" w:sz="0" w:space="0" w:color="auto"/>
        <w:right w:val="none" w:sz="0" w:space="0" w:color="auto"/>
      </w:divBdr>
    </w:div>
    <w:div w:id="1034649538">
      <w:bodyDiv w:val="1"/>
      <w:marLeft w:val="0"/>
      <w:marRight w:val="0"/>
      <w:marTop w:val="0"/>
      <w:marBottom w:val="0"/>
      <w:divBdr>
        <w:top w:val="none" w:sz="0" w:space="0" w:color="auto"/>
        <w:left w:val="none" w:sz="0" w:space="0" w:color="auto"/>
        <w:bottom w:val="none" w:sz="0" w:space="0" w:color="auto"/>
        <w:right w:val="none" w:sz="0" w:space="0" w:color="auto"/>
      </w:divBdr>
    </w:div>
    <w:div w:id="1040209238">
      <w:bodyDiv w:val="1"/>
      <w:marLeft w:val="0"/>
      <w:marRight w:val="0"/>
      <w:marTop w:val="0"/>
      <w:marBottom w:val="0"/>
      <w:divBdr>
        <w:top w:val="none" w:sz="0" w:space="0" w:color="auto"/>
        <w:left w:val="none" w:sz="0" w:space="0" w:color="auto"/>
        <w:bottom w:val="none" w:sz="0" w:space="0" w:color="auto"/>
        <w:right w:val="none" w:sz="0" w:space="0" w:color="auto"/>
      </w:divBdr>
    </w:div>
    <w:div w:id="1067730122">
      <w:bodyDiv w:val="1"/>
      <w:marLeft w:val="0"/>
      <w:marRight w:val="0"/>
      <w:marTop w:val="0"/>
      <w:marBottom w:val="0"/>
      <w:divBdr>
        <w:top w:val="none" w:sz="0" w:space="0" w:color="auto"/>
        <w:left w:val="none" w:sz="0" w:space="0" w:color="auto"/>
        <w:bottom w:val="none" w:sz="0" w:space="0" w:color="auto"/>
        <w:right w:val="none" w:sz="0" w:space="0" w:color="auto"/>
      </w:divBdr>
    </w:div>
    <w:div w:id="1079601815">
      <w:bodyDiv w:val="1"/>
      <w:marLeft w:val="0"/>
      <w:marRight w:val="0"/>
      <w:marTop w:val="0"/>
      <w:marBottom w:val="0"/>
      <w:divBdr>
        <w:top w:val="none" w:sz="0" w:space="0" w:color="auto"/>
        <w:left w:val="none" w:sz="0" w:space="0" w:color="auto"/>
        <w:bottom w:val="none" w:sz="0" w:space="0" w:color="auto"/>
        <w:right w:val="none" w:sz="0" w:space="0" w:color="auto"/>
      </w:divBdr>
    </w:div>
    <w:div w:id="1103650729">
      <w:bodyDiv w:val="1"/>
      <w:marLeft w:val="0"/>
      <w:marRight w:val="0"/>
      <w:marTop w:val="0"/>
      <w:marBottom w:val="0"/>
      <w:divBdr>
        <w:top w:val="none" w:sz="0" w:space="0" w:color="auto"/>
        <w:left w:val="none" w:sz="0" w:space="0" w:color="auto"/>
        <w:bottom w:val="none" w:sz="0" w:space="0" w:color="auto"/>
        <w:right w:val="none" w:sz="0" w:space="0" w:color="auto"/>
      </w:divBdr>
    </w:div>
    <w:div w:id="1137842758">
      <w:bodyDiv w:val="1"/>
      <w:marLeft w:val="0"/>
      <w:marRight w:val="0"/>
      <w:marTop w:val="0"/>
      <w:marBottom w:val="0"/>
      <w:divBdr>
        <w:top w:val="none" w:sz="0" w:space="0" w:color="auto"/>
        <w:left w:val="none" w:sz="0" w:space="0" w:color="auto"/>
        <w:bottom w:val="none" w:sz="0" w:space="0" w:color="auto"/>
        <w:right w:val="none" w:sz="0" w:space="0" w:color="auto"/>
      </w:divBdr>
    </w:div>
    <w:div w:id="1137920774">
      <w:bodyDiv w:val="1"/>
      <w:marLeft w:val="0"/>
      <w:marRight w:val="0"/>
      <w:marTop w:val="0"/>
      <w:marBottom w:val="0"/>
      <w:divBdr>
        <w:top w:val="none" w:sz="0" w:space="0" w:color="auto"/>
        <w:left w:val="none" w:sz="0" w:space="0" w:color="auto"/>
        <w:bottom w:val="none" w:sz="0" w:space="0" w:color="auto"/>
        <w:right w:val="none" w:sz="0" w:space="0" w:color="auto"/>
      </w:divBdr>
    </w:div>
    <w:div w:id="1174146376">
      <w:bodyDiv w:val="1"/>
      <w:marLeft w:val="0"/>
      <w:marRight w:val="0"/>
      <w:marTop w:val="0"/>
      <w:marBottom w:val="0"/>
      <w:divBdr>
        <w:top w:val="none" w:sz="0" w:space="0" w:color="auto"/>
        <w:left w:val="none" w:sz="0" w:space="0" w:color="auto"/>
        <w:bottom w:val="none" w:sz="0" w:space="0" w:color="auto"/>
        <w:right w:val="none" w:sz="0" w:space="0" w:color="auto"/>
      </w:divBdr>
    </w:div>
    <w:div w:id="1177576253">
      <w:bodyDiv w:val="1"/>
      <w:marLeft w:val="0"/>
      <w:marRight w:val="0"/>
      <w:marTop w:val="0"/>
      <w:marBottom w:val="0"/>
      <w:divBdr>
        <w:top w:val="none" w:sz="0" w:space="0" w:color="auto"/>
        <w:left w:val="none" w:sz="0" w:space="0" w:color="auto"/>
        <w:bottom w:val="none" w:sz="0" w:space="0" w:color="auto"/>
        <w:right w:val="none" w:sz="0" w:space="0" w:color="auto"/>
      </w:divBdr>
    </w:div>
    <w:div w:id="1184903813">
      <w:bodyDiv w:val="1"/>
      <w:marLeft w:val="0"/>
      <w:marRight w:val="0"/>
      <w:marTop w:val="0"/>
      <w:marBottom w:val="0"/>
      <w:divBdr>
        <w:top w:val="none" w:sz="0" w:space="0" w:color="auto"/>
        <w:left w:val="none" w:sz="0" w:space="0" w:color="auto"/>
        <w:bottom w:val="none" w:sz="0" w:space="0" w:color="auto"/>
        <w:right w:val="none" w:sz="0" w:space="0" w:color="auto"/>
      </w:divBdr>
    </w:div>
    <w:div w:id="1188367026">
      <w:bodyDiv w:val="1"/>
      <w:marLeft w:val="0"/>
      <w:marRight w:val="0"/>
      <w:marTop w:val="0"/>
      <w:marBottom w:val="0"/>
      <w:divBdr>
        <w:top w:val="none" w:sz="0" w:space="0" w:color="auto"/>
        <w:left w:val="none" w:sz="0" w:space="0" w:color="auto"/>
        <w:bottom w:val="none" w:sz="0" w:space="0" w:color="auto"/>
        <w:right w:val="none" w:sz="0" w:space="0" w:color="auto"/>
      </w:divBdr>
    </w:div>
    <w:div w:id="1342316267">
      <w:bodyDiv w:val="1"/>
      <w:marLeft w:val="0"/>
      <w:marRight w:val="0"/>
      <w:marTop w:val="0"/>
      <w:marBottom w:val="0"/>
      <w:divBdr>
        <w:top w:val="none" w:sz="0" w:space="0" w:color="auto"/>
        <w:left w:val="none" w:sz="0" w:space="0" w:color="auto"/>
        <w:bottom w:val="none" w:sz="0" w:space="0" w:color="auto"/>
        <w:right w:val="none" w:sz="0" w:space="0" w:color="auto"/>
      </w:divBdr>
    </w:div>
    <w:div w:id="1350982246">
      <w:bodyDiv w:val="1"/>
      <w:marLeft w:val="0"/>
      <w:marRight w:val="0"/>
      <w:marTop w:val="0"/>
      <w:marBottom w:val="0"/>
      <w:divBdr>
        <w:top w:val="none" w:sz="0" w:space="0" w:color="auto"/>
        <w:left w:val="none" w:sz="0" w:space="0" w:color="auto"/>
        <w:bottom w:val="none" w:sz="0" w:space="0" w:color="auto"/>
        <w:right w:val="none" w:sz="0" w:space="0" w:color="auto"/>
      </w:divBdr>
    </w:div>
    <w:div w:id="1357537538">
      <w:bodyDiv w:val="1"/>
      <w:marLeft w:val="0"/>
      <w:marRight w:val="0"/>
      <w:marTop w:val="0"/>
      <w:marBottom w:val="0"/>
      <w:divBdr>
        <w:top w:val="none" w:sz="0" w:space="0" w:color="auto"/>
        <w:left w:val="none" w:sz="0" w:space="0" w:color="auto"/>
        <w:bottom w:val="none" w:sz="0" w:space="0" w:color="auto"/>
        <w:right w:val="none" w:sz="0" w:space="0" w:color="auto"/>
      </w:divBdr>
    </w:div>
    <w:div w:id="1478104253">
      <w:bodyDiv w:val="1"/>
      <w:marLeft w:val="0"/>
      <w:marRight w:val="0"/>
      <w:marTop w:val="0"/>
      <w:marBottom w:val="0"/>
      <w:divBdr>
        <w:top w:val="none" w:sz="0" w:space="0" w:color="auto"/>
        <w:left w:val="none" w:sz="0" w:space="0" w:color="auto"/>
        <w:bottom w:val="none" w:sz="0" w:space="0" w:color="auto"/>
        <w:right w:val="none" w:sz="0" w:space="0" w:color="auto"/>
      </w:divBdr>
    </w:div>
    <w:div w:id="1528257480">
      <w:bodyDiv w:val="1"/>
      <w:marLeft w:val="0"/>
      <w:marRight w:val="0"/>
      <w:marTop w:val="0"/>
      <w:marBottom w:val="0"/>
      <w:divBdr>
        <w:top w:val="none" w:sz="0" w:space="0" w:color="auto"/>
        <w:left w:val="none" w:sz="0" w:space="0" w:color="auto"/>
        <w:bottom w:val="none" w:sz="0" w:space="0" w:color="auto"/>
        <w:right w:val="none" w:sz="0" w:space="0" w:color="auto"/>
      </w:divBdr>
    </w:div>
    <w:div w:id="1548251673">
      <w:bodyDiv w:val="1"/>
      <w:marLeft w:val="0"/>
      <w:marRight w:val="0"/>
      <w:marTop w:val="0"/>
      <w:marBottom w:val="0"/>
      <w:divBdr>
        <w:top w:val="none" w:sz="0" w:space="0" w:color="auto"/>
        <w:left w:val="none" w:sz="0" w:space="0" w:color="auto"/>
        <w:bottom w:val="none" w:sz="0" w:space="0" w:color="auto"/>
        <w:right w:val="none" w:sz="0" w:space="0" w:color="auto"/>
      </w:divBdr>
    </w:div>
    <w:div w:id="1567178816">
      <w:bodyDiv w:val="1"/>
      <w:marLeft w:val="0"/>
      <w:marRight w:val="0"/>
      <w:marTop w:val="0"/>
      <w:marBottom w:val="0"/>
      <w:divBdr>
        <w:top w:val="none" w:sz="0" w:space="0" w:color="auto"/>
        <w:left w:val="none" w:sz="0" w:space="0" w:color="auto"/>
        <w:bottom w:val="none" w:sz="0" w:space="0" w:color="auto"/>
        <w:right w:val="none" w:sz="0" w:space="0" w:color="auto"/>
      </w:divBdr>
    </w:div>
    <w:div w:id="1607079388">
      <w:bodyDiv w:val="1"/>
      <w:marLeft w:val="0"/>
      <w:marRight w:val="0"/>
      <w:marTop w:val="0"/>
      <w:marBottom w:val="0"/>
      <w:divBdr>
        <w:top w:val="none" w:sz="0" w:space="0" w:color="auto"/>
        <w:left w:val="none" w:sz="0" w:space="0" w:color="auto"/>
        <w:bottom w:val="none" w:sz="0" w:space="0" w:color="auto"/>
        <w:right w:val="none" w:sz="0" w:space="0" w:color="auto"/>
      </w:divBdr>
    </w:div>
    <w:div w:id="1638299733">
      <w:bodyDiv w:val="1"/>
      <w:marLeft w:val="0"/>
      <w:marRight w:val="0"/>
      <w:marTop w:val="0"/>
      <w:marBottom w:val="0"/>
      <w:divBdr>
        <w:top w:val="none" w:sz="0" w:space="0" w:color="auto"/>
        <w:left w:val="none" w:sz="0" w:space="0" w:color="auto"/>
        <w:bottom w:val="none" w:sz="0" w:space="0" w:color="auto"/>
        <w:right w:val="none" w:sz="0" w:space="0" w:color="auto"/>
      </w:divBdr>
    </w:div>
    <w:div w:id="1658460330">
      <w:bodyDiv w:val="1"/>
      <w:marLeft w:val="0"/>
      <w:marRight w:val="0"/>
      <w:marTop w:val="0"/>
      <w:marBottom w:val="0"/>
      <w:divBdr>
        <w:top w:val="none" w:sz="0" w:space="0" w:color="auto"/>
        <w:left w:val="none" w:sz="0" w:space="0" w:color="auto"/>
        <w:bottom w:val="none" w:sz="0" w:space="0" w:color="auto"/>
        <w:right w:val="none" w:sz="0" w:space="0" w:color="auto"/>
      </w:divBdr>
    </w:div>
    <w:div w:id="1659652395">
      <w:bodyDiv w:val="1"/>
      <w:marLeft w:val="0"/>
      <w:marRight w:val="0"/>
      <w:marTop w:val="0"/>
      <w:marBottom w:val="0"/>
      <w:divBdr>
        <w:top w:val="none" w:sz="0" w:space="0" w:color="auto"/>
        <w:left w:val="none" w:sz="0" w:space="0" w:color="auto"/>
        <w:bottom w:val="none" w:sz="0" w:space="0" w:color="auto"/>
        <w:right w:val="none" w:sz="0" w:space="0" w:color="auto"/>
      </w:divBdr>
    </w:div>
    <w:div w:id="1699045748">
      <w:bodyDiv w:val="1"/>
      <w:marLeft w:val="0"/>
      <w:marRight w:val="0"/>
      <w:marTop w:val="0"/>
      <w:marBottom w:val="0"/>
      <w:divBdr>
        <w:top w:val="none" w:sz="0" w:space="0" w:color="auto"/>
        <w:left w:val="none" w:sz="0" w:space="0" w:color="auto"/>
        <w:bottom w:val="none" w:sz="0" w:space="0" w:color="auto"/>
        <w:right w:val="none" w:sz="0" w:space="0" w:color="auto"/>
      </w:divBdr>
    </w:div>
    <w:div w:id="1748767091">
      <w:bodyDiv w:val="1"/>
      <w:marLeft w:val="0"/>
      <w:marRight w:val="0"/>
      <w:marTop w:val="0"/>
      <w:marBottom w:val="0"/>
      <w:divBdr>
        <w:top w:val="none" w:sz="0" w:space="0" w:color="auto"/>
        <w:left w:val="none" w:sz="0" w:space="0" w:color="auto"/>
        <w:bottom w:val="none" w:sz="0" w:space="0" w:color="auto"/>
        <w:right w:val="none" w:sz="0" w:space="0" w:color="auto"/>
      </w:divBdr>
    </w:div>
    <w:div w:id="1771046488">
      <w:bodyDiv w:val="1"/>
      <w:marLeft w:val="0"/>
      <w:marRight w:val="0"/>
      <w:marTop w:val="0"/>
      <w:marBottom w:val="0"/>
      <w:divBdr>
        <w:top w:val="none" w:sz="0" w:space="0" w:color="auto"/>
        <w:left w:val="none" w:sz="0" w:space="0" w:color="auto"/>
        <w:bottom w:val="none" w:sz="0" w:space="0" w:color="auto"/>
        <w:right w:val="none" w:sz="0" w:space="0" w:color="auto"/>
      </w:divBdr>
    </w:div>
    <w:div w:id="1774743259">
      <w:bodyDiv w:val="1"/>
      <w:marLeft w:val="0"/>
      <w:marRight w:val="0"/>
      <w:marTop w:val="0"/>
      <w:marBottom w:val="0"/>
      <w:divBdr>
        <w:top w:val="none" w:sz="0" w:space="0" w:color="auto"/>
        <w:left w:val="none" w:sz="0" w:space="0" w:color="auto"/>
        <w:bottom w:val="none" w:sz="0" w:space="0" w:color="auto"/>
        <w:right w:val="none" w:sz="0" w:space="0" w:color="auto"/>
      </w:divBdr>
    </w:div>
    <w:div w:id="1778216321">
      <w:bodyDiv w:val="1"/>
      <w:marLeft w:val="0"/>
      <w:marRight w:val="0"/>
      <w:marTop w:val="0"/>
      <w:marBottom w:val="0"/>
      <w:divBdr>
        <w:top w:val="none" w:sz="0" w:space="0" w:color="auto"/>
        <w:left w:val="none" w:sz="0" w:space="0" w:color="auto"/>
        <w:bottom w:val="none" w:sz="0" w:space="0" w:color="auto"/>
        <w:right w:val="none" w:sz="0" w:space="0" w:color="auto"/>
      </w:divBdr>
    </w:div>
    <w:div w:id="1787043924">
      <w:bodyDiv w:val="1"/>
      <w:marLeft w:val="0"/>
      <w:marRight w:val="0"/>
      <w:marTop w:val="0"/>
      <w:marBottom w:val="0"/>
      <w:divBdr>
        <w:top w:val="none" w:sz="0" w:space="0" w:color="auto"/>
        <w:left w:val="none" w:sz="0" w:space="0" w:color="auto"/>
        <w:bottom w:val="none" w:sz="0" w:space="0" w:color="auto"/>
        <w:right w:val="none" w:sz="0" w:space="0" w:color="auto"/>
      </w:divBdr>
    </w:div>
    <w:div w:id="1804812739">
      <w:bodyDiv w:val="1"/>
      <w:marLeft w:val="0"/>
      <w:marRight w:val="0"/>
      <w:marTop w:val="0"/>
      <w:marBottom w:val="0"/>
      <w:divBdr>
        <w:top w:val="none" w:sz="0" w:space="0" w:color="auto"/>
        <w:left w:val="none" w:sz="0" w:space="0" w:color="auto"/>
        <w:bottom w:val="none" w:sz="0" w:space="0" w:color="auto"/>
        <w:right w:val="none" w:sz="0" w:space="0" w:color="auto"/>
      </w:divBdr>
    </w:div>
    <w:div w:id="1853757520">
      <w:bodyDiv w:val="1"/>
      <w:marLeft w:val="0"/>
      <w:marRight w:val="0"/>
      <w:marTop w:val="0"/>
      <w:marBottom w:val="0"/>
      <w:divBdr>
        <w:top w:val="none" w:sz="0" w:space="0" w:color="auto"/>
        <w:left w:val="none" w:sz="0" w:space="0" w:color="auto"/>
        <w:bottom w:val="none" w:sz="0" w:space="0" w:color="auto"/>
        <w:right w:val="none" w:sz="0" w:space="0" w:color="auto"/>
      </w:divBdr>
    </w:div>
    <w:div w:id="1867403969">
      <w:bodyDiv w:val="1"/>
      <w:marLeft w:val="0"/>
      <w:marRight w:val="0"/>
      <w:marTop w:val="0"/>
      <w:marBottom w:val="0"/>
      <w:divBdr>
        <w:top w:val="none" w:sz="0" w:space="0" w:color="auto"/>
        <w:left w:val="none" w:sz="0" w:space="0" w:color="auto"/>
        <w:bottom w:val="none" w:sz="0" w:space="0" w:color="auto"/>
        <w:right w:val="none" w:sz="0" w:space="0" w:color="auto"/>
      </w:divBdr>
    </w:div>
    <w:div w:id="1887987018">
      <w:bodyDiv w:val="1"/>
      <w:marLeft w:val="0"/>
      <w:marRight w:val="0"/>
      <w:marTop w:val="0"/>
      <w:marBottom w:val="0"/>
      <w:divBdr>
        <w:top w:val="none" w:sz="0" w:space="0" w:color="auto"/>
        <w:left w:val="none" w:sz="0" w:space="0" w:color="auto"/>
        <w:bottom w:val="none" w:sz="0" w:space="0" w:color="auto"/>
        <w:right w:val="none" w:sz="0" w:space="0" w:color="auto"/>
      </w:divBdr>
    </w:div>
    <w:div w:id="1897861321">
      <w:bodyDiv w:val="1"/>
      <w:marLeft w:val="0"/>
      <w:marRight w:val="0"/>
      <w:marTop w:val="0"/>
      <w:marBottom w:val="0"/>
      <w:divBdr>
        <w:top w:val="none" w:sz="0" w:space="0" w:color="auto"/>
        <w:left w:val="none" w:sz="0" w:space="0" w:color="auto"/>
        <w:bottom w:val="none" w:sz="0" w:space="0" w:color="auto"/>
        <w:right w:val="none" w:sz="0" w:space="0" w:color="auto"/>
      </w:divBdr>
    </w:div>
    <w:div w:id="1923222426">
      <w:bodyDiv w:val="1"/>
      <w:marLeft w:val="0"/>
      <w:marRight w:val="0"/>
      <w:marTop w:val="0"/>
      <w:marBottom w:val="0"/>
      <w:divBdr>
        <w:top w:val="none" w:sz="0" w:space="0" w:color="auto"/>
        <w:left w:val="none" w:sz="0" w:space="0" w:color="auto"/>
        <w:bottom w:val="none" w:sz="0" w:space="0" w:color="auto"/>
        <w:right w:val="none" w:sz="0" w:space="0" w:color="auto"/>
      </w:divBdr>
    </w:div>
    <w:div w:id="1940066397">
      <w:bodyDiv w:val="1"/>
      <w:marLeft w:val="0"/>
      <w:marRight w:val="0"/>
      <w:marTop w:val="0"/>
      <w:marBottom w:val="0"/>
      <w:divBdr>
        <w:top w:val="none" w:sz="0" w:space="0" w:color="auto"/>
        <w:left w:val="none" w:sz="0" w:space="0" w:color="auto"/>
        <w:bottom w:val="none" w:sz="0" w:space="0" w:color="auto"/>
        <w:right w:val="none" w:sz="0" w:space="0" w:color="auto"/>
      </w:divBdr>
    </w:div>
    <w:div w:id="1943679969">
      <w:bodyDiv w:val="1"/>
      <w:marLeft w:val="0"/>
      <w:marRight w:val="0"/>
      <w:marTop w:val="0"/>
      <w:marBottom w:val="0"/>
      <w:divBdr>
        <w:top w:val="none" w:sz="0" w:space="0" w:color="auto"/>
        <w:left w:val="none" w:sz="0" w:space="0" w:color="auto"/>
        <w:bottom w:val="none" w:sz="0" w:space="0" w:color="auto"/>
        <w:right w:val="none" w:sz="0" w:space="0" w:color="auto"/>
      </w:divBdr>
    </w:div>
    <w:div w:id="1993751596">
      <w:bodyDiv w:val="1"/>
      <w:marLeft w:val="0"/>
      <w:marRight w:val="0"/>
      <w:marTop w:val="0"/>
      <w:marBottom w:val="0"/>
      <w:divBdr>
        <w:top w:val="none" w:sz="0" w:space="0" w:color="auto"/>
        <w:left w:val="none" w:sz="0" w:space="0" w:color="auto"/>
        <w:bottom w:val="none" w:sz="0" w:space="0" w:color="auto"/>
        <w:right w:val="none" w:sz="0" w:space="0" w:color="auto"/>
      </w:divBdr>
    </w:div>
    <w:div w:id="1996912169">
      <w:bodyDiv w:val="1"/>
      <w:marLeft w:val="0"/>
      <w:marRight w:val="0"/>
      <w:marTop w:val="0"/>
      <w:marBottom w:val="0"/>
      <w:divBdr>
        <w:top w:val="none" w:sz="0" w:space="0" w:color="auto"/>
        <w:left w:val="none" w:sz="0" w:space="0" w:color="auto"/>
        <w:bottom w:val="none" w:sz="0" w:space="0" w:color="auto"/>
        <w:right w:val="none" w:sz="0" w:space="0" w:color="auto"/>
      </w:divBdr>
    </w:div>
    <w:div w:id="2013409793">
      <w:bodyDiv w:val="1"/>
      <w:marLeft w:val="0"/>
      <w:marRight w:val="0"/>
      <w:marTop w:val="0"/>
      <w:marBottom w:val="0"/>
      <w:divBdr>
        <w:top w:val="none" w:sz="0" w:space="0" w:color="auto"/>
        <w:left w:val="none" w:sz="0" w:space="0" w:color="auto"/>
        <w:bottom w:val="none" w:sz="0" w:space="0" w:color="auto"/>
        <w:right w:val="none" w:sz="0" w:space="0" w:color="auto"/>
      </w:divBdr>
    </w:div>
    <w:div w:id="2019041916">
      <w:bodyDiv w:val="1"/>
      <w:marLeft w:val="0"/>
      <w:marRight w:val="0"/>
      <w:marTop w:val="0"/>
      <w:marBottom w:val="0"/>
      <w:divBdr>
        <w:top w:val="none" w:sz="0" w:space="0" w:color="auto"/>
        <w:left w:val="none" w:sz="0" w:space="0" w:color="auto"/>
        <w:bottom w:val="none" w:sz="0" w:space="0" w:color="auto"/>
        <w:right w:val="none" w:sz="0" w:space="0" w:color="auto"/>
      </w:divBdr>
    </w:div>
    <w:div w:id="2027173845">
      <w:bodyDiv w:val="1"/>
      <w:marLeft w:val="0"/>
      <w:marRight w:val="0"/>
      <w:marTop w:val="0"/>
      <w:marBottom w:val="0"/>
      <w:divBdr>
        <w:top w:val="none" w:sz="0" w:space="0" w:color="auto"/>
        <w:left w:val="none" w:sz="0" w:space="0" w:color="auto"/>
        <w:bottom w:val="none" w:sz="0" w:space="0" w:color="auto"/>
        <w:right w:val="none" w:sz="0" w:space="0" w:color="auto"/>
      </w:divBdr>
    </w:div>
    <w:div w:id="2036732641">
      <w:bodyDiv w:val="1"/>
      <w:marLeft w:val="0"/>
      <w:marRight w:val="0"/>
      <w:marTop w:val="0"/>
      <w:marBottom w:val="0"/>
      <w:divBdr>
        <w:top w:val="none" w:sz="0" w:space="0" w:color="auto"/>
        <w:left w:val="none" w:sz="0" w:space="0" w:color="auto"/>
        <w:bottom w:val="none" w:sz="0" w:space="0" w:color="auto"/>
        <w:right w:val="none" w:sz="0" w:space="0" w:color="auto"/>
      </w:divBdr>
    </w:div>
    <w:div w:id="2050107171">
      <w:bodyDiv w:val="1"/>
      <w:marLeft w:val="0"/>
      <w:marRight w:val="0"/>
      <w:marTop w:val="0"/>
      <w:marBottom w:val="0"/>
      <w:divBdr>
        <w:top w:val="none" w:sz="0" w:space="0" w:color="auto"/>
        <w:left w:val="none" w:sz="0" w:space="0" w:color="auto"/>
        <w:bottom w:val="none" w:sz="0" w:space="0" w:color="auto"/>
        <w:right w:val="none" w:sz="0" w:space="0" w:color="auto"/>
      </w:divBdr>
    </w:div>
    <w:div w:id="21090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6998-65A0-4085-A500-57833F00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2292</Words>
  <Characters>12607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Secretaria de Concejo</cp:lastModifiedBy>
  <cp:revision>11</cp:revision>
  <cp:lastPrinted>2017-03-31T20:35:00Z</cp:lastPrinted>
  <dcterms:created xsi:type="dcterms:W3CDTF">2017-03-22T16:31:00Z</dcterms:created>
  <dcterms:modified xsi:type="dcterms:W3CDTF">2017-04-04T15:03:00Z</dcterms:modified>
</cp:coreProperties>
</file>