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00" w:rsidRPr="00594A0A" w:rsidRDefault="005C4100" w:rsidP="00594A0A">
      <w:pPr>
        <w:suppressAutoHyphens/>
        <w:spacing w:after="0" w:line="240" w:lineRule="auto"/>
        <w:jc w:val="center"/>
        <w:rPr>
          <w:rFonts w:ascii="Century Gothic" w:eastAsia="Palatino Linotype" w:hAnsi="Century Gothic" w:cs="Tahoma"/>
          <w:b/>
          <w:sz w:val="20"/>
          <w:szCs w:val="20"/>
          <w:lang w:eastAsia="ar-SA"/>
        </w:rPr>
      </w:pPr>
      <w:r w:rsidRPr="00594A0A">
        <w:rPr>
          <w:rFonts w:ascii="Century Gothic" w:eastAsia="Palatino Linotype" w:hAnsi="Century Gothic" w:cs="Tahoma"/>
          <w:b/>
          <w:sz w:val="20"/>
          <w:szCs w:val="20"/>
          <w:lang w:eastAsia="ar-SA"/>
        </w:rPr>
        <w:t>EXPOSICION DE MOTIVOS</w:t>
      </w:r>
    </w:p>
    <w:p w:rsidR="0078158B" w:rsidRPr="00594A0A" w:rsidRDefault="0078158B" w:rsidP="00594A0A">
      <w:pPr>
        <w:suppressAutoHyphens/>
        <w:spacing w:after="0" w:line="240" w:lineRule="auto"/>
        <w:jc w:val="both"/>
        <w:rPr>
          <w:rFonts w:ascii="Century Gothic" w:eastAsia="Palatino Linotype" w:hAnsi="Century Gothic" w:cs="Tahoma"/>
          <w:sz w:val="20"/>
          <w:szCs w:val="20"/>
          <w:lang w:eastAsia="ar-SA"/>
        </w:rPr>
      </w:pPr>
    </w:p>
    <w:p w:rsidR="005C4100" w:rsidRPr="00594A0A" w:rsidRDefault="005C4100" w:rsidP="00594A0A">
      <w:pPr>
        <w:suppressAutoHyphens/>
        <w:spacing w:after="0" w:line="240" w:lineRule="auto"/>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El artículo 425 de la Constitución de la República del Ecuador, en cuanto se refiere a la supremacía de la Constitución, textualmente señala: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p>
    <w:p w:rsidR="005C4100" w:rsidRPr="00594A0A" w:rsidRDefault="005C4100" w:rsidP="00594A0A">
      <w:pPr>
        <w:suppressAutoHyphens/>
        <w:spacing w:after="0" w:line="240" w:lineRule="auto"/>
        <w:jc w:val="both"/>
        <w:rPr>
          <w:rFonts w:ascii="Century Gothic" w:eastAsia="Palatino Linotype" w:hAnsi="Century Gothic" w:cs="Tahoma"/>
          <w:sz w:val="20"/>
          <w:szCs w:val="20"/>
          <w:lang w:eastAsia="ar-SA"/>
        </w:rPr>
      </w:pPr>
    </w:p>
    <w:p w:rsidR="00CF7A47" w:rsidRDefault="00C1377E" w:rsidP="00594A0A">
      <w:pPr>
        <w:suppressAutoHyphens/>
        <w:spacing w:after="0" w:line="240" w:lineRule="auto"/>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El artículo 424 del Código Orgánico de Organización Territorial, Autonomía y Descentralización (</w:t>
      </w:r>
      <w:r w:rsidR="004010B2" w:rsidRPr="00594A0A">
        <w:rPr>
          <w:rFonts w:ascii="Century Gothic" w:eastAsia="Palatino Linotype" w:hAnsi="Century Gothic" w:cs="Tahoma"/>
          <w:sz w:val="20"/>
          <w:szCs w:val="20"/>
          <w:lang w:eastAsia="ar-SA"/>
        </w:rPr>
        <w:t>COOTAD</w:t>
      </w:r>
      <w:r w:rsidRPr="00594A0A">
        <w:rPr>
          <w:rFonts w:ascii="Century Gothic" w:eastAsia="Palatino Linotype" w:hAnsi="Century Gothic" w:cs="Tahoma"/>
          <w:sz w:val="20"/>
          <w:szCs w:val="20"/>
          <w:lang w:eastAsia="ar-SA"/>
        </w:rPr>
        <w:t xml:space="preserve">) publicado en el </w:t>
      </w:r>
      <w:r w:rsidR="007110B3">
        <w:rPr>
          <w:rFonts w:ascii="Century Gothic" w:eastAsia="Palatino Linotype" w:hAnsi="Century Gothic" w:cs="Tahoma"/>
          <w:sz w:val="20"/>
          <w:szCs w:val="20"/>
          <w:lang w:eastAsia="ar-SA"/>
        </w:rPr>
        <w:t>suplemento del R</w:t>
      </w:r>
      <w:r w:rsidRPr="00594A0A">
        <w:rPr>
          <w:rFonts w:ascii="Century Gothic" w:eastAsia="Palatino Linotype" w:hAnsi="Century Gothic" w:cs="Tahoma"/>
          <w:sz w:val="20"/>
          <w:szCs w:val="20"/>
          <w:lang w:eastAsia="ar-SA"/>
        </w:rPr>
        <w:t xml:space="preserve">egistro Oficial No. 303 de 19 de octubre de 2010, </w:t>
      </w:r>
      <w:r w:rsidR="00CF7A47">
        <w:rPr>
          <w:rFonts w:ascii="Century Gothic" w:eastAsia="Palatino Linotype" w:hAnsi="Century Gothic" w:cs="Tahoma"/>
          <w:sz w:val="20"/>
          <w:szCs w:val="20"/>
          <w:lang w:eastAsia="ar-SA"/>
        </w:rPr>
        <w:t xml:space="preserve">se sustituyó </w:t>
      </w:r>
      <w:r w:rsidR="009F0437">
        <w:rPr>
          <w:rFonts w:ascii="Century Gothic" w:eastAsia="Palatino Linotype" w:hAnsi="Century Gothic" w:cs="Tahoma"/>
          <w:sz w:val="20"/>
          <w:szCs w:val="20"/>
          <w:lang w:eastAsia="ar-SA"/>
        </w:rPr>
        <w:t>por</w:t>
      </w:r>
      <w:r w:rsidR="00CF7A47">
        <w:rPr>
          <w:rFonts w:ascii="Century Gothic" w:eastAsia="Palatino Linotype" w:hAnsi="Century Gothic" w:cs="Tahoma"/>
          <w:sz w:val="20"/>
          <w:szCs w:val="20"/>
          <w:lang w:eastAsia="ar-SA"/>
        </w:rPr>
        <w:t xml:space="preserve"> </w:t>
      </w:r>
      <w:r w:rsidR="009F0437">
        <w:rPr>
          <w:rFonts w:ascii="Century Gothic" w:eastAsia="Palatino Linotype" w:hAnsi="Century Gothic" w:cs="Tahoma"/>
          <w:sz w:val="20"/>
          <w:szCs w:val="20"/>
          <w:lang w:eastAsia="ar-SA"/>
        </w:rPr>
        <w:t xml:space="preserve">el </w:t>
      </w:r>
      <w:r w:rsidR="00CF7A47">
        <w:rPr>
          <w:rFonts w:ascii="Century Gothic" w:eastAsia="Palatino Linotype" w:hAnsi="Century Gothic" w:cs="Tahoma"/>
          <w:sz w:val="20"/>
          <w:szCs w:val="20"/>
          <w:lang w:eastAsia="ar-SA"/>
        </w:rPr>
        <w:t xml:space="preserve">artículo 32 por la Ley Orgánica reformatoria al Código Orgánico de </w:t>
      </w:r>
      <w:r w:rsidR="007A235B">
        <w:rPr>
          <w:rFonts w:ascii="Century Gothic" w:eastAsia="Palatino Linotype" w:hAnsi="Century Gothic" w:cs="Tahoma"/>
          <w:sz w:val="20"/>
          <w:szCs w:val="20"/>
          <w:lang w:eastAsia="ar-SA"/>
        </w:rPr>
        <w:t>Organización Territorial</w:t>
      </w:r>
      <w:r w:rsidR="00CF7A47">
        <w:rPr>
          <w:rFonts w:ascii="Century Gothic" w:eastAsia="Palatino Linotype" w:hAnsi="Century Gothic" w:cs="Tahoma"/>
          <w:sz w:val="20"/>
          <w:szCs w:val="20"/>
          <w:lang w:eastAsia="ar-SA"/>
        </w:rPr>
        <w:t xml:space="preserve">, Autonomía y Descentralización, constante en el </w:t>
      </w:r>
      <w:r w:rsidR="007110B3">
        <w:rPr>
          <w:rFonts w:ascii="Century Gothic" w:eastAsia="Palatino Linotype" w:hAnsi="Century Gothic" w:cs="Tahoma"/>
          <w:sz w:val="20"/>
          <w:szCs w:val="20"/>
          <w:lang w:eastAsia="ar-SA"/>
        </w:rPr>
        <w:t xml:space="preserve">suplemento del </w:t>
      </w:r>
      <w:r w:rsidR="00CF7A47">
        <w:rPr>
          <w:rFonts w:ascii="Century Gothic" w:eastAsia="Palatino Linotype" w:hAnsi="Century Gothic" w:cs="Tahoma"/>
          <w:sz w:val="20"/>
          <w:szCs w:val="20"/>
          <w:lang w:eastAsia="ar-SA"/>
        </w:rPr>
        <w:t>Registro Oficial No. 166 de 21 de enero de 2014.</w:t>
      </w:r>
    </w:p>
    <w:p w:rsidR="00CF7A47" w:rsidRDefault="00CF7A47" w:rsidP="00594A0A">
      <w:pPr>
        <w:suppressAutoHyphens/>
        <w:spacing w:after="0" w:line="240" w:lineRule="auto"/>
        <w:jc w:val="both"/>
        <w:rPr>
          <w:rFonts w:ascii="Century Gothic" w:eastAsia="Palatino Linotype" w:hAnsi="Century Gothic" w:cs="Tahoma"/>
          <w:sz w:val="20"/>
          <w:szCs w:val="20"/>
          <w:lang w:eastAsia="ar-SA"/>
        </w:rPr>
      </w:pPr>
    </w:p>
    <w:p w:rsidR="00D8674F" w:rsidRDefault="00CF7A47" w:rsidP="00594A0A">
      <w:pPr>
        <w:suppressAutoHyphens/>
        <w:spacing w:after="0" w:line="240" w:lineRule="auto"/>
        <w:jc w:val="both"/>
        <w:rPr>
          <w:rFonts w:ascii="Century Gothic" w:eastAsia="Palatino Linotype" w:hAnsi="Century Gothic" w:cs="Tahoma"/>
          <w:sz w:val="20"/>
          <w:szCs w:val="20"/>
          <w:lang w:eastAsia="ar-SA"/>
        </w:rPr>
      </w:pPr>
      <w:r>
        <w:rPr>
          <w:rFonts w:ascii="Century Gothic" w:eastAsia="Palatino Linotype" w:hAnsi="Century Gothic" w:cs="Tahoma"/>
          <w:sz w:val="20"/>
          <w:szCs w:val="20"/>
          <w:lang w:eastAsia="ar-SA"/>
        </w:rPr>
        <w:t xml:space="preserve">Posteriormente </w:t>
      </w:r>
      <w:r w:rsidR="007110B3">
        <w:rPr>
          <w:rFonts w:ascii="Century Gothic" w:eastAsia="Palatino Linotype" w:hAnsi="Century Gothic" w:cs="Tahoma"/>
          <w:sz w:val="20"/>
          <w:szCs w:val="20"/>
          <w:lang w:eastAsia="ar-SA"/>
        </w:rPr>
        <w:t>m</w:t>
      </w:r>
      <w:r w:rsidR="00D8674F">
        <w:rPr>
          <w:rFonts w:ascii="Century Gothic" w:eastAsia="Palatino Linotype" w:hAnsi="Century Gothic" w:cs="Tahoma"/>
          <w:sz w:val="20"/>
          <w:szCs w:val="20"/>
          <w:lang w:eastAsia="ar-SA"/>
        </w:rPr>
        <w:t xml:space="preserve">ediante </w:t>
      </w:r>
      <w:r w:rsidR="007110B3">
        <w:rPr>
          <w:rFonts w:ascii="Century Gothic" w:eastAsia="Palatino Linotype" w:hAnsi="Century Gothic" w:cs="Tahoma"/>
          <w:sz w:val="20"/>
          <w:szCs w:val="20"/>
          <w:lang w:eastAsia="ar-SA"/>
        </w:rPr>
        <w:t xml:space="preserve">el </w:t>
      </w:r>
      <w:r w:rsidR="007110B3" w:rsidRPr="002F30E8">
        <w:rPr>
          <w:rFonts w:ascii="Century Gothic" w:eastAsia="Palatino Linotype" w:hAnsi="Century Gothic" w:cs="Tahoma"/>
          <w:sz w:val="20"/>
          <w:szCs w:val="20"/>
          <w:highlight w:val="yellow"/>
          <w:lang w:eastAsia="ar-SA"/>
        </w:rPr>
        <w:t>suplemento</w:t>
      </w:r>
      <w:r w:rsidR="007110B3">
        <w:rPr>
          <w:rFonts w:ascii="Century Gothic" w:eastAsia="Palatino Linotype" w:hAnsi="Century Gothic" w:cs="Tahoma"/>
          <w:sz w:val="20"/>
          <w:szCs w:val="20"/>
          <w:lang w:eastAsia="ar-SA"/>
        </w:rPr>
        <w:t xml:space="preserve"> del </w:t>
      </w:r>
      <w:r w:rsidR="00D8674F">
        <w:rPr>
          <w:rFonts w:ascii="Century Gothic" w:eastAsia="Palatino Linotype" w:hAnsi="Century Gothic" w:cs="Tahoma"/>
          <w:sz w:val="20"/>
          <w:szCs w:val="20"/>
          <w:lang w:eastAsia="ar-SA"/>
        </w:rPr>
        <w:t>Registro Oficial No. 711 de 14 de marzo de 201</w:t>
      </w:r>
      <w:r w:rsidR="009F0437">
        <w:rPr>
          <w:rFonts w:ascii="Century Gothic" w:eastAsia="Palatino Linotype" w:hAnsi="Century Gothic" w:cs="Tahoma"/>
          <w:sz w:val="20"/>
          <w:szCs w:val="20"/>
          <w:lang w:eastAsia="ar-SA"/>
        </w:rPr>
        <w:t>6</w:t>
      </w:r>
      <w:r w:rsidR="00D8674F">
        <w:rPr>
          <w:rFonts w:ascii="Century Gothic" w:eastAsia="Palatino Linotype" w:hAnsi="Century Gothic" w:cs="Tahoma"/>
          <w:sz w:val="20"/>
          <w:szCs w:val="20"/>
          <w:lang w:eastAsia="ar-SA"/>
        </w:rPr>
        <w:t xml:space="preserve">, se promulga la Ley Orgánica de Tierras Rurales y Territorios Ancestrales, en </w:t>
      </w:r>
      <w:r w:rsidR="009F0437">
        <w:rPr>
          <w:rFonts w:ascii="Century Gothic" w:eastAsia="Palatino Linotype" w:hAnsi="Century Gothic" w:cs="Tahoma"/>
          <w:sz w:val="20"/>
          <w:szCs w:val="20"/>
          <w:lang w:eastAsia="ar-SA"/>
        </w:rPr>
        <w:t xml:space="preserve">cuya </w:t>
      </w:r>
      <w:r w:rsidR="007A235B">
        <w:rPr>
          <w:rFonts w:ascii="Century Gothic" w:eastAsia="Palatino Linotype" w:hAnsi="Century Gothic" w:cs="Tahoma"/>
          <w:sz w:val="20"/>
          <w:szCs w:val="20"/>
          <w:lang w:eastAsia="ar-SA"/>
        </w:rPr>
        <w:t>disposición Primera</w:t>
      </w:r>
      <w:r w:rsidR="00D8674F">
        <w:rPr>
          <w:rFonts w:ascii="Century Gothic" w:eastAsia="Palatino Linotype" w:hAnsi="Century Gothic" w:cs="Tahoma"/>
          <w:sz w:val="20"/>
          <w:szCs w:val="20"/>
          <w:lang w:eastAsia="ar-SA"/>
        </w:rPr>
        <w:t xml:space="preserve"> reformatoria, se </w:t>
      </w:r>
      <w:r w:rsidR="009F0437">
        <w:rPr>
          <w:rFonts w:ascii="Century Gothic" w:eastAsia="Palatino Linotype" w:hAnsi="Century Gothic" w:cs="Tahoma"/>
          <w:sz w:val="20"/>
          <w:szCs w:val="20"/>
          <w:lang w:eastAsia="ar-SA"/>
        </w:rPr>
        <w:t xml:space="preserve">modifica </w:t>
      </w:r>
      <w:r w:rsidR="00D8674F">
        <w:rPr>
          <w:rFonts w:ascii="Century Gothic" w:eastAsia="Palatino Linotype" w:hAnsi="Century Gothic" w:cs="Tahoma"/>
          <w:sz w:val="20"/>
          <w:szCs w:val="20"/>
          <w:lang w:eastAsia="ar-SA"/>
        </w:rPr>
        <w:t xml:space="preserve">el inciso primero del artículo 424 del Código </w:t>
      </w:r>
      <w:r w:rsidR="009F0437">
        <w:rPr>
          <w:rFonts w:ascii="Century Gothic" w:eastAsia="Palatino Linotype" w:hAnsi="Century Gothic" w:cs="Tahoma"/>
          <w:sz w:val="20"/>
          <w:szCs w:val="20"/>
          <w:lang w:eastAsia="ar-SA"/>
        </w:rPr>
        <w:t>O</w:t>
      </w:r>
      <w:r w:rsidR="00D8674F">
        <w:rPr>
          <w:rFonts w:ascii="Century Gothic" w:eastAsia="Palatino Linotype" w:hAnsi="Century Gothic" w:cs="Tahoma"/>
          <w:sz w:val="20"/>
          <w:szCs w:val="20"/>
          <w:lang w:eastAsia="ar-SA"/>
        </w:rPr>
        <w:t>rgánico de Organización Territorial, Autonomía y Descentralización (COOTAD)</w:t>
      </w:r>
      <w:r w:rsidR="00FD4CBA">
        <w:rPr>
          <w:rFonts w:ascii="Century Gothic" w:eastAsia="Palatino Linotype" w:hAnsi="Century Gothic" w:cs="Tahoma"/>
          <w:sz w:val="20"/>
          <w:szCs w:val="20"/>
          <w:lang w:eastAsia="ar-SA"/>
        </w:rPr>
        <w:t>.</w:t>
      </w:r>
    </w:p>
    <w:p w:rsidR="004010B2" w:rsidRPr="00594A0A" w:rsidRDefault="00C1377E" w:rsidP="00594A0A">
      <w:pPr>
        <w:suppressAutoHyphens/>
        <w:spacing w:after="0" w:line="240" w:lineRule="auto"/>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 xml:space="preserve"> </w:t>
      </w:r>
    </w:p>
    <w:p w:rsidR="00ED2806" w:rsidRDefault="00D8674F" w:rsidP="00ED2806">
      <w:pPr>
        <w:suppressAutoHyphens/>
        <w:spacing w:after="0" w:line="240" w:lineRule="auto"/>
        <w:jc w:val="both"/>
        <w:rPr>
          <w:rFonts w:ascii="Century Gothic" w:eastAsia="Palatino Linotype" w:hAnsi="Century Gothic" w:cs="Tahoma"/>
          <w:sz w:val="20"/>
          <w:szCs w:val="20"/>
          <w:lang w:eastAsia="ar-SA"/>
        </w:rPr>
      </w:pPr>
      <w:r>
        <w:rPr>
          <w:rFonts w:ascii="Century Gothic" w:eastAsia="Palatino Linotype" w:hAnsi="Century Gothic" w:cs="Tahoma"/>
          <w:sz w:val="20"/>
          <w:szCs w:val="20"/>
          <w:lang w:eastAsia="ar-SA"/>
        </w:rPr>
        <w:t xml:space="preserve">Mediante </w:t>
      </w:r>
      <w:r w:rsidR="007110B3">
        <w:rPr>
          <w:rFonts w:ascii="Century Gothic" w:eastAsia="Palatino Linotype" w:hAnsi="Century Gothic" w:cs="Tahoma"/>
          <w:sz w:val="20"/>
          <w:szCs w:val="20"/>
          <w:lang w:eastAsia="ar-SA"/>
        </w:rPr>
        <w:t xml:space="preserve">el </w:t>
      </w:r>
      <w:r w:rsidR="007110B3" w:rsidRPr="002F30E8">
        <w:rPr>
          <w:rFonts w:ascii="Century Gothic" w:eastAsia="Palatino Linotype" w:hAnsi="Century Gothic" w:cs="Tahoma"/>
          <w:sz w:val="20"/>
          <w:szCs w:val="20"/>
          <w:highlight w:val="yellow"/>
          <w:lang w:eastAsia="ar-SA"/>
        </w:rPr>
        <w:t>suplemento</w:t>
      </w:r>
      <w:r w:rsidR="007110B3">
        <w:rPr>
          <w:rFonts w:ascii="Century Gothic" w:eastAsia="Palatino Linotype" w:hAnsi="Century Gothic" w:cs="Tahoma"/>
          <w:sz w:val="20"/>
          <w:szCs w:val="20"/>
          <w:lang w:eastAsia="ar-SA"/>
        </w:rPr>
        <w:t xml:space="preserve"> del </w:t>
      </w:r>
      <w:r>
        <w:rPr>
          <w:rFonts w:ascii="Century Gothic" w:eastAsia="Palatino Linotype" w:hAnsi="Century Gothic" w:cs="Tahoma"/>
          <w:sz w:val="20"/>
          <w:szCs w:val="20"/>
          <w:lang w:eastAsia="ar-SA"/>
        </w:rPr>
        <w:t xml:space="preserve">Registro Oficial No. 790 de 5 de julio de 2016, se </w:t>
      </w:r>
      <w:r w:rsidR="00ED2806">
        <w:rPr>
          <w:rFonts w:ascii="Century Gothic" w:eastAsia="Palatino Linotype" w:hAnsi="Century Gothic" w:cs="Tahoma"/>
          <w:sz w:val="20"/>
          <w:szCs w:val="20"/>
          <w:lang w:eastAsia="ar-SA"/>
        </w:rPr>
        <w:t>promulga</w:t>
      </w:r>
      <w:r>
        <w:rPr>
          <w:rFonts w:ascii="Century Gothic" w:eastAsia="Palatino Linotype" w:hAnsi="Century Gothic" w:cs="Tahoma"/>
          <w:sz w:val="20"/>
          <w:szCs w:val="20"/>
          <w:lang w:eastAsia="ar-SA"/>
        </w:rPr>
        <w:t xml:space="preserve"> la Ley Orgánica de </w:t>
      </w:r>
      <w:r w:rsidR="00ED2806">
        <w:rPr>
          <w:rFonts w:ascii="Century Gothic" w:eastAsia="Palatino Linotype" w:hAnsi="Century Gothic" w:cs="Tahoma"/>
          <w:sz w:val="20"/>
          <w:szCs w:val="20"/>
          <w:lang w:eastAsia="ar-SA"/>
        </w:rPr>
        <w:t xml:space="preserve">Ordenamiento Territorial, Uso y Gestión de Suelo, en la cual en la disposición reformatoria primera en el numeral cuarto se sustituye el artículo 424 del Código </w:t>
      </w:r>
      <w:r w:rsidR="009F0437">
        <w:rPr>
          <w:rFonts w:ascii="Century Gothic" w:eastAsia="Palatino Linotype" w:hAnsi="Century Gothic" w:cs="Tahoma"/>
          <w:sz w:val="20"/>
          <w:szCs w:val="20"/>
          <w:lang w:eastAsia="ar-SA"/>
        </w:rPr>
        <w:t>O</w:t>
      </w:r>
      <w:r w:rsidR="00ED2806">
        <w:rPr>
          <w:rFonts w:ascii="Century Gothic" w:eastAsia="Palatino Linotype" w:hAnsi="Century Gothic" w:cs="Tahoma"/>
          <w:sz w:val="20"/>
          <w:szCs w:val="20"/>
          <w:lang w:eastAsia="ar-SA"/>
        </w:rPr>
        <w:t>rgánico de Organización Territorial, Autonomía y Descentralización (COOTAD)</w:t>
      </w:r>
      <w:r w:rsidR="00FD4CBA">
        <w:rPr>
          <w:rFonts w:ascii="Century Gothic" w:eastAsia="Palatino Linotype" w:hAnsi="Century Gothic" w:cs="Tahoma"/>
          <w:sz w:val="20"/>
          <w:szCs w:val="20"/>
          <w:lang w:eastAsia="ar-SA"/>
        </w:rPr>
        <w:t>.</w:t>
      </w:r>
      <w:r w:rsidR="00ED2806">
        <w:rPr>
          <w:rFonts w:ascii="Century Gothic" w:eastAsia="Palatino Linotype" w:hAnsi="Century Gothic" w:cs="Tahoma"/>
          <w:sz w:val="20"/>
          <w:szCs w:val="20"/>
          <w:lang w:eastAsia="ar-SA"/>
        </w:rPr>
        <w:t xml:space="preserve"> </w:t>
      </w:r>
    </w:p>
    <w:p w:rsidR="00ED2806" w:rsidRDefault="00ED2806" w:rsidP="00594A0A">
      <w:pPr>
        <w:suppressAutoHyphens/>
        <w:spacing w:after="0" w:line="240" w:lineRule="auto"/>
        <w:jc w:val="both"/>
        <w:rPr>
          <w:rFonts w:ascii="Century Gothic" w:eastAsia="Palatino Linotype" w:hAnsi="Century Gothic" w:cs="Tahoma"/>
          <w:sz w:val="20"/>
          <w:szCs w:val="20"/>
          <w:lang w:eastAsia="ar-SA"/>
        </w:rPr>
      </w:pPr>
    </w:p>
    <w:p w:rsidR="005C4100" w:rsidRPr="00594A0A" w:rsidRDefault="005C4100" w:rsidP="00594A0A">
      <w:pPr>
        <w:suppressAutoHyphens/>
        <w:spacing w:after="0" w:line="240" w:lineRule="auto"/>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 xml:space="preserve">El literal a) del numeral uno del artículo 77 de la Ordenanza Metropolitana 172 establece </w:t>
      </w:r>
      <w:r w:rsidR="007A235B" w:rsidRPr="00594A0A">
        <w:rPr>
          <w:rFonts w:ascii="Century Gothic" w:eastAsia="Palatino Linotype" w:hAnsi="Century Gothic" w:cs="Tahoma"/>
          <w:sz w:val="20"/>
          <w:szCs w:val="20"/>
          <w:lang w:eastAsia="ar-SA"/>
        </w:rPr>
        <w:t>que,</w:t>
      </w:r>
      <w:r w:rsidRPr="00594A0A">
        <w:rPr>
          <w:rFonts w:ascii="Century Gothic" w:eastAsia="Palatino Linotype" w:hAnsi="Century Gothic" w:cs="Tahoma"/>
          <w:sz w:val="20"/>
          <w:szCs w:val="20"/>
          <w:lang w:eastAsia="ar-SA"/>
        </w:rPr>
        <w:t xml:space="preserve"> en subdivisiones, en suelo urbano de expansión urbana y rural, el área verde no será inferior al 10% del área útil urbanizable del terreno a dividirse; y,  </w:t>
      </w:r>
    </w:p>
    <w:p w:rsidR="005C4100" w:rsidRPr="00594A0A" w:rsidRDefault="005C4100" w:rsidP="00594A0A">
      <w:pPr>
        <w:suppressAutoHyphens/>
        <w:spacing w:after="0" w:line="240" w:lineRule="auto"/>
        <w:jc w:val="both"/>
        <w:rPr>
          <w:rFonts w:ascii="Century Gothic" w:eastAsia="Palatino Linotype" w:hAnsi="Century Gothic" w:cs="Tahoma"/>
          <w:sz w:val="20"/>
          <w:szCs w:val="20"/>
          <w:lang w:eastAsia="ar-SA"/>
        </w:rPr>
      </w:pPr>
    </w:p>
    <w:p w:rsidR="005C4100" w:rsidRPr="00594A0A" w:rsidRDefault="005C4100" w:rsidP="00594A0A">
      <w:pPr>
        <w:suppressAutoHyphens/>
        <w:spacing w:after="0" w:line="240" w:lineRule="auto"/>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 xml:space="preserve">El literal b) del mismo artículo señala que en urbanizaciones, a más del 10% del área útil urbanizable, se entregará un 3% adicional de la misma superficie para áreas de equipamiento comunal de servicios sociales y públicos. </w:t>
      </w:r>
    </w:p>
    <w:p w:rsidR="005C4100" w:rsidRPr="00594A0A" w:rsidRDefault="005C4100" w:rsidP="00594A0A">
      <w:pPr>
        <w:suppressAutoHyphens/>
        <w:spacing w:after="0" w:line="240" w:lineRule="auto"/>
        <w:jc w:val="both"/>
        <w:rPr>
          <w:rFonts w:ascii="Century Gothic" w:eastAsia="Palatino Linotype" w:hAnsi="Century Gothic" w:cs="Tahoma"/>
          <w:sz w:val="20"/>
          <w:szCs w:val="20"/>
          <w:lang w:eastAsia="ar-SA"/>
        </w:rPr>
      </w:pPr>
    </w:p>
    <w:p w:rsidR="005C4100" w:rsidRPr="00594A0A" w:rsidRDefault="005C4100" w:rsidP="00594A0A">
      <w:pPr>
        <w:suppressAutoHyphens/>
        <w:spacing w:after="0" w:line="240" w:lineRule="auto"/>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 xml:space="preserve">El numeral uno del artículo 79 de la Ordenanza Metropolitana 172, establece </w:t>
      </w:r>
      <w:r w:rsidR="007A235B" w:rsidRPr="00594A0A">
        <w:rPr>
          <w:rFonts w:ascii="Century Gothic" w:eastAsia="Palatino Linotype" w:hAnsi="Century Gothic" w:cs="Tahoma"/>
          <w:sz w:val="20"/>
          <w:szCs w:val="20"/>
          <w:lang w:eastAsia="ar-SA"/>
        </w:rPr>
        <w:t>que cuando</w:t>
      </w:r>
      <w:r w:rsidRPr="00594A0A">
        <w:rPr>
          <w:rFonts w:ascii="Century Gothic" w:eastAsia="Palatino Linotype" w:hAnsi="Century Gothic" w:cs="Tahoma"/>
          <w:sz w:val="20"/>
          <w:szCs w:val="20"/>
          <w:lang w:eastAsia="ar-SA"/>
        </w:rPr>
        <w:t xml:space="preserve"> el 10% del área útil del predio sea inferior a la asignación mínima del lote que establezca la zonificación del sector, se entregará el valor monetario correspondiente al 5% del valor del área útil del lote a subdividirse.</w:t>
      </w:r>
    </w:p>
    <w:p w:rsidR="00B27EDB" w:rsidRDefault="00B27EDB" w:rsidP="00594A0A">
      <w:pPr>
        <w:suppressAutoHyphens/>
        <w:spacing w:after="0" w:line="240" w:lineRule="auto"/>
        <w:jc w:val="both"/>
        <w:rPr>
          <w:rFonts w:ascii="Century Gothic" w:eastAsia="Palatino Linotype" w:hAnsi="Century Gothic" w:cs="Tahoma"/>
          <w:sz w:val="20"/>
          <w:szCs w:val="20"/>
          <w:lang w:eastAsia="ar-SA"/>
        </w:rPr>
      </w:pPr>
    </w:p>
    <w:p w:rsidR="00FF2D35" w:rsidRDefault="00B27EDB" w:rsidP="00594A0A">
      <w:pPr>
        <w:suppressAutoHyphens/>
        <w:spacing w:after="0" w:line="240" w:lineRule="auto"/>
        <w:jc w:val="both"/>
        <w:rPr>
          <w:rFonts w:ascii="Century Gothic" w:hAnsi="Century Gothic" w:cs="Arial"/>
          <w:color w:val="000000"/>
          <w:sz w:val="20"/>
          <w:szCs w:val="20"/>
        </w:rPr>
      </w:pPr>
      <w:r w:rsidRPr="00FF2D35">
        <w:rPr>
          <w:rFonts w:ascii="Century Gothic" w:eastAsia="Palatino Linotype" w:hAnsi="Century Gothic" w:cs="Tahoma"/>
          <w:sz w:val="20"/>
          <w:szCs w:val="20"/>
          <w:lang w:eastAsia="ar-SA"/>
        </w:rPr>
        <w:t>La propuesta de la modificatoria de los artículos 77 y 79 de las Ordenanzas 172 y 432, busca actualizar la</w:t>
      </w:r>
      <w:r w:rsidR="009F0437">
        <w:rPr>
          <w:rFonts w:ascii="Century Gothic" w:eastAsia="Palatino Linotype" w:hAnsi="Century Gothic" w:cs="Tahoma"/>
          <w:sz w:val="20"/>
          <w:szCs w:val="20"/>
          <w:lang w:eastAsia="ar-SA"/>
        </w:rPr>
        <w:t>s</w:t>
      </w:r>
      <w:r w:rsidRPr="00FF2D35">
        <w:rPr>
          <w:rFonts w:ascii="Century Gothic" w:eastAsia="Palatino Linotype" w:hAnsi="Century Gothic" w:cs="Tahoma"/>
          <w:sz w:val="20"/>
          <w:szCs w:val="20"/>
          <w:lang w:eastAsia="ar-SA"/>
        </w:rPr>
        <w:t xml:space="preserve"> </w:t>
      </w:r>
      <w:r w:rsidR="009F0437">
        <w:rPr>
          <w:rFonts w:ascii="Century Gothic" w:eastAsia="Palatino Linotype" w:hAnsi="Century Gothic" w:cs="Tahoma"/>
          <w:sz w:val="20"/>
          <w:szCs w:val="20"/>
          <w:lang w:eastAsia="ar-SA"/>
        </w:rPr>
        <w:t>ordenanzas</w:t>
      </w:r>
      <w:r w:rsidRPr="00FF2D35">
        <w:rPr>
          <w:rFonts w:ascii="Century Gothic" w:eastAsia="Palatino Linotype" w:hAnsi="Century Gothic" w:cs="Tahoma"/>
          <w:sz w:val="20"/>
          <w:szCs w:val="20"/>
          <w:lang w:eastAsia="ar-SA"/>
        </w:rPr>
        <w:t xml:space="preserve"> </w:t>
      </w:r>
      <w:r w:rsidR="003E4F75" w:rsidRPr="00FF2D35">
        <w:rPr>
          <w:rFonts w:ascii="Century Gothic" w:eastAsia="Palatino Linotype" w:hAnsi="Century Gothic" w:cs="Tahoma"/>
          <w:sz w:val="20"/>
          <w:szCs w:val="20"/>
          <w:lang w:eastAsia="ar-SA"/>
        </w:rPr>
        <w:t xml:space="preserve">tomando en consideración las normas jerárquicas superiores, lo </w:t>
      </w:r>
      <w:r w:rsidR="005B5BDF">
        <w:rPr>
          <w:rFonts w:ascii="Century Gothic" w:eastAsia="Palatino Linotype" w:hAnsi="Century Gothic" w:cs="Tahoma"/>
          <w:sz w:val="20"/>
          <w:szCs w:val="20"/>
          <w:lang w:eastAsia="ar-SA"/>
        </w:rPr>
        <w:t>que</w:t>
      </w:r>
      <w:r w:rsidR="003E4F75" w:rsidRPr="00FF2D35">
        <w:rPr>
          <w:rFonts w:ascii="Century Gothic" w:eastAsia="Palatino Linotype" w:hAnsi="Century Gothic" w:cs="Tahoma"/>
          <w:sz w:val="20"/>
          <w:szCs w:val="20"/>
          <w:lang w:eastAsia="ar-SA"/>
        </w:rPr>
        <w:t xml:space="preserve"> </w:t>
      </w:r>
      <w:r w:rsidR="005B5BDF">
        <w:rPr>
          <w:rFonts w:ascii="Century Gothic" w:eastAsia="Palatino Linotype" w:hAnsi="Century Gothic" w:cs="Tahoma"/>
          <w:sz w:val="20"/>
          <w:szCs w:val="20"/>
          <w:lang w:eastAsia="ar-SA"/>
        </w:rPr>
        <w:t>garantizará</w:t>
      </w:r>
      <w:r w:rsidR="003E4F75" w:rsidRPr="00FF2D35">
        <w:rPr>
          <w:rFonts w:ascii="Century Gothic" w:eastAsia="Palatino Linotype" w:hAnsi="Century Gothic" w:cs="Tahoma"/>
          <w:sz w:val="20"/>
          <w:szCs w:val="20"/>
          <w:lang w:eastAsia="ar-SA"/>
        </w:rPr>
        <w:t xml:space="preserve"> </w:t>
      </w:r>
      <w:r w:rsidR="00FF2D35" w:rsidRPr="00FF2D35">
        <w:rPr>
          <w:rFonts w:ascii="Century Gothic" w:hAnsi="Century Gothic" w:cs="Arial"/>
          <w:color w:val="000000"/>
          <w:sz w:val="20"/>
          <w:szCs w:val="20"/>
        </w:rPr>
        <w:t xml:space="preserve">el derecho a la seguridad jurídica consagrado en el artículo 82 de la </w:t>
      </w:r>
      <w:r w:rsidR="009F0437">
        <w:rPr>
          <w:rFonts w:ascii="Century Gothic" w:hAnsi="Century Gothic" w:cs="Arial"/>
          <w:color w:val="000000"/>
          <w:sz w:val="20"/>
          <w:szCs w:val="20"/>
        </w:rPr>
        <w:t>C</w:t>
      </w:r>
      <w:r w:rsidR="00FF2D35" w:rsidRPr="00FF2D35">
        <w:rPr>
          <w:rFonts w:ascii="Century Gothic" w:hAnsi="Century Gothic" w:cs="Arial"/>
          <w:color w:val="000000"/>
          <w:sz w:val="20"/>
          <w:szCs w:val="20"/>
        </w:rPr>
        <w:t xml:space="preserve">onstitución de la </w:t>
      </w:r>
      <w:r w:rsidR="00FF2D35">
        <w:rPr>
          <w:rFonts w:ascii="Century Gothic" w:hAnsi="Century Gothic" w:cs="Arial"/>
          <w:color w:val="000000"/>
          <w:sz w:val="20"/>
          <w:szCs w:val="20"/>
        </w:rPr>
        <w:t>R</w:t>
      </w:r>
      <w:r w:rsidR="00FF2D35" w:rsidRPr="00FF2D35">
        <w:rPr>
          <w:rFonts w:ascii="Century Gothic" w:hAnsi="Century Gothic" w:cs="Arial"/>
          <w:color w:val="000000"/>
          <w:sz w:val="20"/>
          <w:szCs w:val="20"/>
        </w:rPr>
        <w:t xml:space="preserve">epública del </w:t>
      </w:r>
      <w:r w:rsidR="00FF2D35">
        <w:rPr>
          <w:rFonts w:ascii="Century Gothic" w:hAnsi="Century Gothic" w:cs="Arial"/>
          <w:color w:val="000000"/>
          <w:sz w:val="20"/>
          <w:szCs w:val="20"/>
        </w:rPr>
        <w:t>E</w:t>
      </w:r>
      <w:r w:rsidR="00FF2D35" w:rsidRPr="00FF2D35">
        <w:rPr>
          <w:rFonts w:ascii="Century Gothic" w:hAnsi="Century Gothic" w:cs="Arial"/>
          <w:color w:val="000000"/>
          <w:sz w:val="20"/>
          <w:szCs w:val="20"/>
        </w:rPr>
        <w:t xml:space="preserve">cuador, </w:t>
      </w:r>
      <w:r w:rsidR="009F0437">
        <w:rPr>
          <w:rFonts w:ascii="Century Gothic" w:hAnsi="Century Gothic" w:cs="Arial"/>
          <w:color w:val="000000"/>
          <w:sz w:val="20"/>
          <w:szCs w:val="20"/>
        </w:rPr>
        <w:t xml:space="preserve">lo cual </w:t>
      </w:r>
      <w:r w:rsidR="00FF2D35" w:rsidRPr="00FF2D35">
        <w:rPr>
          <w:rFonts w:ascii="Century Gothic" w:hAnsi="Century Gothic" w:cs="Arial"/>
          <w:color w:val="000000"/>
          <w:sz w:val="20"/>
          <w:szCs w:val="20"/>
        </w:rPr>
        <w:t>representa para los administrados aquella sensación de confianza en la administración de justicia, sensación o idea que se materializa en la certeza de que las decisiones de la administración no serán arbitrarias o contrarias al ordenamiento jurídico</w:t>
      </w:r>
      <w:r w:rsidR="00FF2D35">
        <w:rPr>
          <w:rFonts w:ascii="Century Gothic" w:hAnsi="Century Gothic" w:cs="Arial"/>
          <w:color w:val="000000"/>
          <w:sz w:val="20"/>
          <w:szCs w:val="20"/>
        </w:rPr>
        <w:t>.</w:t>
      </w:r>
    </w:p>
    <w:p w:rsidR="00FF2D35" w:rsidRPr="00FF2D35" w:rsidRDefault="00FF2D35" w:rsidP="00594A0A">
      <w:pPr>
        <w:suppressAutoHyphens/>
        <w:spacing w:after="0" w:line="240" w:lineRule="auto"/>
        <w:jc w:val="both"/>
        <w:rPr>
          <w:rFonts w:ascii="Century Gothic" w:hAnsi="Century Gothic" w:cs="Arial"/>
          <w:color w:val="000000"/>
          <w:sz w:val="20"/>
          <w:szCs w:val="20"/>
        </w:rPr>
      </w:pPr>
    </w:p>
    <w:p w:rsidR="0078158B" w:rsidRPr="00594A0A" w:rsidRDefault="004F13E7" w:rsidP="00594A0A">
      <w:pPr>
        <w:suppressAutoHyphens/>
        <w:spacing w:after="0" w:line="240" w:lineRule="auto"/>
        <w:jc w:val="both"/>
        <w:rPr>
          <w:rFonts w:ascii="Century Gothic" w:eastAsia="Palatino Linotype" w:hAnsi="Century Gothic" w:cs="Tahoma"/>
          <w:sz w:val="20"/>
          <w:szCs w:val="20"/>
          <w:lang w:eastAsia="ar-SA"/>
        </w:rPr>
      </w:pPr>
      <w:r>
        <w:rPr>
          <w:rFonts w:ascii="Century Gothic" w:eastAsia="Palatino Linotype" w:hAnsi="Century Gothic" w:cs="Tahoma"/>
          <w:sz w:val="20"/>
          <w:szCs w:val="20"/>
          <w:lang w:eastAsia="ar-SA"/>
        </w:rPr>
        <w:t>En tal razón, c</w:t>
      </w:r>
      <w:r w:rsidR="005C4100" w:rsidRPr="00594A0A">
        <w:rPr>
          <w:rFonts w:ascii="Century Gothic" w:eastAsia="Palatino Linotype" w:hAnsi="Century Gothic" w:cs="Tahoma"/>
          <w:sz w:val="20"/>
          <w:szCs w:val="20"/>
          <w:lang w:eastAsia="ar-SA"/>
        </w:rPr>
        <w:t>onsiderando que</w:t>
      </w:r>
      <w:r w:rsidR="00504DE0" w:rsidRPr="00594A0A">
        <w:rPr>
          <w:rFonts w:ascii="Century Gothic" w:eastAsia="Palatino Linotype" w:hAnsi="Century Gothic" w:cs="Tahoma"/>
          <w:sz w:val="20"/>
          <w:szCs w:val="20"/>
          <w:lang w:eastAsia="ar-SA"/>
        </w:rPr>
        <w:t xml:space="preserve"> las disposiciones reformatorias al Código Orgánico de Organización Territorial, Autonomía y Descentralización que constan en la Ley Orgánica de Tierras Rurales y </w:t>
      </w:r>
      <w:r w:rsidR="0078158B" w:rsidRPr="00594A0A">
        <w:rPr>
          <w:rFonts w:ascii="Century Gothic" w:eastAsia="Palatino Linotype" w:hAnsi="Century Gothic" w:cs="Tahoma"/>
          <w:sz w:val="20"/>
          <w:szCs w:val="20"/>
          <w:lang w:eastAsia="ar-SA"/>
        </w:rPr>
        <w:t>T</w:t>
      </w:r>
      <w:r w:rsidR="00504DE0" w:rsidRPr="00594A0A">
        <w:rPr>
          <w:rFonts w:ascii="Century Gothic" w:eastAsia="Palatino Linotype" w:hAnsi="Century Gothic" w:cs="Tahoma"/>
          <w:sz w:val="20"/>
          <w:szCs w:val="20"/>
          <w:lang w:eastAsia="ar-SA"/>
        </w:rPr>
        <w:t xml:space="preserve">erritorios Ancestrales y la Ley Orgánica de Ordenamiento Territorial, Uso y Gestión de Suelo, </w:t>
      </w:r>
      <w:r w:rsidR="00504DE0" w:rsidRPr="0075140B">
        <w:rPr>
          <w:rFonts w:ascii="Century Gothic" w:eastAsia="Palatino Linotype" w:hAnsi="Century Gothic" w:cs="Tahoma"/>
          <w:sz w:val="20"/>
          <w:szCs w:val="20"/>
          <w:lang w:eastAsia="ar-SA"/>
        </w:rPr>
        <w:t xml:space="preserve">podrían generar </w:t>
      </w:r>
      <w:r w:rsidR="005C4100" w:rsidRPr="0075140B">
        <w:rPr>
          <w:rFonts w:ascii="Century Gothic" w:eastAsia="Palatino Linotype" w:hAnsi="Century Gothic" w:cs="Tahoma"/>
          <w:sz w:val="20"/>
          <w:szCs w:val="20"/>
          <w:lang w:eastAsia="ar-SA"/>
        </w:rPr>
        <w:t>con</w:t>
      </w:r>
      <w:r w:rsidR="00C35A54" w:rsidRPr="0075140B">
        <w:rPr>
          <w:rFonts w:ascii="Century Gothic" w:eastAsia="Palatino Linotype" w:hAnsi="Century Gothic" w:cs="Tahoma"/>
          <w:sz w:val="20"/>
          <w:szCs w:val="20"/>
          <w:lang w:eastAsia="ar-SA"/>
        </w:rPr>
        <w:t xml:space="preserve">flicto </w:t>
      </w:r>
      <w:r w:rsidR="009F0437">
        <w:rPr>
          <w:rFonts w:ascii="Century Gothic" w:eastAsia="Palatino Linotype" w:hAnsi="Century Gothic" w:cs="Tahoma"/>
          <w:sz w:val="20"/>
          <w:szCs w:val="20"/>
          <w:lang w:eastAsia="ar-SA"/>
        </w:rPr>
        <w:t>con</w:t>
      </w:r>
      <w:r w:rsidR="00C35A54" w:rsidRPr="0075140B">
        <w:rPr>
          <w:rFonts w:ascii="Century Gothic" w:eastAsia="Palatino Linotype" w:hAnsi="Century Gothic" w:cs="Tahoma"/>
          <w:sz w:val="20"/>
          <w:szCs w:val="20"/>
          <w:lang w:eastAsia="ar-SA"/>
        </w:rPr>
        <w:t xml:space="preserve"> normas de </w:t>
      </w:r>
      <w:r w:rsidR="009F0437">
        <w:rPr>
          <w:rFonts w:ascii="Century Gothic" w:eastAsia="Palatino Linotype" w:hAnsi="Century Gothic" w:cs="Tahoma"/>
          <w:sz w:val="20"/>
          <w:szCs w:val="20"/>
          <w:lang w:eastAsia="ar-SA"/>
        </w:rPr>
        <w:t>menor</w:t>
      </w:r>
      <w:r w:rsidR="00C35A54" w:rsidRPr="0075140B">
        <w:rPr>
          <w:rFonts w:ascii="Century Gothic" w:eastAsia="Palatino Linotype" w:hAnsi="Century Gothic" w:cs="Tahoma"/>
          <w:sz w:val="20"/>
          <w:szCs w:val="20"/>
          <w:lang w:eastAsia="ar-SA"/>
        </w:rPr>
        <w:t xml:space="preserve"> jerarquía </w:t>
      </w:r>
      <w:r w:rsidR="009F0437">
        <w:rPr>
          <w:rFonts w:ascii="Century Gothic" w:eastAsia="Palatino Linotype" w:hAnsi="Century Gothic" w:cs="Tahoma"/>
          <w:sz w:val="20"/>
          <w:szCs w:val="20"/>
          <w:lang w:eastAsia="ar-SA"/>
        </w:rPr>
        <w:t xml:space="preserve">como son las </w:t>
      </w:r>
      <w:r w:rsidR="005C4100" w:rsidRPr="0075140B">
        <w:rPr>
          <w:rFonts w:ascii="Century Gothic" w:eastAsia="Palatino Linotype" w:hAnsi="Century Gothic" w:cs="Tahoma"/>
          <w:sz w:val="20"/>
          <w:szCs w:val="20"/>
          <w:lang w:eastAsia="ar-SA"/>
        </w:rPr>
        <w:t>Ord</w:t>
      </w:r>
      <w:r w:rsidR="00504DE0" w:rsidRPr="0075140B">
        <w:rPr>
          <w:rFonts w:ascii="Century Gothic" w:eastAsia="Palatino Linotype" w:hAnsi="Century Gothic" w:cs="Tahoma"/>
          <w:sz w:val="20"/>
          <w:szCs w:val="20"/>
          <w:lang w:eastAsia="ar-SA"/>
        </w:rPr>
        <w:t xml:space="preserve">enanzas </w:t>
      </w:r>
      <w:r w:rsidR="005C4100" w:rsidRPr="0075140B">
        <w:rPr>
          <w:rFonts w:ascii="Century Gothic" w:eastAsia="Palatino Linotype" w:hAnsi="Century Gothic" w:cs="Tahoma"/>
          <w:sz w:val="20"/>
          <w:szCs w:val="20"/>
          <w:lang w:eastAsia="ar-SA"/>
        </w:rPr>
        <w:t>172</w:t>
      </w:r>
      <w:r w:rsidR="00504DE0" w:rsidRPr="0075140B">
        <w:rPr>
          <w:rFonts w:ascii="Century Gothic" w:eastAsia="Palatino Linotype" w:hAnsi="Century Gothic" w:cs="Tahoma"/>
          <w:sz w:val="20"/>
          <w:szCs w:val="20"/>
          <w:lang w:eastAsia="ar-SA"/>
        </w:rPr>
        <w:t xml:space="preserve"> y 0432</w:t>
      </w:r>
      <w:r w:rsidR="0078158B" w:rsidRPr="0075140B">
        <w:rPr>
          <w:rFonts w:ascii="Century Gothic" w:eastAsia="Palatino Linotype" w:hAnsi="Century Gothic" w:cs="Tahoma"/>
          <w:sz w:val="20"/>
          <w:szCs w:val="20"/>
          <w:lang w:eastAsia="ar-SA"/>
        </w:rPr>
        <w:t>,</w:t>
      </w:r>
      <w:r w:rsidR="0078158B" w:rsidRPr="00594A0A">
        <w:rPr>
          <w:rFonts w:ascii="Century Gothic" w:eastAsia="Palatino Linotype" w:hAnsi="Century Gothic" w:cs="Tahoma"/>
          <w:sz w:val="20"/>
          <w:szCs w:val="20"/>
          <w:lang w:eastAsia="ar-SA"/>
        </w:rPr>
        <w:t xml:space="preserve"> se requiere con la urgencia que el caso amerita proponer al Concejo Metropolitano de Quito se reforme los artículos 77 y 79 de las mencionadas ordenanzas.</w:t>
      </w:r>
    </w:p>
    <w:p w:rsidR="00F652E3" w:rsidRDefault="0078158B" w:rsidP="00F077FB">
      <w:pPr>
        <w:widowControl w:val="0"/>
        <w:suppressAutoHyphens/>
        <w:spacing w:after="0" w:line="240" w:lineRule="auto"/>
        <w:jc w:val="both"/>
        <w:rPr>
          <w:rFonts w:ascii="Calibri" w:hAnsi="Calibri"/>
          <w:lang w:eastAsia="ar-SA"/>
        </w:rPr>
      </w:pPr>
      <w:r w:rsidRPr="005C4100">
        <w:rPr>
          <w:rFonts w:ascii="Calibri" w:eastAsia="Arial Unicode MS" w:hAnsi="Calibri" w:cs="Times New Roman"/>
          <w:sz w:val="24"/>
          <w:szCs w:val="24"/>
          <w:lang w:val="es-ES_tradnl" w:eastAsia="ar-SA"/>
        </w:rPr>
        <w:t xml:space="preserve"> </w:t>
      </w:r>
    </w:p>
    <w:p w:rsidR="00AE7153" w:rsidRPr="00AB073E" w:rsidRDefault="00AE7153" w:rsidP="00E06A40">
      <w:pPr>
        <w:suppressAutoHyphens/>
        <w:spacing w:after="0" w:line="240" w:lineRule="auto"/>
        <w:jc w:val="center"/>
        <w:rPr>
          <w:rFonts w:ascii="Century Gothic" w:eastAsia="Times New Roman" w:hAnsi="Century Gothic" w:cs="Times New Roman"/>
          <w:b/>
          <w:bCs/>
          <w:sz w:val="24"/>
          <w:szCs w:val="24"/>
          <w:lang w:eastAsia="ar-SA"/>
        </w:rPr>
      </w:pPr>
      <w:r w:rsidRPr="00AB073E">
        <w:rPr>
          <w:rFonts w:ascii="Century Gothic" w:eastAsia="Times New Roman" w:hAnsi="Century Gothic" w:cs="Times New Roman"/>
          <w:b/>
          <w:bCs/>
          <w:sz w:val="24"/>
          <w:szCs w:val="24"/>
          <w:lang w:eastAsia="ar-SA"/>
        </w:rPr>
        <w:lastRenderedPageBreak/>
        <w:t xml:space="preserve">ORDENANZA </w:t>
      </w:r>
      <w:r w:rsidR="007A235B" w:rsidRPr="00AB073E">
        <w:rPr>
          <w:rFonts w:ascii="Century Gothic" w:eastAsia="Times New Roman" w:hAnsi="Century Gothic" w:cs="Times New Roman"/>
          <w:b/>
          <w:bCs/>
          <w:sz w:val="24"/>
          <w:szCs w:val="24"/>
          <w:lang w:eastAsia="ar-SA"/>
        </w:rPr>
        <w:t>METROPOLITANA No.</w:t>
      </w:r>
      <w:r w:rsidRPr="00AB073E">
        <w:rPr>
          <w:rFonts w:ascii="Century Gothic" w:eastAsia="Times New Roman" w:hAnsi="Century Gothic" w:cs="Times New Roman"/>
          <w:b/>
          <w:bCs/>
          <w:sz w:val="24"/>
          <w:szCs w:val="24"/>
          <w:lang w:eastAsia="ar-SA"/>
        </w:rPr>
        <w:t xml:space="preserve">  </w:t>
      </w:r>
    </w:p>
    <w:p w:rsidR="00AE7153" w:rsidRPr="00AB073E" w:rsidRDefault="00AE7153" w:rsidP="00E06A40">
      <w:pPr>
        <w:suppressAutoHyphens/>
        <w:spacing w:after="0" w:line="240" w:lineRule="auto"/>
        <w:jc w:val="center"/>
        <w:rPr>
          <w:rFonts w:ascii="Century Gothic" w:eastAsia="Times New Roman" w:hAnsi="Century Gothic" w:cs="Times New Roman"/>
          <w:b/>
          <w:bCs/>
          <w:sz w:val="24"/>
          <w:szCs w:val="24"/>
          <w:lang w:eastAsia="ar-SA"/>
        </w:rPr>
      </w:pPr>
    </w:p>
    <w:p w:rsidR="00593801" w:rsidRPr="00AB073E" w:rsidRDefault="00593801" w:rsidP="00E06A40">
      <w:pPr>
        <w:suppressAutoHyphens/>
        <w:spacing w:after="0" w:line="240" w:lineRule="auto"/>
        <w:jc w:val="center"/>
        <w:rPr>
          <w:rFonts w:ascii="Century Gothic" w:eastAsia="Times New Roman" w:hAnsi="Century Gothic" w:cs="Times New Roman"/>
          <w:b/>
          <w:bCs/>
          <w:sz w:val="24"/>
          <w:szCs w:val="24"/>
          <w:lang w:eastAsia="ar-SA"/>
        </w:rPr>
      </w:pPr>
    </w:p>
    <w:p w:rsidR="00E06A40" w:rsidRPr="00AB073E" w:rsidRDefault="00E06A40" w:rsidP="00E06A40">
      <w:pPr>
        <w:suppressAutoHyphens/>
        <w:spacing w:after="0" w:line="240" w:lineRule="auto"/>
        <w:jc w:val="center"/>
        <w:rPr>
          <w:rFonts w:ascii="Century Gothic" w:eastAsia="Times New Roman" w:hAnsi="Century Gothic" w:cs="Times New Roman"/>
          <w:b/>
          <w:bCs/>
          <w:sz w:val="24"/>
          <w:szCs w:val="24"/>
          <w:lang w:eastAsia="ar-SA"/>
        </w:rPr>
      </w:pPr>
      <w:r w:rsidRPr="00AB073E">
        <w:rPr>
          <w:rFonts w:ascii="Century Gothic" w:eastAsia="Times New Roman" w:hAnsi="Century Gothic" w:cs="Times New Roman"/>
          <w:b/>
          <w:bCs/>
          <w:sz w:val="24"/>
          <w:szCs w:val="24"/>
          <w:lang w:eastAsia="ar-SA"/>
        </w:rPr>
        <w:t>EL CONCEJO METROPOLITANO DE QUITO</w:t>
      </w:r>
    </w:p>
    <w:p w:rsidR="00E06A40" w:rsidRPr="00AB073E" w:rsidRDefault="00E06A40" w:rsidP="00E06A40">
      <w:pPr>
        <w:suppressAutoHyphens/>
        <w:spacing w:after="0" w:line="240" w:lineRule="auto"/>
        <w:jc w:val="center"/>
        <w:rPr>
          <w:rFonts w:ascii="Century Gothic" w:eastAsia="Times New Roman" w:hAnsi="Century Gothic" w:cs="Times New Roman"/>
          <w:b/>
          <w:bCs/>
          <w:sz w:val="24"/>
          <w:szCs w:val="24"/>
          <w:lang w:eastAsia="ar-SA"/>
        </w:rPr>
      </w:pPr>
    </w:p>
    <w:p w:rsidR="00E06A40" w:rsidRPr="00AB073E" w:rsidRDefault="00E06A40" w:rsidP="00E06A40">
      <w:pPr>
        <w:suppressAutoHyphens/>
        <w:spacing w:after="0" w:line="240" w:lineRule="auto"/>
        <w:jc w:val="both"/>
        <w:rPr>
          <w:rFonts w:ascii="Century Gothic" w:eastAsia="Times New Roman" w:hAnsi="Century Gothic" w:cs="Times New Roman"/>
          <w:bCs/>
          <w:sz w:val="24"/>
          <w:szCs w:val="24"/>
          <w:lang w:eastAsia="ar-SA"/>
        </w:rPr>
      </w:pPr>
    </w:p>
    <w:p w:rsidR="00E06A40" w:rsidRPr="00AB073E" w:rsidRDefault="00E06A40" w:rsidP="00E06A40">
      <w:pPr>
        <w:suppressAutoHyphens/>
        <w:spacing w:after="0" w:line="240" w:lineRule="auto"/>
        <w:jc w:val="center"/>
        <w:rPr>
          <w:rFonts w:ascii="Century Gothic" w:eastAsia="Times New Roman" w:hAnsi="Century Gothic" w:cs="Times New Roman"/>
          <w:b/>
          <w:bCs/>
          <w:sz w:val="24"/>
          <w:szCs w:val="24"/>
          <w:lang w:eastAsia="ar-SA"/>
        </w:rPr>
      </w:pPr>
      <w:r w:rsidRPr="00AB073E">
        <w:rPr>
          <w:rFonts w:ascii="Century Gothic" w:eastAsia="Times New Roman" w:hAnsi="Century Gothic" w:cs="Times New Roman"/>
          <w:b/>
          <w:bCs/>
          <w:sz w:val="24"/>
          <w:szCs w:val="24"/>
          <w:lang w:eastAsia="ar-SA"/>
        </w:rPr>
        <w:t xml:space="preserve">CONSIDERANDO </w:t>
      </w:r>
    </w:p>
    <w:p w:rsidR="00E06A40" w:rsidRPr="00AB073E" w:rsidRDefault="00E06A40" w:rsidP="00E06A40">
      <w:pPr>
        <w:suppressAutoHyphens/>
        <w:spacing w:after="0" w:line="240" w:lineRule="auto"/>
        <w:jc w:val="both"/>
        <w:rPr>
          <w:rFonts w:ascii="Century Gothic" w:eastAsia="Times New Roman" w:hAnsi="Century Gothic" w:cs="Times New Roman"/>
          <w:b/>
          <w:bCs/>
          <w:sz w:val="20"/>
          <w:szCs w:val="20"/>
          <w:highlight w:val="cyan"/>
          <w:lang w:eastAsia="ar-SA"/>
        </w:rPr>
      </w:pPr>
    </w:p>
    <w:p w:rsidR="00E06A40" w:rsidRPr="00AB073E" w:rsidRDefault="00E06A40" w:rsidP="00E06A40">
      <w:pPr>
        <w:suppressAutoHyphens/>
        <w:spacing w:after="0" w:line="240" w:lineRule="auto"/>
        <w:ind w:left="709" w:hanging="709"/>
        <w:contextualSpacing/>
        <w:jc w:val="both"/>
        <w:rPr>
          <w:rFonts w:ascii="Century Gothic" w:eastAsia="Times New Roman" w:hAnsi="Century Gothic" w:cs="Tahoma"/>
          <w:i/>
          <w:sz w:val="20"/>
          <w:szCs w:val="20"/>
          <w:lang w:eastAsia="ar-SA"/>
        </w:rPr>
      </w:pPr>
      <w:r w:rsidRPr="00AB073E">
        <w:rPr>
          <w:rFonts w:ascii="Century Gothic" w:eastAsia="Times New Roman" w:hAnsi="Century Gothic" w:cs="Tahoma"/>
          <w:sz w:val="20"/>
          <w:szCs w:val="20"/>
          <w:lang w:eastAsia="ar-SA"/>
        </w:rPr>
        <w:t>Que,</w:t>
      </w:r>
      <w:r w:rsidRPr="00AB073E">
        <w:rPr>
          <w:rFonts w:ascii="Century Gothic" w:eastAsia="Times New Roman" w:hAnsi="Century Gothic" w:cs="Tahoma"/>
          <w:sz w:val="20"/>
          <w:szCs w:val="20"/>
          <w:lang w:eastAsia="ar-SA"/>
        </w:rPr>
        <w:tab/>
        <w:t>el artículo 227, de la Constitución de la República del Ecuador (en adelante “Constitución”), establece que: “</w:t>
      </w:r>
      <w:r w:rsidRPr="00AB073E">
        <w:rPr>
          <w:rFonts w:ascii="Century Gothic" w:eastAsia="Times New Roman" w:hAnsi="Century Gothic" w:cs="Tahoma"/>
          <w:i/>
          <w:sz w:val="20"/>
          <w:szCs w:val="20"/>
          <w:lang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E06A40" w:rsidRPr="00AB073E" w:rsidRDefault="00E06A40" w:rsidP="00E06A40">
      <w:pPr>
        <w:suppressAutoHyphens/>
        <w:spacing w:after="0" w:line="240" w:lineRule="auto"/>
        <w:ind w:left="709" w:hanging="709"/>
        <w:contextualSpacing/>
        <w:jc w:val="both"/>
        <w:rPr>
          <w:rFonts w:ascii="Century Gothic" w:eastAsia="Times New Roman" w:hAnsi="Century Gothic" w:cs="Tahoma"/>
          <w:i/>
          <w:sz w:val="20"/>
          <w:szCs w:val="20"/>
          <w:highlight w:val="cyan"/>
          <w:lang w:eastAsia="ar-SA"/>
        </w:rPr>
      </w:pPr>
    </w:p>
    <w:p w:rsidR="00E06A40" w:rsidRPr="00AB073E" w:rsidRDefault="00E06A40" w:rsidP="00E06A40">
      <w:pPr>
        <w:suppressAutoHyphens/>
        <w:spacing w:after="0" w:line="240" w:lineRule="auto"/>
        <w:ind w:left="709" w:hanging="709"/>
        <w:contextualSpacing/>
        <w:jc w:val="both"/>
        <w:rPr>
          <w:rFonts w:ascii="Century Gothic" w:eastAsia="Times New Roman" w:hAnsi="Century Gothic" w:cs="Tahoma"/>
          <w:i/>
          <w:sz w:val="20"/>
          <w:szCs w:val="20"/>
          <w:highlight w:val="cyan"/>
          <w:lang w:eastAsia="ar-SA"/>
        </w:rPr>
      </w:pPr>
    </w:p>
    <w:p w:rsidR="00E06A40" w:rsidRPr="00AB073E" w:rsidRDefault="00E06A40" w:rsidP="00E06A40">
      <w:pPr>
        <w:suppressAutoHyphens/>
        <w:spacing w:after="0" w:line="240" w:lineRule="auto"/>
        <w:ind w:left="709" w:hanging="709"/>
        <w:contextualSpacing/>
        <w:jc w:val="both"/>
        <w:rPr>
          <w:rFonts w:ascii="Century Gothic" w:eastAsia="Times New Roman" w:hAnsi="Century Gothic" w:cs="Tahoma"/>
          <w:i/>
          <w:sz w:val="20"/>
          <w:szCs w:val="20"/>
          <w:lang w:eastAsia="ar-SA"/>
        </w:rPr>
      </w:pPr>
      <w:r w:rsidRPr="00AB073E">
        <w:rPr>
          <w:rFonts w:ascii="Century Gothic" w:eastAsia="Times New Roman" w:hAnsi="Century Gothic" w:cs="Tahoma"/>
          <w:sz w:val="20"/>
          <w:szCs w:val="20"/>
          <w:lang w:eastAsia="ar-SA"/>
        </w:rPr>
        <w:t>Que,</w:t>
      </w:r>
      <w:r w:rsidRPr="00AB073E">
        <w:rPr>
          <w:rFonts w:ascii="Century Gothic" w:eastAsia="Times New Roman" w:hAnsi="Century Gothic" w:cs="Tahoma"/>
          <w:sz w:val="20"/>
          <w:szCs w:val="20"/>
          <w:lang w:eastAsia="ar-SA"/>
        </w:rPr>
        <w:tab/>
      </w:r>
      <w:r w:rsidRPr="00AB073E">
        <w:rPr>
          <w:rFonts w:ascii="Century Gothic" w:eastAsia="Times New Roman" w:hAnsi="Century Gothic" w:cs="Tahoma"/>
          <w:color w:val="000000" w:themeColor="text1"/>
          <w:sz w:val="20"/>
          <w:szCs w:val="20"/>
          <w:lang w:eastAsia="ar-SA"/>
        </w:rPr>
        <w:t xml:space="preserve">los numerales 1 y 2 del artículo 264 de la Constitución manifiestan que: </w:t>
      </w:r>
      <w:r w:rsidRPr="00AB073E">
        <w:rPr>
          <w:rFonts w:ascii="Century Gothic" w:eastAsia="Times New Roman" w:hAnsi="Century Gothic" w:cs="Tahoma"/>
          <w:i/>
          <w:sz w:val="20"/>
          <w:szCs w:val="20"/>
          <w:lang w:eastAsia="ar-SA"/>
        </w:rPr>
        <w:t xml:space="preserve">“Los gobiernos municipales tendrán las siguientes competencias: (…) 1. Planificar el desarrollo cantonal y formular los correspondientes planes de ordenamiento territorial, de manera articulada con la planificación nacional, regional, provincial y parroquial, con el fin de regular el uso y la ocupación del suelo urbano y </w:t>
      </w:r>
      <w:r w:rsidR="007A235B" w:rsidRPr="00AB073E">
        <w:rPr>
          <w:rFonts w:ascii="Century Gothic" w:eastAsia="Times New Roman" w:hAnsi="Century Gothic" w:cs="Tahoma"/>
          <w:i/>
          <w:sz w:val="20"/>
          <w:szCs w:val="20"/>
          <w:lang w:eastAsia="ar-SA"/>
        </w:rPr>
        <w:t>rural. (</w:t>
      </w:r>
      <w:r w:rsidRPr="00AB073E">
        <w:rPr>
          <w:rFonts w:ascii="Century Gothic" w:eastAsia="Times New Roman" w:hAnsi="Century Gothic" w:cs="Tahoma"/>
          <w:i/>
          <w:sz w:val="20"/>
          <w:szCs w:val="20"/>
          <w:lang w:eastAsia="ar-SA"/>
        </w:rPr>
        <w:t xml:space="preserve">…) 2) Ejercer el control sobre el uso y ocupación del suelo en el </w:t>
      </w:r>
      <w:r w:rsidR="007A235B" w:rsidRPr="00AB073E">
        <w:rPr>
          <w:rFonts w:ascii="Century Gothic" w:eastAsia="Times New Roman" w:hAnsi="Century Gothic" w:cs="Tahoma"/>
          <w:i/>
          <w:sz w:val="20"/>
          <w:szCs w:val="20"/>
          <w:lang w:eastAsia="ar-SA"/>
        </w:rPr>
        <w:t>cantón. (</w:t>
      </w:r>
      <w:r w:rsidRPr="00AB073E">
        <w:rPr>
          <w:rFonts w:ascii="Century Gothic" w:eastAsia="Times New Roman" w:hAnsi="Century Gothic" w:cs="Tahoma"/>
          <w:i/>
          <w:sz w:val="20"/>
          <w:szCs w:val="20"/>
          <w:lang w:eastAsia="ar-SA"/>
        </w:rPr>
        <w:t xml:space="preserve">…)”; </w:t>
      </w:r>
    </w:p>
    <w:p w:rsidR="00E06A40" w:rsidRPr="00AB073E" w:rsidRDefault="00E06A40" w:rsidP="00E06A40">
      <w:pPr>
        <w:suppressAutoHyphens/>
        <w:spacing w:after="0" w:line="240" w:lineRule="auto"/>
        <w:jc w:val="both"/>
        <w:rPr>
          <w:rFonts w:ascii="Century Gothic" w:eastAsia="Times New Roman" w:hAnsi="Century Gothic" w:cs="Tahoma"/>
          <w:sz w:val="20"/>
          <w:szCs w:val="20"/>
          <w:lang w:eastAsia="ar-SA"/>
        </w:rPr>
      </w:pPr>
    </w:p>
    <w:p w:rsidR="00E06A40" w:rsidRPr="00AB073E" w:rsidRDefault="00E06A40" w:rsidP="00E06A40">
      <w:pPr>
        <w:suppressAutoHyphens/>
        <w:spacing w:after="0" w:line="240" w:lineRule="auto"/>
        <w:ind w:left="705" w:hanging="705"/>
        <w:jc w:val="both"/>
        <w:rPr>
          <w:rFonts w:ascii="Century Gothic" w:eastAsia="Times New Roman" w:hAnsi="Century Gothic" w:cs="Tahoma"/>
          <w:noProof/>
          <w:sz w:val="20"/>
          <w:szCs w:val="20"/>
          <w:lang w:eastAsia="ar-SA"/>
        </w:rPr>
      </w:pPr>
      <w:r w:rsidRPr="00AB073E">
        <w:rPr>
          <w:rFonts w:ascii="Century Gothic" w:eastAsia="Times New Roman" w:hAnsi="Century Gothic" w:cs="Tahoma"/>
          <w:noProof/>
          <w:sz w:val="20"/>
          <w:szCs w:val="20"/>
          <w:lang w:eastAsia="ar-SA"/>
        </w:rPr>
        <w:t xml:space="preserve">Que, </w:t>
      </w:r>
      <w:r w:rsidRPr="00AB073E">
        <w:rPr>
          <w:rFonts w:ascii="Century Gothic" w:eastAsia="Times New Roman" w:hAnsi="Century Gothic" w:cs="Tahoma"/>
          <w:noProof/>
          <w:sz w:val="20"/>
          <w:szCs w:val="20"/>
          <w:lang w:eastAsia="ar-SA"/>
        </w:rPr>
        <w:tab/>
        <w:t>el literal c) del artículo 54, en concordancia con el literal c) del artículo 84 del Código Orgánico de Organización Territorial, Autonomía y Descentralización (en adelante “COOTAD”), señala como una función del gobierno autónomo descentralizado municipal la de establecer el régimen de uso del suelo y urbanístico, para lo cual se debe determinar las condiciones de urbanización, parcelación, lotización, división o cualquier otra forma de fraccionamiento de conformidad con la planificación cantonal, asegurando porcentajes para zonas verdes y áreas comunales;</w:t>
      </w:r>
    </w:p>
    <w:p w:rsidR="00E06A40" w:rsidRPr="00AB073E" w:rsidRDefault="00E06A40" w:rsidP="00E06A40">
      <w:pPr>
        <w:suppressAutoHyphens/>
        <w:spacing w:after="0" w:line="240" w:lineRule="auto"/>
        <w:jc w:val="both"/>
        <w:rPr>
          <w:rFonts w:ascii="Century Gothic" w:eastAsia="Times New Roman" w:hAnsi="Century Gothic" w:cs="Tahoma"/>
          <w:noProof/>
          <w:sz w:val="20"/>
          <w:szCs w:val="20"/>
          <w:lang w:eastAsia="ar-SA"/>
        </w:rPr>
      </w:pPr>
    </w:p>
    <w:p w:rsidR="00E06A40" w:rsidRDefault="00E06A40" w:rsidP="00E06A40">
      <w:pPr>
        <w:suppressAutoHyphens/>
        <w:spacing w:after="0" w:line="240" w:lineRule="auto"/>
        <w:ind w:left="709" w:hanging="709"/>
        <w:jc w:val="both"/>
        <w:rPr>
          <w:rFonts w:ascii="Century Gothic" w:eastAsia="Times New Roman" w:hAnsi="Century Gothic" w:cs="Tahoma"/>
          <w:noProof/>
          <w:color w:val="3333FF"/>
          <w:sz w:val="20"/>
          <w:szCs w:val="20"/>
          <w:lang w:eastAsia="ar-SA"/>
        </w:rPr>
      </w:pPr>
      <w:r w:rsidRPr="00AB073E">
        <w:rPr>
          <w:rFonts w:ascii="Century Gothic" w:eastAsia="Times New Roman" w:hAnsi="Century Gothic" w:cs="Tahoma"/>
          <w:noProof/>
          <w:color w:val="000000" w:themeColor="text1"/>
          <w:sz w:val="20"/>
          <w:szCs w:val="20"/>
          <w:lang w:eastAsia="ar-SA"/>
        </w:rPr>
        <w:t>Que,</w:t>
      </w:r>
      <w:r w:rsidRPr="00AB073E">
        <w:rPr>
          <w:rFonts w:ascii="Century Gothic" w:eastAsia="Times New Roman" w:hAnsi="Century Gothic" w:cs="Tahoma"/>
          <w:noProof/>
          <w:color w:val="000000" w:themeColor="text1"/>
          <w:sz w:val="20"/>
          <w:szCs w:val="20"/>
          <w:lang w:eastAsia="ar-SA"/>
        </w:rPr>
        <w:tab/>
        <w:t xml:space="preserve">el numeral 1 del artículo 2 de la Ley Orgánica de Régimen para el Distrito Metropolitano de Quito establece que el Municipio del Distrito Metropolitano de Quito, tiene la competencia exclusiva y privativa para la regulación del uso y la </w:t>
      </w:r>
      <w:r w:rsidR="00CF3D27" w:rsidRPr="00AB073E">
        <w:rPr>
          <w:rFonts w:ascii="Century Gothic" w:eastAsia="Times New Roman" w:hAnsi="Century Gothic" w:cs="Tahoma"/>
          <w:noProof/>
          <w:color w:val="000000" w:themeColor="text1"/>
          <w:sz w:val="20"/>
          <w:szCs w:val="20"/>
          <w:lang w:eastAsia="ar-SA"/>
        </w:rPr>
        <w:t>a</w:t>
      </w:r>
      <w:r w:rsidRPr="00AB073E">
        <w:rPr>
          <w:rFonts w:ascii="Century Gothic" w:eastAsia="Times New Roman" w:hAnsi="Century Gothic" w:cs="Tahoma"/>
          <w:noProof/>
          <w:color w:val="000000" w:themeColor="text1"/>
          <w:sz w:val="20"/>
          <w:szCs w:val="20"/>
          <w:lang w:eastAsia="ar-SA"/>
        </w:rPr>
        <w:t>d</w:t>
      </w:r>
      <w:r w:rsidR="00CF3D27" w:rsidRPr="00AB073E">
        <w:rPr>
          <w:rFonts w:ascii="Century Gothic" w:eastAsia="Times New Roman" w:hAnsi="Century Gothic" w:cs="Tahoma"/>
          <w:noProof/>
          <w:color w:val="000000" w:themeColor="text1"/>
          <w:sz w:val="20"/>
          <w:szCs w:val="20"/>
          <w:lang w:eastAsia="ar-SA"/>
        </w:rPr>
        <w:t>e</w:t>
      </w:r>
      <w:r w:rsidRPr="00AB073E">
        <w:rPr>
          <w:rFonts w:ascii="Century Gothic" w:eastAsia="Times New Roman" w:hAnsi="Century Gothic" w:cs="Tahoma"/>
          <w:noProof/>
          <w:color w:val="000000" w:themeColor="text1"/>
          <w:sz w:val="20"/>
          <w:szCs w:val="20"/>
          <w:lang w:eastAsia="ar-SA"/>
        </w:rPr>
        <w:t>cuada ocupación del suelo, ejerciendo el control sobre el mismo, así como para la regulación y control de las contrucciones o edificaciones, su estado, utilización y condiciones</w:t>
      </w:r>
      <w:r w:rsidRPr="00AB073E">
        <w:rPr>
          <w:rFonts w:ascii="Century Gothic" w:eastAsia="Times New Roman" w:hAnsi="Century Gothic" w:cs="Tahoma"/>
          <w:noProof/>
          <w:color w:val="3333FF"/>
          <w:sz w:val="20"/>
          <w:szCs w:val="20"/>
          <w:lang w:eastAsia="ar-SA"/>
        </w:rPr>
        <w:t>;</w:t>
      </w:r>
    </w:p>
    <w:p w:rsidR="00FD4CBA" w:rsidRDefault="00FD4CBA" w:rsidP="00E06A40">
      <w:pPr>
        <w:suppressAutoHyphens/>
        <w:spacing w:after="0" w:line="240" w:lineRule="auto"/>
        <w:ind w:left="709" w:hanging="709"/>
        <w:jc w:val="both"/>
        <w:rPr>
          <w:rFonts w:ascii="Century Gothic" w:eastAsia="Times New Roman" w:hAnsi="Century Gothic" w:cs="Tahoma"/>
          <w:noProof/>
          <w:color w:val="3333FF"/>
          <w:sz w:val="20"/>
          <w:szCs w:val="20"/>
          <w:lang w:eastAsia="ar-SA"/>
        </w:rPr>
      </w:pPr>
    </w:p>
    <w:p w:rsidR="00FD4CBA" w:rsidRPr="00594A0A" w:rsidRDefault="00FD4CBA" w:rsidP="00FD4CBA">
      <w:pPr>
        <w:suppressAutoHyphens/>
        <w:spacing w:after="0" w:line="240" w:lineRule="auto"/>
        <w:ind w:left="709" w:hanging="709"/>
        <w:jc w:val="both"/>
        <w:rPr>
          <w:rFonts w:ascii="Century Gothic" w:eastAsia="Palatino Linotype" w:hAnsi="Century Gothic" w:cs="Tahoma"/>
          <w:sz w:val="20"/>
          <w:szCs w:val="20"/>
          <w:lang w:eastAsia="ar-SA"/>
        </w:rPr>
      </w:pPr>
      <w:r w:rsidRPr="00FD4CBA">
        <w:rPr>
          <w:rFonts w:ascii="Century Gothic" w:eastAsia="Times New Roman" w:hAnsi="Century Gothic" w:cs="Tahoma"/>
          <w:noProof/>
          <w:color w:val="000000" w:themeColor="text1"/>
          <w:sz w:val="20"/>
          <w:szCs w:val="20"/>
          <w:lang w:eastAsia="ar-SA"/>
        </w:rPr>
        <w:t>Que</w:t>
      </w:r>
      <w:r>
        <w:rPr>
          <w:rFonts w:ascii="Century Gothic" w:eastAsia="Times New Roman" w:hAnsi="Century Gothic" w:cs="Tahoma"/>
          <w:noProof/>
          <w:color w:val="3333FF"/>
          <w:sz w:val="20"/>
          <w:szCs w:val="20"/>
          <w:lang w:eastAsia="ar-SA"/>
        </w:rPr>
        <w:t xml:space="preserve">,  </w:t>
      </w:r>
      <w:r>
        <w:rPr>
          <w:rFonts w:ascii="Century Gothic" w:eastAsia="Palatino Linotype" w:hAnsi="Century Gothic" w:cs="Tahoma"/>
          <w:sz w:val="20"/>
          <w:szCs w:val="20"/>
          <w:lang w:eastAsia="ar-SA"/>
        </w:rPr>
        <w:t xml:space="preserve"> el Art. 424</w:t>
      </w:r>
      <w:r w:rsidR="000762C5">
        <w:rPr>
          <w:rFonts w:ascii="Century Gothic" w:eastAsia="Palatino Linotype" w:hAnsi="Century Gothic" w:cs="Tahoma"/>
          <w:sz w:val="20"/>
          <w:szCs w:val="20"/>
          <w:lang w:eastAsia="ar-SA"/>
        </w:rPr>
        <w:t xml:space="preserve"> reformado del COOTAD, en lo que respecta a las áreas verdes públicas, textualmente señala: ”</w:t>
      </w:r>
      <w:r w:rsidRPr="00594A0A">
        <w:rPr>
          <w:rFonts w:ascii="Century Gothic" w:eastAsia="Palatino Linotype" w:hAnsi="Century Gothic" w:cs="Tahoma"/>
          <w:sz w:val="20"/>
          <w:szCs w:val="20"/>
          <w:lang w:eastAsia="ar-SA"/>
        </w:rPr>
        <w:t>Área verde, comunitaria y vías.-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w:t>
      </w:r>
    </w:p>
    <w:p w:rsidR="00FD4CBA" w:rsidRPr="00594A0A" w:rsidRDefault="00FD4CBA" w:rsidP="00FD4CBA">
      <w:pPr>
        <w:suppressAutoHyphens/>
        <w:spacing w:after="0" w:line="240" w:lineRule="auto"/>
        <w:jc w:val="both"/>
        <w:rPr>
          <w:rFonts w:ascii="Century Gothic" w:eastAsia="Palatino Linotype" w:hAnsi="Century Gothic" w:cs="Tahoma"/>
          <w:sz w:val="20"/>
          <w:szCs w:val="20"/>
          <w:lang w:eastAsia="ar-SA"/>
        </w:rPr>
      </w:pPr>
    </w:p>
    <w:p w:rsidR="00FD4CBA" w:rsidRPr="00594A0A" w:rsidRDefault="00FD4CBA" w:rsidP="00FD4CBA">
      <w:pPr>
        <w:suppressAutoHyphens/>
        <w:spacing w:after="0" w:line="240" w:lineRule="auto"/>
        <w:ind w:left="708"/>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w:t>
      </w:r>
      <w:r>
        <w:rPr>
          <w:rFonts w:ascii="Century Gothic" w:eastAsia="Palatino Linotype" w:hAnsi="Century Gothic" w:cs="Tahoma"/>
          <w:sz w:val="20"/>
          <w:szCs w:val="20"/>
          <w:lang w:eastAsia="ar-SA"/>
        </w:rPr>
        <w:t xml:space="preserve"> </w:t>
      </w:r>
      <w:r w:rsidRPr="00594A0A">
        <w:rPr>
          <w:rFonts w:ascii="Century Gothic" w:eastAsia="Palatino Linotype" w:hAnsi="Century Gothic" w:cs="Tahoma"/>
          <w:sz w:val="20"/>
          <w:szCs w:val="20"/>
          <w:lang w:eastAsia="ar-SA"/>
        </w:rPr>
        <w:t>rurales que se fraccionen con fines de partición hereditaria, donación o venta; siempre y cuando no se destinen para urbanización y lotización.</w:t>
      </w:r>
    </w:p>
    <w:p w:rsidR="00FD4CBA" w:rsidRPr="00594A0A" w:rsidRDefault="00FD4CBA" w:rsidP="00FD4CBA">
      <w:pPr>
        <w:suppressAutoHyphens/>
        <w:spacing w:after="0" w:line="240" w:lineRule="auto"/>
        <w:jc w:val="both"/>
        <w:rPr>
          <w:rFonts w:ascii="Century Gothic" w:eastAsia="Palatino Linotype" w:hAnsi="Century Gothic" w:cs="Tahoma"/>
          <w:sz w:val="20"/>
          <w:szCs w:val="20"/>
          <w:lang w:eastAsia="ar-SA"/>
        </w:rPr>
      </w:pPr>
    </w:p>
    <w:p w:rsidR="00FD4CBA" w:rsidRPr="00594A0A" w:rsidRDefault="00FD4CBA" w:rsidP="00FD4CBA">
      <w:pPr>
        <w:suppressAutoHyphens/>
        <w:spacing w:after="0" w:line="240" w:lineRule="auto"/>
        <w:ind w:left="708"/>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La entrega de áreas verdes, comunitarias y de vías no excederá del treinta y cinco por ciento (35%) del área útil urbanizable del terreno o predio.</w:t>
      </w:r>
    </w:p>
    <w:p w:rsidR="00FD4CBA" w:rsidRPr="00594A0A" w:rsidRDefault="00FD4CBA" w:rsidP="00FD4CBA">
      <w:pPr>
        <w:suppressAutoHyphens/>
        <w:spacing w:after="0" w:line="240" w:lineRule="auto"/>
        <w:jc w:val="both"/>
        <w:rPr>
          <w:rFonts w:ascii="Century Gothic" w:eastAsia="Palatino Linotype" w:hAnsi="Century Gothic" w:cs="Tahoma"/>
          <w:sz w:val="20"/>
          <w:szCs w:val="20"/>
          <w:lang w:eastAsia="ar-SA"/>
        </w:rPr>
      </w:pPr>
    </w:p>
    <w:p w:rsidR="00FD4CBA" w:rsidRPr="00594A0A" w:rsidRDefault="00FD4CBA" w:rsidP="00FD4CBA">
      <w:pPr>
        <w:suppressAutoHyphens/>
        <w:spacing w:after="0" w:line="240" w:lineRule="auto"/>
        <w:ind w:left="708"/>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En el caso de predios con una superficie inferior a tres mil metros cuadrados, la municipalidad o distrito metropolitano, podrá optar entre exigir la entrega del porcentaje establecido en los incisos</w:t>
      </w:r>
      <w:r>
        <w:rPr>
          <w:rFonts w:ascii="Century Gothic" w:eastAsia="Palatino Linotype" w:hAnsi="Century Gothic" w:cs="Tahoma"/>
          <w:sz w:val="20"/>
          <w:szCs w:val="20"/>
          <w:lang w:eastAsia="ar-SA"/>
        </w:rPr>
        <w:t xml:space="preserve"> </w:t>
      </w:r>
      <w:r w:rsidRPr="00594A0A">
        <w:rPr>
          <w:rFonts w:ascii="Century Gothic" w:eastAsia="Palatino Linotype" w:hAnsi="Century Gothic" w:cs="Tahoma"/>
          <w:sz w:val="20"/>
          <w:szCs w:val="20"/>
          <w:lang w:eastAsia="ar-SA"/>
        </w:rPr>
        <w:t>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w:t>
      </w:r>
    </w:p>
    <w:p w:rsidR="00FD4CBA" w:rsidRPr="00594A0A" w:rsidRDefault="00FD4CBA" w:rsidP="00FD4CBA">
      <w:pPr>
        <w:suppressAutoHyphens/>
        <w:spacing w:after="0" w:line="240" w:lineRule="auto"/>
        <w:jc w:val="both"/>
        <w:rPr>
          <w:rFonts w:ascii="Century Gothic" w:eastAsia="Palatino Linotype" w:hAnsi="Century Gothic" w:cs="Tahoma"/>
          <w:sz w:val="20"/>
          <w:szCs w:val="20"/>
          <w:lang w:eastAsia="ar-SA"/>
        </w:rPr>
      </w:pPr>
    </w:p>
    <w:p w:rsidR="00FD4CBA" w:rsidRPr="00594A0A" w:rsidRDefault="00FD4CBA" w:rsidP="00FD4CBA">
      <w:pPr>
        <w:suppressAutoHyphens/>
        <w:spacing w:after="0" w:line="240" w:lineRule="auto"/>
        <w:ind w:left="708"/>
        <w:jc w:val="both"/>
        <w:rPr>
          <w:rFonts w:ascii="Century Gothic" w:eastAsia="Palatino Linotype" w:hAnsi="Century Gothic" w:cs="Tahoma"/>
          <w:sz w:val="20"/>
          <w:szCs w:val="20"/>
          <w:lang w:eastAsia="ar-SA"/>
        </w:rPr>
      </w:pPr>
      <w:r w:rsidRPr="00594A0A">
        <w:rPr>
          <w:rFonts w:ascii="Century Gothic" w:eastAsia="Palatino Linotype" w:hAnsi="Century Gothic" w:cs="Tahoma"/>
          <w:sz w:val="20"/>
          <w:szCs w:val="20"/>
          <w:lang w:eastAsia="ar-SA"/>
        </w:rPr>
        <w:t>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w:t>
      </w:r>
      <w:r w:rsidR="00A56E31">
        <w:rPr>
          <w:rFonts w:ascii="Century Gothic" w:eastAsia="Palatino Linotype" w:hAnsi="Century Gothic" w:cs="Tahoma"/>
          <w:sz w:val="20"/>
          <w:szCs w:val="20"/>
          <w:lang w:eastAsia="ar-SA"/>
        </w:rPr>
        <w:t>i</w:t>
      </w:r>
      <w:r w:rsidRPr="00594A0A">
        <w:rPr>
          <w:rFonts w:ascii="Century Gothic" w:eastAsia="Palatino Linotype" w:hAnsi="Century Gothic" w:cs="Tahoma"/>
          <w:sz w:val="20"/>
          <w:szCs w:val="20"/>
          <w:lang w:eastAsia="ar-SA"/>
        </w:rPr>
        <w:t>a tendrá la obligación de compensar el equivalente al valor del bien que recibe, en base al avalúo realizado por el Gobierno Autónomo Descentralizado municipal o metropolitano."</w:t>
      </w:r>
    </w:p>
    <w:p w:rsidR="00FD4CBA" w:rsidRPr="00594A0A" w:rsidRDefault="00FD4CBA" w:rsidP="00FD4CBA">
      <w:pPr>
        <w:suppressAutoHyphens/>
        <w:spacing w:after="0" w:line="240" w:lineRule="auto"/>
        <w:jc w:val="both"/>
        <w:rPr>
          <w:rFonts w:ascii="Century Gothic" w:eastAsia="Palatino Linotype" w:hAnsi="Century Gothic" w:cs="Tahoma"/>
          <w:sz w:val="20"/>
          <w:szCs w:val="20"/>
          <w:lang w:eastAsia="ar-SA"/>
        </w:rPr>
      </w:pPr>
    </w:p>
    <w:p w:rsidR="00E06A40" w:rsidRPr="00AB073E" w:rsidRDefault="00E06A40" w:rsidP="00E06A40">
      <w:pPr>
        <w:suppressAutoHyphens/>
        <w:spacing w:after="0" w:line="240" w:lineRule="auto"/>
        <w:jc w:val="both"/>
        <w:rPr>
          <w:rFonts w:ascii="Century Gothic" w:eastAsia="Times New Roman" w:hAnsi="Century Gothic" w:cs="Tahoma"/>
          <w:noProof/>
          <w:sz w:val="20"/>
          <w:szCs w:val="20"/>
          <w:lang w:eastAsia="ar-SA"/>
        </w:rPr>
      </w:pPr>
    </w:p>
    <w:p w:rsidR="00E06A40" w:rsidRDefault="00E06A40" w:rsidP="00E06A40">
      <w:pPr>
        <w:suppressAutoHyphens/>
        <w:spacing w:after="0" w:line="240" w:lineRule="auto"/>
        <w:ind w:left="705" w:hanging="705"/>
        <w:jc w:val="both"/>
        <w:rPr>
          <w:rFonts w:ascii="Century Gothic" w:eastAsia="Times New Roman" w:hAnsi="Century Gothic" w:cs="Tahoma"/>
          <w:noProof/>
          <w:color w:val="3333FF"/>
          <w:sz w:val="20"/>
          <w:szCs w:val="20"/>
          <w:lang w:eastAsia="ar-SA"/>
        </w:rPr>
      </w:pPr>
      <w:r w:rsidRPr="00AB073E">
        <w:rPr>
          <w:rFonts w:ascii="Century Gothic" w:eastAsia="Times New Roman" w:hAnsi="Century Gothic" w:cs="Tahoma"/>
          <w:noProof/>
          <w:sz w:val="20"/>
          <w:szCs w:val="20"/>
          <w:lang w:eastAsia="ar-SA"/>
        </w:rPr>
        <w:t xml:space="preserve">Que, </w:t>
      </w:r>
      <w:r w:rsidRPr="00AB073E">
        <w:rPr>
          <w:rFonts w:ascii="Century Gothic" w:eastAsia="Times New Roman" w:hAnsi="Century Gothic" w:cs="Tahoma"/>
          <w:noProof/>
          <w:sz w:val="20"/>
          <w:szCs w:val="20"/>
          <w:lang w:eastAsia="ar-SA"/>
        </w:rPr>
        <w:tab/>
        <w:t>la</w:t>
      </w:r>
      <w:r w:rsidR="00217654" w:rsidRPr="00AB073E">
        <w:rPr>
          <w:rFonts w:ascii="Century Gothic" w:eastAsia="Times New Roman" w:hAnsi="Century Gothic" w:cs="Tahoma"/>
          <w:noProof/>
          <w:sz w:val="20"/>
          <w:szCs w:val="20"/>
          <w:lang w:eastAsia="ar-SA"/>
        </w:rPr>
        <w:t>s</w:t>
      </w:r>
      <w:r w:rsidRPr="00AB073E">
        <w:rPr>
          <w:rFonts w:ascii="Century Gothic" w:eastAsia="Times New Roman" w:hAnsi="Century Gothic" w:cs="Tahoma"/>
          <w:noProof/>
          <w:sz w:val="20"/>
          <w:szCs w:val="20"/>
          <w:lang w:eastAsia="ar-SA"/>
        </w:rPr>
        <w:t xml:space="preserve"> Ordenanza</w:t>
      </w:r>
      <w:r w:rsidR="00217654" w:rsidRPr="00AB073E">
        <w:rPr>
          <w:rFonts w:ascii="Century Gothic" w:eastAsia="Times New Roman" w:hAnsi="Century Gothic" w:cs="Tahoma"/>
          <w:noProof/>
          <w:sz w:val="20"/>
          <w:szCs w:val="20"/>
          <w:lang w:eastAsia="ar-SA"/>
        </w:rPr>
        <w:t>s</w:t>
      </w:r>
      <w:r w:rsidRPr="00AB073E">
        <w:rPr>
          <w:rFonts w:ascii="Century Gothic" w:eastAsia="Times New Roman" w:hAnsi="Century Gothic" w:cs="Tahoma"/>
          <w:noProof/>
          <w:sz w:val="20"/>
          <w:szCs w:val="20"/>
          <w:lang w:eastAsia="ar-SA"/>
        </w:rPr>
        <w:t xml:space="preserve"> Metropolitana</w:t>
      </w:r>
      <w:r w:rsidR="00217654" w:rsidRPr="00AB073E">
        <w:rPr>
          <w:rFonts w:ascii="Century Gothic" w:eastAsia="Times New Roman" w:hAnsi="Century Gothic" w:cs="Tahoma"/>
          <w:noProof/>
          <w:sz w:val="20"/>
          <w:szCs w:val="20"/>
          <w:lang w:eastAsia="ar-SA"/>
        </w:rPr>
        <w:t>s</w:t>
      </w:r>
      <w:r w:rsidRPr="00AB073E">
        <w:rPr>
          <w:rFonts w:ascii="Century Gothic" w:eastAsia="Times New Roman" w:hAnsi="Century Gothic" w:cs="Tahoma"/>
          <w:noProof/>
          <w:sz w:val="20"/>
          <w:szCs w:val="20"/>
          <w:lang w:eastAsia="ar-SA"/>
        </w:rPr>
        <w:t xml:space="preserve"> No</w:t>
      </w:r>
      <w:r w:rsidR="00217654" w:rsidRPr="00AB073E">
        <w:rPr>
          <w:rFonts w:ascii="Century Gothic" w:eastAsia="Times New Roman" w:hAnsi="Century Gothic" w:cs="Tahoma"/>
          <w:noProof/>
          <w:sz w:val="20"/>
          <w:szCs w:val="20"/>
          <w:lang w:eastAsia="ar-SA"/>
        </w:rPr>
        <w:t>s</w:t>
      </w:r>
      <w:r w:rsidRPr="00AB073E">
        <w:rPr>
          <w:rFonts w:ascii="Century Gothic" w:eastAsia="Times New Roman" w:hAnsi="Century Gothic" w:cs="Tahoma"/>
          <w:noProof/>
          <w:sz w:val="20"/>
          <w:szCs w:val="20"/>
          <w:lang w:eastAsia="ar-SA"/>
        </w:rPr>
        <w:t>. 172</w:t>
      </w:r>
      <w:r w:rsidR="00217654" w:rsidRPr="00AB073E">
        <w:rPr>
          <w:rFonts w:ascii="Century Gothic" w:eastAsia="Times New Roman" w:hAnsi="Century Gothic" w:cs="Tahoma"/>
          <w:noProof/>
          <w:sz w:val="20"/>
          <w:szCs w:val="20"/>
          <w:lang w:eastAsia="ar-SA"/>
        </w:rPr>
        <w:t xml:space="preserve"> </w:t>
      </w:r>
      <w:r w:rsidR="00CA4FB5">
        <w:rPr>
          <w:rFonts w:ascii="Century Gothic" w:eastAsia="Times New Roman" w:hAnsi="Century Gothic" w:cs="Tahoma"/>
          <w:noProof/>
          <w:sz w:val="20"/>
          <w:szCs w:val="20"/>
          <w:lang w:eastAsia="ar-SA"/>
        </w:rPr>
        <w:t xml:space="preserve">y 432 </w:t>
      </w:r>
      <w:r w:rsidRPr="00AB073E">
        <w:rPr>
          <w:rFonts w:ascii="Century Gothic" w:eastAsia="Times New Roman" w:hAnsi="Century Gothic" w:cs="Tahoma"/>
          <w:noProof/>
          <w:sz w:val="20"/>
          <w:szCs w:val="20"/>
          <w:lang w:eastAsia="ar-SA"/>
        </w:rPr>
        <w:t>sancionada</w:t>
      </w:r>
      <w:r w:rsidR="00CA4FB5">
        <w:rPr>
          <w:rFonts w:ascii="Century Gothic" w:eastAsia="Times New Roman" w:hAnsi="Century Gothic" w:cs="Tahoma"/>
          <w:noProof/>
          <w:sz w:val="20"/>
          <w:szCs w:val="20"/>
          <w:lang w:eastAsia="ar-SA"/>
        </w:rPr>
        <w:t>s</w:t>
      </w:r>
      <w:r w:rsidRPr="00AB073E">
        <w:rPr>
          <w:rFonts w:ascii="Century Gothic" w:eastAsia="Times New Roman" w:hAnsi="Century Gothic" w:cs="Tahoma"/>
          <w:noProof/>
          <w:sz w:val="20"/>
          <w:szCs w:val="20"/>
          <w:lang w:eastAsia="ar-SA"/>
        </w:rPr>
        <w:t xml:space="preserve"> el 30 de diciembre de 2011</w:t>
      </w:r>
      <w:r w:rsidR="00217654" w:rsidRPr="00AB073E">
        <w:rPr>
          <w:rFonts w:ascii="Century Gothic" w:eastAsia="Times New Roman" w:hAnsi="Century Gothic" w:cs="Tahoma"/>
          <w:noProof/>
          <w:sz w:val="20"/>
          <w:szCs w:val="20"/>
          <w:lang w:eastAsia="ar-SA"/>
        </w:rPr>
        <w:t xml:space="preserve"> y el 20 de septiembre de 2013</w:t>
      </w:r>
      <w:r w:rsidR="00CA4FB5">
        <w:rPr>
          <w:rFonts w:ascii="Century Gothic" w:eastAsia="Times New Roman" w:hAnsi="Century Gothic" w:cs="Tahoma"/>
          <w:noProof/>
          <w:sz w:val="20"/>
          <w:szCs w:val="20"/>
          <w:lang w:eastAsia="ar-SA"/>
        </w:rPr>
        <w:t xml:space="preserve"> respectivamente</w:t>
      </w:r>
      <w:r w:rsidRPr="00AB073E">
        <w:rPr>
          <w:rFonts w:ascii="Century Gothic" w:eastAsia="Times New Roman" w:hAnsi="Century Gothic" w:cs="Tahoma"/>
          <w:noProof/>
          <w:sz w:val="20"/>
          <w:szCs w:val="20"/>
          <w:lang w:eastAsia="ar-SA"/>
        </w:rPr>
        <w:t xml:space="preserve">, </w:t>
      </w:r>
      <w:r w:rsidRPr="00AB073E">
        <w:rPr>
          <w:rFonts w:ascii="Century Gothic" w:eastAsia="Times New Roman" w:hAnsi="Century Gothic" w:cs="Tahoma"/>
          <w:noProof/>
          <w:color w:val="000000" w:themeColor="text1"/>
          <w:sz w:val="20"/>
          <w:szCs w:val="20"/>
          <w:lang w:eastAsia="ar-SA"/>
        </w:rPr>
        <w:t>establece</w:t>
      </w:r>
      <w:r w:rsidR="00217654" w:rsidRPr="00AB073E">
        <w:rPr>
          <w:rFonts w:ascii="Century Gothic" w:eastAsia="Times New Roman" w:hAnsi="Century Gothic" w:cs="Tahoma"/>
          <w:noProof/>
          <w:color w:val="000000" w:themeColor="text1"/>
          <w:sz w:val="20"/>
          <w:szCs w:val="20"/>
          <w:lang w:eastAsia="ar-SA"/>
        </w:rPr>
        <w:t>n</w:t>
      </w:r>
      <w:r w:rsidRPr="00AB073E">
        <w:rPr>
          <w:rFonts w:ascii="Century Gothic" w:eastAsia="Times New Roman" w:hAnsi="Century Gothic" w:cs="Tahoma"/>
          <w:noProof/>
          <w:sz w:val="20"/>
          <w:szCs w:val="20"/>
          <w:lang w:eastAsia="ar-SA"/>
        </w:rPr>
        <w:t xml:space="preserve"> el Régimen Administrativo del Suelo en el Distrito Metropolitano de Quito, </w:t>
      </w:r>
      <w:r w:rsidRPr="00AB073E">
        <w:rPr>
          <w:rFonts w:ascii="Century Gothic" w:eastAsia="Times New Roman" w:hAnsi="Century Gothic" w:cs="Tahoma"/>
          <w:noProof/>
          <w:color w:val="000000" w:themeColor="text1"/>
          <w:sz w:val="20"/>
          <w:szCs w:val="20"/>
          <w:lang w:eastAsia="ar-SA"/>
        </w:rPr>
        <w:t>l</w:t>
      </w:r>
      <w:r w:rsidR="00217654" w:rsidRPr="00AB073E">
        <w:rPr>
          <w:rFonts w:ascii="Century Gothic" w:eastAsia="Times New Roman" w:hAnsi="Century Gothic" w:cs="Tahoma"/>
          <w:noProof/>
          <w:color w:val="000000" w:themeColor="text1"/>
          <w:sz w:val="20"/>
          <w:szCs w:val="20"/>
          <w:lang w:eastAsia="ar-SA"/>
        </w:rPr>
        <w:t>as</w:t>
      </w:r>
      <w:r w:rsidRPr="00AB073E">
        <w:rPr>
          <w:rFonts w:ascii="Century Gothic" w:eastAsia="Times New Roman" w:hAnsi="Century Gothic" w:cs="Tahoma"/>
          <w:noProof/>
          <w:color w:val="000000" w:themeColor="text1"/>
          <w:sz w:val="20"/>
          <w:szCs w:val="20"/>
          <w:lang w:eastAsia="ar-SA"/>
        </w:rPr>
        <w:t xml:space="preserve"> cual</w:t>
      </w:r>
      <w:r w:rsidR="00217654" w:rsidRPr="00AB073E">
        <w:rPr>
          <w:rFonts w:ascii="Century Gothic" w:eastAsia="Times New Roman" w:hAnsi="Century Gothic" w:cs="Tahoma"/>
          <w:noProof/>
          <w:color w:val="000000" w:themeColor="text1"/>
          <w:sz w:val="20"/>
          <w:szCs w:val="20"/>
          <w:lang w:eastAsia="ar-SA"/>
        </w:rPr>
        <w:t>es</w:t>
      </w:r>
      <w:r w:rsidRPr="00AB073E">
        <w:rPr>
          <w:rFonts w:ascii="Century Gothic" w:eastAsia="Times New Roman" w:hAnsi="Century Gothic" w:cs="Tahoma"/>
          <w:noProof/>
          <w:color w:val="000000" w:themeColor="text1"/>
          <w:sz w:val="20"/>
          <w:szCs w:val="20"/>
          <w:lang w:eastAsia="ar-SA"/>
        </w:rPr>
        <w:t xml:space="preserve"> requiere</w:t>
      </w:r>
      <w:r w:rsidR="00217654" w:rsidRPr="00AB073E">
        <w:rPr>
          <w:rFonts w:ascii="Century Gothic" w:eastAsia="Times New Roman" w:hAnsi="Century Gothic" w:cs="Tahoma"/>
          <w:noProof/>
          <w:color w:val="000000" w:themeColor="text1"/>
          <w:sz w:val="20"/>
          <w:szCs w:val="20"/>
          <w:lang w:eastAsia="ar-SA"/>
        </w:rPr>
        <w:t>n</w:t>
      </w:r>
      <w:r w:rsidRPr="00AB073E">
        <w:rPr>
          <w:rFonts w:ascii="Century Gothic" w:eastAsia="Times New Roman" w:hAnsi="Century Gothic" w:cs="Tahoma"/>
          <w:noProof/>
          <w:color w:val="000000" w:themeColor="text1"/>
          <w:sz w:val="20"/>
          <w:szCs w:val="20"/>
          <w:lang w:eastAsia="ar-SA"/>
        </w:rPr>
        <w:t xml:space="preserve"> una reforma </w:t>
      </w:r>
      <w:r w:rsidR="00217654" w:rsidRPr="00AB073E">
        <w:rPr>
          <w:rFonts w:ascii="Century Gothic" w:eastAsia="Times New Roman" w:hAnsi="Century Gothic" w:cs="Tahoma"/>
          <w:noProof/>
          <w:color w:val="000000" w:themeColor="text1"/>
          <w:sz w:val="20"/>
          <w:szCs w:val="20"/>
          <w:lang w:eastAsia="ar-SA"/>
        </w:rPr>
        <w:t>en los artículos 7</w:t>
      </w:r>
      <w:r w:rsidR="009674A4" w:rsidRPr="00AB073E">
        <w:rPr>
          <w:rFonts w:ascii="Century Gothic" w:eastAsia="Times New Roman" w:hAnsi="Century Gothic" w:cs="Tahoma"/>
          <w:noProof/>
          <w:color w:val="000000" w:themeColor="text1"/>
          <w:sz w:val="20"/>
          <w:szCs w:val="20"/>
          <w:lang w:eastAsia="ar-SA"/>
        </w:rPr>
        <w:t>7</w:t>
      </w:r>
      <w:r w:rsidR="00217654" w:rsidRPr="00AB073E">
        <w:rPr>
          <w:rFonts w:ascii="Century Gothic" w:eastAsia="Times New Roman" w:hAnsi="Century Gothic" w:cs="Tahoma"/>
          <w:noProof/>
          <w:color w:val="000000" w:themeColor="text1"/>
          <w:sz w:val="20"/>
          <w:szCs w:val="20"/>
          <w:lang w:eastAsia="ar-SA"/>
        </w:rPr>
        <w:t xml:space="preserve"> y 79 </w:t>
      </w:r>
      <w:r w:rsidRPr="00AB073E">
        <w:rPr>
          <w:rFonts w:ascii="Century Gothic" w:eastAsia="Times New Roman" w:hAnsi="Century Gothic" w:cs="Tahoma"/>
          <w:noProof/>
          <w:color w:val="000000" w:themeColor="text1"/>
          <w:sz w:val="20"/>
          <w:szCs w:val="20"/>
          <w:lang w:eastAsia="ar-SA"/>
        </w:rPr>
        <w:t xml:space="preserve">con el objeto de </w:t>
      </w:r>
      <w:r w:rsidR="00CA4FB5">
        <w:rPr>
          <w:rFonts w:ascii="Century Gothic" w:eastAsia="Times New Roman" w:hAnsi="Century Gothic" w:cs="Tahoma"/>
          <w:noProof/>
          <w:color w:val="000000" w:themeColor="text1"/>
          <w:sz w:val="20"/>
          <w:szCs w:val="20"/>
          <w:lang w:eastAsia="ar-SA"/>
        </w:rPr>
        <w:t>adecuar</w:t>
      </w:r>
      <w:r w:rsidR="00AD751E">
        <w:rPr>
          <w:rFonts w:ascii="Century Gothic" w:eastAsia="Times New Roman" w:hAnsi="Century Gothic" w:cs="Tahoma"/>
          <w:noProof/>
          <w:color w:val="000000" w:themeColor="text1"/>
          <w:sz w:val="20"/>
          <w:szCs w:val="20"/>
          <w:lang w:eastAsia="ar-SA"/>
        </w:rPr>
        <w:t xml:space="preserve"> sus disposicones </w:t>
      </w:r>
      <w:r w:rsidR="00CA4FB5">
        <w:rPr>
          <w:rFonts w:ascii="Century Gothic" w:eastAsia="Times New Roman" w:hAnsi="Century Gothic" w:cs="Tahoma"/>
          <w:noProof/>
          <w:color w:val="000000" w:themeColor="text1"/>
          <w:sz w:val="20"/>
          <w:szCs w:val="20"/>
          <w:lang w:eastAsia="ar-SA"/>
        </w:rPr>
        <w:t>al marco normativo nacional vigente</w:t>
      </w:r>
      <w:r w:rsidRPr="00AB073E">
        <w:rPr>
          <w:rFonts w:ascii="Century Gothic" w:eastAsia="Times New Roman" w:hAnsi="Century Gothic" w:cs="Tahoma"/>
          <w:noProof/>
          <w:color w:val="3333FF"/>
          <w:sz w:val="20"/>
          <w:szCs w:val="20"/>
          <w:lang w:eastAsia="ar-SA"/>
        </w:rPr>
        <w:t>.</w:t>
      </w:r>
    </w:p>
    <w:p w:rsidR="007D14AD" w:rsidRDefault="007D14AD" w:rsidP="00E06A40">
      <w:pPr>
        <w:suppressAutoHyphens/>
        <w:spacing w:after="0" w:line="240" w:lineRule="auto"/>
        <w:ind w:left="705" w:hanging="705"/>
        <w:jc w:val="both"/>
        <w:rPr>
          <w:rFonts w:ascii="Century Gothic" w:eastAsia="Times New Roman" w:hAnsi="Century Gothic" w:cs="Tahoma"/>
          <w:noProof/>
          <w:color w:val="3333FF"/>
          <w:sz w:val="20"/>
          <w:szCs w:val="20"/>
          <w:lang w:eastAsia="ar-SA"/>
        </w:rPr>
      </w:pPr>
    </w:p>
    <w:p w:rsidR="00273C85" w:rsidRDefault="00273C85" w:rsidP="00273C85">
      <w:pPr>
        <w:suppressAutoHyphens/>
        <w:spacing w:after="0" w:line="240" w:lineRule="auto"/>
        <w:ind w:left="705" w:hanging="705"/>
        <w:jc w:val="both"/>
        <w:rPr>
          <w:rFonts w:ascii="Century Gothic" w:eastAsia="Times New Roman" w:hAnsi="Century Gothic" w:cs="Tahoma"/>
          <w:noProof/>
          <w:sz w:val="20"/>
          <w:szCs w:val="20"/>
          <w:lang w:eastAsia="ar-SA"/>
        </w:rPr>
      </w:pPr>
      <w:r w:rsidRPr="00AB073E">
        <w:rPr>
          <w:rFonts w:ascii="Century Gothic" w:eastAsia="Times New Roman" w:hAnsi="Century Gothic" w:cs="Tahoma"/>
          <w:noProof/>
          <w:sz w:val="20"/>
          <w:szCs w:val="20"/>
          <w:lang w:eastAsia="ar-SA"/>
        </w:rPr>
        <w:t xml:space="preserve">Que, </w:t>
      </w:r>
      <w:r>
        <w:rPr>
          <w:rFonts w:ascii="Century Gothic" w:eastAsia="Times New Roman" w:hAnsi="Century Gothic" w:cs="Tahoma"/>
          <w:noProof/>
          <w:sz w:val="20"/>
          <w:szCs w:val="20"/>
          <w:lang w:eastAsia="ar-SA"/>
        </w:rPr>
        <w:t xml:space="preserve"> </w:t>
      </w:r>
      <w:r w:rsidRPr="00AB073E">
        <w:rPr>
          <w:rFonts w:ascii="Century Gothic" w:eastAsia="Times New Roman" w:hAnsi="Century Gothic" w:cs="Tahoma"/>
          <w:noProof/>
          <w:sz w:val="20"/>
          <w:szCs w:val="20"/>
          <w:lang w:eastAsia="ar-SA"/>
        </w:rPr>
        <w:t xml:space="preserve">en materia de planeamiento y urbanismo, </w:t>
      </w:r>
      <w:r w:rsidRPr="00AB073E">
        <w:rPr>
          <w:rFonts w:ascii="Century Gothic" w:eastAsia="Times New Roman" w:hAnsi="Century Gothic" w:cs="Tahoma"/>
          <w:noProof/>
          <w:color w:val="000000" w:themeColor="text1"/>
          <w:sz w:val="20"/>
          <w:szCs w:val="20"/>
          <w:lang w:eastAsia="ar-SA"/>
        </w:rPr>
        <w:t xml:space="preserve">le compete </w:t>
      </w:r>
      <w:r w:rsidRPr="00AB073E">
        <w:rPr>
          <w:rFonts w:ascii="Century Gothic" w:eastAsia="Times New Roman" w:hAnsi="Century Gothic" w:cs="Tahoma"/>
          <w:noProof/>
          <w:sz w:val="20"/>
          <w:szCs w:val="20"/>
          <w:lang w:eastAsia="ar-SA"/>
        </w:rPr>
        <w:t>a la administración municipal expedir las ordenanzas y normativa específica con el objeto de cumplir las funciones prescritas en l</w:t>
      </w:r>
      <w:r>
        <w:rPr>
          <w:rFonts w:ascii="Century Gothic" w:eastAsia="Times New Roman" w:hAnsi="Century Gothic" w:cs="Tahoma"/>
          <w:noProof/>
          <w:sz w:val="20"/>
          <w:szCs w:val="20"/>
          <w:lang w:eastAsia="ar-SA"/>
        </w:rPr>
        <w:t xml:space="preserve">a Ley Orgánica de Ordenamiento Territorial, Uso y Gestión de Suelo y </w:t>
      </w:r>
      <w:r w:rsidRPr="00AB073E">
        <w:rPr>
          <w:rFonts w:ascii="Century Gothic" w:eastAsia="Times New Roman" w:hAnsi="Century Gothic" w:cs="Tahoma"/>
          <w:noProof/>
          <w:sz w:val="20"/>
          <w:szCs w:val="20"/>
          <w:lang w:eastAsia="ar-SA"/>
        </w:rPr>
        <w:t xml:space="preserve"> COOTAD, teniendo en cuenta el armónico desarrollo urbano;</w:t>
      </w:r>
    </w:p>
    <w:p w:rsidR="00273C85" w:rsidRDefault="00273C85" w:rsidP="00E06A40">
      <w:pPr>
        <w:suppressAutoHyphens/>
        <w:spacing w:after="0" w:line="240" w:lineRule="auto"/>
        <w:ind w:left="705" w:hanging="705"/>
        <w:jc w:val="both"/>
        <w:rPr>
          <w:rFonts w:ascii="Century Gothic" w:eastAsia="Times New Roman" w:hAnsi="Century Gothic" w:cs="Tahoma"/>
          <w:noProof/>
          <w:color w:val="3333FF"/>
          <w:sz w:val="20"/>
          <w:szCs w:val="20"/>
          <w:lang w:eastAsia="ar-SA"/>
        </w:rPr>
      </w:pPr>
    </w:p>
    <w:p w:rsidR="007D14AD" w:rsidRDefault="007D14AD" w:rsidP="00E06A40">
      <w:pPr>
        <w:suppressAutoHyphens/>
        <w:spacing w:after="0" w:line="240" w:lineRule="auto"/>
        <w:ind w:left="705" w:hanging="705"/>
        <w:jc w:val="both"/>
        <w:rPr>
          <w:rFonts w:ascii="Century Gothic" w:eastAsia="Times New Roman" w:hAnsi="Century Gothic" w:cs="Tahoma"/>
          <w:noProof/>
          <w:color w:val="000000" w:themeColor="text1"/>
          <w:sz w:val="20"/>
          <w:szCs w:val="20"/>
          <w:lang w:eastAsia="ar-SA"/>
        </w:rPr>
      </w:pPr>
      <w:r>
        <w:rPr>
          <w:rFonts w:ascii="Century Gothic" w:eastAsia="Times New Roman" w:hAnsi="Century Gothic" w:cs="Tahoma"/>
          <w:noProof/>
          <w:color w:val="000000" w:themeColor="text1"/>
          <w:sz w:val="20"/>
          <w:szCs w:val="20"/>
          <w:lang w:eastAsia="ar-SA"/>
        </w:rPr>
        <w:t xml:space="preserve">Que,  mediante oficio No. 368-SGO-CMQ-2016 de 31 de mayo de 2016, el señor Concejal Sergio Garnica, en  calidad de Presidente de la Comisión de </w:t>
      </w:r>
      <w:r w:rsidR="001542B0">
        <w:rPr>
          <w:rFonts w:ascii="Century Gothic" w:eastAsia="Times New Roman" w:hAnsi="Century Gothic" w:cs="Tahoma"/>
          <w:noProof/>
          <w:color w:val="000000" w:themeColor="text1"/>
          <w:sz w:val="20"/>
          <w:szCs w:val="20"/>
          <w:lang w:eastAsia="ar-SA"/>
        </w:rPr>
        <w:t>U</w:t>
      </w:r>
      <w:r>
        <w:rPr>
          <w:rFonts w:ascii="Century Gothic" w:eastAsia="Times New Roman" w:hAnsi="Century Gothic" w:cs="Tahoma"/>
          <w:noProof/>
          <w:color w:val="000000" w:themeColor="text1"/>
          <w:sz w:val="20"/>
          <w:szCs w:val="20"/>
          <w:lang w:eastAsia="ar-SA"/>
        </w:rPr>
        <w:t>so de Suelo, sol</w:t>
      </w:r>
      <w:r w:rsidR="001542B0">
        <w:rPr>
          <w:rFonts w:ascii="Century Gothic" w:eastAsia="Times New Roman" w:hAnsi="Century Gothic" w:cs="Tahoma"/>
          <w:noProof/>
          <w:color w:val="000000" w:themeColor="text1"/>
          <w:sz w:val="20"/>
          <w:szCs w:val="20"/>
          <w:lang w:eastAsia="ar-SA"/>
        </w:rPr>
        <w:t>i</w:t>
      </w:r>
      <w:r>
        <w:rPr>
          <w:rFonts w:ascii="Century Gothic" w:eastAsia="Times New Roman" w:hAnsi="Century Gothic" w:cs="Tahoma"/>
          <w:noProof/>
          <w:color w:val="000000" w:themeColor="text1"/>
          <w:sz w:val="20"/>
          <w:szCs w:val="20"/>
          <w:lang w:eastAsia="ar-SA"/>
        </w:rPr>
        <w:t>cita se prepare un proyecto de ordenanza modificatorio de los artículo</w:t>
      </w:r>
      <w:r w:rsidR="001542B0">
        <w:rPr>
          <w:rFonts w:ascii="Century Gothic" w:eastAsia="Times New Roman" w:hAnsi="Century Gothic" w:cs="Tahoma"/>
          <w:noProof/>
          <w:color w:val="000000" w:themeColor="text1"/>
          <w:sz w:val="20"/>
          <w:szCs w:val="20"/>
          <w:lang w:eastAsia="ar-SA"/>
        </w:rPr>
        <w:t>s</w:t>
      </w:r>
      <w:r>
        <w:rPr>
          <w:rFonts w:ascii="Century Gothic" w:eastAsia="Times New Roman" w:hAnsi="Century Gothic" w:cs="Tahoma"/>
          <w:noProof/>
          <w:color w:val="000000" w:themeColor="text1"/>
          <w:sz w:val="20"/>
          <w:szCs w:val="20"/>
          <w:lang w:eastAsia="ar-SA"/>
        </w:rPr>
        <w:t xml:space="preserve"> 77 y 79 de las Ordenanzas </w:t>
      </w:r>
      <w:r w:rsidR="001542B0">
        <w:rPr>
          <w:rFonts w:ascii="Century Gothic" w:eastAsia="Times New Roman" w:hAnsi="Century Gothic" w:cs="Tahoma"/>
          <w:noProof/>
          <w:color w:val="000000" w:themeColor="text1"/>
          <w:sz w:val="20"/>
          <w:szCs w:val="20"/>
          <w:lang w:eastAsia="ar-SA"/>
        </w:rPr>
        <w:t>M</w:t>
      </w:r>
      <w:r>
        <w:rPr>
          <w:rFonts w:ascii="Century Gothic" w:eastAsia="Times New Roman" w:hAnsi="Century Gothic" w:cs="Tahoma"/>
          <w:noProof/>
          <w:color w:val="000000" w:themeColor="text1"/>
          <w:sz w:val="20"/>
          <w:szCs w:val="20"/>
          <w:lang w:eastAsia="ar-SA"/>
        </w:rPr>
        <w:t>etropolitanas 172 y 432, que hacen relación al Régimen del Suelo.</w:t>
      </w:r>
    </w:p>
    <w:p w:rsidR="007D14AD" w:rsidRDefault="007D14AD" w:rsidP="00E06A40">
      <w:pPr>
        <w:suppressAutoHyphens/>
        <w:spacing w:after="0" w:line="240" w:lineRule="auto"/>
        <w:ind w:left="705" w:hanging="705"/>
        <w:jc w:val="both"/>
        <w:rPr>
          <w:rFonts w:ascii="Century Gothic" w:eastAsia="Times New Roman" w:hAnsi="Century Gothic" w:cs="Tahoma"/>
          <w:noProof/>
          <w:color w:val="000000" w:themeColor="text1"/>
          <w:sz w:val="20"/>
          <w:szCs w:val="20"/>
          <w:lang w:eastAsia="ar-SA"/>
        </w:rPr>
      </w:pPr>
      <w:r>
        <w:rPr>
          <w:rFonts w:ascii="Century Gothic" w:eastAsia="Times New Roman" w:hAnsi="Century Gothic" w:cs="Tahoma"/>
          <w:noProof/>
          <w:color w:val="000000" w:themeColor="text1"/>
          <w:sz w:val="20"/>
          <w:szCs w:val="20"/>
          <w:lang w:eastAsia="ar-SA"/>
        </w:rPr>
        <w:t xml:space="preserve"> </w:t>
      </w:r>
    </w:p>
    <w:p w:rsidR="00E06A40" w:rsidRPr="00AB073E" w:rsidRDefault="00E06A40" w:rsidP="00E06A40">
      <w:pPr>
        <w:suppressAutoHyphens/>
        <w:spacing w:after="0" w:line="240" w:lineRule="auto"/>
        <w:ind w:left="705" w:hanging="705"/>
        <w:jc w:val="both"/>
        <w:rPr>
          <w:rFonts w:ascii="Century Gothic" w:eastAsia="Times New Roman" w:hAnsi="Century Gothic" w:cs="Tahoma"/>
          <w:noProof/>
          <w:color w:val="000000" w:themeColor="text1"/>
          <w:sz w:val="20"/>
          <w:szCs w:val="20"/>
          <w:lang w:eastAsia="ar-SA"/>
        </w:rPr>
      </w:pPr>
      <w:r w:rsidRPr="002F30E8">
        <w:rPr>
          <w:rFonts w:ascii="Century Gothic" w:eastAsia="Times New Roman" w:hAnsi="Century Gothic" w:cs="Tahoma"/>
          <w:noProof/>
          <w:color w:val="000000" w:themeColor="text1"/>
          <w:sz w:val="20"/>
          <w:szCs w:val="20"/>
          <w:highlight w:val="yellow"/>
          <w:lang w:eastAsia="ar-SA"/>
        </w:rPr>
        <w:t xml:space="preserve">Que, </w:t>
      </w:r>
      <w:r w:rsidRPr="002F30E8">
        <w:rPr>
          <w:rFonts w:ascii="Century Gothic" w:eastAsia="Times New Roman" w:hAnsi="Century Gothic" w:cs="Tahoma"/>
          <w:noProof/>
          <w:color w:val="000000" w:themeColor="text1"/>
          <w:sz w:val="20"/>
          <w:szCs w:val="20"/>
          <w:highlight w:val="yellow"/>
          <w:lang w:eastAsia="ar-SA"/>
        </w:rPr>
        <w:tab/>
        <w:t>mediante oficio</w:t>
      </w:r>
      <w:r w:rsidR="007110B3" w:rsidRPr="002F30E8">
        <w:rPr>
          <w:rFonts w:ascii="Century Gothic" w:eastAsia="Times New Roman" w:hAnsi="Century Gothic" w:cs="Tahoma"/>
          <w:noProof/>
          <w:color w:val="000000" w:themeColor="text1"/>
          <w:sz w:val="20"/>
          <w:szCs w:val="20"/>
          <w:highlight w:val="yellow"/>
          <w:lang w:eastAsia="ar-SA"/>
        </w:rPr>
        <w:t>s</w:t>
      </w:r>
      <w:r w:rsidRPr="002F30E8">
        <w:rPr>
          <w:rFonts w:ascii="Century Gothic" w:eastAsia="Times New Roman" w:hAnsi="Century Gothic" w:cs="Tahoma"/>
          <w:noProof/>
          <w:color w:val="000000" w:themeColor="text1"/>
          <w:sz w:val="20"/>
          <w:szCs w:val="20"/>
          <w:highlight w:val="yellow"/>
          <w:lang w:eastAsia="ar-SA"/>
        </w:rPr>
        <w:t xml:space="preserve"> No</w:t>
      </w:r>
      <w:r w:rsidR="007110B3" w:rsidRPr="002F30E8">
        <w:rPr>
          <w:rFonts w:ascii="Century Gothic" w:eastAsia="Times New Roman" w:hAnsi="Century Gothic" w:cs="Tahoma"/>
          <w:noProof/>
          <w:color w:val="000000" w:themeColor="text1"/>
          <w:sz w:val="20"/>
          <w:szCs w:val="20"/>
          <w:highlight w:val="yellow"/>
          <w:lang w:eastAsia="ar-SA"/>
        </w:rPr>
        <w:t>s</w:t>
      </w:r>
      <w:r w:rsidRPr="002F30E8">
        <w:rPr>
          <w:rFonts w:ascii="Century Gothic" w:eastAsia="Times New Roman" w:hAnsi="Century Gothic" w:cs="Tahoma"/>
          <w:noProof/>
          <w:color w:val="000000" w:themeColor="text1"/>
          <w:sz w:val="20"/>
          <w:szCs w:val="20"/>
          <w:highlight w:val="yellow"/>
          <w:lang w:eastAsia="ar-SA"/>
        </w:rPr>
        <w:t>. STHV-</w:t>
      </w:r>
      <w:r w:rsidR="009F0437" w:rsidRPr="002F30E8">
        <w:rPr>
          <w:rFonts w:ascii="Century Gothic" w:eastAsia="Times New Roman" w:hAnsi="Century Gothic" w:cs="Tahoma"/>
          <w:noProof/>
          <w:color w:val="000000" w:themeColor="text1"/>
          <w:sz w:val="20"/>
          <w:szCs w:val="20"/>
          <w:highlight w:val="yellow"/>
          <w:lang w:eastAsia="ar-SA"/>
        </w:rPr>
        <w:t>3415</w:t>
      </w:r>
      <w:r w:rsidRPr="002F30E8">
        <w:rPr>
          <w:rFonts w:ascii="Century Gothic" w:eastAsia="Times New Roman" w:hAnsi="Century Gothic" w:cs="Tahoma"/>
          <w:noProof/>
          <w:color w:val="000000" w:themeColor="text1"/>
          <w:sz w:val="20"/>
          <w:szCs w:val="20"/>
          <w:highlight w:val="yellow"/>
          <w:lang w:eastAsia="ar-SA"/>
        </w:rPr>
        <w:t xml:space="preserve"> de </w:t>
      </w:r>
      <w:r w:rsidR="009F0437" w:rsidRPr="002F30E8">
        <w:rPr>
          <w:rFonts w:ascii="Century Gothic" w:eastAsia="Times New Roman" w:hAnsi="Century Gothic" w:cs="Tahoma"/>
          <w:noProof/>
          <w:color w:val="000000" w:themeColor="text1"/>
          <w:sz w:val="20"/>
          <w:szCs w:val="20"/>
          <w:highlight w:val="yellow"/>
          <w:lang w:eastAsia="ar-SA"/>
        </w:rPr>
        <w:t>29</w:t>
      </w:r>
      <w:r w:rsidRPr="002F30E8">
        <w:rPr>
          <w:rFonts w:ascii="Century Gothic" w:eastAsia="Times New Roman" w:hAnsi="Century Gothic" w:cs="Tahoma"/>
          <w:noProof/>
          <w:color w:val="000000" w:themeColor="text1"/>
          <w:sz w:val="20"/>
          <w:szCs w:val="20"/>
          <w:highlight w:val="yellow"/>
          <w:lang w:eastAsia="ar-SA"/>
        </w:rPr>
        <w:t xml:space="preserve"> de</w:t>
      </w:r>
      <w:r w:rsidR="009F0437" w:rsidRPr="002F30E8">
        <w:rPr>
          <w:rFonts w:ascii="Century Gothic" w:eastAsia="Times New Roman" w:hAnsi="Century Gothic" w:cs="Tahoma"/>
          <w:noProof/>
          <w:color w:val="000000" w:themeColor="text1"/>
          <w:sz w:val="20"/>
          <w:szCs w:val="20"/>
          <w:highlight w:val="yellow"/>
          <w:lang w:eastAsia="ar-SA"/>
        </w:rPr>
        <w:t xml:space="preserve"> julio</w:t>
      </w:r>
      <w:r w:rsidRPr="002F30E8">
        <w:rPr>
          <w:rFonts w:ascii="Century Gothic" w:eastAsia="Times New Roman" w:hAnsi="Century Gothic" w:cs="Tahoma"/>
          <w:noProof/>
          <w:color w:val="000000" w:themeColor="text1"/>
          <w:sz w:val="20"/>
          <w:szCs w:val="20"/>
          <w:highlight w:val="yellow"/>
          <w:lang w:eastAsia="ar-SA"/>
        </w:rPr>
        <w:t xml:space="preserve"> de 201</w:t>
      </w:r>
      <w:r w:rsidR="00217654" w:rsidRPr="002F30E8">
        <w:rPr>
          <w:rFonts w:ascii="Century Gothic" w:eastAsia="Times New Roman" w:hAnsi="Century Gothic" w:cs="Tahoma"/>
          <w:noProof/>
          <w:color w:val="000000" w:themeColor="text1"/>
          <w:sz w:val="20"/>
          <w:szCs w:val="20"/>
          <w:highlight w:val="yellow"/>
          <w:lang w:eastAsia="ar-SA"/>
        </w:rPr>
        <w:t>6</w:t>
      </w:r>
      <w:r w:rsidR="006D6F62" w:rsidRPr="002F30E8">
        <w:rPr>
          <w:rFonts w:ascii="Century Gothic" w:eastAsia="Times New Roman" w:hAnsi="Century Gothic" w:cs="Tahoma"/>
          <w:noProof/>
          <w:color w:val="000000" w:themeColor="text1"/>
          <w:sz w:val="20"/>
          <w:szCs w:val="20"/>
          <w:highlight w:val="yellow"/>
          <w:lang w:eastAsia="ar-SA"/>
        </w:rPr>
        <w:t>,</w:t>
      </w:r>
      <w:r w:rsidR="007110B3" w:rsidRPr="002F30E8">
        <w:rPr>
          <w:rFonts w:ascii="Century Gothic" w:eastAsia="Times New Roman" w:hAnsi="Century Gothic" w:cs="Tahoma"/>
          <w:noProof/>
          <w:color w:val="000000" w:themeColor="text1"/>
          <w:sz w:val="20"/>
          <w:szCs w:val="20"/>
          <w:highlight w:val="yellow"/>
          <w:lang w:eastAsia="ar-SA"/>
        </w:rPr>
        <w:t xml:space="preserve"> STHV-DMGT-3830 de 26 de agosto de 2016 y STHV-DMGT-4012 de 09 de septiembre de 2016 de la </w:t>
      </w:r>
      <w:r w:rsidRPr="002F30E8">
        <w:rPr>
          <w:rFonts w:ascii="Century Gothic" w:eastAsia="Times New Roman" w:hAnsi="Century Gothic" w:cs="Tahoma"/>
          <w:noProof/>
          <w:color w:val="000000" w:themeColor="text1"/>
          <w:sz w:val="20"/>
          <w:szCs w:val="20"/>
          <w:highlight w:val="yellow"/>
          <w:lang w:eastAsia="ar-SA"/>
        </w:rPr>
        <w:t xml:space="preserve">Secretaría de </w:t>
      </w:r>
      <w:r w:rsidR="00217654" w:rsidRPr="002F30E8">
        <w:rPr>
          <w:rFonts w:ascii="Century Gothic" w:eastAsia="Times New Roman" w:hAnsi="Century Gothic" w:cs="Tahoma"/>
          <w:noProof/>
          <w:color w:val="000000" w:themeColor="text1"/>
          <w:sz w:val="20"/>
          <w:szCs w:val="20"/>
          <w:highlight w:val="yellow"/>
          <w:lang w:eastAsia="ar-SA"/>
        </w:rPr>
        <w:t>Te</w:t>
      </w:r>
      <w:r w:rsidRPr="002F30E8">
        <w:rPr>
          <w:rFonts w:ascii="Century Gothic" w:eastAsia="Times New Roman" w:hAnsi="Century Gothic" w:cs="Tahoma"/>
          <w:noProof/>
          <w:color w:val="000000" w:themeColor="text1"/>
          <w:sz w:val="20"/>
          <w:szCs w:val="20"/>
          <w:highlight w:val="yellow"/>
          <w:lang w:eastAsia="ar-SA"/>
        </w:rPr>
        <w:t>rritorio, Hábitat y Vivienda, adjunta su informe técnico que contiene la exposic</w:t>
      </w:r>
      <w:r w:rsidR="00CA4FB5" w:rsidRPr="002F30E8">
        <w:rPr>
          <w:rFonts w:ascii="Century Gothic" w:eastAsia="Times New Roman" w:hAnsi="Century Gothic" w:cs="Tahoma"/>
          <w:noProof/>
          <w:color w:val="000000" w:themeColor="text1"/>
          <w:sz w:val="20"/>
          <w:szCs w:val="20"/>
          <w:highlight w:val="yellow"/>
          <w:lang w:eastAsia="ar-SA"/>
        </w:rPr>
        <w:t>i</w:t>
      </w:r>
      <w:r w:rsidRPr="002F30E8">
        <w:rPr>
          <w:rFonts w:ascii="Century Gothic" w:eastAsia="Times New Roman" w:hAnsi="Century Gothic" w:cs="Tahoma"/>
          <w:noProof/>
          <w:color w:val="000000" w:themeColor="text1"/>
          <w:sz w:val="20"/>
          <w:szCs w:val="20"/>
          <w:highlight w:val="yellow"/>
          <w:lang w:eastAsia="ar-SA"/>
        </w:rPr>
        <w:t>ón sobre la necesidad de reformar la</w:t>
      </w:r>
      <w:r w:rsidR="00217654" w:rsidRPr="002F30E8">
        <w:rPr>
          <w:rFonts w:ascii="Century Gothic" w:eastAsia="Times New Roman" w:hAnsi="Century Gothic" w:cs="Tahoma"/>
          <w:noProof/>
          <w:color w:val="000000" w:themeColor="text1"/>
          <w:sz w:val="20"/>
          <w:szCs w:val="20"/>
          <w:highlight w:val="yellow"/>
          <w:lang w:eastAsia="ar-SA"/>
        </w:rPr>
        <w:t>s</w:t>
      </w:r>
      <w:r w:rsidRPr="002F30E8">
        <w:rPr>
          <w:rFonts w:ascii="Century Gothic" w:eastAsia="Times New Roman" w:hAnsi="Century Gothic" w:cs="Tahoma"/>
          <w:noProof/>
          <w:color w:val="000000" w:themeColor="text1"/>
          <w:sz w:val="20"/>
          <w:szCs w:val="20"/>
          <w:highlight w:val="yellow"/>
          <w:lang w:eastAsia="ar-SA"/>
        </w:rPr>
        <w:t xml:space="preserve"> </w:t>
      </w:r>
      <w:r w:rsidR="00217654" w:rsidRPr="002F30E8">
        <w:rPr>
          <w:rFonts w:ascii="Century Gothic" w:eastAsia="Times New Roman" w:hAnsi="Century Gothic" w:cs="Tahoma"/>
          <w:noProof/>
          <w:color w:val="000000" w:themeColor="text1"/>
          <w:sz w:val="20"/>
          <w:szCs w:val="20"/>
          <w:highlight w:val="yellow"/>
          <w:lang w:eastAsia="ar-SA"/>
        </w:rPr>
        <w:t>O</w:t>
      </w:r>
      <w:r w:rsidRPr="002F30E8">
        <w:rPr>
          <w:rFonts w:ascii="Century Gothic" w:eastAsia="Times New Roman" w:hAnsi="Century Gothic" w:cs="Tahoma"/>
          <w:noProof/>
          <w:color w:val="000000" w:themeColor="text1"/>
          <w:sz w:val="20"/>
          <w:szCs w:val="20"/>
          <w:highlight w:val="yellow"/>
          <w:lang w:eastAsia="ar-SA"/>
        </w:rPr>
        <w:t>rdenanza</w:t>
      </w:r>
      <w:r w:rsidR="00217654" w:rsidRPr="002F30E8">
        <w:rPr>
          <w:rFonts w:ascii="Century Gothic" w:eastAsia="Times New Roman" w:hAnsi="Century Gothic" w:cs="Tahoma"/>
          <w:noProof/>
          <w:color w:val="000000" w:themeColor="text1"/>
          <w:sz w:val="20"/>
          <w:szCs w:val="20"/>
          <w:highlight w:val="yellow"/>
          <w:lang w:eastAsia="ar-SA"/>
        </w:rPr>
        <w:t>s</w:t>
      </w:r>
      <w:r w:rsidRPr="002F30E8">
        <w:rPr>
          <w:rFonts w:ascii="Century Gothic" w:eastAsia="Times New Roman" w:hAnsi="Century Gothic" w:cs="Tahoma"/>
          <w:noProof/>
          <w:color w:val="000000" w:themeColor="text1"/>
          <w:sz w:val="20"/>
          <w:szCs w:val="20"/>
          <w:highlight w:val="yellow"/>
          <w:lang w:eastAsia="ar-SA"/>
        </w:rPr>
        <w:t xml:space="preserve"> </w:t>
      </w:r>
      <w:r w:rsidR="00217654" w:rsidRPr="002F30E8">
        <w:rPr>
          <w:rFonts w:ascii="Century Gothic" w:eastAsia="Times New Roman" w:hAnsi="Century Gothic" w:cs="Tahoma"/>
          <w:noProof/>
          <w:color w:val="000000" w:themeColor="text1"/>
          <w:sz w:val="20"/>
          <w:szCs w:val="20"/>
          <w:highlight w:val="yellow"/>
          <w:lang w:eastAsia="ar-SA"/>
        </w:rPr>
        <w:t>M</w:t>
      </w:r>
      <w:r w:rsidRPr="002F30E8">
        <w:rPr>
          <w:rFonts w:ascii="Century Gothic" w:eastAsia="Times New Roman" w:hAnsi="Century Gothic" w:cs="Tahoma"/>
          <w:noProof/>
          <w:color w:val="000000" w:themeColor="text1"/>
          <w:sz w:val="20"/>
          <w:szCs w:val="20"/>
          <w:highlight w:val="yellow"/>
          <w:lang w:eastAsia="ar-SA"/>
        </w:rPr>
        <w:t>etropolitana</w:t>
      </w:r>
      <w:r w:rsidR="00217654" w:rsidRPr="002F30E8">
        <w:rPr>
          <w:rFonts w:ascii="Century Gothic" w:eastAsia="Times New Roman" w:hAnsi="Century Gothic" w:cs="Tahoma"/>
          <w:noProof/>
          <w:color w:val="000000" w:themeColor="text1"/>
          <w:sz w:val="20"/>
          <w:szCs w:val="20"/>
          <w:highlight w:val="yellow"/>
          <w:lang w:eastAsia="ar-SA"/>
        </w:rPr>
        <w:t>s</w:t>
      </w:r>
      <w:r w:rsidRPr="002F30E8">
        <w:rPr>
          <w:rFonts w:ascii="Century Gothic" w:eastAsia="Times New Roman" w:hAnsi="Century Gothic" w:cs="Tahoma"/>
          <w:noProof/>
          <w:color w:val="000000" w:themeColor="text1"/>
          <w:sz w:val="20"/>
          <w:szCs w:val="20"/>
          <w:highlight w:val="yellow"/>
          <w:lang w:eastAsia="ar-SA"/>
        </w:rPr>
        <w:t xml:space="preserve"> No</w:t>
      </w:r>
      <w:r w:rsidR="00217654" w:rsidRPr="002F30E8">
        <w:rPr>
          <w:rFonts w:ascii="Century Gothic" w:eastAsia="Times New Roman" w:hAnsi="Century Gothic" w:cs="Tahoma"/>
          <w:noProof/>
          <w:color w:val="000000" w:themeColor="text1"/>
          <w:sz w:val="20"/>
          <w:szCs w:val="20"/>
          <w:highlight w:val="yellow"/>
          <w:lang w:eastAsia="ar-SA"/>
        </w:rPr>
        <w:t>s</w:t>
      </w:r>
      <w:r w:rsidRPr="002F30E8">
        <w:rPr>
          <w:rFonts w:ascii="Century Gothic" w:eastAsia="Times New Roman" w:hAnsi="Century Gothic" w:cs="Tahoma"/>
          <w:noProof/>
          <w:color w:val="000000" w:themeColor="text1"/>
          <w:sz w:val="20"/>
          <w:szCs w:val="20"/>
          <w:highlight w:val="yellow"/>
          <w:lang w:eastAsia="ar-SA"/>
        </w:rPr>
        <w:t>. 172</w:t>
      </w:r>
      <w:r w:rsidR="00217654" w:rsidRPr="002F30E8">
        <w:rPr>
          <w:rFonts w:ascii="Century Gothic" w:eastAsia="Times New Roman" w:hAnsi="Century Gothic" w:cs="Tahoma"/>
          <w:noProof/>
          <w:color w:val="000000" w:themeColor="text1"/>
          <w:sz w:val="20"/>
          <w:szCs w:val="20"/>
          <w:highlight w:val="yellow"/>
          <w:lang w:eastAsia="ar-SA"/>
        </w:rPr>
        <w:t xml:space="preserve"> y 0432, en sus artículos 7</w:t>
      </w:r>
      <w:r w:rsidR="009674A4" w:rsidRPr="002F30E8">
        <w:rPr>
          <w:rFonts w:ascii="Century Gothic" w:eastAsia="Times New Roman" w:hAnsi="Century Gothic" w:cs="Tahoma"/>
          <w:noProof/>
          <w:color w:val="000000" w:themeColor="text1"/>
          <w:sz w:val="20"/>
          <w:szCs w:val="20"/>
          <w:highlight w:val="yellow"/>
          <w:lang w:eastAsia="ar-SA"/>
        </w:rPr>
        <w:t>7</w:t>
      </w:r>
      <w:r w:rsidR="00217654" w:rsidRPr="002F30E8">
        <w:rPr>
          <w:rFonts w:ascii="Century Gothic" w:eastAsia="Times New Roman" w:hAnsi="Century Gothic" w:cs="Tahoma"/>
          <w:noProof/>
          <w:color w:val="000000" w:themeColor="text1"/>
          <w:sz w:val="20"/>
          <w:szCs w:val="20"/>
          <w:highlight w:val="yellow"/>
          <w:lang w:eastAsia="ar-SA"/>
        </w:rPr>
        <w:t xml:space="preserve"> y 79 </w:t>
      </w:r>
      <w:r w:rsidRPr="002F30E8">
        <w:rPr>
          <w:rFonts w:ascii="Century Gothic" w:eastAsia="Times New Roman" w:hAnsi="Century Gothic" w:cs="Tahoma"/>
          <w:noProof/>
          <w:color w:val="000000" w:themeColor="text1"/>
          <w:sz w:val="20"/>
          <w:szCs w:val="20"/>
          <w:highlight w:val="yellow"/>
          <w:lang w:eastAsia="ar-SA"/>
        </w:rPr>
        <w:t>; y,</w:t>
      </w:r>
      <w:r w:rsidRPr="00AB073E">
        <w:rPr>
          <w:rFonts w:ascii="Century Gothic" w:eastAsia="Times New Roman" w:hAnsi="Century Gothic" w:cs="Tahoma"/>
          <w:noProof/>
          <w:color w:val="000000" w:themeColor="text1"/>
          <w:sz w:val="20"/>
          <w:szCs w:val="20"/>
          <w:lang w:eastAsia="ar-SA"/>
        </w:rPr>
        <w:t xml:space="preserve"> </w:t>
      </w:r>
    </w:p>
    <w:p w:rsidR="00E06A40" w:rsidRPr="00AB073E" w:rsidRDefault="00E06A40" w:rsidP="00E06A40">
      <w:pPr>
        <w:suppressAutoHyphens/>
        <w:spacing w:after="0" w:line="240" w:lineRule="auto"/>
        <w:ind w:left="705" w:hanging="705"/>
        <w:jc w:val="both"/>
        <w:rPr>
          <w:rFonts w:ascii="Century Gothic" w:eastAsia="Times New Roman" w:hAnsi="Century Gothic" w:cs="Tahoma"/>
          <w:noProof/>
          <w:color w:val="000000" w:themeColor="text1"/>
          <w:sz w:val="20"/>
          <w:szCs w:val="20"/>
          <w:lang w:eastAsia="ar-SA"/>
        </w:rPr>
      </w:pPr>
    </w:p>
    <w:p w:rsidR="00E06A40" w:rsidRPr="00AB073E" w:rsidRDefault="00E06A40" w:rsidP="00E06A40">
      <w:pPr>
        <w:suppressAutoHyphens/>
        <w:spacing w:after="0" w:line="240" w:lineRule="auto"/>
        <w:ind w:left="705" w:hanging="705"/>
        <w:jc w:val="both"/>
        <w:rPr>
          <w:rFonts w:ascii="Century Gothic" w:eastAsia="Times New Roman" w:hAnsi="Century Gothic" w:cs="Tahoma"/>
          <w:noProof/>
          <w:color w:val="000000" w:themeColor="text1"/>
          <w:sz w:val="20"/>
          <w:szCs w:val="20"/>
          <w:lang w:eastAsia="ar-SA"/>
        </w:rPr>
      </w:pPr>
      <w:r w:rsidRPr="00AB073E">
        <w:rPr>
          <w:rFonts w:ascii="Century Gothic" w:eastAsia="Times New Roman" w:hAnsi="Century Gothic" w:cs="Tahoma"/>
          <w:noProof/>
          <w:color w:val="000000" w:themeColor="text1"/>
          <w:sz w:val="20"/>
          <w:szCs w:val="20"/>
          <w:lang w:eastAsia="ar-SA"/>
        </w:rPr>
        <w:t>Que,</w:t>
      </w:r>
      <w:r w:rsidRPr="00AB073E">
        <w:rPr>
          <w:rFonts w:ascii="Century Gothic" w:eastAsia="Times New Roman" w:hAnsi="Century Gothic" w:cs="Tahoma"/>
          <w:noProof/>
          <w:color w:val="000000" w:themeColor="text1"/>
          <w:sz w:val="20"/>
          <w:szCs w:val="20"/>
          <w:lang w:eastAsia="ar-SA"/>
        </w:rPr>
        <w:tab/>
        <w:t xml:space="preserve">mediante oficio, referencia expediente No. </w:t>
      </w:r>
      <w:r w:rsidR="006D6F62">
        <w:rPr>
          <w:rFonts w:ascii="Century Gothic" w:eastAsia="Times New Roman" w:hAnsi="Century Gothic" w:cs="Tahoma"/>
          <w:noProof/>
          <w:color w:val="000000" w:themeColor="text1"/>
          <w:sz w:val="20"/>
          <w:szCs w:val="20"/>
          <w:lang w:eastAsia="ar-SA"/>
        </w:rPr>
        <w:t xml:space="preserve">2175-2016 </w:t>
      </w:r>
      <w:r w:rsidRPr="00AB073E">
        <w:rPr>
          <w:rFonts w:ascii="Century Gothic" w:eastAsia="Times New Roman" w:hAnsi="Century Gothic" w:cs="Tahoma"/>
          <w:noProof/>
          <w:color w:val="000000" w:themeColor="text1"/>
          <w:sz w:val="20"/>
          <w:szCs w:val="20"/>
          <w:lang w:eastAsia="ar-SA"/>
        </w:rPr>
        <w:t>de</w:t>
      </w:r>
      <w:r w:rsidR="00217654" w:rsidRPr="00AB073E">
        <w:rPr>
          <w:rFonts w:ascii="Century Gothic" w:eastAsia="Times New Roman" w:hAnsi="Century Gothic" w:cs="Tahoma"/>
          <w:noProof/>
          <w:color w:val="000000" w:themeColor="text1"/>
          <w:sz w:val="20"/>
          <w:szCs w:val="20"/>
          <w:lang w:eastAsia="ar-SA"/>
        </w:rPr>
        <w:t xml:space="preserve"> </w:t>
      </w:r>
      <w:r w:rsidR="006D6F62">
        <w:rPr>
          <w:rFonts w:ascii="Century Gothic" w:eastAsia="Times New Roman" w:hAnsi="Century Gothic" w:cs="Tahoma"/>
          <w:noProof/>
          <w:color w:val="000000" w:themeColor="text1"/>
          <w:sz w:val="20"/>
          <w:szCs w:val="20"/>
          <w:lang w:eastAsia="ar-SA"/>
        </w:rPr>
        <w:t>…. de</w:t>
      </w:r>
      <w:r w:rsidRPr="00AB073E">
        <w:rPr>
          <w:rFonts w:ascii="Century Gothic" w:eastAsia="Times New Roman" w:hAnsi="Century Gothic" w:cs="Tahoma"/>
          <w:noProof/>
          <w:color w:val="000000" w:themeColor="text1"/>
          <w:sz w:val="20"/>
          <w:szCs w:val="20"/>
          <w:lang w:eastAsia="ar-SA"/>
        </w:rPr>
        <w:t xml:space="preserve"> 201</w:t>
      </w:r>
      <w:r w:rsidR="00217654" w:rsidRPr="00AB073E">
        <w:rPr>
          <w:rFonts w:ascii="Century Gothic" w:eastAsia="Times New Roman" w:hAnsi="Century Gothic" w:cs="Tahoma"/>
          <w:noProof/>
          <w:color w:val="000000" w:themeColor="text1"/>
          <w:sz w:val="20"/>
          <w:szCs w:val="20"/>
          <w:lang w:eastAsia="ar-SA"/>
        </w:rPr>
        <w:t>6</w:t>
      </w:r>
      <w:r w:rsidRPr="00AB073E">
        <w:rPr>
          <w:rFonts w:ascii="Century Gothic" w:eastAsia="Times New Roman" w:hAnsi="Century Gothic" w:cs="Tahoma"/>
          <w:noProof/>
          <w:color w:val="000000" w:themeColor="text1"/>
          <w:sz w:val="20"/>
          <w:szCs w:val="20"/>
          <w:lang w:eastAsia="ar-SA"/>
        </w:rPr>
        <w:t xml:space="preserve">, la Procuraduría Metropolitana emite informe favorable para la reforma de la </w:t>
      </w:r>
      <w:r w:rsidR="006D6F62">
        <w:rPr>
          <w:rFonts w:ascii="Century Gothic" w:eastAsia="Times New Roman" w:hAnsi="Century Gothic" w:cs="Tahoma"/>
          <w:noProof/>
          <w:color w:val="000000" w:themeColor="text1"/>
          <w:sz w:val="20"/>
          <w:szCs w:val="20"/>
          <w:lang w:eastAsia="ar-SA"/>
        </w:rPr>
        <w:t>O</w:t>
      </w:r>
      <w:r w:rsidRPr="00AB073E">
        <w:rPr>
          <w:rFonts w:ascii="Century Gothic" w:eastAsia="Times New Roman" w:hAnsi="Century Gothic" w:cs="Tahoma"/>
          <w:noProof/>
          <w:color w:val="000000" w:themeColor="text1"/>
          <w:sz w:val="20"/>
          <w:szCs w:val="20"/>
          <w:lang w:eastAsia="ar-SA"/>
        </w:rPr>
        <w:t xml:space="preserve">rdenanza </w:t>
      </w:r>
      <w:r w:rsidR="006D6F62">
        <w:rPr>
          <w:rFonts w:ascii="Century Gothic" w:eastAsia="Times New Roman" w:hAnsi="Century Gothic" w:cs="Tahoma"/>
          <w:noProof/>
          <w:color w:val="000000" w:themeColor="text1"/>
          <w:sz w:val="20"/>
          <w:szCs w:val="20"/>
          <w:lang w:eastAsia="ar-SA"/>
        </w:rPr>
        <w:t>M</w:t>
      </w:r>
      <w:r w:rsidRPr="00AB073E">
        <w:rPr>
          <w:rFonts w:ascii="Century Gothic" w:eastAsia="Times New Roman" w:hAnsi="Century Gothic" w:cs="Tahoma"/>
          <w:noProof/>
          <w:color w:val="000000" w:themeColor="text1"/>
          <w:sz w:val="20"/>
          <w:szCs w:val="20"/>
          <w:lang w:eastAsia="ar-SA"/>
        </w:rPr>
        <w:t>etropolitana No. 172.</w:t>
      </w:r>
    </w:p>
    <w:p w:rsidR="00E06A40" w:rsidRPr="00AB073E" w:rsidRDefault="00E06A40" w:rsidP="00E06A40">
      <w:pPr>
        <w:suppressAutoHyphens/>
        <w:spacing w:after="0" w:line="240" w:lineRule="auto"/>
        <w:ind w:left="705" w:hanging="705"/>
        <w:jc w:val="both"/>
        <w:rPr>
          <w:rFonts w:ascii="Century Gothic" w:eastAsia="Times New Roman" w:hAnsi="Century Gothic" w:cs="Tahoma"/>
          <w:noProof/>
          <w:color w:val="000000" w:themeColor="text1"/>
          <w:sz w:val="20"/>
          <w:szCs w:val="20"/>
          <w:lang w:eastAsia="ar-SA"/>
        </w:rPr>
      </w:pPr>
    </w:p>
    <w:p w:rsidR="00E06A40" w:rsidRPr="00AB073E" w:rsidRDefault="00E06A40" w:rsidP="00E06A40">
      <w:pPr>
        <w:suppressAutoHyphens/>
        <w:spacing w:after="0" w:line="240" w:lineRule="auto"/>
        <w:jc w:val="both"/>
        <w:rPr>
          <w:rFonts w:ascii="Century Gothic" w:eastAsia="Times New Roman" w:hAnsi="Century Gothic" w:cs="Tahoma"/>
          <w:sz w:val="20"/>
          <w:szCs w:val="20"/>
          <w:lang w:eastAsia="ar-SA"/>
        </w:rPr>
      </w:pPr>
    </w:p>
    <w:p w:rsidR="00E06A40" w:rsidRPr="00AB073E" w:rsidRDefault="00E06A40" w:rsidP="00E06A40">
      <w:pPr>
        <w:suppressAutoHyphens/>
        <w:spacing w:after="0" w:line="240" w:lineRule="auto"/>
        <w:jc w:val="both"/>
        <w:rPr>
          <w:rFonts w:ascii="Century Gothic" w:eastAsia="Times New Roman" w:hAnsi="Century Gothic" w:cs="Tahoma"/>
          <w:b/>
          <w:noProof/>
          <w:sz w:val="20"/>
          <w:szCs w:val="20"/>
          <w:lang w:eastAsia="ar-SA"/>
        </w:rPr>
      </w:pPr>
      <w:r w:rsidRPr="00AB073E">
        <w:rPr>
          <w:rFonts w:ascii="Century Gothic" w:eastAsia="Times New Roman" w:hAnsi="Century Gothic" w:cs="Tahoma"/>
          <w:b/>
          <w:noProof/>
          <w:sz w:val="20"/>
          <w:szCs w:val="20"/>
          <w:lang w:eastAsia="ar-SA"/>
        </w:rPr>
        <w:t>En ejercicio de sus</w:t>
      </w:r>
      <w:r w:rsidRPr="00AB073E">
        <w:rPr>
          <w:rFonts w:ascii="Century Gothic" w:eastAsia="Times New Roman" w:hAnsi="Century Gothic" w:cs="Tahoma"/>
          <w:b/>
          <w:noProof/>
          <w:color w:val="3333FF"/>
          <w:sz w:val="20"/>
          <w:szCs w:val="20"/>
          <w:lang w:eastAsia="ar-SA"/>
        </w:rPr>
        <w:t xml:space="preserve"> </w:t>
      </w:r>
      <w:r w:rsidRPr="00AB073E">
        <w:rPr>
          <w:rFonts w:ascii="Century Gothic" w:eastAsia="Times New Roman" w:hAnsi="Century Gothic" w:cs="Tahoma"/>
          <w:b/>
          <w:noProof/>
          <w:color w:val="000000" w:themeColor="text1"/>
          <w:sz w:val="20"/>
          <w:szCs w:val="20"/>
          <w:lang w:eastAsia="ar-SA"/>
        </w:rPr>
        <w:t xml:space="preserve">atribuciones legales constantes en </w:t>
      </w:r>
      <w:r w:rsidR="00273C85">
        <w:rPr>
          <w:rFonts w:ascii="Century Gothic" w:eastAsia="Times New Roman" w:hAnsi="Century Gothic" w:cs="Tahoma"/>
          <w:b/>
          <w:noProof/>
          <w:color w:val="000000" w:themeColor="text1"/>
          <w:sz w:val="20"/>
          <w:szCs w:val="20"/>
          <w:lang w:eastAsia="ar-SA"/>
        </w:rPr>
        <w:t>el</w:t>
      </w:r>
      <w:r w:rsidRPr="00AB073E">
        <w:rPr>
          <w:rFonts w:ascii="Century Gothic" w:eastAsia="Times New Roman" w:hAnsi="Century Gothic" w:cs="Tahoma"/>
          <w:b/>
          <w:noProof/>
          <w:color w:val="000000" w:themeColor="text1"/>
          <w:sz w:val="20"/>
          <w:szCs w:val="20"/>
          <w:lang w:eastAsia="ar-SA"/>
        </w:rPr>
        <w:t xml:space="preserve"> artículo </w:t>
      </w:r>
      <w:r w:rsidR="006130DF">
        <w:rPr>
          <w:rFonts w:ascii="Century Gothic" w:eastAsia="Times New Roman" w:hAnsi="Century Gothic" w:cs="Tahoma"/>
          <w:b/>
          <w:noProof/>
          <w:color w:val="000000" w:themeColor="text1"/>
          <w:sz w:val="20"/>
          <w:szCs w:val="20"/>
          <w:lang w:eastAsia="ar-SA"/>
        </w:rPr>
        <w:t>264 num</w:t>
      </w:r>
      <w:r w:rsidR="008101B8">
        <w:rPr>
          <w:rFonts w:ascii="Century Gothic" w:eastAsia="Times New Roman" w:hAnsi="Century Gothic" w:cs="Tahoma"/>
          <w:b/>
          <w:noProof/>
          <w:color w:val="000000" w:themeColor="text1"/>
          <w:sz w:val="20"/>
          <w:szCs w:val="20"/>
          <w:lang w:eastAsia="ar-SA"/>
        </w:rPr>
        <w:t>e</w:t>
      </w:r>
      <w:r w:rsidR="006130DF">
        <w:rPr>
          <w:rFonts w:ascii="Century Gothic" w:eastAsia="Times New Roman" w:hAnsi="Century Gothic" w:cs="Tahoma"/>
          <w:b/>
          <w:noProof/>
          <w:color w:val="000000" w:themeColor="text1"/>
          <w:sz w:val="20"/>
          <w:szCs w:val="20"/>
          <w:lang w:eastAsia="ar-SA"/>
        </w:rPr>
        <w:t xml:space="preserve">rales 1 y 2 de la Constitución de la República del </w:t>
      </w:r>
      <w:r w:rsidR="001542B0">
        <w:rPr>
          <w:rFonts w:ascii="Century Gothic" w:eastAsia="Times New Roman" w:hAnsi="Century Gothic" w:cs="Tahoma"/>
          <w:b/>
          <w:noProof/>
          <w:color w:val="000000" w:themeColor="text1"/>
          <w:sz w:val="20"/>
          <w:szCs w:val="20"/>
          <w:lang w:eastAsia="ar-SA"/>
        </w:rPr>
        <w:t>E</w:t>
      </w:r>
      <w:r w:rsidR="006130DF">
        <w:rPr>
          <w:rFonts w:ascii="Century Gothic" w:eastAsia="Times New Roman" w:hAnsi="Century Gothic" w:cs="Tahoma"/>
          <w:b/>
          <w:noProof/>
          <w:color w:val="000000" w:themeColor="text1"/>
          <w:sz w:val="20"/>
          <w:szCs w:val="20"/>
          <w:lang w:eastAsia="ar-SA"/>
        </w:rPr>
        <w:t>cuador,</w:t>
      </w:r>
      <w:r w:rsidR="00273C85">
        <w:rPr>
          <w:rFonts w:ascii="Century Gothic" w:eastAsia="Times New Roman" w:hAnsi="Century Gothic" w:cs="Tahoma"/>
          <w:b/>
          <w:noProof/>
          <w:color w:val="000000" w:themeColor="text1"/>
          <w:sz w:val="20"/>
          <w:szCs w:val="20"/>
          <w:lang w:eastAsia="ar-SA"/>
        </w:rPr>
        <w:t xml:space="preserve"> artículos</w:t>
      </w:r>
      <w:r w:rsidR="006130DF">
        <w:rPr>
          <w:rFonts w:ascii="Century Gothic" w:eastAsia="Times New Roman" w:hAnsi="Century Gothic" w:cs="Tahoma"/>
          <w:b/>
          <w:noProof/>
          <w:color w:val="000000" w:themeColor="text1"/>
          <w:sz w:val="20"/>
          <w:szCs w:val="20"/>
          <w:lang w:eastAsia="ar-SA"/>
        </w:rPr>
        <w:t xml:space="preserve"> </w:t>
      </w:r>
      <w:r w:rsidRPr="00AB073E">
        <w:rPr>
          <w:rFonts w:ascii="Century Gothic" w:eastAsia="Times New Roman" w:hAnsi="Century Gothic" w:cs="Tahoma"/>
          <w:b/>
          <w:noProof/>
          <w:sz w:val="20"/>
          <w:szCs w:val="20"/>
          <w:lang w:eastAsia="ar-SA"/>
        </w:rPr>
        <w:t xml:space="preserve">57, </w:t>
      </w:r>
      <w:r w:rsidRPr="00273C85">
        <w:rPr>
          <w:rFonts w:ascii="Century Gothic" w:eastAsia="Times New Roman" w:hAnsi="Century Gothic" w:cs="Tahoma"/>
          <w:b/>
          <w:noProof/>
          <w:color w:val="000000" w:themeColor="text1"/>
          <w:sz w:val="20"/>
          <w:szCs w:val="20"/>
          <w:lang w:eastAsia="ar-SA"/>
        </w:rPr>
        <w:t>literales a) y x)</w:t>
      </w:r>
      <w:r w:rsidR="00273C85">
        <w:rPr>
          <w:rFonts w:ascii="Century Gothic" w:eastAsia="Times New Roman" w:hAnsi="Century Gothic" w:cs="Tahoma"/>
          <w:b/>
          <w:noProof/>
          <w:color w:val="000000" w:themeColor="text1"/>
          <w:sz w:val="20"/>
          <w:szCs w:val="20"/>
          <w:lang w:eastAsia="ar-SA"/>
        </w:rPr>
        <w:t>,</w:t>
      </w:r>
      <w:r w:rsidR="00273C85" w:rsidRPr="00273C85">
        <w:rPr>
          <w:rFonts w:ascii="Century Gothic" w:eastAsia="Times New Roman" w:hAnsi="Century Gothic" w:cs="Tahoma"/>
          <w:b/>
          <w:noProof/>
          <w:color w:val="000000" w:themeColor="text1"/>
          <w:sz w:val="20"/>
          <w:szCs w:val="20"/>
          <w:lang w:eastAsia="ar-SA"/>
        </w:rPr>
        <w:t xml:space="preserve"> 87</w:t>
      </w:r>
      <w:r w:rsidR="00B354BB">
        <w:rPr>
          <w:rFonts w:ascii="Century Gothic" w:eastAsia="Times New Roman" w:hAnsi="Century Gothic" w:cs="Tahoma"/>
          <w:b/>
          <w:noProof/>
          <w:color w:val="000000" w:themeColor="text1"/>
          <w:sz w:val="20"/>
          <w:szCs w:val="20"/>
          <w:lang w:eastAsia="ar-SA"/>
        </w:rPr>
        <w:t xml:space="preserve"> literales </w:t>
      </w:r>
      <w:r w:rsidR="00B354BB" w:rsidRPr="002F30E8">
        <w:rPr>
          <w:rFonts w:ascii="Century Gothic" w:eastAsia="Times New Roman" w:hAnsi="Century Gothic" w:cs="Tahoma"/>
          <w:b/>
          <w:noProof/>
          <w:color w:val="000000" w:themeColor="text1"/>
          <w:sz w:val="20"/>
          <w:szCs w:val="20"/>
          <w:highlight w:val="yellow"/>
          <w:lang w:eastAsia="ar-SA"/>
        </w:rPr>
        <w:t>a) y v)</w:t>
      </w:r>
      <w:r w:rsidR="00B354BB">
        <w:rPr>
          <w:rFonts w:ascii="Century Gothic" w:eastAsia="Times New Roman" w:hAnsi="Century Gothic" w:cs="Tahoma"/>
          <w:b/>
          <w:noProof/>
          <w:color w:val="000000" w:themeColor="text1"/>
          <w:sz w:val="20"/>
          <w:szCs w:val="20"/>
          <w:lang w:eastAsia="ar-SA"/>
        </w:rPr>
        <w:t xml:space="preserve"> y</w:t>
      </w:r>
      <w:r w:rsidRPr="00273C85">
        <w:rPr>
          <w:rFonts w:ascii="Century Gothic" w:eastAsia="Times New Roman" w:hAnsi="Century Gothic" w:cs="Tahoma"/>
          <w:b/>
          <w:noProof/>
          <w:color w:val="000000" w:themeColor="text1"/>
          <w:sz w:val="20"/>
          <w:szCs w:val="20"/>
          <w:lang w:eastAsia="ar-SA"/>
        </w:rPr>
        <w:t xml:space="preserve"> 322</w:t>
      </w:r>
      <w:r w:rsidR="001542B0" w:rsidRPr="00273C85">
        <w:rPr>
          <w:rFonts w:ascii="Century Gothic" w:eastAsia="Times New Roman" w:hAnsi="Century Gothic" w:cs="Tahoma"/>
          <w:b/>
          <w:noProof/>
          <w:color w:val="000000" w:themeColor="text1"/>
          <w:sz w:val="20"/>
          <w:szCs w:val="20"/>
          <w:lang w:eastAsia="ar-SA"/>
        </w:rPr>
        <w:t xml:space="preserve"> </w:t>
      </w:r>
      <w:r w:rsidRPr="00273C85">
        <w:rPr>
          <w:rFonts w:ascii="Century Gothic" w:eastAsia="Times New Roman" w:hAnsi="Century Gothic" w:cs="Tahoma"/>
          <w:b/>
          <w:noProof/>
          <w:color w:val="000000" w:themeColor="text1"/>
          <w:sz w:val="20"/>
          <w:szCs w:val="20"/>
          <w:lang w:eastAsia="ar-SA"/>
        </w:rPr>
        <w:t xml:space="preserve">del </w:t>
      </w:r>
      <w:r w:rsidRPr="00AB073E">
        <w:rPr>
          <w:rFonts w:ascii="Century Gothic" w:eastAsia="Times New Roman" w:hAnsi="Century Gothic" w:cs="Tahoma"/>
          <w:b/>
          <w:noProof/>
          <w:sz w:val="20"/>
          <w:szCs w:val="20"/>
          <w:lang w:eastAsia="ar-SA"/>
        </w:rPr>
        <w:t>Código Orgánico de Organización Territorial, Autonomía y Descentralización; y</w:t>
      </w:r>
      <w:r w:rsidR="00273C85">
        <w:rPr>
          <w:rFonts w:ascii="Century Gothic" w:eastAsia="Times New Roman" w:hAnsi="Century Gothic" w:cs="Tahoma"/>
          <w:b/>
          <w:noProof/>
          <w:sz w:val="20"/>
          <w:szCs w:val="20"/>
          <w:lang w:eastAsia="ar-SA"/>
        </w:rPr>
        <w:t xml:space="preserve"> artículo 8</w:t>
      </w:r>
      <w:r w:rsidR="0031081F">
        <w:rPr>
          <w:rFonts w:ascii="Century Gothic" w:eastAsia="Times New Roman" w:hAnsi="Century Gothic" w:cs="Tahoma"/>
          <w:b/>
          <w:noProof/>
          <w:sz w:val="20"/>
          <w:szCs w:val="20"/>
          <w:lang w:eastAsia="ar-SA"/>
        </w:rPr>
        <w:t xml:space="preserve"> numeral 1 </w:t>
      </w:r>
      <w:r w:rsidRPr="00AB073E">
        <w:rPr>
          <w:rFonts w:ascii="Century Gothic" w:eastAsia="Times New Roman" w:hAnsi="Century Gothic" w:cs="Tahoma"/>
          <w:b/>
          <w:noProof/>
          <w:sz w:val="20"/>
          <w:szCs w:val="20"/>
          <w:lang w:eastAsia="ar-SA"/>
        </w:rPr>
        <w:t>de la Ley Orgánica de Régimen para el Distrito Metropolitano de Quito.</w:t>
      </w:r>
    </w:p>
    <w:p w:rsidR="00E06A40" w:rsidRPr="00AB073E" w:rsidRDefault="00E06A40" w:rsidP="00E06A40">
      <w:pPr>
        <w:suppressAutoHyphens/>
        <w:spacing w:after="0" w:line="240" w:lineRule="auto"/>
        <w:rPr>
          <w:rFonts w:ascii="Century Gothic" w:eastAsia="Times New Roman" w:hAnsi="Century Gothic" w:cs="Tahoma"/>
          <w:sz w:val="24"/>
          <w:szCs w:val="24"/>
          <w:lang w:eastAsia="ar-SA"/>
        </w:rPr>
      </w:pPr>
    </w:p>
    <w:p w:rsidR="00E06A40" w:rsidRPr="00AB073E" w:rsidRDefault="00E06A40" w:rsidP="00E06A40">
      <w:pPr>
        <w:suppressAutoHyphens/>
        <w:spacing w:after="0" w:line="240" w:lineRule="auto"/>
        <w:jc w:val="center"/>
        <w:rPr>
          <w:rFonts w:ascii="Century Gothic" w:eastAsia="Times New Roman" w:hAnsi="Century Gothic" w:cs="Tahoma"/>
          <w:b/>
          <w:smallCaps/>
          <w:sz w:val="24"/>
          <w:szCs w:val="24"/>
          <w:lang w:eastAsia="ar-SA"/>
        </w:rPr>
      </w:pPr>
      <w:r w:rsidRPr="00AB073E">
        <w:rPr>
          <w:rFonts w:ascii="Century Gothic" w:eastAsia="Times New Roman" w:hAnsi="Century Gothic" w:cs="Tahoma"/>
          <w:b/>
          <w:smallCaps/>
          <w:sz w:val="24"/>
          <w:szCs w:val="24"/>
          <w:lang w:eastAsia="ar-SA"/>
        </w:rPr>
        <w:t>EXPIDE:</w:t>
      </w:r>
    </w:p>
    <w:p w:rsidR="00E06A40" w:rsidRPr="00AB073E" w:rsidRDefault="00E06A40" w:rsidP="00E06A40">
      <w:pPr>
        <w:suppressAutoHyphens/>
        <w:spacing w:after="0" w:line="240" w:lineRule="auto"/>
        <w:rPr>
          <w:rFonts w:ascii="Century Gothic" w:eastAsia="Times New Roman" w:hAnsi="Century Gothic" w:cs="Tahoma"/>
          <w:b/>
          <w:smallCaps/>
          <w:sz w:val="20"/>
          <w:szCs w:val="20"/>
          <w:lang w:eastAsia="ar-SA"/>
        </w:rPr>
      </w:pPr>
    </w:p>
    <w:p w:rsidR="00593801" w:rsidRPr="00AB073E" w:rsidRDefault="00593801" w:rsidP="00E06A40">
      <w:pPr>
        <w:suppressAutoHyphens/>
        <w:spacing w:after="0" w:line="240" w:lineRule="auto"/>
        <w:rPr>
          <w:rFonts w:ascii="Century Gothic" w:eastAsia="Times New Roman" w:hAnsi="Century Gothic" w:cs="Tahoma"/>
          <w:b/>
          <w:smallCaps/>
          <w:sz w:val="20"/>
          <w:szCs w:val="20"/>
          <w:lang w:eastAsia="ar-SA"/>
        </w:rPr>
      </w:pPr>
    </w:p>
    <w:p w:rsidR="00E06A40" w:rsidRPr="00AB073E" w:rsidRDefault="00E06A40" w:rsidP="00E06A40">
      <w:pPr>
        <w:suppressAutoHyphens/>
        <w:spacing w:after="0" w:line="240" w:lineRule="auto"/>
        <w:jc w:val="center"/>
        <w:rPr>
          <w:rFonts w:ascii="Century Gothic" w:eastAsia="Times New Roman" w:hAnsi="Century Gothic" w:cs="Tahoma"/>
          <w:b/>
          <w:smallCaps/>
          <w:sz w:val="20"/>
          <w:szCs w:val="20"/>
          <w:highlight w:val="cyan"/>
          <w:lang w:eastAsia="ar-SA"/>
        </w:rPr>
      </w:pPr>
      <w:r w:rsidRPr="00AB073E">
        <w:rPr>
          <w:rFonts w:ascii="Century Gothic" w:eastAsia="Times New Roman" w:hAnsi="Century Gothic" w:cs="Tahoma"/>
          <w:b/>
          <w:smallCaps/>
          <w:sz w:val="20"/>
          <w:szCs w:val="20"/>
          <w:lang w:eastAsia="ar-SA"/>
        </w:rPr>
        <w:t>LA ORDENANZA METROPOLITANA</w:t>
      </w:r>
      <w:r w:rsidRPr="00AB073E">
        <w:rPr>
          <w:rFonts w:ascii="Century Gothic" w:eastAsia="Times New Roman" w:hAnsi="Century Gothic" w:cs="Tahoma"/>
          <w:b/>
          <w:smallCaps/>
          <w:color w:val="3333FF"/>
          <w:sz w:val="20"/>
          <w:szCs w:val="20"/>
          <w:lang w:eastAsia="ar-SA"/>
        </w:rPr>
        <w:t xml:space="preserve"> </w:t>
      </w:r>
      <w:r w:rsidRPr="00AB073E">
        <w:rPr>
          <w:rFonts w:ascii="Century Gothic" w:eastAsia="Times New Roman" w:hAnsi="Century Gothic" w:cs="Tahoma"/>
          <w:b/>
          <w:smallCaps/>
          <w:sz w:val="20"/>
          <w:szCs w:val="20"/>
          <w:lang w:eastAsia="ar-SA"/>
        </w:rPr>
        <w:t>REFORMATORIA DE LA</w:t>
      </w:r>
      <w:r w:rsidR="00217654" w:rsidRPr="00AB073E">
        <w:rPr>
          <w:rFonts w:ascii="Century Gothic" w:eastAsia="Times New Roman" w:hAnsi="Century Gothic" w:cs="Tahoma"/>
          <w:b/>
          <w:smallCaps/>
          <w:sz w:val="20"/>
          <w:szCs w:val="20"/>
          <w:lang w:eastAsia="ar-SA"/>
        </w:rPr>
        <w:t>S</w:t>
      </w:r>
      <w:r w:rsidRPr="00AB073E">
        <w:rPr>
          <w:rFonts w:ascii="Century Gothic" w:eastAsia="Times New Roman" w:hAnsi="Century Gothic" w:cs="Tahoma"/>
          <w:b/>
          <w:smallCaps/>
          <w:sz w:val="20"/>
          <w:szCs w:val="20"/>
          <w:lang w:eastAsia="ar-SA"/>
        </w:rPr>
        <w:t xml:space="preserve"> ORDENANZA</w:t>
      </w:r>
      <w:r w:rsidR="00217654" w:rsidRPr="00AB073E">
        <w:rPr>
          <w:rFonts w:ascii="Century Gothic" w:eastAsia="Times New Roman" w:hAnsi="Century Gothic" w:cs="Tahoma"/>
          <w:b/>
          <w:smallCaps/>
          <w:sz w:val="20"/>
          <w:szCs w:val="20"/>
          <w:lang w:eastAsia="ar-SA"/>
        </w:rPr>
        <w:t>S</w:t>
      </w:r>
      <w:r w:rsidRPr="00AB073E">
        <w:rPr>
          <w:rFonts w:ascii="Century Gothic" w:eastAsia="Times New Roman" w:hAnsi="Century Gothic" w:cs="Tahoma"/>
          <w:b/>
          <w:smallCaps/>
          <w:sz w:val="20"/>
          <w:szCs w:val="20"/>
          <w:lang w:eastAsia="ar-SA"/>
        </w:rPr>
        <w:t xml:space="preserve"> METROPOLITANA</w:t>
      </w:r>
      <w:r w:rsidR="00804899" w:rsidRPr="00AB073E">
        <w:rPr>
          <w:rFonts w:ascii="Century Gothic" w:eastAsia="Times New Roman" w:hAnsi="Century Gothic" w:cs="Tahoma"/>
          <w:b/>
          <w:smallCaps/>
          <w:sz w:val="20"/>
          <w:szCs w:val="20"/>
          <w:lang w:eastAsia="ar-SA"/>
        </w:rPr>
        <w:t>S</w:t>
      </w:r>
      <w:r w:rsidRPr="00AB073E">
        <w:rPr>
          <w:rFonts w:ascii="Century Gothic" w:eastAsia="Times New Roman" w:hAnsi="Century Gothic" w:cs="Tahoma"/>
          <w:b/>
          <w:smallCaps/>
          <w:sz w:val="20"/>
          <w:szCs w:val="20"/>
          <w:lang w:eastAsia="ar-SA"/>
        </w:rPr>
        <w:t xml:space="preserve"> N</w:t>
      </w:r>
      <w:r w:rsidR="00217654" w:rsidRPr="00AB073E">
        <w:rPr>
          <w:rFonts w:ascii="Century Gothic" w:eastAsia="Times New Roman" w:hAnsi="Century Gothic" w:cs="Tahoma"/>
          <w:b/>
          <w:smallCaps/>
          <w:sz w:val="20"/>
          <w:szCs w:val="20"/>
          <w:lang w:eastAsia="ar-SA"/>
        </w:rPr>
        <w:t>os</w:t>
      </w:r>
      <w:r w:rsidRPr="00AB073E">
        <w:rPr>
          <w:rFonts w:ascii="Century Gothic" w:eastAsia="Times New Roman" w:hAnsi="Century Gothic" w:cs="Tahoma"/>
          <w:b/>
          <w:smallCaps/>
          <w:sz w:val="20"/>
          <w:szCs w:val="20"/>
          <w:lang w:eastAsia="ar-SA"/>
        </w:rPr>
        <w:t xml:space="preserve">. 0172 </w:t>
      </w:r>
      <w:r w:rsidR="00804899" w:rsidRPr="00AB073E">
        <w:rPr>
          <w:rFonts w:ascii="Century Gothic" w:eastAsia="Times New Roman" w:hAnsi="Century Gothic" w:cs="Tahoma"/>
          <w:b/>
          <w:smallCaps/>
          <w:sz w:val="20"/>
          <w:szCs w:val="20"/>
          <w:lang w:eastAsia="ar-SA"/>
        </w:rPr>
        <w:t xml:space="preserve">Y </w:t>
      </w:r>
      <w:r w:rsidR="00D5043A" w:rsidRPr="00AB073E">
        <w:rPr>
          <w:rFonts w:ascii="Century Gothic" w:eastAsia="Times New Roman" w:hAnsi="Century Gothic" w:cs="Tahoma"/>
          <w:b/>
          <w:smallCaps/>
          <w:sz w:val="20"/>
          <w:szCs w:val="20"/>
          <w:lang w:eastAsia="ar-SA"/>
        </w:rPr>
        <w:t>0432, QUE</w:t>
      </w:r>
      <w:r w:rsidRPr="00AB073E">
        <w:rPr>
          <w:rFonts w:ascii="Century Gothic" w:eastAsia="Times New Roman" w:hAnsi="Century Gothic" w:cs="Tahoma"/>
          <w:b/>
          <w:smallCaps/>
          <w:sz w:val="20"/>
          <w:szCs w:val="20"/>
          <w:lang w:eastAsia="ar-SA"/>
        </w:rPr>
        <w:t xml:space="preserve"> ESTABLECE</w:t>
      </w:r>
      <w:r w:rsidR="00804899" w:rsidRPr="00AB073E">
        <w:rPr>
          <w:rFonts w:ascii="Century Gothic" w:eastAsia="Times New Roman" w:hAnsi="Century Gothic" w:cs="Tahoma"/>
          <w:b/>
          <w:smallCaps/>
          <w:sz w:val="20"/>
          <w:szCs w:val="20"/>
          <w:lang w:eastAsia="ar-SA"/>
        </w:rPr>
        <w:t>N</w:t>
      </w:r>
      <w:r w:rsidRPr="00AB073E">
        <w:rPr>
          <w:rFonts w:ascii="Century Gothic" w:eastAsia="Times New Roman" w:hAnsi="Century Gothic" w:cs="Tahoma"/>
          <w:b/>
          <w:smallCaps/>
          <w:sz w:val="20"/>
          <w:szCs w:val="20"/>
          <w:lang w:eastAsia="ar-SA"/>
        </w:rPr>
        <w:t xml:space="preserve"> EL RÉGIMEN ADMINISTRATIVO DEL SUELO EN EL DISTRITO METROPOLITANO DE QUITO.</w:t>
      </w:r>
    </w:p>
    <w:p w:rsidR="00E06A40" w:rsidRPr="00AB073E" w:rsidRDefault="00E06A40" w:rsidP="00E06A40">
      <w:pPr>
        <w:suppressAutoHyphens/>
        <w:spacing w:after="0" w:line="240" w:lineRule="auto"/>
        <w:jc w:val="both"/>
        <w:rPr>
          <w:rFonts w:ascii="Century Gothic" w:eastAsia="Times New Roman" w:hAnsi="Century Gothic" w:cs="Tahoma"/>
          <w:bCs/>
          <w:sz w:val="20"/>
          <w:szCs w:val="20"/>
          <w:highlight w:val="cyan"/>
          <w:lang w:eastAsia="ar-SA"/>
        </w:rPr>
      </w:pPr>
    </w:p>
    <w:p w:rsidR="00593801" w:rsidRPr="00AB073E" w:rsidRDefault="00593801" w:rsidP="00E06A40">
      <w:pPr>
        <w:suppressAutoHyphens/>
        <w:spacing w:after="0" w:line="240" w:lineRule="auto"/>
        <w:jc w:val="both"/>
        <w:rPr>
          <w:rFonts w:ascii="Century Gothic" w:eastAsia="Times New Roman" w:hAnsi="Century Gothic" w:cs="Tahoma"/>
          <w:bCs/>
          <w:sz w:val="20"/>
          <w:szCs w:val="20"/>
          <w:highlight w:val="cyan"/>
          <w:lang w:eastAsia="ar-SA"/>
        </w:rPr>
      </w:pPr>
    </w:p>
    <w:p w:rsidR="00804899" w:rsidRPr="00AB073E" w:rsidRDefault="00E06A40" w:rsidP="006130DF">
      <w:pPr>
        <w:suppressAutoHyphens/>
        <w:spacing w:after="0" w:line="240" w:lineRule="auto"/>
        <w:jc w:val="both"/>
        <w:rPr>
          <w:rFonts w:ascii="Century Gothic" w:eastAsia="Times New Roman" w:hAnsi="Century Gothic" w:cs="Tahoma"/>
          <w:sz w:val="20"/>
          <w:szCs w:val="20"/>
          <w:lang w:eastAsia="ar-SA"/>
        </w:rPr>
      </w:pPr>
      <w:r w:rsidRPr="00AB073E">
        <w:rPr>
          <w:rFonts w:ascii="Century Gothic" w:eastAsia="Calibri" w:hAnsi="Century Gothic" w:cs="Tahoma"/>
          <w:b/>
          <w:sz w:val="20"/>
          <w:szCs w:val="20"/>
          <w:lang w:eastAsia="ar-SA"/>
        </w:rPr>
        <w:t>Artículo 1.-</w:t>
      </w:r>
      <w:r w:rsidRPr="00AB073E">
        <w:rPr>
          <w:rFonts w:ascii="Century Gothic" w:eastAsia="Calibri" w:hAnsi="Century Gothic" w:cs="Tahoma"/>
          <w:sz w:val="20"/>
          <w:szCs w:val="20"/>
          <w:lang w:eastAsia="ar-SA"/>
        </w:rPr>
        <w:t xml:space="preserve"> </w:t>
      </w:r>
      <w:r w:rsidR="00804899" w:rsidRPr="00AB073E">
        <w:rPr>
          <w:rFonts w:ascii="Century Gothic" w:eastAsia="Times New Roman" w:hAnsi="Century Gothic" w:cs="Tahoma"/>
          <w:sz w:val="20"/>
          <w:szCs w:val="20"/>
          <w:lang w:eastAsia="ar-SA"/>
        </w:rPr>
        <w:t>Sustitúyase el artículo</w:t>
      </w:r>
      <w:r w:rsidR="003E4F75">
        <w:rPr>
          <w:rFonts w:ascii="Century Gothic" w:eastAsia="Times New Roman" w:hAnsi="Century Gothic" w:cs="Tahoma"/>
          <w:sz w:val="20"/>
          <w:szCs w:val="20"/>
          <w:lang w:eastAsia="ar-SA"/>
        </w:rPr>
        <w:t xml:space="preserve"> innumerado </w:t>
      </w:r>
      <w:r w:rsidR="00804899" w:rsidRPr="00AB073E">
        <w:rPr>
          <w:rFonts w:ascii="Century Gothic" w:eastAsia="Times New Roman" w:hAnsi="Century Gothic" w:cs="Tahoma"/>
          <w:sz w:val="20"/>
          <w:szCs w:val="20"/>
          <w:lang w:eastAsia="ar-SA"/>
        </w:rPr>
        <w:t>7</w:t>
      </w:r>
      <w:r w:rsidR="009674A4" w:rsidRPr="00AB073E">
        <w:rPr>
          <w:rFonts w:ascii="Century Gothic" w:eastAsia="Times New Roman" w:hAnsi="Century Gothic" w:cs="Tahoma"/>
          <w:sz w:val="20"/>
          <w:szCs w:val="20"/>
          <w:lang w:eastAsia="ar-SA"/>
        </w:rPr>
        <w:t>7</w:t>
      </w:r>
      <w:r w:rsidR="006130DF">
        <w:rPr>
          <w:rFonts w:ascii="Century Gothic" w:eastAsia="Times New Roman" w:hAnsi="Century Gothic" w:cs="Tahoma"/>
          <w:sz w:val="20"/>
          <w:szCs w:val="20"/>
          <w:lang w:eastAsia="ar-SA"/>
        </w:rPr>
        <w:t xml:space="preserve"> </w:t>
      </w:r>
      <w:r w:rsidR="00CF6415">
        <w:rPr>
          <w:rFonts w:ascii="Century Gothic" w:eastAsia="Times New Roman" w:hAnsi="Century Gothic" w:cs="Tahoma"/>
          <w:sz w:val="20"/>
          <w:szCs w:val="20"/>
          <w:lang w:eastAsia="ar-SA"/>
        </w:rPr>
        <w:t>de la</w:t>
      </w:r>
      <w:r w:rsidR="003E4F75">
        <w:rPr>
          <w:rFonts w:ascii="Century Gothic" w:eastAsia="Times New Roman" w:hAnsi="Century Gothic" w:cs="Tahoma"/>
          <w:sz w:val="20"/>
          <w:szCs w:val="20"/>
          <w:lang w:eastAsia="ar-SA"/>
        </w:rPr>
        <w:t>s</w:t>
      </w:r>
      <w:r w:rsidR="00CF6415">
        <w:rPr>
          <w:rFonts w:ascii="Century Gothic" w:eastAsia="Times New Roman" w:hAnsi="Century Gothic" w:cs="Tahoma"/>
          <w:sz w:val="20"/>
          <w:szCs w:val="20"/>
          <w:lang w:eastAsia="ar-SA"/>
        </w:rPr>
        <w:t xml:space="preserve"> Ordenanza</w:t>
      </w:r>
      <w:r w:rsidR="003E4F75">
        <w:rPr>
          <w:rFonts w:ascii="Century Gothic" w:eastAsia="Times New Roman" w:hAnsi="Century Gothic" w:cs="Tahoma"/>
          <w:sz w:val="20"/>
          <w:szCs w:val="20"/>
          <w:lang w:eastAsia="ar-SA"/>
        </w:rPr>
        <w:t>s</w:t>
      </w:r>
      <w:r w:rsidR="00CF6415">
        <w:rPr>
          <w:rFonts w:ascii="Century Gothic" w:eastAsia="Times New Roman" w:hAnsi="Century Gothic" w:cs="Tahoma"/>
          <w:sz w:val="20"/>
          <w:szCs w:val="20"/>
          <w:lang w:eastAsia="ar-SA"/>
        </w:rPr>
        <w:t xml:space="preserve"> </w:t>
      </w:r>
      <w:r w:rsidR="00AA1EF9">
        <w:rPr>
          <w:rFonts w:ascii="Century Gothic" w:eastAsia="Times New Roman" w:hAnsi="Century Gothic" w:cs="Tahoma"/>
          <w:sz w:val="20"/>
          <w:szCs w:val="20"/>
          <w:lang w:eastAsia="ar-SA"/>
        </w:rPr>
        <w:t>M</w:t>
      </w:r>
      <w:r w:rsidR="00CF6415">
        <w:rPr>
          <w:rFonts w:ascii="Century Gothic" w:eastAsia="Times New Roman" w:hAnsi="Century Gothic" w:cs="Tahoma"/>
          <w:sz w:val="20"/>
          <w:szCs w:val="20"/>
          <w:lang w:eastAsia="ar-SA"/>
        </w:rPr>
        <w:t>etropolitana</w:t>
      </w:r>
      <w:r w:rsidR="003E4F75">
        <w:rPr>
          <w:rFonts w:ascii="Century Gothic" w:eastAsia="Times New Roman" w:hAnsi="Century Gothic" w:cs="Tahoma"/>
          <w:sz w:val="20"/>
          <w:szCs w:val="20"/>
          <w:lang w:eastAsia="ar-SA"/>
        </w:rPr>
        <w:t>s</w:t>
      </w:r>
      <w:r w:rsidR="00CF6415">
        <w:rPr>
          <w:rFonts w:ascii="Century Gothic" w:eastAsia="Times New Roman" w:hAnsi="Century Gothic" w:cs="Tahoma"/>
          <w:sz w:val="20"/>
          <w:szCs w:val="20"/>
          <w:lang w:eastAsia="ar-SA"/>
        </w:rPr>
        <w:t xml:space="preserve"> 172 </w:t>
      </w:r>
      <w:r w:rsidR="006130DF">
        <w:rPr>
          <w:rFonts w:ascii="Century Gothic" w:eastAsia="Times New Roman" w:hAnsi="Century Gothic" w:cs="Tahoma"/>
          <w:sz w:val="20"/>
          <w:szCs w:val="20"/>
          <w:lang w:eastAsia="ar-SA"/>
        </w:rPr>
        <w:t xml:space="preserve">y </w:t>
      </w:r>
      <w:r w:rsidR="003E4F75">
        <w:rPr>
          <w:rFonts w:ascii="Century Gothic" w:eastAsia="Times New Roman" w:hAnsi="Century Gothic" w:cs="Tahoma"/>
          <w:sz w:val="20"/>
          <w:szCs w:val="20"/>
          <w:lang w:eastAsia="ar-SA"/>
        </w:rPr>
        <w:t>0432</w:t>
      </w:r>
      <w:r w:rsidR="00804899" w:rsidRPr="00AB073E">
        <w:rPr>
          <w:rFonts w:ascii="Century Gothic" w:eastAsia="Times New Roman" w:hAnsi="Century Gothic" w:cs="Tahoma"/>
          <w:sz w:val="20"/>
          <w:szCs w:val="20"/>
          <w:lang w:eastAsia="ar-SA"/>
        </w:rPr>
        <w:t>, por el siguiente:</w:t>
      </w:r>
    </w:p>
    <w:p w:rsidR="00804899" w:rsidRPr="00AB073E" w:rsidRDefault="00804899" w:rsidP="00804899">
      <w:pPr>
        <w:suppressAutoHyphens/>
        <w:spacing w:after="0" w:line="240" w:lineRule="auto"/>
        <w:jc w:val="both"/>
        <w:rPr>
          <w:rFonts w:ascii="Century Gothic" w:eastAsia="Times New Roman" w:hAnsi="Century Gothic" w:cs="Tahoma"/>
          <w:sz w:val="20"/>
          <w:szCs w:val="20"/>
          <w:lang w:eastAsia="ar-SA"/>
        </w:rPr>
      </w:pPr>
    </w:p>
    <w:p w:rsidR="009674A4" w:rsidRPr="00AB073E" w:rsidRDefault="009674A4" w:rsidP="009674A4">
      <w:pPr>
        <w:suppressAutoHyphens/>
        <w:spacing w:after="0" w:line="240" w:lineRule="auto"/>
        <w:jc w:val="both"/>
        <w:rPr>
          <w:rFonts w:ascii="Century Gothic" w:eastAsia="Times New Roman" w:hAnsi="Century Gothic" w:cs="Tahoma"/>
          <w:sz w:val="20"/>
          <w:szCs w:val="20"/>
          <w:lang w:eastAsia="ar-SA"/>
        </w:rPr>
      </w:pPr>
      <w:r w:rsidRPr="00AB073E">
        <w:rPr>
          <w:rFonts w:ascii="Century Gothic" w:eastAsia="Times New Roman" w:hAnsi="Century Gothic" w:cs="Tahoma"/>
          <w:b/>
          <w:sz w:val="20"/>
          <w:szCs w:val="20"/>
          <w:lang w:eastAsia="ar-SA"/>
        </w:rPr>
        <w:t>Artículo… (77</w:t>
      </w:r>
      <w:r w:rsidR="005E4E7C" w:rsidRPr="00AB073E">
        <w:rPr>
          <w:rFonts w:ascii="Century Gothic" w:eastAsia="Times New Roman" w:hAnsi="Century Gothic" w:cs="Tahoma"/>
          <w:b/>
          <w:sz w:val="20"/>
          <w:szCs w:val="20"/>
          <w:lang w:eastAsia="ar-SA"/>
        </w:rPr>
        <w:t>). -</w:t>
      </w:r>
      <w:r w:rsidRPr="00AB073E">
        <w:rPr>
          <w:rFonts w:ascii="Century Gothic" w:eastAsia="Times New Roman" w:hAnsi="Century Gothic" w:cs="Tahoma"/>
          <w:sz w:val="20"/>
          <w:szCs w:val="20"/>
          <w:lang w:eastAsia="ar-SA"/>
        </w:rPr>
        <w:t xml:space="preserve"> </w:t>
      </w:r>
      <w:r w:rsidRPr="00AB073E">
        <w:rPr>
          <w:rFonts w:ascii="Century Gothic" w:eastAsia="Times New Roman" w:hAnsi="Century Gothic" w:cs="Tahoma"/>
          <w:b/>
          <w:sz w:val="20"/>
          <w:szCs w:val="20"/>
          <w:lang w:eastAsia="ar-SA"/>
        </w:rPr>
        <w:t>Áreas verdes</w:t>
      </w:r>
      <w:r w:rsidR="003F536C">
        <w:rPr>
          <w:rFonts w:ascii="Century Gothic" w:eastAsia="Times New Roman" w:hAnsi="Century Gothic" w:cs="Tahoma"/>
          <w:b/>
          <w:sz w:val="20"/>
          <w:szCs w:val="20"/>
          <w:lang w:eastAsia="ar-SA"/>
        </w:rPr>
        <w:t>, comunitarias y vías</w:t>
      </w:r>
      <w:r w:rsidRPr="00AB073E">
        <w:rPr>
          <w:rFonts w:ascii="Century Gothic" w:eastAsia="Times New Roman" w:hAnsi="Century Gothic" w:cs="Tahoma"/>
          <w:b/>
          <w:sz w:val="20"/>
          <w:szCs w:val="20"/>
          <w:lang w:eastAsia="ar-SA"/>
        </w:rPr>
        <w:t xml:space="preserve"> </w:t>
      </w:r>
      <w:r w:rsidR="00F37EDC" w:rsidRPr="00AB073E">
        <w:rPr>
          <w:rFonts w:ascii="Century Gothic" w:eastAsia="Times New Roman" w:hAnsi="Century Gothic" w:cs="Tahoma"/>
          <w:b/>
          <w:sz w:val="20"/>
          <w:szCs w:val="20"/>
          <w:lang w:eastAsia="ar-SA"/>
        </w:rPr>
        <w:t xml:space="preserve">que son bienes de dominio y uso </w:t>
      </w:r>
      <w:r w:rsidR="005E4E7C">
        <w:rPr>
          <w:rFonts w:ascii="Century Gothic" w:eastAsia="Times New Roman" w:hAnsi="Century Gothic" w:cs="Tahoma"/>
          <w:b/>
          <w:sz w:val="20"/>
          <w:szCs w:val="20"/>
          <w:lang w:eastAsia="ar-SA"/>
        </w:rPr>
        <w:t xml:space="preserve">público. </w:t>
      </w:r>
      <w:r w:rsidRPr="00AB073E">
        <w:rPr>
          <w:rFonts w:ascii="Century Gothic" w:eastAsia="Times New Roman" w:hAnsi="Century Gothic" w:cs="Tahoma"/>
          <w:sz w:val="20"/>
          <w:szCs w:val="20"/>
          <w:lang w:eastAsia="ar-SA"/>
        </w:rPr>
        <w:t xml:space="preserve">  </w:t>
      </w:r>
    </w:p>
    <w:p w:rsidR="009674A4" w:rsidRPr="00AB073E" w:rsidRDefault="009674A4" w:rsidP="009674A4">
      <w:pPr>
        <w:suppressAutoHyphens/>
        <w:spacing w:after="0" w:line="240" w:lineRule="auto"/>
        <w:jc w:val="both"/>
        <w:rPr>
          <w:rFonts w:ascii="Century Gothic" w:eastAsia="Times New Roman" w:hAnsi="Century Gothic" w:cs="Tahoma"/>
          <w:sz w:val="20"/>
          <w:szCs w:val="20"/>
          <w:lang w:eastAsia="ar-SA"/>
        </w:rPr>
      </w:pPr>
    </w:p>
    <w:p w:rsidR="009674A4" w:rsidRPr="00AB073E" w:rsidRDefault="009674A4" w:rsidP="009674A4">
      <w:pPr>
        <w:suppressAutoHyphens/>
        <w:spacing w:after="0" w:line="240" w:lineRule="auto"/>
        <w:jc w:val="both"/>
        <w:rPr>
          <w:rFonts w:ascii="Century Gothic" w:eastAsia="Times New Roman" w:hAnsi="Century Gothic" w:cs="Tahoma"/>
          <w:sz w:val="20"/>
          <w:szCs w:val="20"/>
          <w:lang w:eastAsia="ar-SA"/>
        </w:rPr>
      </w:pPr>
      <w:r w:rsidRPr="00AB073E">
        <w:rPr>
          <w:rFonts w:ascii="Century Gothic" w:eastAsia="Times New Roman" w:hAnsi="Century Gothic" w:cs="Tahoma"/>
          <w:sz w:val="20"/>
          <w:szCs w:val="20"/>
          <w:lang w:eastAsia="ar-SA"/>
        </w:rPr>
        <w:t xml:space="preserve">1. En todo fraccionamiento de suelo que se origine por acto voluntario del administrado, de conformidad con el artículo </w:t>
      </w:r>
      <w:r w:rsidRPr="002F30E8">
        <w:rPr>
          <w:rFonts w:ascii="Century Gothic" w:eastAsia="Times New Roman" w:hAnsi="Century Gothic" w:cs="Tahoma"/>
          <w:sz w:val="20"/>
          <w:szCs w:val="20"/>
          <w:highlight w:val="yellow"/>
          <w:lang w:eastAsia="ar-SA"/>
        </w:rPr>
        <w:t>424 reformado del Código Orgánico de Organización Territorial, Autonomía y Descentralización,</w:t>
      </w:r>
      <w:r w:rsidRPr="00AB073E">
        <w:rPr>
          <w:rFonts w:ascii="Century Gothic" w:eastAsia="Times New Roman" w:hAnsi="Century Gothic" w:cs="Tahoma"/>
          <w:sz w:val="20"/>
          <w:szCs w:val="20"/>
          <w:lang w:eastAsia="ar-SA"/>
        </w:rPr>
        <w:t xml:space="preserve"> éste entregará al Municipio el porcentaje de área verde</w:t>
      </w:r>
      <w:r w:rsidR="00CF6415">
        <w:rPr>
          <w:rFonts w:ascii="Century Gothic" w:eastAsia="Times New Roman" w:hAnsi="Century Gothic" w:cs="Tahoma"/>
          <w:sz w:val="20"/>
          <w:szCs w:val="20"/>
          <w:lang w:eastAsia="ar-SA"/>
        </w:rPr>
        <w:t>, comunitaria y vías</w:t>
      </w:r>
      <w:r w:rsidRPr="00AB073E">
        <w:rPr>
          <w:rFonts w:ascii="Century Gothic" w:eastAsia="Times New Roman" w:hAnsi="Century Gothic" w:cs="Tahoma"/>
          <w:sz w:val="20"/>
          <w:szCs w:val="20"/>
          <w:lang w:eastAsia="ar-SA"/>
        </w:rPr>
        <w:t xml:space="preserve"> previsto para cada uno de los siguientes casos: </w:t>
      </w:r>
    </w:p>
    <w:p w:rsidR="009674A4" w:rsidRPr="00AB073E" w:rsidRDefault="009674A4" w:rsidP="009674A4">
      <w:pPr>
        <w:suppressAutoHyphens/>
        <w:spacing w:after="0" w:line="240" w:lineRule="auto"/>
        <w:jc w:val="both"/>
        <w:rPr>
          <w:rFonts w:ascii="Century Gothic" w:eastAsia="Times New Roman" w:hAnsi="Century Gothic" w:cs="Tahoma"/>
          <w:sz w:val="20"/>
          <w:szCs w:val="20"/>
          <w:lang w:eastAsia="ar-SA"/>
        </w:rPr>
      </w:pPr>
    </w:p>
    <w:p w:rsidR="009674A4" w:rsidRPr="00AB073E" w:rsidRDefault="009E4A0F" w:rsidP="009E4A0F">
      <w:pPr>
        <w:suppressAutoHyphens/>
        <w:spacing w:after="0" w:line="240" w:lineRule="auto"/>
        <w:jc w:val="both"/>
        <w:rPr>
          <w:rFonts w:ascii="Century Gothic" w:eastAsia="Times New Roman" w:hAnsi="Century Gothic" w:cs="Tahoma"/>
          <w:sz w:val="20"/>
          <w:szCs w:val="20"/>
          <w:lang w:eastAsia="ar-SA"/>
        </w:rPr>
      </w:pPr>
      <w:r w:rsidRPr="00AB073E">
        <w:rPr>
          <w:rFonts w:ascii="Century Gothic" w:eastAsia="Times New Roman" w:hAnsi="Century Gothic" w:cs="Tahoma"/>
          <w:sz w:val="20"/>
          <w:szCs w:val="20"/>
          <w:lang w:eastAsia="ar-SA"/>
        </w:rPr>
        <w:t xml:space="preserve">a) </w:t>
      </w:r>
      <w:r w:rsidR="009674A4" w:rsidRPr="00AB073E">
        <w:rPr>
          <w:rFonts w:ascii="Century Gothic" w:eastAsia="Times New Roman" w:hAnsi="Century Gothic" w:cs="Tahoma"/>
          <w:sz w:val="20"/>
          <w:szCs w:val="20"/>
          <w:lang w:eastAsia="ar-SA"/>
        </w:rPr>
        <w:t>En subdivisiones el área verde</w:t>
      </w:r>
      <w:r w:rsidR="009E6F25">
        <w:rPr>
          <w:rFonts w:ascii="Century Gothic" w:eastAsia="Times New Roman" w:hAnsi="Century Gothic" w:cs="Tahoma"/>
          <w:sz w:val="20"/>
          <w:szCs w:val="20"/>
          <w:lang w:eastAsia="ar-SA"/>
        </w:rPr>
        <w:t xml:space="preserve"> deberá ser entregada por una sola vez, </w:t>
      </w:r>
      <w:r w:rsidR="009E6F25" w:rsidRPr="002F30E8">
        <w:rPr>
          <w:rFonts w:ascii="Century Gothic" w:eastAsia="Times New Roman" w:hAnsi="Century Gothic" w:cs="Tahoma"/>
          <w:sz w:val="20"/>
          <w:szCs w:val="20"/>
          <w:highlight w:val="yellow"/>
          <w:lang w:eastAsia="ar-SA"/>
        </w:rPr>
        <w:t xml:space="preserve">en forma </w:t>
      </w:r>
      <w:r w:rsidR="009674A4" w:rsidRPr="002F30E8">
        <w:rPr>
          <w:rFonts w:ascii="Century Gothic" w:eastAsia="Times New Roman" w:hAnsi="Century Gothic" w:cs="Tahoma"/>
          <w:sz w:val="20"/>
          <w:szCs w:val="20"/>
          <w:highlight w:val="yellow"/>
          <w:lang w:eastAsia="ar-SA"/>
        </w:rPr>
        <w:t>de c</w:t>
      </w:r>
      <w:r w:rsidR="009E6F25" w:rsidRPr="002F30E8">
        <w:rPr>
          <w:rFonts w:ascii="Century Gothic" w:eastAsia="Times New Roman" w:hAnsi="Century Gothic" w:cs="Tahoma"/>
          <w:sz w:val="20"/>
          <w:szCs w:val="20"/>
          <w:highlight w:val="yellow"/>
          <w:lang w:eastAsia="ar-SA"/>
        </w:rPr>
        <w:t>esión gratuita y obligatoria</w:t>
      </w:r>
      <w:r w:rsidR="00B459E8" w:rsidRPr="002F30E8">
        <w:rPr>
          <w:rFonts w:ascii="Century Gothic" w:eastAsia="Times New Roman" w:hAnsi="Century Gothic" w:cs="Tahoma"/>
          <w:sz w:val="20"/>
          <w:szCs w:val="20"/>
          <w:highlight w:val="yellow"/>
          <w:lang w:eastAsia="ar-SA"/>
        </w:rPr>
        <w:t>,</w:t>
      </w:r>
      <w:r w:rsidR="00B459E8">
        <w:rPr>
          <w:rFonts w:ascii="Century Gothic" w:eastAsia="Times New Roman" w:hAnsi="Century Gothic" w:cs="Tahoma"/>
          <w:sz w:val="20"/>
          <w:szCs w:val="20"/>
          <w:lang w:eastAsia="ar-SA"/>
        </w:rPr>
        <w:t xml:space="preserve"> </w:t>
      </w:r>
      <w:r w:rsidR="009E6F25">
        <w:rPr>
          <w:rFonts w:ascii="Century Gothic" w:eastAsia="Times New Roman" w:hAnsi="Century Gothic" w:cs="Tahoma"/>
          <w:sz w:val="20"/>
          <w:szCs w:val="20"/>
          <w:lang w:eastAsia="ar-SA"/>
        </w:rPr>
        <w:t xml:space="preserve">como mínimo </w:t>
      </w:r>
      <w:r w:rsidR="009674A4" w:rsidRPr="00AB073E">
        <w:rPr>
          <w:rFonts w:ascii="Century Gothic" w:eastAsia="Times New Roman" w:hAnsi="Century Gothic" w:cs="Tahoma"/>
          <w:sz w:val="20"/>
          <w:szCs w:val="20"/>
          <w:lang w:eastAsia="ar-SA"/>
        </w:rPr>
        <w:t xml:space="preserve">el 15% del área útil </w:t>
      </w:r>
      <w:r w:rsidR="009E6F25">
        <w:rPr>
          <w:rFonts w:ascii="Century Gothic" w:eastAsia="Times New Roman" w:hAnsi="Century Gothic" w:cs="Tahoma"/>
          <w:sz w:val="20"/>
          <w:szCs w:val="20"/>
          <w:lang w:eastAsia="ar-SA"/>
        </w:rPr>
        <w:t xml:space="preserve">urbanizable </w:t>
      </w:r>
      <w:r w:rsidR="009674A4" w:rsidRPr="00AB073E">
        <w:rPr>
          <w:rFonts w:ascii="Century Gothic" w:eastAsia="Times New Roman" w:hAnsi="Century Gothic" w:cs="Tahoma"/>
          <w:sz w:val="20"/>
          <w:szCs w:val="20"/>
          <w:lang w:eastAsia="ar-SA"/>
        </w:rPr>
        <w:t>del terreno a dividirse;</w:t>
      </w:r>
    </w:p>
    <w:p w:rsidR="009E4A0F" w:rsidRPr="00AB073E" w:rsidRDefault="009E4A0F" w:rsidP="009E4A0F">
      <w:pPr>
        <w:suppressAutoHyphens/>
        <w:spacing w:after="0" w:line="240" w:lineRule="auto"/>
        <w:jc w:val="both"/>
        <w:rPr>
          <w:rFonts w:ascii="Century Gothic" w:eastAsia="Times New Roman" w:hAnsi="Century Gothic" w:cs="Tahoma"/>
          <w:sz w:val="20"/>
          <w:szCs w:val="20"/>
          <w:lang w:eastAsia="ar-SA"/>
        </w:rPr>
      </w:pPr>
    </w:p>
    <w:p w:rsidR="00F93AF9" w:rsidRPr="00AB073E" w:rsidRDefault="009E4A0F" w:rsidP="009E4A0F">
      <w:pPr>
        <w:suppressAutoHyphens/>
        <w:spacing w:after="0" w:line="240" w:lineRule="auto"/>
        <w:jc w:val="both"/>
        <w:rPr>
          <w:rFonts w:ascii="Century Gothic" w:eastAsia="Times New Roman" w:hAnsi="Century Gothic" w:cs="Tahoma"/>
          <w:sz w:val="20"/>
          <w:szCs w:val="20"/>
          <w:lang w:eastAsia="ar-SA"/>
        </w:rPr>
      </w:pPr>
      <w:r w:rsidRPr="00AB073E">
        <w:rPr>
          <w:rFonts w:ascii="Century Gothic" w:eastAsia="Times New Roman" w:hAnsi="Century Gothic" w:cs="Tahoma"/>
          <w:sz w:val="20"/>
          <w:szCs w:val="20"/>
          <w:lang w:eastAsia="ar-SA"/>
        </w:rPr>
        <w:t xml:space="preserve">b) </w:t>
      </w:r>
      <w:r w:rsidR="00F93AF9" w:rsidRPr="00AB073E">
        <w:rPr>
          <w:rFonts w:ascii="Century Gothic" w:eastAsia="Times New Roman" w:hAnsi="Century Gothic" w:cs="Tahoma"/>
          <w:sz w:val="20"/>
          <w:szCs w:val="20"/>
          <w:lang w:eastAsia="ar-SA"/>
        </w:rPr>
        <w:t xml:space="preserve">En urbanizaciones </w:t>
      </w:r>
      <w:r w:rsidR="00F7672C" w:rsidRPr="00AB073E">
        <w:rPr>
          <w:rFonts w:ascii="Century Gothic" w:eastAsia="Times New Roman" w:hAnsi="Century Gothic" w:cs="Tahoma"/>
          <w:sz w:val="20"/>
          <w:szCs w:val="20"/>
          <w:lang w:eastAsia="ar-SA"/>
        </w:rPr>
        <w:t>en suelo clasificado como urbano</w:t>
      </w:r>
      <w:r w:rsidR="002E3437" w:rsidRPr="00AB073E">
        <w:rPr>
          <w:rFonts w:ascii="Century Gothic" w:eastAsia="Times New Roman" w:hAnsi="Century Gothic" w:cs="Tahoma"/>
          <w:sz w:val="20"/>
          <w:szCs w:val="20"/>
          <w:lang w:eastAsia="ar-SA"/>
        </w:rPr>
        <w:t>,</w:t>
      </w:r>
      <w:r w:rsidR="00F7672C" w:rsidRPr="00AB073E">
        <w:rPr>
          <w:rFonts w:ascii="Century Gothic" w:eastAsia="Times New Roman" w:hAnsi="Century Gothic" w:cs="Tahoma"/>
          <w:sz w:val="20"/>
          <w:szCs w:val="20"/>
          <w:lang w:eastAsia="ar-SA"/>
        </w:rPr>
        <w:t xml:space="preserve"> </w:t>
      </w:r>
      <w:r w:rsidR="00F93AF9" w:rsidRPr="00AB073E">
        <w:rPr>
          <w:rFonts w:ascii="Century Gothic" w:eastAsia="Times New Roman" w:hAnsi="Century Gothic" w:cs="Tahoma"/>
          <w:sz w:val="20"/>
          <w:szCs w:val="20"/>
          <w:lang w:eastAsia="ar-SA"/>
        </w:rPr>
        <w:t xml:space="preserve">el área verde </w:t>
      </w:r>
      <w:r w:rsidR="00B459E8" w:rsidRPr="002F30E8">
        <w:rPr>
          <w:rFonts w:ascii="Century Gothic" w:eastAsia="Times New Roman" w:hAnsi="Century Gothic" w:cs="Tahoma"/>
          <w:sz w:val="20"/>
          <w:szCs w:val="20"/>
          <w:highlight w:val="yellow"/>
          <w:lang w:eastAsia="ar-SA"/>
        </w:rPr>
        <w:t xml:space="preserve">en forma de cesión gratuita y obligatoria </w:t>
      </w:r>
      <w:r w:rsidR="00F93AF9" w:rsidRPr="002F30E8">
        <w:rPr>
          <w:rFonts w:ascii="Century Gothic" w:eastAsia="Times New Roman" w:hAnsi="Century Gothic" w:cs="Tahoma"/>
          <w:sz w:val="20"/>
          <w:szCs w:val="20"/>
          <w:highlight w:val="yellow"/>
          <w:lang w:eastAsia="ar-SA"/>
        </w:rPr>
        <w:t xml:space="preserve">será </w:t>
      </w:r>
      <w:r w:rsidR="00B459E8" w:rsidRPr="002F30E8">
        <w:rPr>
          <w:rFonts w:ascii="Century Gothic" w:eastAsia="Times New Roman" w:hAnsi="Century Gothic" w:cs="Tahoma"/>
          <w:sz w:val="20"/>
          <w:szCs w:val="20"/>
          <w:highlight w:val="yellow"/>
          <w:lang w:eastAsia="ar-SA"/>
        </w:rPr>
        <w:t xml:space="preserve">como mínimo </w:t>
      </w:r>
      <w:r w:rsidR="00F93AF9" w:rsidRPr="002F30E8">
        <w:rPr>
          <w:rFonts w:ascii="Century Gothic" w:eastAsia="Times New Roman" w:hAnsi="Century Gothic" w:cs="Tahoma"/>
          <w:sz w:val="20"/>
          <w:szCs w:val="20"/>
          <w:highlight w:val="yellow"/>
          <w:lang w:eastAsia="ar-SA"/>
        </w:rPr>
        <w:t>el 15% del área útil</w:t>
      </w:r>
      <w:r w:rsidR="00B459E8" w:rsidRPr="002F30E8">
        <w:rPr>
          <w:rFonts w:ascii="Century Gothic" w:eastAsia="Times New Roman" w:hAnsi="Century Gothic" w:cs="Tahoma"/>
          <w:sz w:val="20"/>
          <w:szCs w:val="20"/>
          <w:highlight w:val="yellow"/>
          <w:lang w:eastAsia="ar-SA"/>
        </w:rPr>
        <w:t xml:space="preserve"> urbanizable </w:t>
      </w:r>
      <w:r w:rsidR="00F93AF9" w:rsidRPr="002F30E8">
        <w:rPr>
          <w:rFonts w:ascii="Century Gothic" w:eastAsia="Times New Roman" w:hAnsi="Century Gothic" w:cs="Tahoma"/>
          <w:sz w:val="20"/>
          <w:szCs w:val="20"/>
          <w:highlight w:val="yellow"/>
          <w:lang w:eastAsia="ar-SA"/>
        </w:rPr>
        <w:t>del terreno a dividirse</w:t>
      </w:r>
      <w:r w:rsidR="00EC3DD6" w:rsidRPr="002F30E8">
        <w:rPr>
          <w:rFonts w:ascii="Century Gothic" w:eastAsia="Times New Roman" w:hAnsi="Century Gothic" w:cs="Tahoma"/>
          <w:sz w:val="20"/>
          <w:szCs w:val="20"/>
          <w:highlight w:val="yellow"/>
          <w:lang w:eastAsia="ar-SA"/>
        </w:rPr>
        <w:t>,</w:t>
      </w:r>
      <w:r w:rsidR="00EC3DD6" w:rsidRPr="00AB073E">
        <w:rPr>
          <w:rFonts w:ascii="Century Gothic" w:eastAsia="Times New Roman" w:hAnsi="Century Gothic" w:cs="Tahoma"/>
          <w:sz w:val="20"/>
          <w:szCs w:val="20"/>
          <w:lang w:eastAsia="ar-SA"/>
        </w:rPr>
        <w:t xml:space="preserve"> destinad</w:t>
      </w:r>
      <w:r w:rsidR="00DD1DCC">
        <w:rPr>
          <w:rFonts w:ascii="Century Gothic" w:eastAsia="Times New Roman" w:hAnsi="Century Gothic" w:cs="Tahoma"/>
          <w:sz w:val="20"/>
          <w:szCs w:val="20"/>
          <w:lang w:eastAsia="ar-SA"/>
        </w:rPr>
        <w:t>o</w:t>
      </w:r>
      <w:r w:rsidR="00EC3DD6" w:rsidRPr="00AB073E">
        <w:rPr>
          <w:rFonts w:ascii="Century Gothic" w:eastAsia="Times New Roman" w:hAnsi="Century Gothic" w:cs="Tahoma"/>
          <w:sz w:val="20"/>
          <w:szCs w:val="20"/>
          <w:lang w:eastAsia="ar-SA"/>
        </w:rPr>
        <w:t xml:space="preserve"> exclusivamente para áreas verdes por lo menos el </w:t>
      </w:r>
      <w:r w:rsidR="004B02DC">
        <w:rPr>
          <w:rFonts w:ascii="Century Gothic" w:eastAsia="Times New Roman" w:hAnsi="Century Gothic" w:cs="Tahoma"/>
          <w:sz w:val="20"/>
          <w:szCs w:val="20"/>
          <w:lang w:eastAsia="ar-SA"/>
        </w:rPr>
        <w:t>50%</w:t>
      </w:r>
      <w:r w:rsidR="00EC3DD6" w:rsidRPr="00AB073E">
        <w:rPr>
          <w:rFonts w:ascii="Century Gothic" w:eastAsia="Times New Roman" w:hAnsi="Century Gothic" w:cs="Tahoma"/>
          <w:sz w:val="20"/>
          <w:szCs w:val="20"/>
          <w:lang w:eastAsia="ar-SA"/>
        </w:rPr>
        <w:t xml:space="preserve"> de la superficie entregada.</w:t>
      </w:r>
    </w:p>
    <w:p w:rsidR="009655E2" w:rsidRDefault="009655E2" w:rsidP="00E06F41">
      <w:pPr>
        <w:jc w:val="both"/>
        <w:rPr>
          <w:rFonts w:ascii="Century Gothic" w:hAnsi="Century Gothic" w:cs="Tahoma"/>
          <w:sz w:val="20"/>
          <w:szCs w:val="20"/>
        </w:rPr>
      </w:pPr>
    </w:p>
    <w:p w:rsidR="002F17BA" w:rsidRPr="006F4D83" w:rsidRDefault="002F17BA" w:rsidP="002F17BA">
      <w:pPr>
        <w:jc w:val="both"/>
        <w:rPr>
          <w:rFonts w:ascii="Century Gothic" w:eastAsia="Times New Roman" w:hAnsi="Century Gothic" w:cs="Tahoma"/>
          <w:b/>
          <w:color w:val="C0504D" w:themeColor="accent2"/>
          <w:sz w:val="20"/>
          <w:szCs w:val="20"/>
          <w:lang w:eastAsia="ar-SA"/>
        </w:rPr>
      </w:pPr>
      <w:r w:rsidRPr="006F4D83">
        <w:rPr>
          <w:rFonts w:ascii="Century Gothic" w:eastAsia="Times New Roman" w:hAnsi="Century Gothic" w:cs="Tahoma"/>
          <w:b/>
          <w:color w:val="C0504D" w:themeColor="accent2"/>
          <w:sz w:val="20"/>
          <w:szCs w:val="20"/>
          <w:lang w:eastAsia="ar-SA"/>
        </w:rPr>
        <w:t>2. En el caso de partición judicial de inmuebles, deberá contribuir con el 15% de áreas verdes públicas que corresponda, de conformidad con lo que establece la ley.</w:t>
      </w:r>
    </w:p>
    <w:p w:rsidR="002F17BA" w:rsidRPr="006F4D83" w:rsidRDefault="002F17BA" w:rsidP="002F17BA">
      <w:pPr>
        <w:jc w:val="both"/>
        <w:rPr>
          <w:rFonts w:ascii="Century Gothic" w:hAnsi="Century Gothic" w:cs="Tahoma"/>
          <w:b/>
          <w:color w:val="C0504D" w:themeColor="accent2"/>
          <w:sz w:val="20"/>
          <w:szCs w:val="20"/>
        </w:rPr>
      </w:pPr>
      <w:r w:rsidRPr="006F4D83">
        <w:rPr>
          <w:rFonts w:ascii="Century Gothic" w:hAnsi="Century Gothic" w:cs="Tahoma"/>
          <w:b/>
          <w:color w:val="C0504D" w:themeColor="accent2"/>
          <w:sz w:val="20"/>
          <w:szCs w:val="20"/>
        </w:rPr>
        <w:t xml:space="preserve">3. En Particiones Hereditarias y Judiciales, </w:t>
      </w:r>
      <w:r w:rsidRPr="006F4D83">
        <w:rPr>
          <w:rFonts w:ascii="Century Gothic" w:hAnsi="Century Gothic" w:cs="Tahoma"/>
          <w:b/>
          <w:color w:val="C0504D" w:themeColor="accent2"/>
          <w:sz w:val="20"/>
          <w:szCs w:val="20"/>
          <w:highlight w:val="yellow"/>
        </w:rPr>
        <w:t>en áreas inferiores a 3000.00 m2</w:t>
      </w:r>
      <w:r w:rsidRPr="006F4D83">
        <w:rPr>
          <w:rFonts w:ascii="Century Gothic" w:hAnsi="Century Gothic" w:cs="Tahoma"/>
          <w:b/>
          <w:color w:val="C0504D" w:themeColor="accent2"/>
          <w:sz w:val="20"/>
          <w:szCs w:val="20"/>
        </w:rPr>
        <w:t xml:space="preserve">, si la contribución del 15% de área verde en forma de cesión gratuita y obligatoria </w:t>
      </w:r>
      <w:r w:rsidRPr="006F4D83">
        <w:rPr>
          <w:rFonts w:ascii="Century Gothic" w:hAnsi="Century Gothic" w:cs="Tahoma"/>
          <w:b/>
          <w:color w:val="C0504D" w:themeColor="accent2"/>
          <w:sz w:val="20"/>
          <w:szCs w:val="20"/>
          <w:highlight w:val="yellow"/>
        </w:rPr>
        <w:t>es menor</w:t>
      </w:r>
      <w:r w:rsidRPr="006F4D83">
        <w:rPr>
          <w:rFonts w:ascii="Century Gothic" w:hAnsi="Century Gothic" w:cs="Tahoma"/>
          <w:b/>
          <w:color w:val="C0504D" w:themeColor="accent2"/>
          <w:sz w:val="20"/>
          <w:szCs w:val="20"/>
        </w:rPr>
        <w:t xml:space="preserve"> al lote mínimo asignado en la zonificación vigente, el administrado </w:t>
      </w:r>
      <w:r w:rsidRPr="006F4D83">
        <w:rPr>
          <w:rFonts w:ascii="Century Gothic" w:hAnsi="Century Gothic" w:cs="Tahoma"/>
          <w:b/>
          <w:color w:val="C0504D" w:themeColor="accent2"/>
          <w:sz w:val="20"/>
          <w:szCs w:val="20"/>
          <w:highlight w:val="yellow"/>
        </w:rPr>
        <w:t>compensará</w:t>
      </w:r>
      <w:r w:rsidRPr="006F4D83">
        <w:rPr>
          <w:rFonts w:ascii="Century Gothic" w:hAnsi="Century Gothic" w:cs="Tahoma"/>
          <w:b/>
          <w:color w:val="C0504D" w:themeColor="accent2"/>
          <w:sz w:val="20"/>
          <w:szCs w:val="20"/>
        </w:rPr>
        <w:t xml:space="preserve"> el equivalente al 15% en valor monetario según el avaluó catastral.</w:t>
      </w:r>
    </w:p>
    <w:p w:rsidR="009674A4" w:rsidRPr="00AB073E" w:rsidRDefault="002F17BA" w:rsidP="00E06F41">
      <w:pPr>
        <w:jc w:val="both"/>
        <w:rPr>
          <w:rFonts w:ascii="Century Gothic" w:hAnsi="Century Gothic" w:cs="Tahoma"/>
          <w:sz w:val="20"/>
          <w:szCs w:val="20"/>
        </w:rPr>
      </w:pPr>
      <w:r>
        <w:rPr>
          <w:rFonts w:ascii="Century Gothic" w:hAnsi="Century Gothic" w:cs="Tahoma"/>
          <w:sz w:val="20"/>
          <w:szCs w:val="20"/>
        </w:rPr>
        <w:t>4</w:t>
      </w:r>
      <w:r w:rsidR="009674A4" w:rsidRPr="00AB073E">
        <w:rPr>
          <w:rFonts w:ascii="Century Gothic" w:hAnsi="Century Gothic" w:cs="Tahoma"/>
          <w:sz w:val="20"/>
          <w:szCs w:val="20"/>
        </w:rPr>
        <w:t>. No se exigirá la contribución de área verde pública o el pago en valor monetario correspondiente, en los siguientes casos:</w:t>
      </w:r>
    </w:p>
    <w:p w:rsidR="00B2262A" w:rsidRDefault="009674A4" w:rsidP="00E06F41">
      <w:pPr>
        <w:jc w:val="both"/>
        <w:rPr>
          <w:rFonts w:ascii="Century Gothic" w:hAnsi="Century Gothic" w:cs="Tahoma"/>
          <w:sz w:val="20"/>
          <w:szCs w:val="20"/>
        </w:rPr>
      </w:pPr>
      <w:r w:rsidRPr="00AB073E">
        <w:rPr>
          <w:rFonts w:ascii="Century Gothic" w:hAnsi="Century Gothic" w:cs="Tahoma"/>
          <w:sz w:val="20"/>
          <w:szCs w:val="20"/>
        </w:rPr>
        <w:t>a) Las subdivisiones en suelo rural</w:t>
      </w:r>
      <w:r w:rsidR="00CF6415">
        <w:rPr>
          <w:rFonts w:ascii="Century Gothic" w:hAnsi="Century Gothic" w:cs="Tahoma"/>
          <w:sz w:val="20"/>
          <w:szCs w:val="20"/>
        </w:rPr>
        <w:t>, con fines de partición hereditaria, donación o venta</w:t>
      </w:r>
      <w:r w:rsidR="00C13708">
        <w:rPr>
          <w:rFonts w:ascii="Century Gothic" w:hAnsi="Century Gothic" w:cs="Tahoma"/>
          <w:sz w:val="20"/>
          <w:szCs w:val="20"/>
        </w:rPr>
        <w:t xml:space="preserve">, siempre y cuando no se destinen </w:t>
      </w:r>
      <w:r w:rsidR="007A235B">
        <w:rPr>
          <w:rFonts w:ascii="Century Gothic" w:hAnsi="Century Gothic" w:cs="Tahoma"/>
          <w:sz w:val="20"/>
          <w:szCs w:val="20"/>
        </w:rPr>
        <w:t>para urbanizaciones</w:t>
      </w:r>
      <w:r w:rsidR="00C13708">
        <w:rPr>
          <w:rFonts w:ascii="Century Gothic" w:hAnsi="Century Gothic" w:cs="Tahoma"/>
          <w:sz w:val="20"/>
          <w:szCs w:val="20"/>
        </w:rPr>
        <w:t xml:space="preserve"> y lotizaciones</w:t>
      </w:r>
      <w:r w:rsidR="00CF6415">
        <w:rPr>
          <w:rFonts w:ascii="Century Gothic" w:hAnsi="Century Gothic" w:cs="Tahoma"/>
          <w:sz w:val="20"/>
          <w:szCs w:val="20"/>
        </w:rPr>
        <w:t>.</w:t>
      </w:r>
    </w:p>
    <w:p w:rsidR="00665048" w:rsidRPr="00A30DDB" w:rsidRDefault="00665048" w:rsidP="0094777A">
      <w:pPr>
        <w:jc w:val="both"/>
        <w:rPr>
          <w:rFonts w:ascii="Century Gothic" w:hAnsi="Century Gothic" w:cs="Tahoma"/>
          <w:b/>
          <w:color w:val="C0504D" w:themeColor="accent2"/>
          <w:sz w:val="20"/>
          <w:szCs w:val="20"/>
        </w:rPr>
      </w:pPr>
      <w:r w:rsidRPr="00F65188">
        <w:rPr>
          <w:rFonts w:ascii="Century Gothic" w:hAnsi="Century Gothic" w:cs="Tahoma"/>
          <w:color w:val="000000" w:themeColor="text1"/>
          <w:sz w:val="20"/>
          <w:szCs w:val="20"/>
        </w:rPr>
        <w:t xml:space="preserve">Los administrados que subdividan los inmuebles en suelo rural, deberán justificar </w:t>
      </w:r>
      <w:r w:rsidR="00D5043A" w:rsidRPr="00F65188">
        <w:rPr>
          <w:rFonts w:ascii="Century Gothic" w:hAnsi="Century Gothic" w:cs="Tahoma"/>
          <w:color w:val="000000" w:themeColor="text1"/>
          <w:sz w:val="20"/>
          <w:szCs w:val="20"/>
        </w:rPr>
        <w:t>con los</w:t>
      </w:r>
      <w:r w:rsidRPr="00F65188">
        <w:rPr>
          <w:rFonts w:ascii="Century Gothic" w:hAnsi="Century Gothic" w:cs="Tahoma"/>
          <w:color w:val="000000" w:themeColor="text1"/>
          <w:sz w:val="20"/>
          <w:szCs w:val="20"/>
        </w:rPr>
        <w:t xml:space="preserve"> documentos legales pertinentes que correspondan al caso, a fin de justificar los fines antes indicados</w:t>
      </w:r>
      <w:r w:rsidR="00A30DDB">
        <w:rPr>
          <w:rFonts w:ascii="Century Gothic" w:hAnsi="Century Gothic" w:cs="Tahoma"/>
          <w:color w:val="000000" w:themeColor="text1"/>
          <w:sz w:val="20"/>
          <w:szCs w:val="20"/>
        </w:rPr>
        <w:t xml:space="preserve">; </w:t>
      </w:r>
      <w:r w:rsidR="00A30DDB" w:rsidRPr="00A30DDB">
        <w:rPr>
          <w:rFonts w:ascii="Century Gothic" w:hAnsi="Century Gothic" w:cs="Tahoma"/>
          <w:b/>
          <w:color w:val="C0504D" w:themeColor="accent2"/>
          <w:sz w:val="20"/>
          <w:szCs w:val="20"/>
        </w:rPr>
        <w:t>es decir, en partición hereditaria la posesión efectiva, en donación insinuación judicial y en venta la promesa de compra venta</w:t>
      </w:r>
      <w:r w:rsidR="000C6757">
        <w:rPr>
          <w:rFonts w:ascii="Century Gothic" w:hAnsi="Century Gothic" w:cs="Tahoma"/>
          <w:b/>
          <w:color w:val="C0504D" w:themeColor="accent2"/>
          <w:sz w:val="20"/>
          <w:szCs w:val="20"/>
        </w:rPr>
        <w:t xml:space="preserve"> </w:t>
      </w:r>
      <w:proofErr w:type="spellStart"/>
      <w:r w:rsidR="000C6757">
        <w:rPr>
          <w:rFonts w:ascii="Century Gothic" w:hAnsi="Century Gothic" w:cs="Tahoma"/>
          <w:b/>
          <w:color w:val="C0504D" w:themeColor="accent2"/>
          <w:sz w:val="20"/>
          <w:szCs w:val="20"/>
        </w:rPr>
        <w:t>notarizada</w:t>
      </w:r>
      <w:proofErr w:type="spellEnd"/>
      <w:r w:rsidRPr="00A30DDB">
        <w:rPr>
          <w:rFonts w:ascii="Century Gothic" w:hAnsi="Century Gothic" w:cs="Tahoma"/>
          <w:b/>
          <w:color w:val="C0504D" w:themeColor="accent2"/>
          <w:sz w:val="20"/>
          <w:szCs w:val="20"/>
        </w:rPr>
        <w:t xml:space="preserve">.  </w:t>
      </w:r>
    </w:p>
    <w:p w:rsidR="0094777A" w:rsidRPr="00AB073E" w:rsidRDefault="0094777A" w:rsidP="0094777A">
      <w:pPr>
        <w:jc w:val="both"/>
        <w:rPr>
          <w:rFonts w:ascii="Century Gothic" w:hAnsi="Century Gothic" w:cs="Tahoma"/>
          <w:sz w:val="20"/>
          <w:szCs w:val="20"/>
        </w:rPr>
      </w:pPr>
      <w:r w:rsidRPr="00AB073E">
        <w:rPr>
          <w:rFonts w:ascii="Century Gothic" w:hAnsi="Century Gothic" w:cs="Tahoma"/>
          <w:sz w:val="20"/>
          <w:szCs w:val="20"/>
        </w:rPr>
        <w:t xml:space="preserve">b) Aquellas formas de partición o división del suelo originadas por acto de autoridad pública </w:t>
      </w:r>
      <w:r w:rsidR="00D5043A" w:rsidRPr="00AB073E">
        <w:rPr>
          <w:rFonts w:ascii="Century Gothic" w:hAnsi="Century Gothic" w:cs="Tahoma"/>
          <w:sz w:val="20"/>
          <w:szCs w:val="20"/>
        </w:rPr>
        <w:t>municipal, tales</w:t>
      </w:r>
      <w:r w:rsidRPr="00AB073E">
        <w:rPr>
          <w:rFonts w:ascii="Century Gothic" w:hAnsi="Century Gothic" w:cs="Tahoma"/>
          <w:sz w:val="20"/>
          <w:szCs w:val="20"/>
        </w:rPr>
        <w:t xml:space="preserve"> como expropiaciones</w:t>
      </w:r>
      <w:r w:rsidR="00F97038">
        <w:rPr>
          <w:rFonts w:ascii="Century Gothic" w:hAnsi="Century Gothic" w:cs="Tahoma"/>
          <w:sz w:val="20"/>
          <w:szCs w:val="20"/>
        </w:rPr>
        <w:t>,</w:t>
      </w:r>
      <w:r w:rsidRPr="00AB073E">
        <w:rPr>
          <w:rFonts w:ascii="Century Gothic" w:hAnsi="Century Gothic" w:cs="Tahoma"/>
          <w:sz w:val="20"/>
          <w:szCs w:val="20"/>
        </w:rPr>
        <w:t xml:space="preserve"> </w:t>
      </w:r>
      <w:r w:rsidR="00F97038" w:rsidRPr="00AB073E">
        <w:rPr>
          <w:rFonts w:ascii="Century Gothic" w:hAnsi="Century Gothic" w:cs="Tahoma"/>
          <w:sz w:val="20"/>
          <w:szCs w:val="20"/>
        </w:rPr>
        <w:t xml:space="preserve">subdivisiones producidas por </w:t>
      </w:r>
      <w:r w:rsidR="00C13708">
        <w:rPr>
          <w:rFonts w:ascii="Century Gothic" w:hAnsi="Century Gothic" w:cs="Tahoma"/>
          <w:sz w:val="20"/>
          <w:szCs w:val="20"/>
        </w:rPr>
        <w:t xml:space="preserve">el </w:t>
      </w:r>
      <w:r w:rsidR="00F97038" w:rsidRPr="00AB073E">
        <w:rPr>
          <w:rFonts w:ascii="Century Gothic" w:hAnsi="Century Gothic" w:cs="Tahoma"/>
          <w:sz w:val="20"/>
          <w:szCs w:val="20"/>
        </w:rPr>
        <w:t>trazado de una vía pública, aprobada por el Municipio del Distrito Metropolitano de Quito</w:t>
      </w:r>
      <w:r w:rsidR="00F97038">
        <w:rPr>
          <w:rFonts w:ascii="Century Gothic" w:hAnsi="Century Gothic" w:cs="Tahoma"/>
          <w:sz w:val="20"/>
          <w:szCs w:val="20"/>
        </w:rPr>
        <w:t xml:space="preserve"> </w:t>
      </w:r>
      <w:r w:rsidRPr="00AB073E">
        <w:rPr>
          <w:rFonts w:ascii="Century Gothic" w:hAnsi="Century Gothic" w:cs="Tahoma"/>
          <w:sz w:val="20"/>
          <w:szCs w:val="20"/>
        </w:rPr>
        <w:t>u otros actos previstos en el ordenamiento jurídico nacional o metropolitano.</w:t>
      </w:r>
    </w:p>
    <w:p w:rsidR="00DD1DCC" w:rsidRDefault="0094777A" w:rsidP="00DD1DCC">
      <w:pPr>
        <w:jc w:val="both"/>
        <w:rPr>
          <w:rFonts w:ascii="Century Gothic" w:hAnsi="Century Gothic" w:cs="Tahoma"/>
          <w:sz w:val="20"/>
          <w:szCs w:val="20"/>
        </w:rPr>
      </w:pPr>
      <w:r w:rsidRPr="00AB073E">
        <w:rPr>
          <w:rFonts w:ascii="Century Gothic" w:hAnsi="Century Gothic" w:cs="Tahoma"/>
          <w:sz w:val="20"/>
          <w:szCs w:val="20"/>
        </w:rPr>
        <w:lastRenderedPageBreak/>
        <w:t xml:space="preserve">c) </w:t>
      </w:r>
      <w:r w:rsidR="004E223F">
        <w:rPr>
          <w:rFonts w:ascii="Century Gothic" w:hAnsi="Century Gothic" w:cs="Tahoma"/>
          <w:sz w:val="20"/>
          <w:szCs w:val="20"/>
        </w:rPr>
        <w:t xml:space="preserve">Cuando se proponga una segunda subdivisión de un lote producto de un </w:t>
      </w:r>
      <w:r w:rsidR="00CF6415">
        <w:rPr>
          <w:rFonts w:ascii="Century Gothic" w:hAnsi="Century Gothic" w:cs="Tahoma"/>
          <w:sz w:val="20"/>
          <w:szCs w:val="20"/>
        </w:rPr>
        <w:t xml:space="preserve">fraccionamiento </w:t>
      </w:r>
      <w:r w:rsidR="004E223F">
        <w:rPr>
          <w:rFonts w:ascii="Century Gothic" w:hAnsi="Century Gothic" w:cs="Tahoma"/>
          <w:sz w:val="20"/>
          <w:szCs w:val="20"/>
        </w:rPr>
        <w:t xml:space="preserve">anterior </w:t>
      </w:r>
      <w:r w:rsidR="00B459E8">
        <w:rPr>
          <w:rFonts w:ascii="Century Gothic" w:hAnsi="Century Gothic" w:cs="Tahoma"/>
          <w:sz w:val="20"/>
          <w:szCs w:val="20"/>
        </w:rPr>
        <w:t>en el cual</w:t>
      </w:r>
      <w:r w:rsidR="004E223F">
        <w:rPr>
          <w:rFonts w:ascii="Century Gothic" w:hAnsi="Century Gothic" w:cs="Tahoma"/>
          <w:sz w:val="20"/>
          <w:szCs w:val="20"/>
        </w:rPr>
        <w:t xml:space="preserve"> </w:t>
      </w:r>
      <w:r w:rsidR="00B459E8">
        <w:rPr>
          <w:rFonts w:ascii="Century Gothic" w:hAnsi="Century Gothic" w:cs="Tahoma"/>
          <w:sz w:val="20"/>
          <w:szCs w:val="20"/>
        </w:rPr>
        <w:t>el</w:t>
      </w:r>
      <w:r w:rsidR="004E223F">
        <w:rPr>
          <w:rFonts w:ascii="Century Gothic" w:hAnsi="Century Gothic" w:cs="Tahoma"/>
          <w:sz w:val="20"/>
          <w:szCs w:val="20"/>
        </w:rPr>
        <w:t xml:space="preserve"> administrado ya contribuyó con el </w:t>
      </w:r>
      <w:r w:rsidR="00D5043A">
        <w:rPr>
          <w:rFonts w:ascii="Century Gothic" w:hAnsi="Century Gothic" w:cs="Tahoma"/>
          <w:sz w:val="20"/>
          <w:szCs w:val="20"/>
        </w:rPr>
        <w:t xml:space="preserve">aporte de áreas verdes públicas y </w:t>
      </w:r>
      <w:r w:rsidR="00A177C3">
        <w:rPr>
          <w:rFonts w:ascii="Century Gothic" w:hAnsi="Century Gothic" w:cs="Tahoma"/>
          <w:sz w:val="20"/>
          <w:szCs w:val="20"/>
        </w:rPr>
        <w:t>se trate del mismo propietario.</w:t>
      </w:r>
      <w:r w:rsidR="004E223F">
        <w:rPr>
          <w:rFonts w:ascii="Century Gothic" w:hAnsi="Century Gothic" w:cs="Tahoma"/>
          <w:sz w:val="20"/>
          <w:szCs w:val="20"/>
        </w:rPr>
        <w:t xml:space="preserve"> </w:t>
      </w:r>
    </w:p>
    <w:p w:rsidR="00C13708" w:rsidRDefault="00C13708" w:rsidP="00DD1DCC">
      <w:pPr>
        <w:jc w:val="both"/>
        <w:rPr>
          <w:rFonts w:ascii="Century Gothic" w:hAnsi="Century Gothic" w:cs="Tahoma"/>
          <w:sz w:val="20"/>
          <w:szCs w:val="20"/>
        </w:rPr>
      </w:pPr>
      <w:r>
        <w:rPr>
          <w:rFonts w:ascii="Century Gothic" w:hAnsi="Century Gothic" w:cs="Tahoma"/>
          <w:sz w:val="20"/>
          <w:szCs w:val="20"/>
        </w:rPr>
        <w:t xml:space="preserve">d) En los casos de subdivisiones por partición hereditaria en suelo urbano en los que se haya contribuido con el </w:t>
      </w:r>
      <w:r w:rsidR="00E14848">
        <w:rPr>
          <w:rFonts w:ascii="Century Gothic" w:hAnsi="Century Gothic" w:cs="Tahoma"/>
          <w:sz w:val="20"/>
          <w:szCs w:val="20"/>
        </w:rPr>
        <w:t>15%</w:t>
      </w:r>
      <w:r>
        <w:rPr>
          <w:rFonts w:ascii="Century Gothic" w:hAnsi="Century Gothic" w:cs="Tahoma"/>
          <w:sz w:val="20"/>
          <w:szCs w:val="20"/>
        </w:rPr>
        <w:t xml:space="preserve"> de área verde pública, el o los herederos que propongan una nueva subdivisión,</w:t>
      </w:r>
      <w:r w:rsidR="009655E2">
        <w:rPr>
          <w:rFonts w:ascii="Century Gothic" w:hAnsi="Century Gothic" w:cs="Tahoma"/>
          <w:sz w:val="20"/>
          <w:szCs w:val="20"/>
        </w:rPr>
        <w:t xml:space="preserve"> en los lotes producto de la partición inicial</w:t>
      </w:r>
      <w:r>
        <w:rPr>
          <w:rFonts w:ascii="Century Gothic" w:hAnsi="Century Gothic" w:cs="Tahoma"/>
          <w:sz w:val="20"/>
          <w:szCs w:val="20"/>
        </w:rPr>
        <w:t xml:space="preserve"> tendrán que contribuir </w:t>
      </w:r>
      <w:r w:rsidR="009655E2">
        <w:rPr>
          <w:rFonts w:ascii="Century Gothic" w:hAnsi="Century Gothic" w:cs="Tahoma"/>
          <w:sz w:val="20"/>
          <w:szCs w:val="20"/>
        </w:rPr>
        <w:t xml:space="preserve">el 15% </w:t>
      </w:r>
      <w:r>
        <w:rPr>
          <w:rFonts w:ascii="Century Gothic" w:hAnsi="Century Gothic" w:cs="Tahoma"/>
          <w:sz w:val="20"/>
          <w:szCs w:val="20"/>
        </w:rPr>
        <w:t>descontando el porcentaje entregado en la subdivisión por partición hereditaria</w:t>
      </w:r>
      <w:r w:rsidR="00E14848">
        <w:rPr>
          <w:rFonts w:ascii="Century Gothic" w:hAnsi="Century Gothic" w:cs="Tahoma"/>
          <w:sz w:val="20"/>
          <w:szCs w:val="20"/>
        </w:rPr>
        <w:t>, en forma proporcional</w:t>
      </w:r>
      <w:r w:rsidR="00A56E31">
        <w:rPr>
          <w:rFonts w:ascii="Century Gothic" w:hAnsi="Century Gothic" w:cs="Tahoma"/>
          <w:sz w:val="20"/>
          <w:szCs w:val="20"/>
        </w:rPr>
        <w:t xml:space="preserve"> a la parte del terreno a subdividir</w:t>
      </w:r>
      <w:r>
        <w:rPr>
          <w:rFonts w:ascii="Century Gothic" w:hAnsi="Century Gothic" w:cs="Tahoma"/>
          <w:sz w:val="20"/>
          <w:szCs w:val="20"/>
        </w:rPr>
        <w:t>.</w:t>
      </w:r>
    </w:p>
    <w:p w:rsidR="00AA1EF9" w:rsidRPr="00AB073E" w:rsidRDefault="00AA1EF9" w:rsidP="00AA1EF9">
      <w:pPr>
        <w:suppressAutoHyphens/>
        <w:spacing w:after="0" w:line="240" w:lineRule="auto"/>
        <w:jc w:val="both"/>
        <w:rPr>
          <w:rFonts w:ascii="Century Gothic" w:eastAsia="Times New Roman" w:hAnsi="Century Gothic" w:cs="Tahoma"/>
          <w:sz w:val="20"/>
          <w:szCs w:val="20"/>
          <w:lang w:eastAsia="ar-SA"/>
        </w:rPr>
      </w:pPr>
      <w:r w:rsidRPr="00AB073E">
        <w:rPr>
          <w:rFonts w:ascii="Century Gothic" w:eastAsia="Calibri" w:hAnsi="Century Gothic" w:cs="Tahoma"/>
          <w:b/>
          <w:sz w:val="20"/>
          <w:szCs w:val="20"/>
          <w:lang w:eastAsia="ar-SA"/>
        </w:rPr>
        <w:t xml:space="preserve">Artículo </w:t>
      </w:r>
      <w:r>
        <w:rPr>
          <w:rFonts w:ascii="Century Gothic" w:eastAsia="Calibri" w:hAnsi="Century Gothic" w:cs="Tahoma"/>
          <w:b/>
          <w:sz w:val="20"/>
          <w:szCs w:val="20"/>
          <w:lang w:eastAsia="ar-SA"/>
        </w:rPr>
        <w:t>2</w:t>
      </w:r>
      <w:r w:rsidRPr="00AB073E">
        <w:rPr>
          <w:rFonts w:ascii="Century Gothic" w:eastAsia="Calibri" w:hAnsi="Century Gothic" w:cs="Tahoma"/>
          <w:b/>
          <w:sz w:val="20"/>
          <w:szCs w:val="20"/>
          <w:lang w:eastAsia="ar-SA"/>
        </w:rPr>
        <w:t>.-</w:t>
      </w:r>
      <w:r w:rsidRPr="00AB073E">
        <w:rPr>
          <w:rFonts w:ascii="Century Gothic" w:eastAsia="Calibri" w:hAnsi="Century Gothic" w:cs="Tahoma"/>
          <w:sz w:val="20"/>
          <w:szCs w:val="20"/>
          <w:lang w:eastAsia="ar-SA"/>
        </w:rPr>
        <w:t xml:space="preserve"> </w:t>
      </w:r>
      <w:r w:rsidRPr="00AB073E">
        <w:rPr>
          <w:rFonts w:ascii="Century Gothic" w:eastAsia="Times New Roman" w:hAnsi="Century Gothic" w:cs="Tahoma"/>
          <w:sz w:val="20"/>
          <w:szCs w:val="20"/>
          <w:lang w:eastAsia="ar-SA"/>
        </w:rPr>
        <w:t>Sustitúyase el artículo</w:t>
      </w:r>
      <w:r w:rsidR="003E4F75">
        <w:rPr>
          <w:rFonts w:ascii="Century Gothic" w:eastAsia="Times New Roman" w:hAnsi="Century Gothic" w:cs="Tahoma"/>
          <w:sz w:val="20"/>
          <w:szCs w:val="20"/>
          <w:lang w:eastAsia="ar-SA"/>
        </w:rPr>
        <w:t xml:space="preserve"> </w:t>
      </w:r>
      <w:r>
        <w:rPr>
          <w:rFonts w:ascii="Century Gothic" w:eastAsia="Times New Roman" w:hAnsi="Century Gothic" w:cs="Tahoma"/>
          <w:sz w:val="20"/>
          <w:szCs w:val="20"/>
          <w:lang w:eastAsia="ar-SA"/>
        </w:rPr>
        <w:t>innumerado 79 de la Ordenanza</w:t>
      </w:r>
      <w:r w:rsidR="003E4F75">
        <w:rPr>
          <w:rFonts w:ascii="Century Gothic" w:eastAsia="Times New Roman" w:hAnsi="Century Gothic" w:cs="Tahoma"/>
          <w:sz w:val="20"/>
          <w:szCs w:val="20"/>
          <w:lang w:eastAsia="ar-SA"/>
        </w:rPr>
        <w:t>s</w:t>
      </w:r>
      <w:r>
        <w:rPr>
          <w:rFonts w:ascii="Century Gothic" w:eastAsia="Times New Roman" w:hAnsi="Century Gothic" w:cs="Tahoma"/>
          <w:sz w:val="20"/>
          <w:szCs w:val="20"/>
          <w:lang w:eastAsia="ar-SA"/>
        </w:rPr>
        <w:t xml:space="preserve"> Metropolitana</w:t>
      </w:r>
      <w:r w:rsidR="003E4F75">
        <w:rPr>
          <w:rFonts w:ascii="Century Gothic" w:eastAsia="Times New Roman" w:hAnsi="Century Gothic" w:cs="Tahoma"/>
          <w:sz w:val="20"/>
          <w:szCs w:val="20"/>
          <w:lang w:eastAsia="ar-SA"/>
        </w:rPr>
        <w:t>s</w:t>
      </w:r>
      <w:r>
        <w:rPr>
          <w:rFonts w:ascii="Century Gothic" w:eastAsia="Times New Roman" w:hAnsi="Century Gothic" w:cs="Tahoma"/>
          <w:sz w:val="20"/>
          <w:szCs w:val="20"/>
          <w:lang w:eastAsia="ar-SA"/>
        </w:rPr>
        <w:t xml:space="preserve"> </w:t>
      </w:r>
      <w:r w:rsidR="003E4F75">
        <w:rPr>
          <w:rFonts w:ascii="Century Gothic" w:eastAsia="Times New Roman" w:hAnsi="Century Gothic" w:cs="Tahoma"/>
          <w:sz w:val="20"/>
          <w:szCs w:val="20"/>
          <w:lang w:eastAsia="ar-SA"/>
        </w:rPr>
        <w:t xml:space="preserve">172 y </w:t>
      </w:r>
      <w:r>
        <w:rPr>
          <w:rFonts w:ascii="Century Gothic" w:eastAsia="Times New Roman" w:hAnsi="Century Gothic" w:cs="Tahoma"/>
          <w:sz w:val="20"/>
          <w:szCs w:val="20"/>
          <w:lang w:eastAsia="ar-SA"/>
        </w:rPr>
        <w:t>0432</w:t>
      </w:r>
      <w:r w:rsidRPr="00AB073E">
        <w:rPr>
          <w:rFonts w:ascii="Century Gothic" w:eastAsia="Times New Roman" w:hAnsi="Century Gothic" w:cs="Tahoma"/>
          <w:sz w:val="20"/>
          <w:szCs w:val="20"/>
          <w:lang w:eastAsia="ar-SA"/>
        </w:rPr>
        <w:t>, por el siguiente:</w:t>
      </w:r>
    </w:p>
    <w:p w:rsidR="00107408" w:rsidRPr="00AB073E" w:rsidRDefault="00107408" w:rsidP="009674A4">
      <w:pPr>
        <w:suppressAutoHyphens/>
        <w:spacing w:after="0" w:line="240" w:lineRule="auto"/>
        <w:jc w:val="both"/>
        <w:rPr>
          <w:rFonts w:ascii="Century Gothic" w:eastAsia="Times New Roman" w:hAnsi="Century Gothic" w:cs="Tahoma"/>
          <w:sz w:val="20"/>
          <w:szCs w:val="20"/>
          <w:lang w:eastAsia="ar-SA"/>
        </w:rPr>
      </w:pPr>
    </w:p>
    <w:p w:rsidR="00BC1783" w:rsidRPr="00AB073E" w:rsidRDefault="00BC1783" w:rsidP="00F37EDC">
      <w:pPr>
        <w:suppressAutoHyphens/>
        <w:spacing w:after="0" w:line="240" w:lineRule="auto"/>
        <w:jc w:val="both"/>
        <w:rPr>
          <w:rFonts w:ascii="Century Gothic" w:eastAsia="Times New Roman" w:hAnsi="Century Gothic" w:cs="Tahoma"/>
          <w:b/>
          <w:sz w:val="20"/>
          <w:szCs w:val="20"/>
          <w:lang w:eastAsia="ar-SA"/>
        </w:rPr>
      </w:pPr>
      <w:r w:rsidRPr="00AB073E">
        <w:rPr>
          <w:rFonts w:ascii="Century Gothic" w:eastAsia="Times New Roman" w:hAnsi="Century Gothic" w:cs="Tahoma"/>
          <w:b/>
          <w:sz w:val="20"/>
          <w:szCs w:val="20"/>
          <w:lang w:eastAsia="ar-SA"/>
        </w:rPr>
        <w:t>Artículo… (79).-</w:t>
      </w:r>
      <w:r w:rsidRPr="00AB073E">
        <w:rPr>
          <w:rFonts w:ascii="Century Gothic" w:eastAsia="Times New Roman" w:hAnsi="Century Gothic" w:cs="Tahoma"/>
          <w:sz w:val="20"/>
          <w:szCs w:val="20"/>
          <w:lang w:eastAsia="ar-SA"/>
        </w:rPr>
        <w:t xml:space="preserve"> </w:t>
      </w:r>
      <w:r w:rsidRPr="00AB073E">
        <w:rPr>
          <w:rFonts w:ascii="Century Gothic" w:eastAsia="Times New Roman" w:hAnsi="Century Gothic" w:cs="Tahoma"/>
          <w:b/>
          <w:sz w:val="20"/>
          <w:szCs w:val="20"/>
          <w:lang w:eastAsia="ar-SA"/>
        </w:rPr>
        <w:t>Supuesto</w:t>
      </w:r>
      <w:r w:rsidR="003F536C">
        <w:rPr>
          <w:rFonts w:ascii="Century Gothic" w:eastAsia="Times New Roman" w:hAnsi="Century Gothic" w:cs="Tahoma"/>
          <w:b/>
          <w:sz w:val="20"/>
          <w:szCs w:val="20"/>
          <w:lang w:eastAsia="ar-SA"/>
        </w:rPr>
        <w:t>s</w:t>
      </w:r>
      <w:r w:rsidRPr="00AB073E">
        <w:rPr>
          <w:rFonts w:ascii="Century Gothic" w:eastAsia="Times New Roman" w:hAnsi="Century Gothic" w:cs="Tahoma"/>
          <w:b/>
          <w:sz w:val="20"/>
          <w:szCs w:val="20"/>
          <w:lang w:eastAsia="ar-SA"/>
        </w:rPr>
        <w:t xml:space="preserve"> en el que la contribución de áreas </w:t>
      </w:r>
      <w:r w:rsidR="00DD7DE9" w:rsidRPr="00AB073E">
        <w:rPr>
          <w:rFonts w:ascii="Century Gothic" w:eastAsia="Times New Roman" w:hAnsi="Century Gothic" w:cs="Tahoma"/>
          <w:b/>
          <w:sz w:val="20"/>
          <w:szCs w:val="20"/>
          <w:lang w:eastAsia="ar-SA"/>
        </w:rPr>
        <w:t xml:space="preserve">verdes </w:t>
      </w:r>
      <w:r w:rsidR="00F37EDC" w:rsidRPr="00AB073E">
        <w:rPr>
          <w:rFonts w:ascii="Century Gothic" w:eastAsia="Times New Roman" w:hAnsi="Century Gothic" w:cs="Tahoma"/>
          <w:b/>
          <w:sz w:val="20"/>
          <w:szCs w:val="20"/>
          <w:lang w:eastAsia="ar-SA"/>
        </w:rPr>
        <w:t>públic</w:t>
      </w:r>
      <w:r w:rsidR="000137A7" w:rsidRPr="00AB073E">
        <w:rPr>
          <w:rFonts w:ascii="Century Gothic" w:eastAsia="Times New Roman" w:hAnsi="Century Gothic" w:cs="Tahoma"/>
          <w:b/>
          <w:sz w:val="20"/>
          <w:szCs w:val="20"/>
          <w:lang w:eastAsia="ar-SA"/>
        </w:rPr>
        <w:t>as,</w:t>
      </w:r>
      <w:r w:rsidR="00DD7DE9" w:rsidRPr="00AB073E">
        <w:rPr>
          <w:rFonts w:ascii="Century Gothic" w:eastAsia="Times New Roman" w:hAnsi="Century Gothic" w:cs="Tahoma"/>
          <w:b/>
          <w:sz w:val="20"/>
          <w:szCs w:val="20"/>
          <w:lang w:eastAsia="ar-SA"/>
        </w:rPr>
        <w:t xml:space="preserve"> </w:t>
      </w:r>
      <w:r w:rsidR="00F37EDC" w:rsidRPr="00AB073E">
        <w:rPr>
          <w:rFonts w:ascii="Century Gothic" w:eastAsia="Times New Roman" w:hAnsi="Century Gothic" w:cs="Tahoma"/>
          <w:b/>
          <w:sz w:val="20"/>
          <w:szCs w:val="20"/>
          <w:lang w:eastAsia="ar-SA"/>
        </w:rPr>
        <w:t xml:space="preserve">para subdivisiones </w:t>
      </w:r>
      <w:r w:rsidR="00255824">
        <w:rPr>
          <w:rFonts w:ascii="Century Gothic" w:eastAsia="Times New Roman" w:hAnsi="Century Gothic" w:cs="Tahoma"/>
          <w:b/>
          <w:sz w:val="20"/>
          <w:szCs w:val="20"/>
          <w:lang w:eastAsia="ar-SA"/>
        </w:rPr>
        <w:t xml:space="preserve"> </w:t>
      </w:r>
      <w:r w:rsidR="00A56E31">
        <w:rPr>
          <w:rFonts w:ascii="Century Gothic" w:eastAsia="Times New Roman" w:hAnsi="Century Gothic" w:cs="Tahoma"/>
          <w:b/>
          <w:sz w:val="20"/>
          <w:szCs w:val="20"/>
          <w:lang w:eastAsia="ar-SA"/>
        </w:rPr>
        <w:t>puede</w:t>
      </w:r>
      <w:r w:rsidR="00F37EDC" w:rsidRPr="00AB073E">
        <w:rPr>
          <w:rFonts w:ascii="Century Gothic" w:eastAsia="Times New Roman" w:hAnsi="Century Gothic" w:cs="Tahoma"/>
          <w:b/>
          <w:sz w:val="20"/>
          <w:szCs w:val="20"/>
          <w:lang w:eastAsia="ar-SA"/>
        </w:rPr>
        <w:t xml:space="preserve"> ser compensada.-</w:t>
      </w:r>
      <w:r w:rsidR="00F37EDC" w:rsidRPr="00AB073E">
        <w:rPr>
          <w:rFonts w:ascii="Century Gothic" w:eastAsia="Times New Roman" w:hAnsi="Century Gothic" w:cs="Tahoma"/>
          <w:sz w:val="20"/>
          <w:szCs w:val="20"/>
          <w:lang w:eastAsia="ar-SA"/>
        </w:rPr>
        <w:t xml:space="preserve">   </w:t>
      </w:r>
    </w:p>
    <w:p w:rsidR="00F37EDC" w:rsidRPr="00AB073E" w:rsidRDefault="00F37EDC" w:rsidP="006C3EF7">
      <w:pPr>
        <w:rPr>
          <w:rFonts w:ascii="Century Gothic" w:hAnsi="Century Gothic" w:cs="Tahoma"/>
          <w:sz w:val="20"/>
          <w:szCs w:val="20"/>
        </w:rPr>
      </w:pPr>
    </w:p>
    <w:p w:rsidR="00A177C3" w:rsidRDefault="00BC1783" w:rsidP="00A177C3">
      <w:pPr>
        <w:jc w:val="both"/>
        <w:rPr>
          <w:rFonts w:ascii="Century Gothic" w:hAnsi="Century Gothic" w:cs="Tahoma"/>
          <w:sz w:val="20"/>
          <w:szCs w:val="20"/>
        </w:rPr>
      </w:pPr>
      <w:r w:rsidRPr="00AB073E">
        <w:rPr>
          <w:rFonts w:ascii="Century Gothic" w:hAnsi="Century Gothic" w:cs="Tahoma"/>
          <w:sz w:val="20"/>
          <w:szCs w:val="20"/>
        </w:rPr>
        <w:t>1. En subdivisiones</w:t>
      </w:r>
      <w:r w:rsidR="00A94D46">
        <w:rPr>
          <w:rFonts w:ascii="Century Gothic" w:hAnsi="Century Gothic" w:cs="Tahoma"/>
          <w:sz w:val="20"/>
          <w:szCs w:val="20"/>
        </w:rPr>
        <w:t xml:space="preserve"> de lotes</w:t>
      </w:r>
      <w:r w:rsidRPr="00AB073E">
        <w:rPr>
          <w:rFonts w:ascii="Century Gothic" w:hAnsi="Century Gothic" w:cs="Tahoma"/>
          <w:sz w:val="20"/>
          <w:szCs w:val="20"/>
        </w:rPr>
        <w:t xml:space="preserve"> en suelo</w:t>
      </w:r>
      <w:r w:rsidR="00D71EF7">
        <w:rPr>
          <w:rFonts w:ascii="Century Gothic" w:hAnsi="Century Gothic" w:cs="Tahoma"/>
          <w:sz w:val="20"/>
          <w:szCs w:val="20"/>
        </w:rPr>
        <w:t xml:space="preserve"> rural y </w:t>
      </w:r>
      <w:r w:rsidRPr="00AB073E">
        <w:rPr>
          <w:rFonts w:ascii="Century Gothic" w:hAnsi="Century Gothic" w:cs="Tahoma"/>
          <w:sz w:val="20"/>
          <w:szCs w:val="20"/>
        </w:rPr>
        <w:t>urbano</w:t>
      </w:r>
      <w:r w:rsidR="00A56E31">
        <w:rPr>
          <w:rFonts w:ascii="Century Gothic" w:hAnsi="Century Gothic" w:cs="Tahoma"/>
          <w:sz w:val="20"/>
          <w:szCs w:val="20"/>
        </w:rPr>
        <w:t xml:space="preserve"> con una superficie inferior </w:t>
      </w:r>
      <w:r w:rsidR="007626BB">
        <w:rPr>
          <w:rFonts w:ascii="Century Gothic" w:hAnsi="Century Gothic" w:cs="Tahoma"/>
          <w:sz w:val="20"/>
          <w:szCs w:val="20"/>
        </w:rPr>
        <w:t>a tres mil</w:t>
      </w:r>
      <w:r w:rsidRPr="00AB073E">
        <w:rPr>
          <w:rFonts w:ascii="Century Gothic" w:hAnsi="Century Gothic" w:cs="Tahoma"/>
          <w:sz w:val="20"/>
          <w:szCs w:val="20"/>
        </w:rPr>
        <w:t xml:space="preserve"> metros cuadrados</w:t>
      </w:r>
      <w:r w:rsidR="00A177C3">
        <w:rPr>
          <w:rFonts w:ascii="Century Gothic" w:hAnsi="Century Gothic" w:cs="Tahoma"/>
          <w:sz w:val="20"/>
          <w:szCs w:val="20"/>
        </w:rPr>
        <w:t xml:space="preserve">, </w:t>
      </w:r>
      <w:r w:rsidR="00A56E31">
        <w:rPr>
          <w:rFonts w:ascii="Century Gothic" w:hAnsi="Century Gothic" w:cs="Tahoma"/>
          <w:sz w:val="20"/>
          <w:szCs w:val="20"/>
        </w:rPr>
        <w:t xml:space="preserve">en cuanto a la contribución de áreas verdes </w:t>
      </w:r>
      <w:r w:rsidR="00A177C3">
        <w:rPr>
          <w:rFonts w:ascii="Century Gothic" w:hAnsi="Century Gothic" w:cs="Tahoma"/>
          <w:sz w:val="20"/>
          <w:szCs w:val="20"/>
        </w:rPr>
        <w:t>se observará los siguientes casos:</w:t>
      </w:r>
    </w:p>
    <w:p w:rsidR="00BB7FEA" w:rsidRDefault="00BB7FEA" w:rsidP="00A177C3">
      <w:pPr>
        <w:jc w:val="both"/>
        <w:rPr>
          <w:rFonts w:ascii="Century Gothic" w:hAnsi="Century Gothic" w:cs="Tahoma"/>
          <w:sz w:val="20"/>
          <w:szCs w:val="20"/>
        </w:rPr>
      </w:pPr>
      <w:r>
        <w:rPr>
          <w:rFonts w:ascii="Century Gothic" w:hAnsi="Century Gothic" w:cs="Tahoma"/>
          <w:sz w:val="20"/>
          <w:szCs w:val="20"/>
        </w:rPr>
        <w:t>a) Si el porcentaje de contribución es igual o mayor a</w:t>
      </w:r>
      <w:r w:rsidR="00A177C3">
        <w:rPr>
          <w:rFonts w:ascii="Century Gothic" w:hAnsi="Century Gothic" w:cs="Tahoma"/>
          <w:sz w:val="20"/>
          <w:szCs w:val="20"/>
        </w:rPr>
        <w:t xml:space="preserve">l lote mínimo establecido en la zonificación vigente, </w:t>
      </w:r>
      <w:r>
        <w:rPr>
          <w:rFonts w:ascii="Century Gothic" w:hAnsi="Century Gothic" w:cs="Tahoma"/>
          <w:sz w:val="20"/>
          <w:szCs w:val="20"/>
        </w:rPr>
        <w:t xml:space="preserve">se entregará </w:t>
      </w:r>
      <w:r w:rsidR="00B31CDB">
        <w:rPr>
          <w:rFonts w:ascii="Century Gothic" w:hAnsi="Century Gothic" w:cs="Tahoma"/>
          <w:sz w:val="20"/>
          <w:szCs w:val="20"/>
        </w:rPr>
        <w:t xml:space="preserve">como mínimo </w:t>
      </w:r>
      <w:r>
        <w:rPr>
          <w:rFonts w:ascii="Century Gothic" w:hAnsi="Century Gothic" w:cs="Tahoma"/>
          <w:sz w:val="20"/>
          <w:szCs w:val="20"/>
        </w:rPr>
        <w:t xml:space="preserve">el 15% de área verde </w:t>
      </w:r>
      <w:r w:rsidR="00B31CDB">
        <w:rPr>
          <w:rFonts w:ascii="Century Gothic" w:hAnsi="Century Gothic" w:cs="Tahoma"/>
          <w:sz w:val="20"/>
          <w:szCs w:val="20"/>
        </w:rPr>
        <w:t xml:space="preserve">en forma de </w:t>
      </w:r>
      <w:r w:rsidR="00B31CDB" w:rsidRPr="00560B1F">
        <w:rPr>
          <w:rFonts w:ascii="Century Gothic" w:hAnsi="Century Gothic" w:cs="Tahoma"/>
          <w:sz w:val="20"/>
          <w:szCs w:val="20"/>
          <w:highlight w:val="yellow"/>
        </w:rPr>
        <w:t>cesión gratuita y obligatoria</w:t>
      </w:r>
      <w:r w:rsidRPr="00560B1F">
        <w:rPr>
          <w:rFonts w:ascii="Century Gothic" w:hAnsi="Century Gothic" w:cs="Tahoma"/>
          <w:sz w:val="20"/>
          <w:szCs w:val="20"/>
          <w:highlight w:val="yellow"/>
        </w:rPr>
        <w:t>;</w:t>
      </w:r>
    </w:p>
    <w:p w:rsidR="00BC1783" w:rsidRDefault="00BB7FEA" w:rsidP="00A177C3">
      <w:pPr>
        <w:jc w:val="both"/>
        <w:rPr>
          <w:rFonts w:ascii="Century Gothic" w:hAnsi="Century Gothic" w:cs="Tahoma"/>
          <w:sz w:val="20"/>
          <w:szCs w:val="20"/>
        </w:rPr>
      </w:pPr>
      <w:r>
        <w:rPr>
          <w:rFonts w:ascii="Century Gothic" w:hAnsi="Century Gothic" w:cs="Tahoma"/>
          <w:sz w:val="20"/>
          <w:szCs w:val="20"/>
        </w:rPr>
        <w:t xml:space="preserve">b) Si el porcentaje de contribución es menor al lote mínimo establecido en la zonificación vigente, </w:t>
      </w:r>
      <w:r w:rsidR="00BC1783" w:rsidRPr="00AB073E">
        <w:rPr>
          <w:rFonts w:ascii="Century Gothic" w:hAnsi="Century Gothic" w:cs="Tahoma"/>
          <w:sz w:val="20"/>
          <w:szCs w:val="20"/>
        </w:rPr>
        <w:t xml:space="preserve">se compensará con el pago en </w:t>
      </w:r>
      <w:r>
        <w:rPr>
          <w:rFonts w:ascii="Century Gothic" w:hAnsi="Century Gothic" w:cs="Tahoma"/>
          <w:sz w:val="20"/>
          <w:szCs w:val="20"/>
        </w:rPr>
        <w:t>valor monetario</w:t>
      </w:r>
      <w:r w:rsidR="00AA1EF9">
        <w:rPr>
          <w:rFonts w:ascii="Century Gothic" w:hAnsi="Century Gothic" w:cs="Tahoma"/>
          <w:sz w:val="20"/>
          <w:szCs w:val="20"/>
        </w:rPr>
        <w:t xml:space="preserve"> equivalente al </w:t>
      </w:r>
      <w:r w:rsidR="00AA1EF9" w:rsidRPr="00560B1F">
        <w:rPr>
          <w:rFonts w:ascii="Century Gothic" w:hAnsi="Century Gothic" w:cs="Tahoma"/>
          <w:sz w:val="20"/>
          <w:szCs w:val="20"/>
          <w:highlight w:val="yellow"/>
        </w:rPr>
        <w:t>15%</w:t>
      </w:r>
      <w:r w:rsidRPr="00560B1F">
        <w:rPr>
          <w:rFonts w:ascii="Century Gothic" w:hAnsi="Century Gothic" w:cs="Tahoma"/>
          <w:sz w:val="20"/>
          <w:szCs w:val="20"/>
          <w:highlight w:val="yellow"/>
        </w:rPr>
        <w:t xml:space="preserve"> </w:t>
      </w:r>
      <w:r w:rsidR="00AC0B5D" w:rsidRPr="00560B1F">
        <w:rPr>
          <w:rFonts w:ascii="Century Gothic" w:hAnsi="Century Gothic" w:cs="Tahoma"/>
          <w:sz w:val="20"/>
          <w:szCs w:val="20"/>
          <w:highlight w:val="yellow"/>
        </w:rPr>
        <w:t>como mínimo</w:t>
      </w:r>
      <w:r w:rsidR="00AC0B5D">
        <w:rPr>
          <w:rFonts w:ascii="Century Gothic" w:hAnsi="Century Gothic" w:cs="Tahoma"/>
          <w:sz w:val="20"/>
          <w:szCs w:val="20"/>
        </w:rPr>
        <w:t xml:space="preserve"> </w:t>
      </w:r>
      <w:r w:rsidR="00BC1783" w:rsidRPr="00AB073E">
        <w:rPr>
          <w:rFonts w:ascii="Century Gothic" w:hAnsi="Century Gothic" w:cs="Tahoma"/>
          <w:sz w:val="20"/>
          <w:szCs w:val="20"/>
        </w:rPr>
        <w:t>según el avaluó catastral.</w:t>
      </w:r>
    </w:p>
    <w:p w:rsidR="006B4854" w:rsidRDefault="00AA1EF9" w:rsidP="00BB7FEA">
      <w:pPr>
        <w:jc w:val="both"/>
        <w:rPr>
          <w:rFonts w:ascii="Century Gothic" w:hAnsi="Century Gothic" w:cs="Tahoma"/>
          <w:sz w:val="20"/>
          <w:szCs w:val="20"/>
        </w:rPr>
      </w:pPr>
      <w:r>
        <w:rPr>
          <w:rFonts w:ascii="Century Gothic" w:hAnsi="Century Gothic" w:cs="Tahoma"/>
          <w:sz w:val="20"/>
          <w:szCs w:val="20"/>
        </w:rPr>
        <w:t>2</w:t>
      </w:r>
      <w:r w:rsidR="00BB7FEA">
        <w:rPr>
          <w:rFonts w:ascii="Century Gothic" w:hAnsi="Century Gothic" w:cs="Tahoma"/>
          <w:sz w:val="20"/>
          <w:szCs w:val="20"/>
        </w:rPr>
        <w:t xml:space="preserve">.- </w:t>
      </w:r>
      <w:r w:rsidR="00807A5A">
        <w:rPr>
          <w:rFonts w:ascii="Century Gothic" w:hAnsi="Century Gothic" w:cs="Tahoma"/>
          <w:sz w:val="20"/>
          <w:szCs w:val="20"/>
        </w:rPr>
        <w:t>Cuando el administrado solicit</w:t>
      </w:r>
      <w:r w:rsidR="009655E2">
        <w:rPr>
          <w:rFonts w:ascii="Century Gothic" w:hAnsi="Century Gothic" w:cs="Tahoma"/>
          <w:sz w:val="20"/>
          <w:szCs w:val="20"/>
        </w:rPr>
        <w:t>e</w:t>
      </w:r>
      <w:r w:rsidR="00807A5A">
        <w:rPr>
          <w:rFonts w:ascii="Century Gothic" w:hAnsi="Century Gothic" w:cs="Tahoma"/>
          <w:sz w:val="20"/>
          <w:szCs w:val="20"/>
        </w:rPr>
        <w:t xml:space="preserve"> la subdivisión de un lote que ha sido afectado parcialmente por el trazado vial</w:t>
      </w:r>
      <w:r w:rsidR="00BB7FEA" w:rsidRPr="00AB073E">
        <w:rPr>
          <w:rFonts w:ascii="Century Gothic" w:hAnsi="Century Gothic" w:cs="Tahoma"/>
          <w:sz w:val="20"/>
          <w:szCs w:val="20"/>
        </w:rPr>
        <w:t xml:space="preserve">, </w:t>
      </w:r>
      <w:r w:rsidR="006B4854">
        <w:rPr>
          <w:rFonts w:ascii="Century Gothic" w:hAnsi="Century Gothic" w:cs="Tahoma"/>
          <w:sz w:val="20"/>
          <w:szCs w:val="20"/>
        </w:rPr>
        <w:t>aprobad</w:t>
      </w:r>
      <w:r w:rsidR="00807A5A">
        <w:rPr>
          <w:rFonts w:ascii="Century Gothic" w:hAnsi="Century Gothic" w:cs="Tahoma"/>
          <w:sz w:val="20"/>
          <w:szCs w:val="20"/>
        </w:rPr>
        <w:t>o</w:t>
      </w:r>
      <w:r w:rsidR="006B4854">
        <w:rPr>
          <w:rFonts w:ascii="Century Gothic" w:hAnsi="Century Gothic" w:cs="Tahoma"/>
          <w:sz w:val="20"/>
          <w:szCs w:val="20"/>
        </w:rPr>
        <w:t xml:space="preserve"> por el Concejo Metropolitano, se observará los siguientes casos:</w:t>
      </w:r>
    </w:p>
    <w:p w:rsidR="006B4854" w:rsidRDefault="006B4854" w:rsidP="00BB7FEA">
      <w:pPr>
        <w:jc w:val="both"/>
        <w:rPr>
          <w:rFonts w:ascii="Century Gothic" w:hAnsi="Century Gothic" w:cs="Tahoma"/>
          <w:sz w:val="20"/>
          <w:szCs w:val="20"/>
        </w:rPr>
      </w:pPr>
      <w:r>
        <w:rPr>
          <w:rFonts w:ascii="Century Gothic" w:hAnsi="Century Gothic" w:cs="Tahoma"/>
          <w:sz w:val="20"/>
          <w:szCs w:val="20"/>
        </w:rPr>
        <w:t xml:space="preserve">a) Si las afectaciones </w:t>
      </w:r>
      <w:r w:rsidR="00BB7FEA" w:rsidRPr="00AB073E">
        <w:rPr>
          <w:rFonts w:ascii="Century Gothic" w:hAnsi="Century Gothic" w:cs="Tahoma"/>
          <w:sz w:val="20"/>
          <w:szCs w:val="20"/>
        </w:rPr>
        <w:t>superan el porcentaje de</w:t>
      </w:r>
      <w:r>
        <w:rPr>
          <w:rFonts w:ascii="Century Gothic" w:hAnsi="Century Gothic" w:cs="Tahoma"/>
          <w:sz w:val="20"/>
          <w:szCs w:val="20"/>
        </w:rPr>
        <w:t xml:space="preserve">l 15% de </w:t>
      </w:r>
      <w:r w:rsidR="00BB7FEA" w:rsidRPr="00AB073E">
        <w:rPr>
          <w:rFonts w:ascii="Century Gothic" w:hAnsi="Century Gothic" w:cs="Tahoma"/>
          <w:sz w:val="20"/>
          <w:szCs w:val="20"/>
        </w:rPr>
        <w:t>contribución de área verde pública, la Municipalidad una vez declarado de utilidad pública, deberá cancelar sobre el área excedente</w:t>
      </w:r>
      <w:r w:rsidR="00B948B6">
        <w:rPr>
          <w:rFonts w:ascii="Century Gothic" w:hAnsi="Century Gothic" w:cs="Tahoma"/>
          <w:sz w:val="20"/>
          <w:szCs w:val="20"/>
        </w:rPr>
        <w:t>,</w:t>
      </w:r>
      <w:r w:rsidR="00BB7FEA" w:rsidRPr="00AB073E">
        <w:rPr>
          <w:rFonts w:ascii="Century Gothic" w:hAnsi="Century Gothic" w:cs="Tahoma"/>
          <w:sz w:val="20"/>
          <w:szCs w:val="20"/>
        </w:rPr>
        <w:t xml:space="preserve"> previa justa valoración de conformidad con la ley;</w:t>
      </w:r>
      <w:r w:rsidR="009655E2">
        <w:rPr>
          <w:rFonts w:ascii="Century Gothic" w:hAnsi="Century Gothic" w:cs="Tahoma"/>
          <w:sz w:val="20"/>
          <w:szCs w:val="20"/>
        </w:rPr>
        <w:t xml:space="preserve"> eximiendo de esta manera de la contribución del 15% del área verde pública.</w:t>
      </w:r>
    </w:p>
    <w:p w:rsidR="00BB7FEA" w:rsidRDefault="006B4854" w:rsidP="00BB7FEA">
      <w:pPr>
        <w:jc w:val="both"/>
        <w:rPr>
          <w:rFonts w:ascii="Century Gothic" w:hAnsi="Century Gothic" w:cs="Tahoma"/>
          <w:sz w:val="20"/>
          <w:szCs w:val="20"/>
        </w:rPr>
      </w:pPr>
      <w:r>
        <w:rPr>
          <w:rFonts w:ascii="Century Gothic" w:hAnsi="Century Gothic" w:cs="Tahoma"/>
          <w:sz w:val="20"/>
          <w:szCs w:val="20"/>
        </w:rPr>
        <w:t>b)</w:t>
      </w:r>
      <w:r w:rsidR="00BB7FEA" w:rsidRPr="00AB073E">
        <w:rPr>
          <w:rFonts w:ascii="Century Gothic" w:hAnsi="Century Gothic" w:cs="Tahoma"/>
          <w:sz w:val="20"/>
          <w:szCs w:val="20"/>
        </w:rPr>
        <w:t xml:space="preserve"> </w:t>
      </w:r>
      <w:r>
        <w:rPr>
          <w:rFonts w:ascii="Century Gothic" w:hAnsi="Century Gothic" w:cs="Tahoma"/>
          <w:sz w:val="20"/>
          <w:szCs w:val="20"/>
        </w:rPr>
        <w:t>Si las afectaciones son menores al porcentaje del 15% de contribución de área verde pública</w:t>
      </w:r>
      <w:r w:rsidR="00BB7FEA" w:rsidRPr="00AB073E">
        <w:rPr>
          <w:rFonts w:ascii="Century Gothic" w:hAnsi="Century Gothic" w:cs="Tahoma"/>
          <w:sz w:val="20"/>
          <w:szCs w:val="20"/>
        </w:rPr>
        <w:t xml:space="preserve">, la diferencia se podrá compensar </w:t>
      </w:r>
      <w:r w:rsidR="003F536C">
        <w:rPr>
          <w:rFonts w:ascii="Century Gothic" w:hAnsi="Century Gothic" w:cs="Tahoma"/>
          <w:sz w:val="20"/>
          <w:szCs w:val="20"/>
        </w:rPr>
        <w:t xml:space="preserve">por parte del administrado </w:t>
      </w:r>
      <w:r w:rsidR="00BB7FEA" w:rsidRPr="00AB073E">
        <w:rPr>
          <w:rFonts w:ascii="Century Gothic" w:hAnsi="Century Gothic" w:cs="Tahoma"/>
          <w:sz w:val="20"/>
          <w:szCs w:val="20"/>
        </w:rPr>
        <w:t>en valor monetario</w:t>
      </w:r>
      <w:r>
        <w:rPr>
          <w:rFonts w:ascii="Century Gothic" w:hAnsi="Century Gothic" w:cs="Tahoma"/>
          <w:sz w:val="20"/>
          <w:szCs w:val="20"/>
        </w:rPr>
        <w:t>,</w:t>
      </w:r>
      <w:r w:rsidR="00B948B6">
        <w:rPr>
          <w:rFonts w:ascii="Century Gothic" w:hAnsi="Century Gothic" w:cs="Tahoma"/>
          <w:sz w:val="20"/>
          <w:szCs w:val="20"/>
        </w:rPr>
        <w:t xml:space="preserve"> previa justa valoración de conformidad con la ley</w:t>
      </w:r>
      <w:r w:rsidR="000A5075">
        <w:rPr>
          <w:rFonts w:ascii="Century Gothic" w:hAnsi="Century Gothic" w:cs="Tahoma"/>
          <w:sz w:val="20"/>
          <w:szCs w:val="20"/>
        </w:rPr>
        <w:t>,</w:t>
      </w:r>
      <w:r w:rsidR="000A5075" w:rsidRPr="000A5075">
        <w:rPr>
          <w:rFonts w:ascii="Century Gothic" w:hAnsi="Century Gothic" w:cs="Tahoma"/>
          <w:sz w:val="20"/>
          <w:szCs w:val="20"/>
        </w:rPr>
        <w:t xml:space="preserve"> </w:t>
      </w:r>
      <w:r w:rsidR="000A5075" w:rsidRPr="00AB073E">
        <w:rPr>
          <w:rFonts w:ascii="Century Gothic" w:hAnsi="Century Gothic" w:cs="Tahoma"/>
          <w:sz w:val="20"/>
          <w:szCs w:val="20"/>
        </w:rPr>
        <w:t>una vez declarado de utilidad pública</w:t>
      </w:r>
      <w:r w:rsidR="000A5075">
        <w:rPr>
          <w:rFonts w:ascii="Century Gothic" w:hAnsi="Century Gothic" w:cs="Tahoma"/>
          <w:sz w:val="20"/>
          <w:szCs w:val="20"/>
        </w:rPr>
        <w:t>.</w:t>
      </w:r>
    </w:p>
    <w:p w:rsidR="00D6787B" w:rsidRDefault="0056476F" w:rsidP="00D6787B">
      <w:pPr>
        <w:jc w:val="both"/>
        <w:rPr>
          <w:rFonts w:ascii="Century Gothic" w:hAnsi="Century Gothic" w:cs="Tahoma"/>
          <w:sz w:val="20"/>
          <w:szCs w:val="20"/>
        </w:rPr>
      </w:pPr>
      <w:r>
        <w:rPr>
          <w:rFonts w:ascii="Century Gothic" w:hAnsi="Century Gothic" w:cs="Tahoma"/>
          <w:sz w:val="20"/>
          <w:szCs w:val="20"/>
        </w:rPr>
        <w:t>3</w:t>
      </w:r>
      <w:r w:rsidR="00FC1B14" w:rsidRPr="00AB073E">
        <w:rPr>
          <w:rFonts w:ascii="Century Gothic" w:hAnsi="Century Gothic" w:cs="Tahoma"/>
          <w:sz w:val="20"/>
          <w:szCs w:val="20"/>
        </w:rPr>
        <w:t xml:space="preserve">. </w:t>
      </w:r>
      <w:r w:rsidR="006C3EF7" w:rsidRPr="00AB073E">
        <w:rPr>
          <w:rFonts w:ascii="Century Gothic" w:hAnsi="Century Gothic" w:cs="Tahoma"/>
          <w:sz w:val="20"/>
          <w:szCs w:val="20"/>
        </w:rPr>
        <w:t xml:space="preserve">En el caso de la sentencia </w:t>
      </w:r>
      <w:r w:rsidR="00AC0B5D" w:rsidRPr="00560B1F">
        <w:rPr>
          <w:rFonts w:ascii="Century Gothic" w:hAnsi="Century Gothic" w:cs="Tahoma"/>
          <w:sz w:val="20"/>
          <w:szCs w:val="20"/>
          <w:highlight w:val="yellow"/>
        </w:rPr>
        <w:t>ejecutoriada</w:t>
      </w:r>
      <w:r w:rsidR="00AC0B5D">
        <w:rPr>
          <w:rFonts w:ascii="Century Gothic" w:hAnsi="Century Gothic" w:cs="Tahoma"/>
          <w:sz w:val="20"/>
          <w:szCs w:val="20"/>
        </w:rPr>
        <w:t xml:space="preserve"> </w:t>
      </w:r>
      <w:r w:rsidR="006C3EF7" w:rsidRPr="00AB073E">
        <w:rPr>
          <w:rFonts w:ascii="Century Gothic" w:hAnsi="Century Gothic" w:cs="Tahoma"/>
          <w:sz w:val="20"/>
          <w:szCs w:val="20"/>
        </w:rPr>
        <w:t xml:space="preserve">dictada dentro del juicio de prescripción extraordinaria </w:t>
      </w:r>
      <w:r w:rsidR="00B948B6">
        <w:rPr>
          <w:rFonts w:ascii="Century Gothic" w:hAnsi="Century Gothic" w:cs="Tahoma"/>
          <w:sz w:val="20"/>
          <w:szCs w:val="20"/>
        </w:rPr>
        <w:t>a</w:t>
      </w:r>
      <w:r w:rsidR="006C3EF7" w:rsidRPr="00AB073E">
        <w:rPr>
          <w:rFonts w:ascii="Century Gothic" w:hAnsi="Century Gothic" w:cs="Tahoma"/>
          <w:sz w:val="20"/>
          <w:szCs w:val="20"/>
        </w:rPr>
        <w:t>dquisitiva de dominio,</w:t>
      </w:r>
      <w:r w:rsidR="00B948B6">
        <w:rPr>
          <w:rFonts w:ascii="Century Gothic" w:hAnsi="Century Gothic" w:cs="Tahoma"/>
          <w:sz w:val="20"/>
          <w:szCs w:val="20"/>
        </w:rPr>
        <w:t xml:space="preserve"> </w:t>
      </w:r>
      <w:r w:rsidR="00AA1EF9">
        <w:rPr>
          <w:rFonts w:ascii="Century Gothic" w:hAnsi="Century Gothic" w:cs="Tahoma"/>
          <w:sz w:val="20"/>
          <w:szCs w:val="20"/>
        </w:rPr>
        <w:t>de conformidad a lo estipulado en el artículo 424</w:t>
      </w:r>
      <w:r w:rsidR="0024244F">
        <w:rPr>
          <w:rFonts w:ascii="Century Gothic" w:hAnsi="Century Gothic" w:cs="Tahoma"/>
          <w:sz w:val="20"/>
          <w:szCs w:val="20"/>
        </w:rPr>
        <w:t xml:space="preserve"> reformado</w:t>
      </w:r>
      <w:r w:rsidR="00AA1EF9">
        <w:rPr>
          <w:rFonts w:ascii="Century Gothic" w:hAnsi="Century Gothic" w:cs="Tahoma"/>
          <w:sz w:val="20"/>
          <w:szCs w:val="20"/>
        </w:rPr>
        <w:t xml:space="preserve"> del Código </w:t>
      </w:r>
      <w:r w:rsidR="00822652">
        <w:rPr>
          <w:rFonts w:ascii="Century Gothic" w:hAnsi="Century Gothic" w:cs="Tahoma"/>
          <w:sz w:val="20"/>
          <w:szCs w:val="20"/>
        </w:rPr>
        <w:t>O</w:t>
      </w:r>
      <w:r w:rsidR="00AA1EF9">
        <w:rPr>
          <w:rFonts w:ascii="Century Gothic" w:hAnsi="Century Gothic" w:cs="Tahoma"/>
          <w:sz w:val="20"/>
          <w:szCs w:val="20"/>
        </w:rPr>
        <w:t>rgánico de Organización Territorial, Autonomía y Descentralización, se deberá calcular el aporte del 15%</w:t>
      </w:r>
      <w:r w:rsidR="00D6787B">
        <w:rPr>
          <w:rFonts w:ascii="Century Gothic" w:hAnsi="Century Gothic" w:cs="Tahoma"/>
          <w:sz w:val="20"/>
          <w:szCs w:val="20"/>
        </w:rPr>
        <w:t xml:space="preserve"> </w:t>
      </w:r>
      <w:r w:rsidR="000A7A34">
        <w:rPr>
          <w:rFonts w:ascii="Century Gothic" w:hAnsi="Century Gothic" w:cs="Tahoma"/>
          <w:sz w:val="20"/>
          <w:szCs w:val="20"/>
        </w:rPr>
        <w:t>del área</w:t>
      </w:r>
      <w:r w:rsidR="00D6787B">
        <w:rPr>
          <w:rFonts w:ascii="Century Gothic" w:hAnsi="Century Gothic" w:cs="Tahoma"/>
          <w:sz w:val="20"/>
          <w:szCs w:val="20"/>
        </w:rPr>
        <w:t xml:space="preserve"> útil adquirida mediante sentencia.</w:t>
      </w:r>
    </w:p>
    <w:p w:rsidR="00FF3377" w:rsidRDefault="0075265A" w:rsidP="00AA1EF9">
      <w:pPr>
        <w:jc w:val="both"/>
        <w:rPr>
          <w:rFonts w:ascii="Century Gothic" w:hAnsi="Century Gothic" w:cs="Tahoma"/>
          <w:b/>
          <w:sz w:val="20"/>
          <w:szCs w:val="20"/>
        </w:rPr>
      </w:pPr>
      <w:r w:rsidRPr="006F4D83">
        <w:rPr>
          <w:rFonts w:ascii="Century Gothic" w:hAnsi="Century Gothic" w:cs="Tahoma"/>
          <w:b/>
          <w:color w:val="C0504D" w:themeColor="accent2"/>
          <w:sz w:val="20"/>
          <w:szCs w:val="20"/>
          <w:highlight w:val="yellow"/>
        </w:rPr>
        <w:t>Si el área de la sentencia es</w:t>
      </w:r>
      <w:r w:rsidR="005E702F" w:rsidRPr="006F4D83">
        <w:rPr>
          <w:rFonts w:ascii="Century Gothic" w:hAnsi="Century Gothic" w:cs="Tahoma"/>
          <w:b/>
          <w:color w:val="C0504D" w:themeColor="accent2"/>
          <w:sz w:val="20"/>
          <w:szCs w:val="20"/>
          <w:highlight w:val="yellow"/>
        </w:rPr>
        <w:t xml:space="preserve"> </w:t>
      </w:r>
      <w:r w:rsidR="000117B5" w:rsidRPr="006F4D83">
        <w:rPr>
          <w:rFonts w:ascii="Century Gothic" w:hAnsi="Century Gothic" w:cs="Tahoma"/>
          <w:b/>
          <w:color w:val="C0504D" w:themeColor="accent2"/>
          <w:sz w:val="20"/>
          <w:szCs w:val="20"/>
          <w:highlight w:val="yellow"/>
        </w:rPr>
        <w:t>inferior</w:t>
      </w:r>
      <w:r w:rsidR="005B6847" w:rsidRPr="006F4D83">
        <w:rPr>
          <w:rFonts w:ascii="Century Gothic" w:hAnsi="Century Gothic" w:cs="Tahoma"/>
          <w:b/>
          <w:color w:val="C0504D" w:themeColor="accent2"/>
          <w:sz w:val="20"/>
          <w:szCs w:val="20"/>
          <w:highlight w:val="yellow"/>
        </w:rPr>
        <w:t xml:space="preserve"> a 3000.00</w:t>
      </w:r>
      <w:r w:rsidR="000117B5" w:rsidRPr="006F4D83">
        <w:rPr>
          <w:rFonts w:ascii="Century Gothic" w:hAnsi="Century Gothic" w:cs="Tahoma"/>
          <w:b/>
          <w:color w:val="C0504D" w:themeColor="accent2"/>
          <w:sz w:val="20"/>
          <w:szCs w:val="20"/>
          <w:highlight w:val="yellow"/>
        </w:rPr>
        <w:t xml:space="preserve"> m2</w:t>
      </w:r>
      <w:r w:rsidR="000117B5" w:rsidRPr="005E4E7C">
        <w:rPr>
          <w:rFonts w:ascii="Century Gothic" w:hAnsi="Century Gothic" w:cs="Tahoma"/>
          <w:b/>
          <w:color w:val="0000FF"/>
          <w:sz w:val="20"/>
          <w:szCs w:val="20"/>
          <w:highlight w:val="yellow"/>
        </w:rPr>
        <w:t xml:space="preserve">, la contribución del 15% </w:t>
      </w:r>
      <w:r w:rsidR="000A7A34" w:rsidRPr="005E4E7C">
        <w:rPr>
          <w:rFonts w:ascii="Century Gothic" w:hAnsi="Century Gothic" w:cs="Tahoma"/>
          <w:b/>
          <w:color w:val="0000FF"/>
          <w:sz w:val="20"/>
          <w:szCs w:val="20"/>
          <w:highlight w:val="yellow"/>
        </w:rPr>
        <w:t>del área</w:t>
      </w:r>
      <w:r w:rsidR="00D6787B" w:rsidRPr="005E4E7C">
        <w:rPr>
          <w:rFonts w:ascii="Century Gothic" w:hAnsi="Century Gothic" w:cs="Tahoma"/>
          <w:b/>
          <w:color w:val="0000FF"/>
          <w:sz w:val="20"/>
          <w:szCs w:val="20"/>
          <w:highlight w:val="yellow"/>
        </w:rPr>
        <w:t xml:space="preserve"> útil </w:t>
      </w:r>
      <w:r w:rsidR="00C23702" w:rsidRPr="005E4E7C">
        <w:rPr>
          <w:rFonts w:ascii="Century Gothic" w:hAnsi="Century Gothic" w:cs="Tahoma"/>
          <w:b/>
          <w:color w:val="0000FF"/>
          <w:sz w:val="20"/>
          <w:szCs w:val="20"/>
          <w:highlight w:val="yellow"/>
        </w:rPr>
        <w:t xml:space="preserve">adjudicada, </w:t>
      </w:r>
      <w:r w:rsidR="005E702F" w:rsidRPr="005E4E7C">
        <w:rPr>
          <w:rFonts w:ascii="Century Gothic" w:hAnsi="Century Gothic" w:cs="Tahoma"/>
          <w:b/>
          <w:color w:val="0000FF"/>
          <w:sz w:val="20"/>
          <w:szCs w:val="20"/>
          <w:highlight w:val="yellow"/>
        </w:rPr>
        <w:t>se compensar</w:t>
      </w:r>
      <w:r w:rsidR="00C23702" w:rsidRPr="005E4E7C">
        <w:rPr>
          <w:rFonts w:ascii="Century Gothic" w:hAnsi="Century Gothic" w:cs="Tahoma"/>
          <w:b/>
          <w:color w:val="0000FF"/>
          <w:sz w:val="20"/>
          <w:szCs w:val="20"/>
          <w:highlight w:val="yellow"/>
        </w:rPr>
        <w:t>á</w:t>
      </w:r>
      <w:r w:rsidR="005E702F" w:rsidRPr="005E4E7C">
        <w:rPr>
          <w:rFonts w:ascii="Century Gothic" w:hAnsi="Century Gothic" w:cs="Tahoma"/>
          <w:b/>
          <w:color w:val="0000FF"/>
          <w:sz w:val="20"/>
          <w:szCs w:val="20"/>
          <w:highlight w:val="yellow"/>
        </w:rPr>
        <w:t xml:space="preserve"> en valor monetario</w:t>
      </w:r>
      <w:r w:rsidR="00C23702" w:rsidRPr="005E4E7C">
        <w:rPr>
          <w:rFonts w:ascii="Century Gothic" w:hAnsi="Century Gothic" w:cs="Tahoma"/>
          <w:b/>
          <w:color w:val="0000FF"/>
          <w:sz w:val="20"/>
          <w:szCs w:val="20"/>
          <w:highlight w:val="yellow"/>
        </w:rPr>
        <w:t xml:space="preserve"> según el avaluó catastral,</w:t>
      </w:r>
      <w:r w:rsidR="005E702F" w:rsidRPr="005E4E7C">
        <w:rPr>
          <w:rFonts w:ascii="Century Gothic" w:hAnsi="Century Gothic" w:cs="Tahoma"/>
          <w:b/>
          <w:color w:val="0000FF"/>
          <w:sz w:val="20"/>
          <w:szCs w:val="20"/>
          <w:highlight w:val="yellow"/>
        </w:rPr>
        <w:t xml:space="preserve"> cuando sea</w:t>
      </w:r>
      <w:r w:rsidR="00D6787B" w:rsidRPr="005E4E7C">
        <w:rPr>
          <w:rFonts w:ascii="Century Gothic" w:hAnsi="Century Gothic" w:cs="Tahoma"/>
          <w:b/>
          <w:color w:val="0000FF"/>
          <w:sz w:val="20"/>
          <w:szCs w:val="20"/>
          <w:highlight w:val="yellow"/>
        </w:rPr>
        <w:t xml:space="preserve"> menor al lote mínimo asignado en la zonificación vigente</w:t>
      </w:r>
      <w:r w:rsidR="000A7A34" w:rsidRPr="005E4E7C">
        <w:rPr>
          <w:rFonts w:ascii="Century Gothic" w:hAnsi="Century Gothic" w:cs="Tahoma"/>
          <w:b/>
          <w:color w:val="0000FF"/>
          <w:sz w:val="20"/>
          <w:szCs w:val="20"/>
          <w:highlight w:val="yellow"/>
        </w:rPr>
        <w:t>.</w:t>
      </w:r>
      <w:r w:rsidR="00AA1EF9" w:rsidRPr="005E4E7C">
        <w:rPr>
          <w:rFonts w:ascii="Century Gothic" w:hAnsi="Century Gothic" w:cs="Tahoma"/>
          <w:b/>
          <w:sz w:val="20"/>
          <w:szCs w:val="20"/>
        </w:rPr>
        <w:t xml:space="preserve"> </w:t>
      </w:r>
    </w:p>
    <w:p w:rsidR="005F7DCC" w:rsidRPr="00F041D7" w:rsidRDefault="00F041D7" w:rsidP="00AA1EF9">
      <w:pPr>
        <w:jc w:val="both"/>
        <w:rPr>
          <w:rFonts w:ascii="Century Gothic" w:hAnsi="Century Gothic" w:cs="Tahoma"/>
          <w:b/>
          <w:color w:val="C0504D" w:themeColor="accent2"/>
          <w:sz w:val="20"/>
          <w:szCs w:val="20"/>
        </w:rPr>
      </w:pPr>
      <w:r>
        <w:rPr>
          <w:rFonts w:ascii="Century Gothic" w:hAnsi="Century Gothic" w:cs="Tahoma"/>
          <w:b/>
          <w:color w:val="C0504D" w:themeColor="accent2"/>
          <w:sz w:val="20"/>
          <w:szCs w:val="20"/>
        </w:rPr>
        <w:lastRenderedPageBreak/>
        <w:t>4</w:t>
      </w:r>
      <w:r w:rsidR="005F7DCC" w:rsidRPr="006F4D83">
        <w:rPr>
          <w:rFonts w:ascii="Century Gothic" w:hAnsi="Century Gothic" w:cs="Tahoma"/>
          <w:b/>
          <w:color w:val="C0504D" w:themeColor="accent2"/>
          <w:sz w:val="20"/>
          <w:szCs w:val="20"/>
        </w:rPr>
        <w:t xml:space="preserve">. En Particiones Hereditarias y </w:t>
      </w:r>
      <w:r>
        <w:rPr>
          <w:rFonts w:ascii="Century Gothic" w:hAnsi="Century Gothic" w:cs="Tahoma"/>
          <w:b/>
          <w:color w:val="C0504D" w:themeColor="accent2"/>
          <w:sz w:val="20"/>
          <w:szCs w:val="20"/>
        </w:rPr>
        <w:t xml:space="preserve">donaciones </w:t>
      </w:r>
      <w:r w:rsidR="005F7DCC" w:rsidRPr="006F4D83">
        <w:rPr>
          <w:rFonts w:ascii="Century Gothic" w:hAnsi="Century Gothic" w:cs="Tahoma"/>
          <w:b/>
          <w:color w:val="C0504D" w:themeColor="accent2"/>
          <w:sz w:val="20"/>
          <w:szCs w:val="20"/>
          <w:highlight w:val="yellow"/>
        </w:rPr>
        <w:t>en áreas inferiores a 3000.00 m2</w:t>
      </w:r>
      <w:r w:rsidR="005F7DCC" w:rsidRPr="006F4D83">
        <w:rPr>
          <w:rFonts w:ascii="Century Gothic" w:hAnsi="Century Gothic" w:cs="Tahoma"/>
          <w:b/>
          <w:color w:val="C0504D" w:themeColor="accent2"/>
          <w:sz w:val="20"/>
          <w:szCs w:val="20"/>
        </w:rPr>
        <w:t xml:space="preserve">, si la contribución del 15% de área verde en forma de cesión gratuita y obligatoria </w:t>
      </w:r>
      <w:r w:rsidR="005F7DCC" w:rsidRPr="006F4D83">
        <w:rPr>
          <w:rFonts w:ascii="Century Gothic" w:hAnsi="Century Gothic" w:cs="Tahoma"/>
          <w:b/>
          <w:color w:val="C0504D" w:themeColor="accent2"/>
          <w:sz w:val="20"/>
          <w:szCs w:val="20"/>
          <w:highlight w:val="yellow"/>
        </w:rPr>
        <w:t>es menor</w:t>
      </w:r>
      <w:r w:rsidR="005F7DCC" w:rsidRPr="006F4D83">
        <w:rPr>
          <w:rFonts w:ascii="Century Gothic" w:hAnsi="Century Gothic" w:cs="Tahoma"/>
          <w:b/>
          <w:color w:val="C0504D" w:themeColor="accent2"/>
          <w:sz w:val="20"/>
          <w:szCs w:val="20"/>
        </w:rPr>
        <w:t xml:space="preserve"> al lote mínimo asignado en la zonificación vigente, el administrado </w:t>
      </w:r>
      <w:r w:rsidR="005F7DCC" w:rsidRPr="006F4D83">
        <w:rPr>
          <w:rFonts w:ascii="Century Gothic" w:hAnsi="Century Gothic" w:cs="Tahoma"/>
          <w:b/>
          <w:color w:val="C0504D" w:themeColor="accent2"/>
          <w:sz w:val="20"/>
          <w:szCs w:val="20"/>
          <w:highlight w:val="yellow"/>
        </w:rPr>
        <w:t>compensará</w:t>
      </w:r>
      <w:r w:rsidR="005F7DCC" w:rsidRPr="006F4D83">
        <w:rPr>
          <w:rFonts w:ascii="Century Gothic" w:hAnsi="Century Gothic" w:cs="Tahoma"/>
          <w:b/>
          <w:color w:val="C0504D" w:themeColor="accent2"/>
          <w:sz w:val="20"/>
          <w:szCs w:val="20"/>
        </w:rPr>
        <w:t xml:space="preserve"> el equivalente al 15% en valor monetario según el avaluó catastral.</w:t>
      </w:r>
      <w:bookmarkStart w:id="0" w:name="_GoBack"/>
      <w:bookmarkEnd w:id="0"/>
    </w:p>
    <w:p w:rsidR="00BC1783" w:rsidRPr="00C9731E" w:rsidRDefault="00F041D7" w:rsidP="00BC1783">
      <w:pPr>
        <w:suppressAutoHyphens/>
        <w:spacing w:after="0" w:line="240" w:lineRule="auto"/>
        <w:jc w:val="both"/>
        <w:rPr>
          <w:rFonts w:ascii="Century Gothic" w:eastAsia="Times New Roman" w:hAnsi="Century Gothic" w:cs="Tahoma"/>
          <w:color w:val="0000FF"/>
          <w:sz w:val="20"/>
          <w:szCs w:val="20"/>
          <w:lang w:eastAsia="ar-SA"/>
        </w:rPr>
      </w:pPr>
      <w:r>
        <w:rPr>
          <w:rFonts w:ascii="Century Gothic" w:eastAsia="Times New Roman" w:hAnsi="Century Gothic" w:cs="Tahoma"/>
          <w:sz w:val="20"/>
          <w:szCs w:val="20"/>
          <w:lang w:eastAsia="ar-SA"/>
        </w:rPr>
        <w:t>5</w:t>
      </w:r>
      <w:r w:rsidR="00BC1783" w:rsidRPr="00AB073E">
        <w:rPr>
          <w:rFonts w:ascii="Century Gothic" w:eastAsia="Times New Roman" w:hAnsi="Century Gothic" w:cs="Tahoma"/>
          <w:sz w:val="20"/>
          <w:szCs w:val="20"/>
          <w:lang w:eastAsia="ar-SA"/>
        </w:rPr>
        <w:t xml:space="preserve">. El valor del suelo se calculará en función de la ordenanza metropolitana vigente que aprueba </w:t>
      </w:r>
      <w:r w:rsidR="00DD1DCC">
        <w:rPr>
          <w:rFonts w:ascii="Century Gothic" w:eastAsia="Times New Roman" w:hAnsi="Century Gothic" w:cs="Tahoma"/>
          <w:sz w:val="20"/>
          <w:szCs w:val="20"/>
          <w:lang w:eastAsia="ar-SA"/>
        </w:rPr>
        <w:t>la valoración catastral del inmueble</w:t>
      </w:r>
      <w:r w:rsidR="00BC1783" w:rsidRPr="00AB073E">
        <w:rPr>
          <w:rFonts w:ascii="Century Gothic" w:eastAsia="Times New Roman" w:hAnsi="Century Gothic" w:cs="Tahoma"/>
          <w:sz w:val="20"/>
          <w:szCs w:val="20"/>
          <w:lang w:eastAsia="ar-SA"/>
        </w:rPr>
        <w:t xml:space="preserve"> que rige para cada bienio en el</w:t>
      </w:r>
      <w:r w:rsidR="005E4E7C">
        <w:rPr>
          <w:rFonts w:ascii="Century Gothic" w:eastAsia="Times New Roman" w:hAnsi="Century Gothic" w:cs="Tahoma"/>
          <w:sz w:val="20"/>
          <w:szCs w:val="20"/>
          <w:lang w:eastAsia="ar-SA"/>
        </w:rPr>
        <w:t xml:space="preserve"> Distrito Metropolitano de Quito.</w:t>
      </w:r>
    </w:p>
    <w:p w:rsidR="00BC1783" w:rsidRPr="00AB073E" w:rsidRDefault="00BC1783" w:rsidP="00BC1783">
      <w:pPr>
        <w:suppressAutoHyphens/>
        <w:spacing w:after="0" w:line="240" w:lineRule="auto"/>
        <w:jc w:val="both"/>
        <w:rPr>
          <w:rFonts w:ascii="Century Gothic" w:eastAsia="Times New Roman" w:hAnsi="Century Gothic" w:cs="Tahoma"/>
          <w:sz w:val="20"/>
          <w:szCs w:val="20"/>
          <w:lang w:eastAsia="ar-SA"/>
        </w:rPr>
      </w:pPr>
    </w:p>
    <w:p w:rsidR="00BC1783" w:rsidRDefault="00F041D7" w:rsidP="00BC1783">
      <w:pPr>
        <w:suppressAutoHyphens/>
        <w:spacing w:after="0" w:line="240" w:lineRule="auto"/>
        <w:jc w:val="both"/>
        <w:rPr>
          <w:rFonts w:ascii="Century Gothic" w:eastAsia="Times New Roman" w:hAnsi="Century Gothic" w:cs="Tahoma"/>
          <w:sz w:val="20"/>
          <w:szCs w:val="20"/>
          <w:lang w:eastAsia="ar-SA"/>
        </w:rPr>
      </w:pPr>
      <w:r>
        <w:rPr>
          <w:rFonts w:ascii="Century Gothic" w:eastAsia="Times New Roman" w:hAnsi="Century Gothic" w:cs="Tahoma"/>
          <w:sz w:val="20"/>
          <w:szCs w:val="20"/>
          <w:lang w:eastAsia="ar-SA"/>
        </w:rPr>
        <w:t>6</w:t>
      </w:r>
      <w:r w:rsidR="00945D54" w:rsidRPr="00AB073E">
        <w:rPr>
          <w:rFonts w:ascii="Century Gothic" w:eastAsia="Times New Roman" w:hAnsi="Century Gothic" w:cs="Tahoma"/>
          <w:sz w:val="20"/>
          <w:szCs w:val="20"/>
          <w:lang w:eastAsia="ar-SA"/>
        </w:rPr>
        <w:t xml:space="preserve">. Si la </w:t>
      </w:r>
      <w:r w:rsidR="00945D54" w:rsidRPr="00C9731E">
        <w:rPr>
          <w:rFonts w:ascii="Century Gothic" w:eastAsia="Times New Roman" w:hAnsi="Century Gothic" w:cs="Tahoma"/>
          <w:sz w:val="20"/>
          <w:szCs w:val="20"/>
          <w:highlight w:val="yellow"/>
          <w:lang w:eastAsia="ar-SA"/>
        </w:rPr>
        <w:t>compensación</w:t>
      </w:r>
      <w:r w:rsidR="00945D54" w:rsidRPr="00AB073E">
        <w:rPr>
          <w:rFonts w:ascii="Century Gothic" w:eastAsia="Times New Roman" w:hAnsi="Century Gothic" w:cs="Tahoma"/>
          <w:sz w:val="20"/>
          <w:szCs w:val="20"/>
          <w:lang w:eastAsia="ar-SA"/>
        </w:rPr>
        <w:t xml:space="preserve"> en </w:t>
      </w:r>
      <w:r w:rsidR="000E6491">
        <w:rPr>
          <w:rFonts w:ascii="Century Gothic" w:eastAsia="Times New Roman" w:hAnsi="Century Gothic" w:cs="Tahoma"/>
          <w:sz w:val="20"/>
          <w:szCs w:val="20"/>
          <w:lang w:eastAsia="ar-SA"/>
        </w:rPr>
        <w:t>dinero</w:t>
      </w:r>
      <w:r w:rsidR="00945D54" w:rsidRPr="00AB073E">
        <w:rPr>
          <w:rFonts w:ascii="Century Gothic" w:eastAsia="Times New Roman" w:hAnsi="Century Gothic" w:cs="Tahoma"/>
          <w:sz w:val="20"/>
          <w:szCs w:val="20"/>
          <w:lang w:eastAsia="ar-SA"/>
        </w:rPr>
        <w:t xml:space="preserve"> suple o reemplaza la entrega de área verde</w:t>
      </w:r>
      <w:r w:rsidR="00FC1B14" w:rsidRPr="00AB073E">
        <w:rPr>
          <w:rFonts w:ascii="Century Gothic" w:eastAsia="Times New Roman" w:hAnsi="Century Gothic" w:cs="Tahoma"/>
          <w:sz w:val="20"/>
          <w:szCs w:val="20"/>
          <w:lang w:eastAsia="ar-SA"/>
        </w:rPr>
        <w:t xml:space="preserve"> pública</w:t>
      </w:r>
      <w:r w:rsidR="00945D54" w:rsidRPr="00AB073E">
        <w:rPr>
          <w:rFonts w:ascii="Century Gothic" w:eastAsia="Times New Roman" w:hAnsi="Century Gothic" w:cs="Tahoma"/>
          <w:sz w:val="20"/>
          <w:szCs w:val="20"/>
          <w:lang w:eastAsia="ar-SA"/>
        </w:rPr>
        <w:t>, dich</w:t>
      </w:r>
      <w:r w:rsidR="00D5043A">
        <w:rPr>
          <w:rFonts w:ascii="Century Gothic" w:eastAsia="Times New Roman" w:hAnsi="Century Gothic" w:cs="Tahoma"/>
          <w:sz w:val="20"/>
          <w:szCs w:val="20"/>
          <w:lang w:eastAsia="ar-SA"/>
        </w:rPr>
        <w:t>a</w:t>
      </w:r>
      <w:r w:rsidR="00945D54" w:rsidRPr="006625A4">
        <w:rPr>
          <w:rFonts w:ascii="Century Gothic" w:eastAsia="Times New Roman" w:hAnsi="Century Gothic" w:cs="Tahoma"/>
          <w:color w:val="FF0000"/>
          <w:sz w:val="20"/>
          <w:szCs w:val="20"/>
          <w:lang w:eastAsia="ar-SA"/>
        </w:rPr>
        <w:t xml:space="preserve"> </w:t>
      </w:r>
      <w:r w:rsidR="006625A4" w:rsidRPr="006625A4">
        <w:rPr>
          <w:rFonts w:ascii="Century Gothic" w:eastAsia="Times New Roman" w:hAnsi="Century Gothic" w:cs="Tahoma"/>
          <w:color w:val="0000FF"/>
          <w:sz w:val="20"/>
          <w:szCs w:val="20"/>
          <w:highlight w:val="yellow"/>
          <w:lang w:eastAsia="ar-SA"/>
        </w:rPr>
        <w:t>compensación</w:t>
      </w:r>
      <w:r w:rsidR="006625A4">
        <w:rPr>
          <w:rFonts w:ascii="Century Gothic" w:eastAsia="Times New Roman" w:hAnsi="Century Gothic" w:cs="Tahoma"/>
          <w:sz w:val="20"/>
          <w:szCs w:val="20"/>
          <w:lang w:eastAsia="ar-SA"/>
        </w:rPr>
        <w:t xml:space="preserve"> </w:t>
      </w:r>
      <w:r w:rsidR="00945D54" w:rsidRPr="00AB073E">
        <w:rPr>
          <w:rFonts w:ascii="Century Gothic" w:eastAsia="Times New Roman" w:hAnsi="Century Gothic" w:cs="Tahoma"/>
          <w:sz w:val="20"/>
          <w:szCs w:val="20"/>
          <w:lang w:eastAsia="ar-SA"/>
        </w:rPr>
        <w:t>debe ser equivalente</w:t>
      </w:r>
      <w:r w:rsidR="00B171E1" w:rsidRPr="00AB073E">
        <w:rPr>
          <w:rFonts w:ascii="Century Gothic" w:eastAsia="Times New Roman" w:hAnsi="Century Gothic" w:cs="Tahoma"/>
          <w:sz w:val="20"/>
          <w:szCs w:val="20"/>
          <w:lang w:eastAsia="ar-SA"/>
        </w:rPr>
        <w:t>,</w:t>
      </w:r>
      <w:r w:rsidR="00945D54" w:rsidRPr="00AB073E">
        <w:rPr>
          <w:rFonts w:ascii="Century Gothic" w:eastAsia="Times New Roman" w:hAnsi="Century Gothic" w:cs="Tahoma"/>
          <w:sz w:val="20"/>
          <w:szCs w:val="20"/>
          <w:lang w:eastAsia="ar-SA"/>
        </w:rPr>
        <w:t xml:space="preserve"> </w:t>
      </w:r>
      <w:r w:rsidR="004619FB">
        <w:rPr>
          <w:rFonts w:ascii="Century Gothic" w:eastAsia="Times New Roman" w:hAnsi="Century Gothic" w:cs="Tahoma"/>
          <w:sz w:val="20"/>
          <w:szCs w:val="20"/>
          <w:lang w:eastAsia="ar-SA"/>
        </w:rPr>
        <w:t xml:space="preserve">al </w:t>
      </w:r>
      <w:r w:rsidR="00B171E1" w:rsidRPr="00AB073E">
        <w:rPr>
          <w:rFonts w:ascii="Century Gothic" w:eastAsia="Times New Roman" w:hAnsi="Century Gothic" w:cs="Tahoma"/>
          <w:sz w:val="20"/>
          <w:szCs w:val="20"/>
          <w:lang w:eastAsia="ar-SA"/>
        </w:rPr>
        <w:t xml:space="preserve">valor monetario </w:t>
      </w:r>
      <w:r w:rsidR="004619FB">
        <w:rPr>
          <w:rFonts w:ascii="Century Gothic" w:eastAsia="Times New Roman" w:hAnsi="Century Gothic" w:cs="Tahoma"/>
          <w:sz w:val="20"/>
          <w:szCs w:val="20"/>
          <w:lang w:eastAsia="ar-SA"/>
        </w:rPr>
        <w:t xml:space="preserve">correspondiente al 15% </w:t>
      </w:r>
      <w:r w:rsidR="00B171E1" w:rsidRPr="00AB073E">
        <w:rPr>
          <w:rFonts w:ascii="Century Gothic" w:eastAsia="Times New Roman" w:hAnsi="Century Gothic" w:cs="Tahoma"/>
          <w:sz w:val="20"/>
          <w:szCs w:val="20"/>
          <w:lang w:eastAsia="ar-SA"/>
        </w:rPr>
        <w:t xml:space="preserve">del área útil </w:t>
      </w:r>
      <w:r w:rsidR="00041FFB">
        <w:rPr>
          <w:rFonts w:ascii="Century Gothic" w:eastAsia="Times New Roman" w:hAnsi="Century Gothic" w:cs="Tahoma"/>
          <w:sz w:val="20"/>
          <w:szCs w:val="20"/>
          <w:lang w:eastAsia="ar-SA"/>
        </w:rPr>
        <w:t xml:space="preserve">urbanizable </w:t>
      </w:r>
      <w:r w:rsidR="00B171E1" w:rsidRPr="00AB073E">
        <w:rPr>
          <w:rFonts w:ascii="Century Gothic" w:eastAsia="Times New Roman" w:hAnsi="Century Gothic" w:cs="Tahoma"/>
          <w:sz w:val="20"/>
          <w:szCs w:val="20"/>
          <w:lang w:eastAsia="ar-SA"/>
        </w:rPr>
        <w:t>del terreno, según el avalúo catastral.</w:t>
      </w:r>
    </w:p>
    <w:p w:rsidR="0056476F" w:rsidRDefault="0056476F" w:rsidP="00BC1783">
      <w:pPr>
        <w:suppressAutoHyphens/>
        <w:spacing w:after="0" w:line="240" w:lineRule="auto"/>
        <w:jc w:val="both"/>
        <w:rPr>
          <w:rFonts w:ascii="Century Gothic" w:eastAsia="Times New Roman" w:hAnsi="Century Gothic" w:cs="Tahoma"/>
          <w:sz w:val="20"/>
          <w:szCs w:val="20"/>
          <w:lang w:eastAsia="ar-SA"/>
        </w:rPr>
      </w:pPr>
    </w:p>
    <w:p w:rsidR="0056476F" w:rsidRDefault="00F041D7" w:rsidP="0056476F">
      <w:pPr>
        <w:jc w:val="both"/>
        <w:rPr>
          <w:rFonts w:ascii="Century Gothic" w:hAnsi="Century Gothic" w:cs="Tahoma"/>
          <w:sz w:val="20"/>
          <w:szCs w:val="20"/>
        </w:rPr>
      </w:pPr>
      <w:r>
        <w:rPr>
          <w:rFonts w:ascii="Century Gothic" w:hAnsi="Century Gothic" w:cs="Tahoma"/>
          <w:sz w:val="20"/>
          <w:szCs w:val="20"/>
        </w:rPr>
        <w:t>7</w:t>
      </w:r>
      <w:r w:rsidR="0056476F">
        <w:rPr>
          <w:rFonts w:ascii="Century Gothic" w:hAnsi="Century Gothic" w:cs="Tahoma"/>
          <w:sz w:val="20"/>
          <w:szCs w:val="20"/>
        </w:rPr>
        <w:t xml:space="preserve">. </w:t>
      </w:r>
      <w:r w:rsidR="00041FFB" w:rsidRPr="006625A4">
        <w:rPr>
          <w:rFonts w:ascii="Century Gothic" w:hAnsi="Century Gothic" w:cs="Tahoma"/>
          <w:sz w:val="20"/>
          <w:szCs w:val="20"/>
          <w:highlight w:val="yellow"/>
        </w:rPr>
        <w:t>Con</w:t>
      </w:r>
      <w:r w:rsidR="00041FFB">
        <w:rPr>
          <w:rFonts w:ascii="Century Gothic" w:hAnsi="Century Gothic" w:cs="Tahoma"/>
          <w:sz w:val="20"/>
          <w:szCs w:val="20"/>
        </w:rPr>
        <w:t xml:space="preserve"> lo</w:t>
      </w:r>
      <w:r w:rsidR="0056476F">
        <w:rPr>
          <w:rFonts w:ascii="Century Gothic" w:hAnsi="Century Gothic" w:cs="Tahoma"/>
          <w:sz w:val="20"/>
          <w:szCs w:val="20"/>
        </w:rPr>
        <w:t xml:space="preserve">s recursos recaudados en valor monetario por efecto de la compensación, la municipalidad deberá crear un fondo para la adquisición de áreas verdes, equipamiento comunitario y obras para su mejoramiento, de conformidad a lo establecido en la Ley Orgánica de Ordenamiento Territorial, Uso y Gestión de Suelo.   </w:t>
      </w:r>
    </w:p>
    <w:p w:rsidR="00CF6415" w:rsidRPr="00AB073E" w:rsidRDefault="00CF6415" w:rsidP="00BC1783">
      <w:pPr>
        <w:suppressAutoHyphens/>
        <w:spacing w:after="0" w:line="240" w:lineRule="auto"/>
        <w:jc w:val="both"/>
        <w:rPr>
          <w:rFonts w:ascii="Century Gothic" w:eastAsia="Times New Roman" w:hAnsi="Century Gothic" w:cs="Tahoma"/>
          <w:sz w:val="20"/>
          <w:szCs w:val="20"/>
          <w:lang w:eastAsia="ar-SA"/>
        </w:rPr>
      </w:pPr>
    </w:p>
    <w:p w:rsidR="00BC1783" w:rsidRPr="00AB073E" w:rsidRDefault="005E065B" w:rsidP="00BC1783">
      <w:pPr>
        <w:suppressAutoHyphens/>
        <w:spacing w:after="0" w:line="240" w:lineRule="auto"/>
        <w:jc w:val="both"/>
        <w:rPr>
          <w:rFonts w:ascii="Century Gothic" w:eastAsia="Times New Roman" w:hAnsi="Century Gothic" w:cs="Tahoma"/>
          <w:sz w:val="20"/>
          <w:szCs w:val="20"/>
          <w:lang w:eastAsia="ar-SA"/>
        </w:rPr>
      </w:pPr>
      <w:r w:rsidRPr="00F041D7">
        <w:rPr>
          <w:rFonts w:ascii="Century Gothic" w:eastAsia="Times New Roman" w:hAnsi="Century Gothic" w:cs="Tahoma"/>
          <w:b/>
          <w:sz w:val="20"/>
          <w:szCs w:val="20"/>
          <w:lang w:eastAsia="ar-SA"/>
        </w:rPr>
        <w:t xml:space="preserve">Disposición </w:t>
      </w:r>
      <w:r w:rsidR="005E4E7C" w:rsidRPr="00F041D7">
        <w:rPr>
          <w:rFonts w:ascii="Century Gothic" w:eastAsia="Times New Roman" w:hAnsi="Century Gothic" w:cs="Tahoma"/>
          <w:b/>
          <w:sz w:val="20"/>
          <w:szCs w:val="20"/>
          <w:lang w:eastAsia="ar-SA"/>
        </w:rPr>
        <w:t>Final</w:t>
      </w:r>
      <w:r w:rsidR="005E4E7C" w:rsidRPr="00AB073E">
        <w:rPr>
          <w:rFonts w:ascii="Century Gothic" w:eastAsia="Times New Roman" w:hAnsi="Century Gothic" w:cs="Tahoma"/>
          <w:sz w:val="20"/>
          <w:szCs w:val="20"/>
          <w:lang w:eastAsia="ar-SA"/>
        </w:rPr>
        <w:t>. -</w:t>
      </w:r>
      <w:r w:rsidRPr="00AB073E">
        <w:rPr>
          <w:rFonts w:ascii="Century Gothic" w:eastAsia="Times New Roman" w:hAnsi="Century Gothic" w:cs="Tahoma"/>
          <w:sz w:val="20"/>
          <w:szCs w:val="20"/>
          <w:lang w:eastAsia="ar-SA"/>
        </w:rPr>
        <w:t xml:space="preserve"> La presente ordenanza reformatoria entrará en vigencia a partir de la fecha de su sanción, sin perjuicio de su publicación en el Registro Oficial.</w:t>
      </w:r>
    </w:p>
    <w:p w:rsidR="005E065B" w:rsidRPr="00AB073E" w:rsidRDefault="005E065B" w:rsidP="00BC1783">
      <w:pPr>
        <w:suppressAutoHyphens/>
        <w:spacing w:after="0" w:line="240" w:lineRule="auto"/>
        <w:jc w:val="both"/>
        <w:rPr>
          <w:rFonts w:ascii="Century Gothic" w:eastAsia="Times New Roman" w:hAnsi="Century Gothic" w:cs="Tahoma"/>
          <w:sz w:val="20"/>
          <w:szCs w:val="20"/>
          <w:lang w:eastAsia="ar-SA"/>
        </w:rPr>
      </w:pPr>
    </w:p>
    <w:p w:rsidR="005E065B" w:rsidRPr="00AB073E" w:rsidRDefault="005E065B" w:rsidP="00BC1783">
      <w:pPr>
        <w:suppressAutoHyphens/>
        <w:spacing w:after="0" w:line="240" w:lineRule="auto"/>
        <w:jc w:val="both"/>
        <w:rPr>
          <w:rFonts w:ascii="Century Gothic" w:eastAsia="Times New Roman" w:hAnsi="Century Gothic" w:cs="Tahoma"/>
          <w:sz w:val="20"/>
          <w:szCs w:val="20"/>
          <w:lang w:eastAsia="ar-SA"/>
        </w:rPr>
      </w:pPr>
      <w:r w:rsidRPr="00AB073E">
        <w:rPr>
          <w:rFonts w:ascii="Century Gothic" w:eastAsia="Times New Roman" w:hAnsi="Century Gothic" w:cs="Tahoma"/>
          <w:sz w:val="20"/>
          <w:szCs w:val="20"/>
          <w:lang w:eastAsia="ar-SA"/>
        </w:rPr>
        <w:t>Dada, en la Sala de Sesiones del Concejo Metropolitano de Quito, el</w:t>
      </w:r>
      <w:r w:rsidR="005E4E7C" w:rsidRPr="00AB073E">
        <w:rPr>
          <w:rFonts w:ascii="Century Gothic" w:eastAsia="Times New Roman" w:hAnsi="Century Gothic" w:cs="Tahoma"/>
          <w:sz w:val="20"/>
          <w:szCs w:val="20"/>
          <w:lang w:eastAsia="ar-SA"/>
        </w:rPr>
        <w:t>……</w:t>
      </w:r>
      <w:r w:rsidRPr="00AB073E">
        <w:rPr>
          <w:rFonts w:ascii="Century Gothic" w:eastAsia="Times New Roman" w:hAnsi="Century Gothic" w:cs="Tahoma"/>
          <w:sz w:val="20"/>
          <w:szCs w:val="20"/>
          <w:lang w:eastAsia="ar-SA"/>
        </w:rPr>
        <w:t>.</w:t>
      </w:r>
    </w:p>
    <w:p w:rsidR="005E065B" w:rsidRPr="00AB073E" w:rsidRDefault="005E065B" w:rsidP="00BC1783">
      <w:pPr>
        <w:suppressAutoHyphens/>
        <w:spacing w:after="0" w:line="240" w:lineRule="auto"/>
        <w:jc w:val="both"/>
        <w:rPr>
          <w:rFonts w:ascii="Century Gothic" w:eastAsia="Times New Roman" w:hAnsi="Century Gothic" w:cs="Tahoma"/>
          <w:sz w:val="20"/>
          <w:szCs w:val="20"/>
          <w:lang w:eastAsia="ar-SA"/>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r w:rsidRPr="00AB073E">
        <w:rPr>
          <w:rFonts w:ascii="Century Gothic" w:eastAsia="Times New Roman" w:hAnsi="Century Gothic" w:cs="Tahoma"/>
          <w:color w:val="000000"/>
          <w:sz w:val="20"/>
          <w:szCs w:val="20"/>
          <w:lang w:val="es-ES" w:eastAsia="es-EC"/>
        </w:rPr>
        <w:t xml:space="preserve">Mauricio Rodas Espinel                                                </w:t>
      </w:r>
      <w:r w:rsidR="00D5043A">
        <w:rPr>
          <w:rFonts w:ascii="Century Gothic" w:eastAsia="Times New Roman" w:hAnsi="Century Gothic" w:cs="Tahoma"/>
          <w:color w:val="000000"/>
          <w:sz w:val="20"/>
          <w:szCs w:val="20"/>
          <w:lang w:val="es-ES" w:eastAsia="es-EC"/>
        </w:rPr>
        <w:t xml:space="preserve">  Abg. Diego Cevallos Salgado</w:t>
      </w: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 xml:space="preserve">ALCALDE METROPOLITANO                                             SECRETARIA GENERAL </w:t>
      </w: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 xml:space="preserve">                                                                                     DEL </w:t>
      </w:r>
      <w:r w:rsidR="00D5043A" w:rsidRPr="00AB073E">
        <w:rPr>
          <w:rFonts w:ascii="Century Gothic" w:eastAsia="Times New Roman" w:hAnsi="Century Gothic" w:cs="Tahoma"/>
          <w:b/>
          <w:color w:val="000000"/>
          <w:sz w:val="20"/>
          <w:szCs w:val="20"/>
          <w:lang w:val="es-ES" w:eastAsia="es-EC"/>
        </w:rPr>
        <w:t>CONCEJO METROPOLITANO</w:t>
      </w:r>
      <w:r w:rsidRPr="00AB073E">
        <w:rPr>
          <w:rFonts w:ascii="Century Gothic" w:eastAsia="Times New Roman" w:hAnsi="Century Gothic" w:cs="Tahoma"/>
          <w:b/>
          <w:color w:val="000000"/>
          <w:sz w:val="20"/>
          <w:szCs w:val="20"/>
          <w:lang w:val="es-ES" w:eastAsia="es-EC"/>
        </w:rPr>
        <w:t xml:space="preserve"> </w:t>
      </w: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 xml:space="preserve">                                     </w:t>
      </w: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p>
    <w:p w:rsidR="006F4D83" w:rsidRDefault="006F4D83"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p>
    <w:p w:rsidR="006F4D83" w:rsidRDefault="006F4D83"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CERTIFICADO DE DISCUSIÓN</w:t>
      </w: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b/>
          <w:color w:val="000000"/>
          <w:sz w:val="20"/>
          <w:szCs w:val="20"/>
          <w:lang w:val="es-ES" w:eastAsia="es-EC"/>
        </w:rPr>
      </w:pPr>
    </w:p>
    <w:p w:rsidR="005E065B" w:rsidRDefault="005E065B"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r w:rsidRPr="00AB073E">
        <w:rPr>
          <w:rFonts w:ascii="Century Gothic" w:eastAsia="Times New Roman" w:hAnsi="Century Gothic" w:cs="Tahoma"/>
          <w:color w:val="000000"/>
          <w:sz w:val="20"/>
          <w:szCs w:val="20"/>
          <w:lang w:val="es-ES" w:eastAsia="es-EC"/>
        </w:rPr>
        <w:t>La infrascrita Secretaria General del Concejo Metropolitano de Quito, certifica que la presente modificatoria a la</w:t>
      </w:r>
      <w:r w:rsidR="00CA11A3" w:rsidRPr="00AB073E">
        <w:rPr>
          <w:rFonts w:ascii="Century Gothic" w:eastAsia="Times New Roman" w:hAnsi="Century Gothic" w:cs="Tahoma"/>
          <w:color w:val="000000"/>
          <w:sz w:val="20"/>
          <w:szCs w:val="20"/>
          <w:lang w:val="es-ES" w:eastAsia="es-EC"/>
        </w:rPr>
        <w:t>s</w:t>
      </w:r>
      <w:r w:rsidRPr="00AB073E">
        <w:rPr>
          <w:rFonts w:ascii="Century Gothic" w:eastAsia="Times New Roman" w:hAnsi="Century Gothic" w:cs="Tahoma"/>
          <w:color w:val="000000"/>
          <w:sz w:val="20"/>
          <w:szCs w:val="20"/>
          <w:lang w:val="es-ES" w:eastAsia="es-EC"/>
        </w:rPr>
        <w:t xml:space="preserve"> </w:t>
      </w:r>
      <w:r w:rsidR="00CA11A3" w:rsidRPr="00AB073E">
        <w:rPr>
          <w:rFonts w:ascii="Century Gothic" w:eastAsia="Times New Roman" w:hAnsi="Century Gothic" w:cs="Tahoma"/>
          <w:noProof/>
          <w:color w:val="000000" w:themeColor="text1"/>
          <w:sz w:val="20"/>
          <w:szCs w:val="20"/>
          <w:lang w:eastAsia="ar-SA"/>
        </w:rPr>
        <w:t>Ordenanzas Metropolitanas Nos. 172 y 0432</w:t>
      </w:r>
      <w:r w:rsidRPr="00AB073E">
        <w:rPr>
          <w:rFonts w:ascii="Century Gothic" w:eastAsia="Times New Roman" w:hAnsi="Century Gothic" w:cs="Tahoma"/>
          <w:color w:val="000000"/>
          <w:sz w:val="20"/>
          <w:szCs w:val="20"/>
          <w:lang w:val="es-ES" w:eastAsia="es-EC"/>
        </w:rPr>
        <w:t xml:space="preserve"> fue discutida y aprobada en dos debates en sesiones </w:t>
      </w:r>
      <w:proofErr w:type="gramStart"/>
      <w:r w:rsidRPr="00AB073E">
        <w:rPr>
          <w:rFonts w:ascii="Century Gothic" w:eastAsia="Times New Roman" w:hAnsi="Century Gothic" w:cs="Tahoma"/>
          <w:color w:val="000000"/>
          <w:sz w:val="20"/>
          <w:szCs w:val="20"/>
          <w:lang w:val="es-ES" w:eastAsia="es-EC"/>
        </w:rPr>
        <w:t>de</w:t>
      </w:r>
      <w:r w:rsidR="005E4E7C">
        <w:rPr>
          <w:rFonts w:ascii="Century Gothic" w:eastAsia="Times New Roman" w:hAnsi="Century Gothic" w:cs="Tahoma"/>
          <w:color w:val="000000"/>
          <w:sz w:val="20"/>
          <w:szCs w:val="20"/>
          <w:lang w:val="es-ES" w:eastAsia="es-EC"/>
        </w:rPr>
        <w:t xml:space="preserve"> …</w:t>
      </w:r>
      <w:proofErr w:type="gramEnd"/>
      <w:r w:rsidR="005E4E7C">
        <w:rPr>
          <w:rFonts w:ascii="Century Gothic" w:eastAsia="Times New Roman" w:hAnsi="Century Gothic" w:cs="Tahoma"/>
          <w:color w:val="000000"/>
          <w:sz w:val="20"/>
          <w:szCs w:val="20"/>
          <w:lang w:val="es-ES" w:eastAsia="es-EC"/>
        </w:rPr>
        <w:t>…….</w:t>
      </w:r>
    </w:p>
    <w:p w:rsidR="005E4E7C" w:rsidRPr="00AB073E" w:rsidRDefault="005E4E7C"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p>
    <w:p w:rsidR="005E065B" w:rsidRPr="00AB073E" w:rsidRDefault="005E4E7C" w:rsidP="005E4E7C">
      <w:pPr>
        <w:overflowPunct w:val="0"/>
        <w:autoSpaceDE w:val="0"/>
        <w:autoSpaceDN w:val="0"/>
        <w:adjustRightInd w:val="0"/>
        <w:spacing w:after="0" w:line="240" w:lineRule="auto"/>
        <w:jc w:val="center"/>
        <w:rPr>
          <w:rFonts w:ascii="Century Gothic" w:eastAsia="Times New Roman" w:hAnsi="Century Gothic" w:cs="Tahoma"/>
          <w:color w:val="000000"/>
          <w:sz w:val="20"/>
          <w:szCs w:val="20"/>
          <w:lang w:val="es-ES" w:eastAsia="es-EC"/>
        </w:rPr>
      </w:pPr>
      <w:r>
        <w:rPr>
          <w:rFonts w:ascii="Century Gothic" w:eastAsia="Times New Roman" w:hAnsi="Century Gothic" w:cs="Tahoma"/>
          <w:color w:val="000000"/>
          <w:sz w:val="20"/>
          <w:szCs w:val="20"/>
          <w:lang w:val="es-ES" w:eastAsia="es-EC"/>
        </w:rPr>
        <w:t>Abg. Diego Cevallos Salgado</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SECRETARIA GENERAL</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 xml:space="preserve">    DEL CONCEJO METROPOLITANO</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b/>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color w:val="000000"/>
          <w:sz w:val="20"/>
          <w:szCs w:val="20"/>
          <w:lang w:val="es-ES" w:eastAsia="es-EC"/>
        </w:rPr>
      </w:pPr>
      <w:r w:rsidRPr="00AB073E">
        <w:rPr>
          <w:rFonts w:ascii="Century Gothic" w:eastAsia="Times New Roman" w:hAnsi="Century Gothic" w:cs="Tahoma"/>
          <w:color w:val="000000"/>
          <w:sz w:val="20"/>
          <w:szCs w:val="20"/>
          <w:lang w:val="es-ES" w:eastAsia="es-EC"/>
        </w:rPr>
        <w:t>EJECÚTESE</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color w:val="000000"/>
          <w:sz w:val="20"/>
          <w:szCs w:val="20"/>
          <w:lang w:val="es-ES" w:eastAsia="es-EC"/>
        </w:rPr>
      </w:pPr>
      <w:r w:rsidRPr="00AB073E">
        <w:rPr>
          <w:rFonts w:ascii="Century Gothic" w:eastAsia="Times New Roman" w:hAnsi="Century Gothic" w:cs="Tahoma"/>
          <w:color w:val="000000"/>
          <w:sz w:val="20"/>
          <w:szCs w:val="20"/>
          <w:lang w:val="es-ES" w:eastAsia="es-EC"/>
        </w:rPr>
        <w:t xml:space="preserve">Mauricio </w:t>
      </w:r>
      <w:r w:rsidR="005E4E7C" w:rsidRPr="00AB073E">
        <w:rPr>
          <w:rFonts w:ascii="Century Gothic" w:eastAsia="Times New Roman" w:hAnsi="Century Gothic" w:cs="Tahoma"/>
          <w:color w:val="000000"/>
          <w:sz w:val="20"/>
          <w:szCs w:val="20"/>
          <w:lang w:val="es-ES" w:eastAsia="es-EC"/>
        </w:rPr>
        <w:t>Rodas Espinel</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 xml:space="preserve">   ALCALDE METROPOLITANO</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b/>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r w:rsidRPr="00AB073E">
        <w:rPr>
          <w:rFonts w:ascii="Century Gothic" w:eastAsia="Times New Roman" w:hAnsi="Century Gothic" w:cs="Tahoma"/>
          <w:b/>
          <w:color w:val="000000"/>
          <w:sz w:val="20"/>
          <w:szCs w:val="20"/>
          <w:lang w:val="es-ES" w:eastAsia="es-EC"/>
        </w:rPr>
        <w:t xml:space="preserve">CERTIFICO, </w:t>
      </w:r>
      <w:r w:rsidRPr="00AB073E">
        <w:rPr>
          <w:rFonts w:ascii="Century Gothic" w:eastAsia="Times New Roman" w:hAnsi="Century Gothic" w:cs="Tahoma"/>
          <w:color w:val="000000"/>
          <w:sz w:val="20"/>
          <w:szCs w:val="20"/>
          <w:lang w:val="es-ES" w:eastAsia="es-EC"/>
        </w:rPr>
        <w:t>que la presente modificatoria a la</w:t>
      </w:r>
      <w:r w:rsidR="00CA11A3" w:rsidRPr="00AB073E">
        <w:rPr>
          <w:rFonts w:ascii="Century Gothic" w:eastAsia="Times New Roman" w:hAnsi="Century Gothic" w:cs="Tahoma"/>
          <w:color w:val="000000"/>
          <w:sz w:val="20"/>
          <w:szCs w:val="20"/>
          <w:lang w:val="es-ES" w:eastAsia="es-EC"/>
        </w:rPr>
        <w:t>s</w:t>
      </w:r>
      <w:r w:rsidRPr="00AB073E">
        <w:rPr>
          <w:rFonts w:ascii="Century Gothic" w:eastAsia="Times New Roman" w:hAnsi="Century Gothic" w:cs="Tahoma"/>
          <w:color w:val="000000"/>
          <w:sz w:val="20"/>
          <w:szCs w:val="20"/>
          <w:lang w:val="es-ES" w:eastAsia="es-EC"/>
        </w:rPr>
        <w:t xml:space="preserve"> </w:t>
      </w:r>
      <w:r w:rsidR="00CA11A3" w:rsidRPr="00AB073E">
        <w:rPr>
          <w:rFonts w:ascii="Century Gothic" w:eastAsia="Times New Roman" w:hAnsi="Century Gothic" w:cs="Tahoma"/>
          <w:noProof/>
          <w:color w:val="000000" w:themeColor="text1"/>
          <w:sz w:val="20"/>
          <w:szCs w:val="20"/>
          <w:lang w:eastAsia="ar-SA"/>
        </w:rPr>
        <w:t>Ordenanzas Metropolitanas Nos. 172 y 0432</w:t>
      </w:r>
      <w:r w:rsidRPr="00AB073E">
        <w:rPr>
          <w:rFonts w:ascii="Century Gothic" w:eastAsia="Times New Roman" w:hAnsi="Century Gothic" w:cs="Tahoma"/>
          <w:color w:val="000000"/>
          <w:sz w:val="20"/>
          <w:szCs w:val="20"/>
          <w:lang w:val="es-ES" w:eastAsia="es-EC"/>
        </w:rPr>
        <w:t xml:space="preserve">, fue sancionada por Mauricio </w:t>
      </w:r>
      <w:r w:rsidR="005E4E7C" w:rsidRPr="00AB073E">
        <w:rPr>
          <w:rFonts w:ascii="Century Gothic" w:eastAsia="Times New Roman" w:hAnsi="Century Gothic" w:cs="Tahoma"/>
          <w:color w:val="000000"/>
          <w:sz w:val="20"/>
          <w:szCs w:val="20"/>
          <w:lang w:val="es-ES" w:eastAsia="es-EC"/>
        </w:rPr>
        <w:t>Rodas Espinel</w:t>
      </w:r>
      <w:r w:rsidR="005E4E7C">
        <w:rPr>
          <w:rFonts w:ascii="Century Gothic" w:eastAsia="Times New Roman" w:hAnsi="Century Gothic" w:cs="Tahoma"/>
          <w:color w:val="000000"/>
          <w:sz w:val="20"/>
          <w:szCs w:val="20"/>
          <w:lang w:val="es-ES" w:eastAsia="es-EC"/>
        </w:rPr>
        <w:t>, ALCALDE METROPOLITANO.</w:t>
      </w: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p>
    <w:p w:rsidR="005E065B" w:rsidRPr="00AB073E" w:rsidRDefault="005E065B" w:rsidP="005E065B">
      <w:pPr>
        <w:overflowPunct w:val="0"/>
        <w:autoSpaceDE w:val="0"/>
        <w:autoSpaceDN w:val="0"/>
        <w:adjustRightInd w:val="0"/>
        <w:spacing w:after="0" w:line="240" w:lineRule="auto"/>
        <w:jc w:val="both"/>
        <w:rPr>
          <w:rFonts w:ascii="Century Gothic" w:eastAsia="Times New Roman" w:hAnsi="Century Gothic" w:cs="Tahoma"/>
          <w:color w:val="000000"/>
          <w:sz w:val="20"/>
          <w:szCs w:val="20"/>
          <w:lang w:val="es-ES" w:eastAsia="es-EC"/>
        </w:rPr>
      </w:pPr>
    </w:p>
    <w:p w:rsidR="005E065B" w:rsidRPr="00AB073E" w:rsidRDefault="005E4E7C" w:rsidP="005E4E7C">
      <w:pPr>
        <w:overflowPunct w:val="0"/>
        <w:autoSpaceDE w:val="0"/>
        <w:autoSpaceDN w:val="0"/>
        <w:adjustRightInd w:val="0"/>
        <w:spacing w:after="0" w:line="240" w:lineRule="auto"/>
        <w:jc w:val="center"/>
        <w:rPr>
          <w:rFonts w:ascii="Century Gothic" w:eastAsia="Times New Roman" w:hAnsi="Century Gothic" w:cs="Tahoma"/>
          <w:color w:val="000000"/>
          <w:sz w:val="20"/>
          <w:szCs w:val="20"/>
          <w:lang w:val="es-ES" w:eastAsia="es-EC"/>
        </w:rPr>
      </w:pPr>
      <w:r>
        <w:rPr>
          <w:rFonts w:ascii="Century Gothic" w:eastAsia="Times New Roman" w:hAnsi="Century Gothic" w:cs="Tahoma"/>
          <w:color w:val="000000"/>
          <w:sz w:val="20"/>
          <w:szCs w:val="20"/>
          <w:lang w:val="es-ES" w:eastAsia="es-EC"/>
        </w:rPr>
        <w:t>Abg. Diego Cevallos Salgado</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b/>
          <w:color w:val="000000"/>
          <w:sz w:val="20"/>
          <w:szCs w:val="20"/>
          <w:lang w:val="es-ES" w:eastAsia="es-EC"/>
        </w:rPr>
      </w:pPr>
      <w:r w:rsidRPr="00AB073E">
        <w:rPr>
          <w:rFonts w:ascii="Century Gothic" w:eastAsia="Times New Roman" w:hAnsi="Century Gothic" w:cs="Tahoma"/>
          <w:b/>
          <w:color w:val="000000"/>
          <w:sz w:val="20"/>
          <w:szCs w:val="20"/>
          <w:lang w:val="es-ES" w:eastAsia="es-EC"/>
        </w:rPr>
        <w:t xml:space="preserve">   SECRETARIA GENERAL DEL CONCEJO</w:t>
      </w:r>
    </w:p>
    <w:p w:rsidR="005E065B" w:rsidRPr="00AB073E" w:rsidRDefault="005E065B" w:rsidP="005E065B">
      <w:pPr>
        <w:overflowPunct w:val="0"/>
        <w:autoSpaceDE w:val="0"/>
        <w:autoSpaceDN w:val="0"/>
        <w:adjustRightInd w:val="0"/>
        <w:spacing w:after="0" w:line="240" w:lineRule="auto"/>
        <w:jc w:val="center"/>
        <w:rPr>
          <w:rFonts w:ascii="Century Gothic" w:eastAsia="Times New Roman" w:hAnsi="Century Gothic" w:cs="Tahoma"/>
          <w:color w:val="000000"/>
          <w:sz w:val="20"/>
          <w:szCs w:val="20"/>
          <w:lang w:val="es-ES" w:eastAsia="es-EC"/>
        </w:rPr>
      </w:pPr>
      <w:r w:rsidRPr="00AB073E">
        <w:rPr>
          <w:rFonts w:ascii="Century Gothic" w:eastAsia="Times New Roman" w:hAnsi="Century Gothic" w:cs="Tahoma"/>
          <w:b/>
          <w:color w:val="000000"/>
          <w:sz w:val="20"/>
          <w:szCs w:val="20"/>
          <w:lang w:val="es-ES" w:eastAsia="es-EC"/>
        </w:rPr>
        <w:lastRenderedPageBreak/>
        <w:t xml:space="preserve">   METROPOLITANO DE QUITO</w:t>
      </w:r>
    </w:p>
    <w:sectPr w:rsidR="005E065B" w:rsidRPr="00AB073E" w:rsidSect="00DD4566">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9F" w:rsidRDefault="00625C9F" w:rsidP="00B40273">
      <w:pPr>
        <w:spacing w:after="0" w:line="240" w:lineRule="auto"/>
      </w:pPr>
      <w:r>
        <w:separator/>
      </w:r>
    </w:p>
  </w:endnote>
  <w:endnote w:type="continuationSeparator" w:id="0">
    <w:p w:rsidR="00625C9F" w:rsidRDefault="00625C9F" w:rsidP="00B4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068882"/>
      <w:docPartObj>
        <w:docPartGallery w:val="Page Numbers (Bottom of Page)"/>
        <w:docPartUnique/>
      </w:docPartObj>
    </w:sdtPr>
    <w:sdtEndPr>
      <w:rPr>
        <w:rFonts w:ascii="Century Gothic" w:hAnsi="Century Gothic"/>
        <w:sz w:val="20"/>
        <w:szCs w:val="20"/>
      </w:rPr>
    </w:sdtEndPr>
    <w:sdtContent>
      <w:p w:rsidR="00B40273" w:rsidRPr="00B40273" w:rsidRDefault="00B40273">
        <w:pPr>
          <w:pStyle w:val="Piedepgina"/>
          <w:jc w:val="right"/>
          <w:rPr>
            <w:rFonts w:ascii="Century Gothic" w:hAnsi="Century Gothic"/>
            <w:sz w:val="20"/>
            <w:szCs w:val="20"/>
          </w:rPr>
        </w:pPr>
        <w:r w:rsidRPr="00B40273">
          <w:rPr>
            <w:rFonts w:ascii="Century Gothic" w:hAnsi="Century Gothic"/>
            <w:sz w:val="20"/>
            <w:szCs w:val="20"/>
          </w:rPr>
          <w:fldChar w:fldCharType="begin"/>
        </w:r>
        <w:r w:rsidRPr="00B40273">
          <w:rPr>
            <w:rFonts w:ascii="Century Gothic" w:hAnsi="Century Gothic"/>
            <w:sz w:val="20"/>
            <w:szCs w:val="20"/>
          </w:rPr>
          <w:instrText>PAGE   \* MERGEFORMAT</w:instrText>
        </w:r>
        <w:r w:rsidRPr="00B40273">
          <w:rPr>
            <w:rFonts w:ascii="Century Gothic" w:hAnsi="Century Gothic"/>
            <w:sz w:val="20"/>
            <w:szCs w:val="20"/>
          </w:rPr>
          <w:fldChar w:fldCharType="separate"/>
        </w:r>
        <w:r w:rsidR="00723A19" w:rsidRPr="00723A19">
          <w:rPr>
            <w:rFonts w:ascii="Century Gothic" w:hAnsi="Century Gothic"/>
            <w:noProof/>
            <w:sz w:val="20"/>
            <w:szCs w:val="20"/>
            <w:lang w:val="es-ES"/>
          </w:rPr>
          <w:t>6</w:t>
        </w:r>
        <w:r w:rsidRPr="00B40273">
          <w:rPr>
            <w:rFonts w:ascii="Century Gothic" w:hAnsi="Century Gothic"/>
            <w:sz w:val="20"/>
            <w:szCs w:val="20"/>
          </w:rPr>
          <w:fldChar w:fldCharType="end"/>
        </w:r>
      </w:p>
    </w:sdtContent>
  </w:sdt>
  <w:p w:rsidR="00B40273" w:rsidRPr="00F041D7" w:rsidRDefault="00F041D7">
    <w:pPr>
      <w:pStyle w:val="Piedepgina"/>
      <w:rPr>
        <w:rFonts w:ascii="Century Gothic" w:hAnsi="Century Gothic"/>
        <w:b/>
        <w:color w:val="0000FF"/>
        <w:sz w:val="16"/>
        <w:szCs w:val="16"/>
      </w:rPr>
    </w:pPr>
    <w:r w:rsidRPr="00F041D7">
      <w:rPr>
        <w:rFonts w:ascii="Century Gothic" w:hAnsi="Century Gothic"/>
        <w:b/>
        <w:color w:val="0000FF"/>
        <w:sz w:val="16"/>
        <w:szCs w:val="16"/>
      </w:rPr>
      <w:t>Art. 77-79 / Ord. 172 / 2017-01-30</w:t>
    </w:r>
  </w:p>
  <w:p w:rsidR="00F041D7" w:rsidRPr="00F041D7" w:rsidRDefault="00F041D7">
    <w:pPr>
      <w:pStyle w:val="Piedepgina"/>
      <w:rPr>
        <w:rFonts w:ascii="Century Gothic" w:hAnsi="Century Gothic"/>
        <w:b/>
        <w:color w:val="0000FF"/>
        <w:sz w:val="16"/>
        <w:szCs w:val="16"/>
      </w:rPr>
    </w:pPr>
    <w:r w:rsidRPr="00F041D7">
      <w:rPr>
        <w:rFonts w:ascii="Century Gothic" w:hAnsi="Century Gothic"/>
        <w:b/>
        <w:color w:val="0000FF"/>
        <w:sz w:val="16"/>
        <w:szCs w:val="16"/>
      </w:rPr>
      <w:t>Primera versión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9F" w:rsidRDefault="00625C9F" w:rsidP="00B40273">
      <w:pPr>
        <w:spacing w:after="0" w:line="240" w:lineRule="auto"/>
      </w:pPr>
      <w:r>
        <w:separator/>
      </w:r>
    </w:p>
  </w:footnote>
  <w:footnote w:type="continuationSeparator" w:id="0">
    <w:p w:rsidR="00625C9F" w:rsidRDefault="00625C9F" w:rsidP="00B40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339B7"/>
    <w:multiLevelType w:val="hybridMultilevel"/>
    <w:tmpl w:val="7CDC63CA"/>
    <w:lvl w:ilvl="0" w:tplc="097C30B2">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
    <w:nsid w:val="31FD6202"/>
    <w:multiLevelType w:val="hybridMultilevel"/>
    <w:tmpl w:val="85D8537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nsid w:val="681C3EE1"/>
    <w:multiLevelType w:val="hybridMultilevel"/>
    <w:tmpl w:val="AA340F3A"/>
    <w:lvl w:ilvl="0" w:tplc="0FDE29FA">
      <w:numFmt w:val="bullet"/>
      <w:lvlText w:val="-"/>
      <w:lvlJc w:val="left"/>
      <w:pPr>
        <w:ind w:left="720" w:hanging="360"/>
      </w:pPr>
      <w:rPr>
        <w:rFonts w:ascii="Times New Roman" w:eastAsia="Palatino Linotype"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37C2206"/>
    <w:multiLevelType w:val="hybridMultilevel"/>
    <w:tmpl w:val="85D8537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83"/>
    <w:rsid w:val="0000135D"/>
    <w:rsid w:val="00003BDF"/>
    <w:rsid w:val="0000471E"/>
    <w:rsid w:val="00010BCB"/>
    <w:rsid w:val="000117B5"/>
    <w:rsid w:val="000137A7"/>
    <w:rsid w:val="00041FFB"/>
    <w:rsid w:val="00054301"/>
    <w:rsid w:val="000762C5"/>
    <w:rsid w:val="00083AF9"/>
    <w:rsid w:val="00090016"/>
    <w:rsid w:val="00092D4A"/>
    <w:rsid w:val="000A5075"/>
    <w:rsid w:val="000A7A34"/>
    <w:rsid w:val="000C6757"/>
    <w:rsid w:val="000D0986"/>
    <w:rsid w:val="000E6491"/>
    <w:rsid w:val="000F2F69"/>
    <w:rsid w:val="00107408"/>
    <w:rsid w:val="00115732"/>
    <w:rsid w:val="001316C2"/>
    <w:rsid w:val="00133D5E"/>
    <w:rsid w:val="00134F16"/>
    <w:rsid w:val="001534BC"/>
    <w:rsid w:val="001542B0"/>
    <w:rsid w:val="00177F96"/>
    <w:rsid w:val="001866EA"/>
    <w:rsid w:val="001B1C60"/>
    <w:rsid w:val="001F5058"/>
    <w:rsid w:val="00217654"/>
    <w:rsid w:val="0024244F"/>
    <w:rsid w:val="00255824"/>
    <w:rsid w:val="00273C85"/>
    <w:rsid w:val="00293243"/>
    <w:rsid w:val="002B2D0F"/>
    <w:rsid w:val="002E3437"/>
    <w:rsid w:val="002F17BA"/>
    <w:rsid w:val="002F30E8"/>
    <w:rsid w:val="0031081F"/>
    <w:rsid w:val="00313C89"/>
    <w:rsid w:val="00322718"/>
    <w:rsid w:val="003C7AD8"/>
    <w:rsid w:val="003D36F0"/>
    <w:rsid w:val="003D66CE"/>
    <w:rsid w:val="003E4F75"/>
    <w:rsid w:val="003F14B9"/>
    <w:rsid w:val="003F536C"/>
    <w:rsid w:val="004010B2"/>
    <w:rsid w:val="00437FAD"/>
    <w:rsid w:val="00451692"/>
    <w:rsid w:val="00454B6D"/>
    <w:rsid w:val="00460251"/>
    <w:rsid w:val="004619FB"/>
    <w:rsid w:val="00476F11"/>
    <w:rsid w:val="004B02DC"/>
    <w:rsid w:val="004D73F7"/>
    <w:rsid w:val="004E223F"/>
    <w:rsid w:val="004F13E7"/>
    <w:rsid w:val="004F6B7F"/>
    <w:rsid w:val="00504DE0"/>
    <w:rsid w:val="00514F15"/>
    <w:rsid w:val="00554902"/>
    <w:rsid w:val="00560B1F"/>
    <w:rsid w:val="0056476F"/>
    <w:rsid w:val="00593801"/>
    <w:rsid w:val="00594A0A"/>
    <w:rsid w:val="005B0657"/>
    <w:rsid w:val="005B5BDF"/>
    <w:rsid w:val="005B6847"/>
    <w:rsid w:val="005C4100"/>
    <w:rsid w:val="005E065B"/>
    <w:rsid w:val="005E4E7C"/>
    <w:rsid w:val="005E702F"/>
    <w:rsid w:val="005F4B30"/>
    <w:rsid w:val="005F7DCC"/>
    <w:rsid w:val="006130DF"/>
    <w:rsid w:val="00625C9F"/>
    <w:rsid w:val="006625A4"/>
    <w:rsid w:val="00665048"/>
    <w:rsid w:val="006A2193"/>
    <w:rsid w:val="006B4854"/>
    <w:rsid w:val="006B6B72"/>
    <w:rsid w:val="006C3A3C"/>
    <w:rsid w:val="006C3EF7"/>
    <w:rsid w:val="006C6D1E"/>
    <w:rsid w:val="006D6F62"/>
    <w:rsid w:val="006F4D83"/>
    <w:rsid w:val="007110B3"/>
    <w:rsid w:val="00711B97"/>
    <w:rsid w:val="00713864"/>
    <w:rsid w:val="00723A19"/>
    <w:rsid w:val="00747196"/>
    <w:rsid w:val="0075140B"/>
    <w:rsid w:val="0075265A"/>
    <w:rsid w:val="00757ABD"/>
    <w:rsid w:val="007626BB"/>
    <w:rsid w:val="00766D70"/>
    <w:rsid w:val="0078158B"/>
    <w:rsid w:val="00784F43"/>
    <w:rsid w:val="007A235B"/>
    <w:rsid w:val="007B6317"/>
    <w:rsid w:val="007C2DF1"/>
    <w:rsid w:val="007D14AD"/>
    <w:rsid w:val="00804899"/>
    <w:rsid w:val="00807A5A"/>
    <w:rsid w:val="008101B8"/>
    <w:rsid w:val="00822652"/>
    <w:rsid w:val="0082509E"/>
    <w:rsid w:val="00834CBD"/>
    <w:rsid w:val="008511B2"/>
    <w:rsid w:val="008A53E0"/>
    <w:rsid w:val="008B2E8E"/>
    <w:rsid w:val="008B6397"/>
    <w:rsid w:val="008C4A25"/>
    <w:rsid w:val="008F6A6C"/>
    <w:rsid w:val="009245B4"/>
    <w:rsid w:val="009342F8"/>
    <w:rsid w:val="00945D54"/>
    <w:rsid w:val="0094777A"/>
    <w:rsid w:val="009655E2"/>
    <w:rsid w:val="009674A4"/>
    <w:rsid w:val="009A2284"/>
    <w:rsid w:val="009A6978"/>
    <w:rsid w:val="009E4A0F"/>
    <w:rsid w:val="009E6F25"/>
    <w:rsid w:val="009F0437"/>
    <w:rsid w:val="00A01B87"/>
    <w:rsid w:val="00A177C3"/>
    <w:rsid w:val="00A2444E"/>
    <w:rsid w:val="00A30DDB"/>
    <w:rsid w:val="00A408B0"/>
    <w:rsid w:val="00A46133"/>
    <w:rsid w:val="00A535F4"/>
    <w:rsid w:val="00A55C03"/>
    <w:rsid w:val="00A56E31"/>
    <w:rsid w:val="00A94D46"/>
    <w:rsid w:val="00AA1EF9"/>
    <w:rsid w:val="00AB073E"/>
    <w:rsid w:val="00AC0B5D"/>
    <w:rsid w:val="00AC21B8"/>
    <w:rsid w:val="00AD751E"/>
    <w:rsid w:val="00AE3260"/>
    <w:rsid w:val="00AE7153"/>
    <w:rsid w:val="00B023E3"/>
    <w:rsid w:val="00B10C68"/>
    <w:rsid w:val="00B171E1"/>
    <w:rsid w:val="00B2262A"/>
    <w:rsid w:val="00B27EDB"/>
    <w:rsid w:val="00B31CDB"/>
    <w:rsid w:val="00B354BB"/>
    <w:rsid w:val="00B40273"/>
    <w:rsid w:val="00B459E8"/>
    <w:rsid w:val="00B55862"/>
    <w:rsid w:val="00B7105C"/>
    <w:rsid w:val="00B85688"/>
    <w:rsid w:val="00B948B6"/>
    <w:rsid w:val="00BB7FEA"/>
    <w:rsid w:val="00BC1783"/>
    <w:rsid w:val="00BC32EA"/>
    <w:rsid w:val="00C00B85"/>
    <w:rsid w:val="00C13708"/>
    <w:rsid w:val="00C1377E"/>
    <w:rsid w:val="00C22BFE"/>
    <w:rsid w:val="00C23702"/>
    <w:rsid w:val="00C35A54"/>
    <w:rsid w:val="00C40E16"/>
    <w:rsid w:val="00C441A9"/>
    <w:rsid w:val="00C9731E"/>
    <w:rsid w:val="00CA11A3"/>
    <w:rsid w:val="00CA4FB5"/>
    <w:rsid w:val="00CB3A91"/>
    <w:rsid w:val="00CF3D27"/>
    <w:rsid w:val="00CF6415"/>
    <w:rsid w:val="00CF7A47"/>
    <w:rsid w:val="00D5043A"/>
    <w:rsid w:val="00D6787B"/>
    <w:rsid w:val="00D71EF7"/>
    <w:rsid w:val="00D738CA"/>
    <w:rsid w:val="00D8674F"/>
    <w:rsid w:val="00DA2FC9"/>
    <w:rsid w:val="00DD1DCC"/>
    <w:rsid w:val="00DD4566"/>
    <w:rsid w:val="00DD7DE9"/>
    <w:rsid w:val="00DE6B1D"/>
    <w:rsid w:val="00E03C7E"/>
    <w:rsid w:val="00E06A40"/>
    <w:rsid w:val="00E06F41"/>
    <w:rsid w:val="00E14848"/>
    <w:rsid w:val="00E24CC1"/>
    <w:rsid w:val="00E3202A"/>
    <w:rsid w:val="00E34E3D"/>
    <w:rsid w:val="00E42537"/>
    <w:rsid w:val="00E4440E"/>
    <w:rsid w:val="00E71FF3"/>
    <w:rsid w:val="00EC33FF"/>
    <w:rsid w:val="00EC3DD6"/>
    <w:rsid w:val="00EC6629"/>
    <w:rsid w:val="00ED2806"/>
    <w:rsid w:val="00EE0235"/>
    <w:rsid w:val="00F01A95"/>
    <w:rsid w:val="00F041D7"/>
    <w:rsid w:val="00F077FB"/>
    <w:rsid w:val="00F3355E"/>
    <w:rsid w:val="00F3750D"/>
    <w:rsid w:val="00F37EDC"/>
    <w:rsid w:val="00F57695"/>
    <w:rsid w:val="00F65188"/>
    <w:rsid w:val="00F652E3"/>
    <w:rsid w:val="00F7672C"/>
    <w:rsid w:val="00F93AF9"/>
    <w:rsid w:val="00F97038"/>
    <w:rsid w:val="00FA32C7"/>
    <w:rsid w:val="00FC1B14"/>
    <w:rsid w:val="00FD4CBA"/>
    <w:rsid w:val="00FE0E30"/>
    <w:rsid w:val="00FF2D35"/>
    <w:rsid w:val="00FF337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3FF"/>
    <w:pPr>
      <w:ind w:left="720"/>
      <w:contextualSpacing/>
    </w:pPr>
  </w:style>
  <w:style w:type="paragraph" w:styleId="Textodeglobo">
    <w:name w:val="Balloon Text"/>
    <w:basedOn w:val="Normal"/>
    <w:link w:val="TextodegloboCar"/>
    <w:uiPriority w:val="99"/>
    <w:semiHidden/>
    <w:unhideWhenUsed/>
    <w:rsid w:val="00CA11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1A3"/>
    <w:rPr>
      <w:rFonts w:ascii="Tahoma" w:hAnsi="Tahoma" w:cs="Tahoma"/>
      <w:sz w:val="16"/>
      <w:szCs w:val="16"/>
    </w:rPr>
  </w:style>
  <w:style w:type="paragraph" w:styleId="Encabezado">
    <w:name w:val="header"/>
    <w:basedOn w:val="Normal"/>
    <w:link w:val="EncabezadoCar"/>
    <w:uiPriority w:val="99"/>
    <w:unhideWhenUsed/>
    <w:rsid w:val="00B402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273"/>
  </w:style>
  <w:style w:type="paragraph" w:styleId="Piedepgina">
    <w:name w:val="footer"/>
    <w:basedOn w:val="Normal"/>
    <w:link w:val="PiedepginaCar"/>
    <w:uiPriority w:val="99"/>
    <w:unhideWhenUsed/>
    <w:rsid w:val="00B402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3FF"/>
    <w:pPr>
      <w:ind w:left="720"/>
      <w:contextualSpacing/>
    </w:pPr>
  </w:style>
  <w:style w:type="paragraph" w:styleId="Textodeglobo">
    <w:name w:val="Balloon Text"/>
    <w:basedOn w:val="Normal"/>
    <w:link w:val="TextodegloboCar"/>
    <w:uiPriority w:val="99"/>
    <w:semiHidden/>
    <w:unhideWhenUsed/>
    <w:rsid w:val="00CA11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1A3"/>
    <w:rPr>
      <w:rFonts w:ascii="Tahoma" w:hAnsi="Tahoma" w:cs="Tahoma"/>
      <w:sz w:val="16"/>
      <w:szCs w:val="16"/>
    </w:rPr>
  </w:style>
  <w:style w:type="paragraph" w:styleId="Encabezado">
    <w:name w:val="header"/>
    <w:basedOn w:val="Normal"/>
    <w:link w:val="EncabezadoCar"/>
    <w:uiPriority w:val="99"/>
    <w:unhideWhenUsed/>
    <w:rsid w:val="00B402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273"/>
  </w:style>
  <w:style w:type="paragraph" w:styleId="Piedepgina">
    <w:name w:val="footer"/>
    <w:basedOn w:val="Normal"/>
    <w:link w:val="PiedepginaCar"/>
    <w:uiPriority w:val="99"/>
    <w:unhideWhenUsed/>
    <w:rsid w:val="00B402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61850">
      <w:bodyDiv w:val="1"/>
      <w:marLeft w:val="0"/>
      <w:marRight w:val="0"/>
      <w:marTop w:val="0"/>
      <w:marBottom w:val="0"/>
      <w:divBdr>
        <w:top w:val="none" w:sz="0" w:space="0" w:color="auto"/>
        <w:left w:val="none" w:sz="0" w:space="0" w:color="auto"/>
        <w:bottom w:val="none" w:sz="0" w:space="0" w:color="auto"/>
        <w:right w:val="none" w:sz="0" w:space="0" w:color="auto"/>
      </w:divBdr>
    </w:div>
    <w:div w:id="21353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E9E4-B0A3-42D3-AD8C-BC43E3A5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2687</Words>
  <Characters>14784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Patricio Jaramillo Arciniegas</dc:creator>
  <cp:lastModifiedBy>William Patricio Jaramillo Arciniegas</cp:lastModifiedBy>
  <cp:revision>8</cp:revision>
  <cp:lastPrinted>2017-01-27T21:22:00Z</cp:lastPrinted>
  <dcterms:created xsi:type="dcterms:W3CDTF">2017-01-12T15:46:00Z</dcterms:created>
  <dcterms:modified xsi:type="dcterms:W3CDTF">2017-01-27T21:23:00Z</dcterms:modified>
</cp:coreProperties>
</file>