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992"/>
        <w:gridCol w:w="1276"/>
        <w:gridCol w:w="1276"/>
        <w:gridCol w:w="1813"/>
        <w:gridCol w:w="1620"/>
        <w:gridCol w:w="465"/>
        <w:gridCol w:w="53"/>
        <w:gridCol w:w="894"/>
        <w:gridCol w:w="899"/>
        <w:gridCol w:w="389"/>
      </w:tblGrid>
      <w:tr w:rsidR="00154F2B" w:rsidRPr="001E0AB4" w:rsidTr="00B97144">
        <w:trPr>
          <w:trHeight w:val="225"/>
        </w:trPr>
        <w:tc>
          <w:tcPr>
            <w:tcW w:w="360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10771" w:type="dxa"/>
            <w:gridSpan w:val="10"/>
            <w:shd w:val="clear" w:color="000000" w:fill="FFFFFF"/>
            <w:noWrap/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389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1E0AB4" w:rsidTr="00B97144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 w:val="restart"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9" w:type="dxa"/>
            <w:shd w:val="clear" w:color="000000" w:fill="FFFFFF"/>
            <w:vAlign w:val="center"/>
          </w:tcPr>
          <w:p w:rsidR="009617FE" w:rsidRPr="001E0AB4" w:rsidRDefault="00056895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60288" behindDoc="0" locked="0" layoutInCell="1" allowOverlap="1" wp14:anchorId="6C6DEFD8" wp14:editId="50971F50">
                  <wp:simplePos x="0" y="0"/>
                  <wp:positionH relativeFrom="column">
                    <wp:posOffset>-655320</wp:posOffset>
                  </wp:positionH>
                  <wp:positionV relativeFrom="paragraph">
                    <wp:posOffset>-78740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" w:type="dxa"/>
            <w:vMerge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1E0AB4" w:rsidTr="00B97144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78" w:type="dxa"/>
            <w:gridSpan w:val="8"/>
            <w:vMerge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9" w:type="dxa"/>
            <w:shd w:val="clear" w:color="000000" w:fill="FFFFFF"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shd w:val="clear" w:color="000000" w:fill="FFFFFF"/>
            <w:noWrap/>
            <w:vAlign w:val="center"/>
          </w:tcPr>
          <w:p w:rsidR="009617FE" w:rsidRPr="001E0AB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1E0AB4" w:rsidTr="00B97144">
        <w:trPr>
          <w:trHeight w:val="225"/>
        </w:trPr>
        <w:tc>
          <w:tcPr>
            <w:tcW w:w="360" w:type="dxa"/>
            <w:vMerge/>
            <w:shd w:val="clear" w:color="000000" w:fill="FFFFFF"/>
            <w:noWrap/>
            <w:vAlign w:val="center"/>
          </w:tcPr>
          <w:p w:rsidR="00611782" w:rsidRPr="001E0AB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shd w:val="clear" w:color="000000" w:fill="FFFFFF"/>
            <w:noWrap/>
            <w:vAlign w:val="center"/>
          </w:tcPr>
          <w:p w:rsidR="00611782" w:rsidRPr="001E0AB4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shd w:val="clear" w:color="000000" w:fill="FFFFFF"/>
            <w:noWrap/>
            <w:vAlign w:val="center"/>
          </w:tcPr>
          <w:p w:rsidR="00611782" w:rsidRPr="001E0AB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1E0AB4" w:rsidTr="00B97144">
        <w:trPr>
          <w:trHeight w:val="269"/>
        </w:trPr>
        <w:tc>
          <w:tcPr>
            <w:tcW w:w="360" w:type="dxa"/>
            <w:vMerge/>
            <w:shd w:val="clear" w:color="auto" w:fill="365F91"/>
            <w:vAlign w:val="center"/>
            <w:hideMark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 w:val="restart"/>
            <w:shd w:val="clear" w:color="auto" w:fill="244061"/>
            <w:noWrap/>
            <w:vAlign w:val="center"/>
            <w:hideMark/>
          </w:tcPr>
          <w:p w:rsidR="00F41668" w:rsidRPr="001E0AB4" w:rsidRDefault="00056895" w:rsidP="00A4168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    </w:t>
            </w:r>
            <w:r w:rsidR="00177A3C" w:rsidRPr="001E0AB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4E7012" w:rsidRPr="001E0AB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8</w:t>
            </w:r>
          </w:p>
        </w:tc>
        <w:tc>
          <w:tcPr>
            <w:tcW w:w="1846" w:type="dxa"/>
            <w:gridSpan w:val="3"/>
            <w:vMerge w:val="restart"/>
            <w:shd w:val="clear" w:color="auto" w:fill="244061"/>
            <w:vAlign w:val="center"/>
          </w:tcPr>
          <w:p w:rsidR="00F41668" w:rsidRPr="001E0AB4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389" w:type="dxa"/>
            <w:vMerge/>
            <w:shd w:val="clear" w:color="auto" w:fill="365F91"/>
            <w:vAlign w:val="center"/>
            <w:hideMark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1E0AB4" w:rsidTr="00B97144">
        <w:trPr>
          <w:trHeight w:val="269"/>
        </w:trPr>
        <w:tc>
          <w:tcPr>
            <w:tcW w:w="360" w:type="dxa"/>
            <w:vMerge/>
            <w:vAlign w:val="center"/>
            <w:hideMark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25" w:type="dxa"/>
            <w:gridSpan w:val="7"/>
            <w:vMerge/>
            <w:shd w:val="clear" w:color="auto" w:fill="244061"/>
            <w:vAlign w:val="center"/>
            <w:hideMark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1846" w:type="dxa"/>
            <w:gridSpan w:val="3"/>
            <w:vMerge/>
            <w:shd w:val="clear" w:color="auto" w:fill="244061"/>
            <w:vAlign w:val="center"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F41668" w:rsidRPr="001E0AB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1E0AB4" w:rsidTr="00B97144">
        <w:trPr>
          <w:trHeight w:val="234"/>
        </w:trPr>
        <w:tc>
          <w:tcPr>
            <w:tcW w:w="360" w:type="dxa"/>
            <w:vMerge/>
            <w:vAlign w:val="center"/>
            <w:hideMark/>
          </w:tcPr>
          <w:p w:rsidR="004B2C6F" w:rsidRPr="001E0AB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1E0AB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4B2C6F" w:rsidRPr="001E0AB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1E0AB4" w:rsidTr="000D0431">
        <w:trPr>
          <w:trHeight w:val="34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723FF" w:rsidRPr="001E0AB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1E0AB4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B4" w:rsidRPr="001E0AB4" w:rsidRDefault="003869DC" w:rsidP="001E0AB4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 xml:space="preserve">SOTERRAMIENTO DE LA LÍNEA </w:t>
            </w:r>
            <w:r w:rsidR="001E0AB4" w:rsidRPr="001E0AB4">
              <w:rPr>
                <w:rFonts w:asciiTheme="minorHAnsi" w:hAnsiTheme="minorHAnsi" w:cs="Arial"/>
                <w:lang w:val="es-ES"/>
              </w:rPr>
              <w:t>Q</w:t>
            </w:r>
            <w:r w:rsidRPr="001E0AB4">
              <w:rPr>
                <w:rFonts w:asciiTheme="minorHAnsi" w:hAnsiTheme="minorHAnsi" w:cs="Arial"/>
                <w:lang w:val="es-ES"/>
              </w:rPr>
              <w:t xml:space="preserve">UITO CABLES </w:t>
            </w:r>
            <w:r w:rsidR="001E0AB4" w:rsidRPr="001E0AB4">
              <w:rPr>
                <w:rFonts w:asciiTheme="minorHAnsi" w:hAnsiTheme="minorHAnsi" w:cs="Arial"/>
                <w:lang w:val="es-ES"/>
              </w:rPr>
              <w:t>(LINEA NORTE)</w:t>
            </w:r>
          </w:p>
          <w:p w:rsidR="00C723FF" w:rsidRPr="001E0AB4" w:rsidRDefault="00C723FF" w:rsidP="001E0AB4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</w:tcPr>
          <w:p w:rsidR="00C723FF" w:rsidRPr="001E0AB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1E0AB4" w:rsidTr="00B97144">
        <w:trPr>
          <w:trHeight w:val="285"/>
        </w:trPr>
        <w:tc>
          <w:tcPr>
            <w:tcW w:w="360" w:type="dxa"/>
            <w:vMerge/>
            <w:vAlign w:val="center"/>
          </w:tcPr>
          <w:p w:rsidR="0000251C" w:rsidRPr="001E0AB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1E0AB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vAlign w:val="center"/>
          </w:tcPr>
          <w:p w:rsidR="0000251C" w:rsidRPr="001E0AB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1E0AB4" w:rsidTr="000D0431">
        <w:trPr>
          <w:trHeight w:val="22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1E0AB4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1E0AB4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</w:t>
            </w:r>
            <w:r w:rsidR="00056895" w:rsidRPr="001E0AB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 xml:space="preserve"> :</w:t>
            </w:r>
          </w:p>
        </w:tc>
        <w:tc>
          <w:tcPr>
            <w:tcW w:w="5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E0AB4" w:rsidRDefault="001C7405" w:rsidP="00056895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 xml:space="preserve">REALIZAR EL </w:t>
            </w:r>
            <w:r w:rsidR="003869DC" w:rsidRPr="001E0AB4">
              <w:rPr>
                <w:rFonts w:asciiTheme="minorHAnsi" w:hAnsiTheme="minorHAnsi" w:cs="Arial"/>
                <w:lang w:val="es-ES"/>
              </w:rPr>
              <w:t>SOTERRAMIENTO DE LÍNEAS DE ALTA TENSIÓN QUE INTERSECAN CON EL PROYECTO QUITOCABLES LÍNEA ROLDÓS – OFELIA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1E0AB4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E0AB4" w:rsidRDefault="003869DC" w:rsidP="00D7084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1</w:t>
            </w:r>
            <w:r w:rsidR="00D70842"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’</w:t>
            </w:r>
            <w:r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010</w:t>
            </w:r>
            <w:r w:rsid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.</w:t>
            </w:r>
            <w:r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610</w:t>
            </w:r>
            <w:r w:rsid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,</w:t>
            </w:r>
            <w:r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27</w:t>
            </w:r>
            <w:r w:rsidR="00943792"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 xml:space="preserve"> </w:t>
            </w:r>
            <w:r w:rsidR="00F97B1F" w:rsidRPr="001E0AB4">
              <w:rPr>
                <w:rFonts w:asciiTheme="minorHAnsi" w:eastAsia="Times New Roman" w:hAnsiTheme="minorHAnsi" w:cs="Calibri"/>
                <w:b/>
                <w:color w:val="000000"/>
                <w:lang w:eastAsia="es-EC"/>
              </w:rPr>
              <w:t>(Con IVA)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1E0AB4" w:rsidRDefault="00A7607B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7607B" w:rsidRPr="001E0AB4" w:rsidTr="000D0431">
        <w:trPr>
          <w:trHeight w:val="19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1E0AB4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1E0AB4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E0AB4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1E0AB4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1E0AB4" w:rsidRDefault="003869D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A CARGO EEQ</w:t>
            </w:r>
          </w:p>
        </w:tc>
        <w:tc>
          <w:tcPr>
            <w:tcW w:w="38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1E0AB4" w:rsidRDefault="00A7607B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1E0AB4" w:rsidTr="00B97144">
        <w:trPr>
          <w:trHeight w:val="225"/>
        </w:trPr>
        <w:tc>
          <w:tcPr>
            <w:tcW w:w="360" w:type="dxa"/>
            <w:vMerge/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1E0AB4" w:rsidTr="00056895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1E0AB4" w:rsidRDefault="005E1416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056895" w:rsidRPr="001E0AB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BÁ</w:t>
            </w:r>
            <w:r w:rsidR="00AB6571" w:rsidRPr="001E0AB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1E0AB4" w:rsidTr="00A51DEC">
        <w:trPr>
          <w:trHeight w:val="27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1E0AB4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UBICACIÓN</w:t>
            </w:r>
            <w:r w:rsidR="00724E32"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E0AB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1E0AB4" w:rsidRDefault="003869DC" w:rsidP="00A5579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EQUINOCCIAL – LA DELICIA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E0AB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1E0AB4" w:rsidRDefault="003869DC" w:rsidP="00943792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EL CONDADO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1E0AB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1E0AB4" w:rsidRDefault="003869D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JUSTICIA SOCIAL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1E0AB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1E0AB4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1.5 </w:t>
            </w:r>
            <w:r w:rsidR="00724E32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DESDE: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1E0AB4" w:rsidRDefault="003869DC" w:rsidP="00DA3D25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ALTURA DE CALLE Oe6</w:t>
            </w:r>
          </w:p>
        </w:tc>
        <w:tc>
          <w:tcPr>
            <w:tcW w:w="389" w:type="dxa"/>
            <w:vMerge w:val="restart"/>
            <w:tcBorders>
              <w:left w:val="single" w:sz="8" w:space="0" w:color="auto"/>
            </w:tcBorders>
            <w:vAlign w:val="center"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1E0AB4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1.6 </w:t>
            </w:r>
            <w:r w:rsidR="00724E32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HASTA: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1E0AB4" w:rsidRDefault="003869DC" w:rsidP="00A55791">
            <w:pPr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  <w:r w:rsidRPr="001E0AB4">
              <w:rPr>
                <w:rFonts w:asciiTheme="minorHAnsi" w:hAnsiTheme="minorHAnsi" w:cs="Arial"/>
                <w:lang w:val="es-ES"/>
              </w:rPr>
              <w:t>ALTURA DE CALLE Oe6B</w:t>
            </w: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E0C14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0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1E0AB4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74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1E0AB4" w:rsidRDefault="0016767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  <w:hideMark/>
          </w:tcPr>
          <w:p w:rsidR="009A5652" w:rsidRPr="001E0AB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1E0AB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E0AB4" w:rsidRDefault="00354650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</w:t>
            </w:r>
            <w:r w:rsidR="008D59B8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PORCENTAJE DE CONSOLIDACIÓN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E0AB4" w:rsidRDefault="004B045C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744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1E0AB4" w:rsidRDefault="00354650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2336" behindDoc="0" locked="0" layoutInCell="1" allowOverlap="1" wp14:anchorId="451AFAA4" wp14:editId="370E4D2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-19050</wp:posOffset>
                  </wp:positionV>
                  <wp:extent cx="3486150" cy="2781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" t="905" r="30226" b="21276"/>
                          <a:stretch/>
                        </pic:blipFill>
                        <pic:spPr bwMode="auto">
                          <a:xfrm>
                            <a:off x="0" y="0"/>
                            <a:ext cx="3486150" cy="27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" w:type="dxa"/>
            <w:tcBorders>
              <w:left w:val="single" w:sz="8" w:space="0" w:color="auto"/>
            </w:tcBorders>
            <w:vAlign w:val="center"/>
            <w:hideMark/>
          </w:tcPr>
          <w:p w:rsidR="008D59B8" w:rsidRPr="001E0AB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1E0AB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1E0AB4" w:rsidRDefault="00354650" w:rsidP="003E67F9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</w:t>
            </w:r>
            <w:r w:rsidR="008D59B8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3E67F9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DENSIDAD POBLACIONAL</w:t>
            </w:r>
            <w:r w:rsidR="008D59B8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674320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(Ha</w:t>
            </w:r>
            <w:r w:rsidR="00CF009A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="00674320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)</w:t>
            </w:r>
            <w:r w:rsidR="008D59B8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1E0AB4" w:rsidRDefault="00674320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51 - 600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1E0AB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1E0AB4" w:rsidRDefault="00354650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</w:t>
            </w:r>
            <w:r w:rsidR="008F327C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AFECTCIONES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DA3D25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354650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es-EC"/>
              </w:rPr>
              <w:t>2.4</w:t>
            </w:r>
            <w:r w:rsidR="008F327C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0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3869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gridAfter w:val="1"/>
          <w:wAfter w:w="389" w:type="dxa"/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674320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25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0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27C" w:rsidRPr="001E0AB4" w:rsidRDefault="003869D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NO APLICA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674320">
        <w:trPr>
          <w:trHeight w:val="227"/>
        </w:trPr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50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i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389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40471" w:rsidRPr="001E0AB4" w:rsidTr="00674320">
        <w:trPr>
          <w:trHeight w:val="2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40471" w:rsidRPr="001E0AB4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71" w:rsidRPr="001E0AB4" w:rsidRDefault="003869DC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</w:t>
            </w:r>
            <w:r w:rsidR="00B40471" w:rsidRPr="001E0AB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(m) 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71" w:rsidRPr="001E0AB4" w:rsidRDefault="001E0AB4" w:rsidP="001E0AB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5744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471" w:rsidRPr="001E0AB4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89" w:type="dxa"/>
            <w:vMerge/>
            <w:tcBorders>
              <w:left w:val="single" w:sz="8" w:space="0" w:color="auto"/>
            </w:tcBorders>
            <w:vAlign w:val="center"/>
          </w:tcPr>
          <w:p w:rsidR="00B40471" w:rsidRPr="001E0AB4" w:rsidRDefault="00B40471" w:rsidP="00B40471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E978D6">
        <w:trPr>
          <w:trHeight w:val="225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8F327C" w:rsidRPr="001E0AB4" w:rsidRDefault="008F327C" w:rsidP="008F327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FFFFFF" w:themeColor="background1"/>
                <w:lang w:eastAsia="es-EC"/>
              </w:rPr>
            </w:pPr>
            <w:r w:rsidRPr="001E0AB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6. DETALLE GENERAL DEL PROYECTO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F327C" w:rsidRPr="001E0AB4" w:rsidTr="00E978D6">
        <w:trPr>
          <w:trHeight w:val="1340"/>
        </w:trPr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05" w:rsidRPr="001E0AB4" w:rsidRDefault="001C7405" w:rsidP="00167672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E0AB4">
              <w:rPr>
                <w:rFonts w:asciiTheme="minorHAnsi" w:hAnsiTheme="minorHAnsi"/>
                <w:sz w:val="21"/>
                <w:szCs w:val="21"/>
              </w:rPr>
              <w:t>Mediante Ordenanza Metropolitana No. 0060, expedida el 07 de mayo de 2015, se establece el marco jurídico metropolitano para la implementación y operación del Subsistema de transporte de pasajeros por teleférico, funicular y otros medios similares, denominado QUITOCABLES, como parte del Sistema Metropolitano de Transporte Público de Pasajeros, su desarrollo urbanístico y su modelo de gestión.</w:t>
            </w:r>
          </w:p>
          <w:p w:rsidR="003869DC" w:rsidRPr="001E0AB4" w:rsidRDefault="00606387" w:rsidP="00167672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E0AB4">
              <w:rPr>
                <w:rFonts w:asciiTheme="minorHAnsi" w:hAnsiTheme="minorHAnsi"/>
                <w:sz w:val="21"/>
                <w:szCs w:val="21"/>
              </w:rPr>
              <w:t>Dentro de este proyecto, la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 línea Roldós – Ofelia del Proyecto contempla una longitud de 3</w:t>
            </w:r>
            <w:r w:rsidR="001E0AB4">
              <w:rPr>
                <w:rFonts w:asciiTheme="minorHAnsi" w:hAnsiTheme="minorHAnsi"/>
                <w:sz w:val="21"/>
                <w:szCs w:val="21"/>
              </w:rPr>
              <w:t>.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705 metros, la misma que cuenta con 4 estaciones de embarque y desembarque y 28 pilonas. En los estudios </w:t>
            </w:r>
            <w:r w:rsidRPr="001E0AB4">
              <w:rPr>
                <w:rFonts w:asciiTheme="minorHAnsi" w:hAnsiTheme="minorHAnsi"/>
                <w:sz w:val="21"/>
                <w:szCs w:val="21"/>
              </w:rPr>
              <w:t>c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omplementarios para el detalle de ingenierías de la línea Roldós-La Ofelia se evidenció la existencia de </w:t>
            </w:r>
            <w:r w:rsidRPr="001E0AB4">
              <w:rPr>
                <w:rFonts w:asciiTheme="minorHAnsi" w:hAnsiTheme="minorHAnsi"/>
                <w:sz w:val="21"/>
                <w:szCs w:val="21"/>
              </w:rPr>
              <w:t>l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a línea de transmisión </w:t>
            </w:r>
            <w:r w:rsidRPr="001E0AB4">
              <w:rPr>
                <w:rFonts w:asciiTheme="minorHAnsi" w:hAnsiTheme="minorHAnsi"/>
                <w:sz w:val="21"/>
                <w:szCs w:val="21"/>
              </w:rPr>
              <w:t xml:space="preserve">Cotocollao – Pomasqui – Selva Alegre 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>de 138KV</w:t>
            </w:r>
            <w:r w:rsidRPr="001E0AB4">
              <w:rPr>
                <w:rFonts w:asciiTheme="minorHAnsi" w:hAnsiTheme="minorHAnsi"/>
                <w:sz w:val="21"/>
                <w:szCs w:val="21"/>
              </w:rPr>
              <w:t xml:space="preserve"> (entre las estructuras E30 y E31),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 que interseca de manera frontal con el trazado de la vía del teleférico, entre las pilonas 14 y 15.</w:t>
            </w:r>
          </w:p>
          <w:p w:rsidR="001E0AB4" w:rsidRPr="001E0AB4" w:rsidRDefault="00606387" w:rsidP="00CC2584">
            <w:pPr>
              <w:jc w:val="both"/>
              <w:rPr>
                <w:rFonts w:asciiTheme="minorHAnsi" w:hAnsiTheme="minorHAnsi"/>
              </w:rPr>
            </w:pPr>
            <w:r w:rsidRPr="001E0AB4">
              <w:rPr>
                <w:rFonts w:asciiTheme="minorHAnsi" w:hAnsiTheme="minorHAnsi"/>
                <w:sz w:val="21"/>
                <w:szCs w:val="21"/>
              </w:rPr>
              <w:t>Con esta premisa; y, luego de mantener reuniones de trabajo con la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 xml:space="preserve"> EEQ, </w:t>
            </w:r>
            <w:r w:rsidRPr="001E0AB4">
              <w:rPr>
                <w:rFonts w:asciiTheme="minorHAnsi" w:hAnsiTheme="minorHAnsi"/>
                <w:sz w:val="21"/>
                <w:szCs w:val="21"/>
              </w:rPr>
              <w:t xml:space="preserve">se </w:t>
            </w:r>
            <w:r w:rsidR="003869DC" w:rsidRPr="001E0AB4">
              <w:rPr>
                <w:rFonts w:asciiTheme="minorHAnsi" w:hAnsiTheme="minorHAnsi"/>
                <w:sz w:val="21"/>
                <w:szCs w:val="21"/>
              </w:rPr>
              <w:t>presenta como opción realizar el soterramiento de la línea de transmisión de 138KV en un tramo de 300 metros entre las estructuras E30-E31, para lo cual se suscribirá un convenio interinstitucional (EPMMOP-EEQ) para la ejecución de estos trabajos, previo el tendido del cable del subsistema de transporte por cable.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8F327C" w:rsidRPr="001E0AB4" w:rsidRDefault="008F327C" w:rsidP="008F327C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1E0AB4" w:rsidRDefault="005B4E26">
      <w:pPr>
        <w:rPr>
          <w:rFonts w:asciiTheme="minorHAnsi" w:hAnsiTheme="minorHAnsi"/>
        </w:rPr>
      </w:pPr>
      <w:bookmarkStart w:id="0" w:name="_GoBack"/>
      <w:bookmarkEnd w:id="0"/>
    </w:p>
    <w:sectPr w:rsidR="005B4E26" w:rsidRPr="001E0AB4" w:rsidSect="00CC2584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5C" w:rsidRDefault="0008705C" w:rsidP="00120A13">
      <w:pPr>
        <w:spacing w:after="0" w:line="240" w:lineRule="auto"/>
      </w:pPr>
      <w:r>
        <w:separator/>
      </w:r>
    </w:p>
  </w:endnote>
  <w:endnote w:type="continuationSeparator" w:id="0">
    <w:p w:rsidR="0008705C" w:rsidRDefault="0008705C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5C" w:rsidRDefault="0008705C" w:rsidP="00120A13">
      <w:pPr>
        <w:spacing w:after="0" w:line="240" w:lineRule="auto"/>
      </w:pPr>
      <w:r>
        <w:separator/>
      </w:r>
    </w:p>
  </w:footnote>
  <w:footnote w:type="continuationSeparator" w:id="0">
    <w:p w:rsidR="0008705C" w:rsidRDefault="0008705C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343F3"/>
    <w:rsid w:val="0005334D"/>
    <w:rsid w:val="00056895"/>
    <w:rsid w:val="00084143"/>
    <w:rsid w:val="0008705C"/>
    <w:rsid w:val="00093CDD"/>
    <w:rsid w:val="000949C0"/>
    <w:rsid w:val="000B2748"/>
    <w:rsid w:val="000D0431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67672"/>
    <w:rsid w:val="00177A3C"/>
    <w:rsid w:val="00181F6C"/>
    <w:rsid w:val="00186AC6"/>
    <w:rsid w:val="001A728E"/>
    <w:rsid w:val="001B1EBE"/>
    <w:rsid w:val="001B5B10"/>
    <w:rsid w:val="001C7405"/>
    <w:rsid w:val="001E0AB4"/>
    <w:rsid w:val="002229C9"/>
    <w:rsid w:val="002675B5"/>
    <w:rsid w:val="002979A1"/>
    <w:rsid w:val="002A1FDF"/>
    <w:rsid w:val="002A5077"/>
    <w:rsid w:val="002E0C14"/>
    <w:rsid w:val="002F303B"/>
    <w:rsid w:val="002F6D14"/>
    <w:rsid w:val="003051F2"/>
    <w:rsid w:val="00311FC3"/>
    <w:rsid w:val="00354650"/>
    <w:rsid w:val="00363DF6"/>
    <w:rsid w:val="00371819"/>
    <w:rsid w:val="00371D90"/>
    <w:rsid w:val="00374643"/>
    <w:rsid w:val="003869DC"/>
    <w:rsid w:val="00390C3B"/>
    <w:rsid w:val="003E67F9"/>
    <w:rsid w:val="00425267"/>
    <w:rsid w:val="00483912"/>
    <w:rsid w:val="00494D66"/>
    <w:rsid w:val="004B045C"/>
    <w:rsid w:val="004B2C6F"/>
    <w:rsid w:val="004E4CF4"/>
    <w:rsid w:val="004E7012"/>
    <w:rsid w:val="0050668C"/>
    <w:rsid w:val="005207A8"/>
    <w:rsid w:val="005361B1"/>
    <w:rsid w:val="005563FB"/>
    <w:rsid w:val="005872D0"/>
    <w:rsid w:val="005B4E26"/>
    <w:rsid w:val="005E1416"/>
    <w:rsid w:val="00606387"/>
    <w:rsid w:val="00611782"/>
    <w:rsid w:val="00643C27"/>
    <w:rsid w:val="00647C0B"/>
    <w:rsid w:val="006675F9"/>
    <w:rsid w:val="00674320"/>
    <w:rsid w:val="0068230C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7F1071"/>
    <w:rsid w:val="008153C9"/>
    <w:rsid w:val="00820D5E"/>
    <w:rsid w:val="00824840"/>
    <w:rsid w:val="008417AB"/>
    <w:rsid w:val="008542B9"/>
    <w:rsid w:val="00856FFE"/>
    <w:rsid w:val="00863FAD"/>
    <w:rsid w:val="008656AA"/>
    <w:rsid w:val="008D1372"/>
    <w:rsid w:val="008D59B8"/>
    <w:rsid w:val="008E12D3"/>
    <w:rsid w:val="008E36FD"/>
    <w:rsid w:val="008F327C"/>
    <w:rsid w:val="008F7856"/>
    <w:rsid w:val="00910739"/>
    <w:rsid w:val="009156A1"/>
    <w:rsid w:val="00923B98"/>
    <w:rsid w:val="00937210"/>
    <w:rsid w:val="009379BB"/>
    <w:rsid w:val="00943792"/>
    <w:rsid w:val="00950007"/>
    <w:rsid w:val="009617FE"/>
    <w:rsid w:val="009658A6"/>
    <w:rsid w:val="009A357C"/>
    <w:rsid w:val="009A5652"/>
    <w:rsid w:val="009D58CA"/>
    <w:rsid w:val="00A06097"/>
    <w:rsid w:val="00A13E86"/>
    <w:rsid w:val="00A15F38"/>
    <w:rsid w:val="00A24E04"/>
    <w:rsid w:val="00A41683"/>
    <w:rsid w:val="00A50797"/>
    <w:rsid w:val="00A51DEC"/>
    <w:rsid w:val="00A55149"/>
    <w:rsid w:val="00A55791"/>
    <w:rsid w:val="00A65D0F"/>
    <w:rsid w:val="00A70909"/>
    <w:rsid w:val="00A7607B"/>
    <w:rsid w:val="00AB2B90"/>
    <w:rsid w:val="00AB6571"/>
    <w:rsid w:val="00AD725B"/>
    <w:rsid w:val="00AE64D6"/>
    <w:rsid w:val="00AF6DEC"/>
    <w:rsid w:val="00B0050E"/>
    <w:rsid w:val="00B03611"/>
    <w:rsid w:val="00B31B9B"/>
    <w:rsid w:val="00B40471"/>
    <w:rsid w:val="00B409A7"/>
    <w:rsid w:val="00B731F2"/>
    <w:rsid w:val="00B97144"/>
    <w:rsid w:val="00BE3077"/>
    <w:rsid w:val="00C05070"/>
    <w:rsid w:val="00C062BB"/>
    <w:rsid w:val="00C1157F"/>
    <w:rsid w:val="00C35265"/>
    <w:rsid w:val="00C35717"/>
    <w:rsid w:val="00C439E8"/>
    <w:rsid w:val="00C6399B"/>
    <w:rsid w:val="00C723FF"/>
    <w:rsid w:val="00C80120"/>
    <w:rsid w:val="00CA435E"/>
    <w:rsid w:val="00CC2584"/>
    <w:rsid w:val="00CD7890"/>
    <w:rsid w:val="00CE66AB"/>
    <w:rsid w:val="00CE7006"/>
    <w:rsid w:val="00CF009A"/>
    <w:rsid w:val="00D70842"/>
    <w:rsid w:val="00DA3D25"/>
    <w:rsid w:val="00DD6967"/>
    <w:rsid w:val="00DD6A7F"/>
    <w:rsid w:val="00E0349F"/>
    <w:rsid w:val="00E06164"/>
    <w:rsid w:val="00E0744C"/>
    <w:rsid w:val="00E16F4B"/>
    <w:rsid w:val="00E508F6"/>
    <w:rsid w:val="00E60239"/>
    <w:rsid w:val="00E9392A"/>
    <w:rsid w:val="00E978D6"/>
    <w:rsid w:val="00EA344A"/>
    <w:rsid w:val="00ED3ED1"/>
    <w:rsid w:val="00F05735"/>
    <w:rsid w:val="00F118F3"/>
    <w:rsid w:val="00F23B0D"/>
    <w:rsid w:val="00F41668"/>
    <w:rsid w:val="00F47533"/>
    <w:rsid w:val="00F62363"/>
    <w:rsid w:val="00F6441A"/>
    <w:rsid w:val="00F97B1F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F43A-D038-4137-BEF9-592578C0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24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22</cp:revision>
  <cp:lastPrinted>2015-11-05T16:28:00Z</cp:lastPrinted>
  <dcterms:created xsi:type="dcterms:W3CDTF">2017-07-27T16:36:00Z</dcterms:created>
  <dcterms:modified xsi:type="dcterms:W3CDTF">2017-07-28T17:40:00Z</dcterms:modified>
</cp:coreProperties>
</file>