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1469"/>
        <w:gridCol w:w="1620"/>
        <w:gridCol w:w="1620"/>
        <w:gridCol w:w="465"/>
        <w:gridCol w:w="53"/>
        <w:gridCol w:w="894"/>
        <w:gridCol w:w="1108"/>
        <w:gridCol w:w="455"/>
        <w:gridCol w:w="33"/>
      </w:tblGrid>
      <w:tr w:rsidR="00154F2B" w:rsidRPr="00A849B6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A849B6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A849B6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A849B6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A849B6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A849B6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A849B6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A849B6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A849B6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A849B6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A849B6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A849B6" w:rsidRDefault="00AB2E39" w:rsidP="00EF6A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</w:t>
            </w:r>
            <w:r w:rsidR="00177A3C" w:rsidRPr="00A849B6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1</w:t>
            </w:r>
            <w:r w:rsidR="00EF6A86" w:rsidRPr="00A849B6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5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A849B6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A849B6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A849B6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A849B6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A849B6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A849B6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A849B6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A849B6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A849B6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A849B6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A849B6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A849B6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A849B6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A849B6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A849B6" w:rsidRDefault="00EA1683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A849B6">
              <w:rPr>
                <w:rFonts w:asciiTheme="minorHAnsi" w:hAnsiTheme="minorHAnsi" w:cs="Arial"/>
                <w:lang w:val="es-ES"/>
              </w:rPr>
              <w:t>IMPLEMENTACIÓN DE INFRAESTRUCTURA CICLÍSTICA SUR FASE 1</w:t>
            </w:r>
            <w:r w:rsidR="00724E32" w:rsidRPr="00A849B6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A849B6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A849B6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A849B6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A849B6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A849B6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A849B6" w:rsidTr="00AB2E39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A849B6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A849B6" w:rsidRDefault="00AB2E39" w:rsidP="00D80750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 :</w:t>
            </w:r>
          </w:p>
        </w:tc>
        <w:tc>
          <w:tcPr>
            <w:tcW w:w="5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A849B6" w:rsidRDefault="00335501" w:rsidP="00C43D0D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IMPLEMENTAR DIEZ CORREDORES VIALES CON CICLOVÍAS</w:t>
            </w:r>
            <w:r w:rsidR="00C43D0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EN EL CENTRO – SUR DE LA CIUDAD DE QUITO COMO PARTE DE LA INFRAESTRUCTURA CICLÍSTICA QUE SE ESTÁ CONSOLIDANDO EN EL DMQ Y QUE BRINDA UNA ALTERNATIVA DE MOVILIZACIÓN A LA CIUDADANÍA.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A849B6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A849B6" w:rsidRDefault="00420EB6" w:rsidP="00420EB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</w:pPr>
            <w:r w:rsidRPr="00600D4F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1’</w:t>
            </w:r>
            <w:r w:rsidR="00335501" w:rsidRPr="00600D4F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400</w:t>
            </w:r>
            <w:r w:rsidR="00DB2D8C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.</w:t>
            </w:r>
            <w:r w:rsidR="00335501" w:rsidRPr="00600D4F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000</w:t>
            </w:r>
            <w:r w:rsidR="00DB2D8C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,</w:t>
            </w:r>
            <w:r w:rsidR="00335501" w:rsidRPr="00600D4F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>00</w:t>
            </w:r>
            <w:r w:rsidR="00600D4F" w:rsidRPr="00600D4F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6"/>
                <w:lang w:eastAsia="es-EC"/>
              </w:rPr>
              <w:t xml:space="preserve"> (Con IVA)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A849B6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A849B6" w:rsidTr="00AB2E39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A849B6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A849B6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A849B6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A849B6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A849B6" w:rsidRDefault="00DB2D8C" w:rsidP="0033550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hAnsiTheme="minorHAnsi" w:cs="Arial"/>
                <w:lang w:val="es-ES"/>
              </w:rPr>
              <w:t>EJECUTADO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A849B6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A849B6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A849B6" w:rsidTr="00AB2E39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A849B6" w:rsidRDefault="005E1416" w:rsidP="00843E4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A849B6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843E4E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A849B6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A849B6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A849B6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UBICACIÓN</w:t>
            </w:r>
            <w:r w:rsidR="00724E32"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A849B6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A849B6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A849B6" w:rsidRDefault="00335501" w:rsidP="00B95D2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hAnsiTheme="minorHAnsi" w:cs="Arial"/>
                <w:lang w:val="es-ES"/>
              </w:rPr>
              <w:t>CENTRO – MANUELA SAEZ / SUR – ELOY ALFARO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A849B6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A849B6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A849B6" w:rsidRDefault="00BC14F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hAnsiTheme="minorHAnsi" w:cs="Arial"/>
                <w:lang w:val="es-ES"/>
              </w:rPr>
              <w:t>CENTRO HISTÓRICO / LA MAGDALENA / SAN BARTOLO / SOLANDA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A849B6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A849B6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A849B6" w:rsidRDefault="0033550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hAnsiTheme="minorHAnsi" w:cs="Arial"/>
                <w:lang w:val="es-ES"/>
              </w:rPr>
              <w:t>32 BARRIOS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A849B6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A849B6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A849B6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A849B6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A849B6" w:rsidRDefault="00BC14FB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A849B6">
              <w:rPr>
                <w:rFonts w:asciiTheme="minorHAnsi" w:hAnsiTheme="minorHAnsi" w:cs="Arial"/>
                <w:lang w:val="es-ES"/>
              </w:rPr>
              <w:t xml:space="preserve">CENTRO HISTÓRICO </w:t>
            </w: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A849B6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A849B6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A849B6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A849B6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A849B6" w:rsidRDefault="00BC14FB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A849B6">
              <w:rPr>
                <w:rFonts w:asciiTheme="minorHAnsi" w:hAnsiTheme="minorHAnsi" w:cs="Arial"/>
                <w:lang w:val="es-ES"/>
              </w:rPr>
              <w:t>SOLANDA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A849B6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A849B6" w:rsidTr="00EF6A86">
        <w:trPr>
          <w:trHeight w:val="358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A849B6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A849B6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A849B6" w:rsidRDefault="00492D93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A849B6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DA120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F040CF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5080</wp:posOffset>
                  </wp:positionV>
                  <wp:extent cx="3449955" cy="32004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" t="1025" r="29416" b="7713"/>
                          <a:stretch/>
                        </pic:blipFill>
                        <pic:spPr bwMode="auto">
                          <a:xfrm>
                            <a:off x="0" y="0"/>
                            <a:ext cx="3449955" cy="320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A849B6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30E5F" w:rsidRPr="00A849B6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A849B6" w:rsidRDefault="00630E5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A849B6" w:rsidRDefault="00630E5F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2.3 DENSIDAD POBLACIONAL (Ha</w:t>
            </w:r>
            <w:r w:rsidR="00DB2D8C">
              <w:rPr>
                <w:rFonts w:asciiTheme="minorHAnsi" w:eastAsia="Times New Roman" w:hAnsiTheme="minorHAnsi" w:cs="Calibri"/>
                <w:color w:val="000000"/>
                <w:lang w:eastAsia="es-EC"/>
              </w:rPr>
              <w:t>b/ha</w:t>
            </w: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):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A849B6" w:rsidRDefault="00DA120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601 - 820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A849B6" w:rsidRDefault="00630E5F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630E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630E5F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</w:t>
            </w:r>
            <w:r w:rsidR="00630E5F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EXISTE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630E5F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2.5</w:t>
            </w:r>
            <w:r w:rsidR="008D59B8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A86" w:rsidRPr="00A849B6" w:rsidRDefault="00EF6A86" w:rsidP="00EF6A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EF6A8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EF6A8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A849B6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DA120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EF6A8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A849B6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EF6A8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A849B6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EF6A8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A849B6" w:rsidRDefault="008D59B8" w:rsidP="00DD696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D59B8" w:rsidRPr="00A849B6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16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A849B6" w:rsidRDefault="00335501" w:rsidP="0033550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5.1 LONGITUD</w:t>
            </w:r>
            <w:r w:rsidR="008D59B8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</w:t>
            </w:r>
            <w:r w:rsidR="00171CDD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K</w:t>
            </w:r>
            <w:r w:rsidR="008D59B8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m)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DB2D8C" w:rsidP="00171CD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hAnsiTheme="minorHAnsi"/>
              </w:rPr>
              <w:t>38,</w:t>
            </w:r>
            <w:r w:rsidR="00171CDD" w:rsidRPr="00A849B6">
              <w:rPr>
                <w:rFonts w:asciiTheme="minorHAnsi" w:hAnsiTheme="minorHAnsi"/>
              </w:rPr>
              <w:t>8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33550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A849B6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5.3 CAPA DE RODADURA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A849B6" w:rsidRDefault="00171CDD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ASFALTO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A849B6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A849B6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A849B6" w:rsidTr="0076545D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A849B6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A849B6" w:rsidRDefault="00DD6967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</w:t>
            </w:r>
            <w:r w:rsidR="002229C9" w:rsidRPr="00A849B6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A849B6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A849B6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7A6857" w:rsidRPr="00A849B6" w:rsidTr="0076545D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A6857" w:rsidRPr="00A849B6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A86" w:rsidRPr="00A849B6" w:rsidRDefault="00A849B6" w:rsidP="00EF6A8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1D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La red de ciclovías de la ciudad de Quito se conceptualiza como un sistema inclusivo, que parte de un modelo en que el peatón es el actor más importante del sistema y los ciclistas se encuentran segundos en el mismo, por lo que tiende a un modelo compartido entre bicicletas y autos, que no genere nuevas barreras urbanas para los usuarios con capacidades de movilidad reducida. Es por esta razón que se ha visto la necesidad de implementar</w:t>
            </w:r>
            <w:r w:rsidR="005315E1" w:rsidRPr="00231D3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como primera fase,</w:t>
            </w:r>
            <w:r w:rsidRPr="00231D3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corredores de ciclovías en el sector centro-su</w:t>
            </w:r>
            <w:r w:rsidR="005315E1" w:rsidRPr="00231D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r de la ciudad.</w:t>
            </w:r>
          </w:p>
          <w:p w:rsidR="0076545D" w:rsidRPr="00231D31" w:rsidRDefault="0076545D" w:rsidP="00EF6A8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D347B2" w:rsidRDefault="0076545D" w:rsidP="00EF6A8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>Para esta etapa s</w:t>
            </w:r>
            <w:r w:rsidR="00A849B6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e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considera implementar</w:t>
            </w:r>
            <w:r w:rsidR="00A849B6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10 corredores viales con ciclovías, con una longitud de </w:t>
            </w:r>
            <w:r w:rsidR="00EF6A86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>38.8</w:t>
            </w:r>
            <w:r w:rsidR="00171CDD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EF6A86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>km</w:t>
            </w:r>
            <w:r w:rsidR="005315E1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>;</w:t>
            </w:r>
            <w:r w:rsidR="00A849B6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y</w:t>
            </w:r>
            <w:r w:rsidR="005315E1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>,</w:t>
            </w:r>
            <w:r w:rsidR="00EF6A86" w:rsidRPr="0076545D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comprende las parroquias Centro Histórico,</w:t>
            </w:r>
            <w:r w:rsidR="00EF6A86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La Magdalena, San Bartolo y Solan</w:t>
            </w:r>
            <w:r w:rsid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d</w:t>
            </w:r>
            <w:r w:rsidR="00EF6A86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a. La implementación incluye: obra civil de ampliación de aceras, construcción de bordillos, ductos de acera, basamento de báculo, vehicular y peatonal, señalización horizontal y vertical, semaforización y provisión e instalación de cicloparqueos. </w:t>
            </w:r>
          </w:p>
          <w:p w:rsidR="0076545D" w:rsidRDefault="0076545D" w:rsidP="00EF6A8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EF6A86" w:rsidRPr="00A849B6" w:rsidRDefault="00EF6A86" w:rsidP="00EF6A8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De acuerdo con la categoría de la vía y su tipología, </w:t>
            </w:r>
            <w:r w:rsidR="00D347B2">
              <w:rPr>
                <w:rFonts w:asciiTheme="minorHAnsi" w:eastAsia="Times New Roman" w:hAnsiTheme="minorHAnsi" w:cs="Calibri"/>
                <w:color w:val="000000"/>
                <w:lang w:eastAsia="es-EC"/>
              </w:rPr>
              <w:t>se consideraron las siguientes opciones para</w:t>
            </w:r>
            <w:r w:rsidR="00D347B2" w:rsidRPr="00D347B2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D347B2">
              <w:rPr>
                <w:rFonts w:asciiTheme="minorHAnsi" w:eastAsia="Times New Roman" w:hAnsiTheme="minorHAnsi" w:cs="Calibri"/>
                <w:color w:val="000000"/>
                <w:lang w:eastAsia="es-EC"/>
              </w:rPr>
              <w:t>fijar</w:t>
            </w:r>
            <w:r w:rsidR="00D347B2"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D347B2">
              <w:rPr>
                <w:rFonts w:asciiTheme="minorHAnsi" w:eastAsia="Times New Roman" w:hAnsiTheme="minorHAnsi" w:cs="Calibri"/>
                <w:color w:val="000000"/>
                <w:lang w:eastAsia="es-EC"/>
              </w:rPr>
              <w:t>las redes de ciclovías</w:t>
            </w:r>
            <w:r w:rsidRPr="00A849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: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Calle Ambato, Cinco de junio, Epiclachima, Iturralde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lastRenderedPageBreak/>
              <w:t>Av. Alonso de Angulo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Av. Tnte Hugo Ortiz – Av. Cardenal De La Torre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Calle Teodoro Gómez De La Torre, Pinllopata, Manglaralto, Pusir.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Av. Rodrigo de Chávez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Calle Lauro Guerrero - Cori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Av. Ajaví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Núñez De Balboa, A. de Mendoza, Francisco Mendoza, Pedro Dorado.</w:t>
            </w:r>
          </w:p>
          <w:p w:rsidR="00EF6A86" w:rsidRPr="00ED02C3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León de la Cueva, Hurtado De Mendoza – Francisco Pérez – Alonso de la Fuente</w:t>
            </w:r>
          </w:p>
          <w:p w:rsidR="00EF6A86" w:rsidRDefault="00EF6A86" w:rsidP="00ED02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99" w:hanging="284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D02C3">
              <w:rPr>
                <w:rFonts w:asciiTheme="minorHAnsi" w:eastAsia="Times New Roman" w:hAnsiTheme="minorHAnsi" w:cs="Calibri"/>
                <w:color w:val="000000"/>
                <w:lang w:eastAsia="es-EC"/>
              </w:rPr>
              <w:t>Av. Collahuazo, Huaynapalcón, Gral. Quisquis.</w:t>
            </w:r>
          </w:p>
          <w:p w:rsidR="00231D31" w:rsidRDefault="00231D31" w:rsidP="00231D31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231D31" w:rsidRPr="00231D31" w:rsidRDefault="00231D31" w:rsidP="00231D31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231D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La implementación de cada uno de los componentes de la red requerirá el trabajo en colaboración con la Dirección de Movilidad no Motorizada de la Secretaría de Movilidad.</w:t>
            </w:r>
          </w:p>
          <w:p w:rsidR="007A6857" w:rsidRPr="00A849B6" w:rsidRDefault="007A6857" w:rsidP="00EF6A8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7A6857" w:rsidRPr="00A849B6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A849B6" w:rsidRDefault="005B4E26">
      <w:pPr>
        <w:rPr>
          <w:rFonts w:asciiTheme="minorHAnsi" w:hAnsiTheme="minorHAnsi"/>
        </w:rPr>
      </w:pPr>
    </w:p>
    <w:sectPr w:rsidR="005B4E26" w:rsidRPr="00A849B6" w:rsidSect="00F61C65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3F" w:rsidRDefault="0093433F" w:rsidP="00120A13">
      <w:pPr>
        <w:spacing w:after="0" w:line="240" w:lineRule="auto"/>
      </w:pPr>
      <w:r>
        <w:separator/>
      </w:r>
    </w:p>
  </w:endnote>
  <w:endnote w:type="continuationSeparator" w:id="0">
    <w:p w:rsidR="0093433F" w:rsidRDefault="0093433F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3F" w:rsidRDefault="0093433F" w:rsidP="00120A13">
      <w:pPr>
        <w:spacing w:after="0" w:line="240" w:lineRule="auto"/>
      </w:pPr>
      <w:r>
        <w:separator/>
      </w:r>
    </w:p>
  </w:footnote>
  <w:footnote w:type="continuationSeparator" w:id="0">
    <w:p w:rsidR="0093433F" w:rsidRDefault="0093433F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EE1"/>
    <w:multiLevelType w:val="hybridMultilevel"/>
    <w:tmpl w:val="905244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0AA1"/>
    <w:multiLevelType w:val="hybridMultilevel"/>
    <w:tmpl w:val="6026F55C"/>
    <w:lvl w:ilvl="0" w:tplc="2F369B8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71CDD"/>
    <w:rsid w:val="00177A3C"/>
    <w:rsid w:val="00182F1C"/>
    <w:rsid w:val="00186AC6"/>
    <w:rsid w:val="001A728E"/>
    <w:rsid w:val="001B1EBE"/>
    <w:rsid w:val="001B5B10"/>
    <w:rsid w:val="001F69BF"/>
    <w:rsid w:val="002229C9"/>
    <w:rsid w:val="00231D31"/>
    <w:rsid w:val="002675B5"/>
    <w:rsid w:val="002979A1"/>
    <w:rsid w:val="002A1FDF"/>
    <w:rsid w:val="002A4A0F"/>
    <w:rsid w:val="002A5077"/>
    <w:rsid w:val="002E0C14"/>
    <w:rsid w:val="002F303B"/>
    <w:rsid w:val="002F6D14"/>
    <w:rsid w:val="003051F2"/>
    <w:rsid w:val="00311FC3"/>
    <w:rsid w:val="00335501"/>
    <w:rsid w:val="00363DF6"/>
    <w:rsid w:val="00371819"/>
    <w:rsid w:val="00371D90"/>
    <w:rsid w:val="00374643"/>
    <w:rsid w:val="00390C3B"/>
    <w:rsid w:val="00420EB6"/>
    <w:rsid w:val="00425267"/>
    <w:rsid w:val="00483912"/>
    <w:rsid w:val="00492D93"/>
    <w:rsid w:val="00494D66"/>
    <w:rsid w:val="004B2C6F"/>
    <w:rsid w:val="0050668C"/>
    <w:rsid w:val="005207A8"/>
    <w:rsid w:val="005315E1"/>
    <w:rsid w:val="005361B1"/>
    <w:rsid w:val="005563FB"/>
    <w:rsid w:val="005872D0"/>
    <w:rsid w:val="005B4E26"/>
    <w:rsid w:val="005E1416"/>
    <w:rsid w:val="005F27B8"/>
    <w:rsid w:val="00600D4F"/>
    <w:rsid w:val="00611782"/>
    <w:rsid w:val="00630E5F"/>
    <w:rsid w:val="00643C27"/>
    <w:rsid w:val="00647C0B"/>
    <w:rsid w:val="006675F9"/>
    <w:rsid w:val="006A7A7D"/>
    <w:rsid w:val="006B1883"/>
    <w:rsid w:val="006C076B"/>
    <w:rsid w:val="006C6A73"/>
    <w:rsid w:val="006E5C8B"/>
    <w:rsid w:val="00724E32"/>
    <w:rsid w:val="0076545D"/>
    <w:rsid w:val="007710A5"/>
    <w:rsid w:val="0077607B"/>
    <w:rsid w:val="00796EEC"/>
    <w:rsid w:val="007A18D0"/>
    <w:rsid w:val="007A55FE"/>
    <w:rsid w:val="007A6857"/>
    <w:rsid w:val="008153C9"/>
    <w:rsid w:val="00820D5E"/>
    <w:rsid w:val="00824840"/>
    <w:rsid w:val="008417AB"/>
    <w:rsid w:val="00843E4E"/>
    <w:rsid w:val="008542B9"/>
    <w:rsid w:val="00856FFE"/>
    <w:rsid w:val="00863FAD"/>
    <w:rsid w:val="008656AA"/>
    <w:rsid w:val="008C76EF"/>
    <w:rsid w:val="008D1372"/>
    <w:rsid w:val="008D59B8"/>
    <w:rsid w:val="008E12D3"/>
    <w:rsid w:val="008E36FD"/>
    <w:rsid w:val="008F7856"/>
    <w:rsid w:val="00910739"/>
    <w:rsid w:val="009156A1"/>
    <w:rsid w:val="00923B98"/>
    <w:rsid w:val="0093433F"/>
    <w:rsid w:val="00937210"/>
    <w:rsid w:val="009379BB"/>
    <w:rsid w:val="00950007"/>
    <w:rsid w:val="009617FE"/>
    <w:rsid w:val="009658A6"/>
    <w:rsid w:val="009A357C"/>
    <w:rsid w:val="009A5652"/>
    <w:rsid w:val="009D58CA"/>
    <w:rsid w:val="00A06097"/>
    <w:rsid w:val="00A15F38"/>
    <w:rsid w:val="00A24E04"/>
    <w:rsid w:val="00A55149"/>
    <w:rsid w:val="00A65D0F"/>
    <w:rsid w:val="00A70909"/>
    <w:rsid w:val="00A849B6"/>
    <w:rsid w:val="00AB2B90"/>
    <w:rsid w:val="00AB2E39"/>
    <w:rsid w:val="00AB6571"/>
    <w:rsid w:val="00AD725B"/>
    <w:rsid w:val="00AE64D6"/>
    <w:rsid w:val="00AF6DEC"/>
    <w:rsid w:val="00B0050E"/>
    <w:rsid w:val="00B31B9B"/>
    <w:rsid w:val="00B409A7"/>
    <w:rsid w:val="00B731F2"/>
    <w:rsid w:val="00B95D2E"/>
    <w:rsid w:val="00B97144"/>
    <w:rsid w:val="00BA6A52"/>
    <w:rsid w:val="00BC14FB"/>
    <w:rsid w:val="00BC1749"/>
    <w:rsid w:val="00C05070"/>
    <w:rsid w:val="00C062BB"/>
    <w:rsid w:val="00C35265"/>
    <w:rsid w:val="00C35717"/>
    <w:rsid w:val="00C439E8"/>
    <w:rsid w:val="00C43D0D"/>
    <w:rsid w:val="00C6399B"/>
    <w:rsid w:val="00C723FF"/>
    <w:rsid w:val="00C80120"/>
    <w:rsid w:val="00CA0995"/>
    <w:rsid w:val="00CA435E"/>
    <w:rsid w:val="00CD7890"/>
    <w:rsid w:val="00CE7006"/>
    <w:rsid w:val="00D347B2"/>
    <w:rsid w:val="00DA120C"/>
    <w:rsid w:val="00DB2D8C"/>
    <w:rsid w:val="00DD6967"/>
    <w:rsid w:val="00DD6A7F"/>
    <w:rsid w:val="00E0349F"/>
    <w:rsid w:val="00E06164"/>
    <w:rsid w:val="00E0744C"/>
    <w:rsid w:val="00E16F4B"/>
    <w:rsid w:val="00E508F6"/>
    <w:rsid w:val="00E60239"/>
    <w:rsid w:val="00E90095"/>
    <w:rsid w:val="00E9392A"/>
    <w:rsid w:val="00EA1683"/>
    <w:rsid w:val="00EA344A"/>
    <w:rsid w:val="00EA795D"/>
    <w:rsid w:val="00EC3910"/>
    <w:rsid w:val="00ED02C3"/>
    <w:rsid w:val="00ED3ED1"/>
    <w:rsid w:val="00EE3D70"/>
    <w:rsid w:val="00EF6A86"/>
    <w:rsid w:val="00F040CF"/>
    <w:rsid w:val="00F41668"/>
    <w:rsid w:val="00F47533"/>
    <w:rsid w:val="00F61C65"/>
    <w:rsid w:val="00F62363"/>
    <w:rsid w:val="00F6441A"/>
    <w:rsid w:val="00FA52FD"/>
    <w:rsid w:val="00FD303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726A0024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816F-CE60-4D9C-9BAA-6A093FEA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144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26</cp:revision>
  <cp:lastPrinted>2015-11-05T16:28:00Z</cp:lastPrinted>
  <dcterms:created xsi:type="dcterms:W3CDTF">2017-07-27T17:50:00Z</dcterms:created>
  <dcterms:modified xsi:type="dcterms:W3CDTF">2017-07-28T17:09:00Z</dcterms:modified>
</cp:coreProperties>
</file>