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483"/>
        <w:gridCol w:w="992"/>
        <w:gridCol w:w="1276"/>
        <w:gridCol w:w="1199"/>
        <w:gridCol w:w="1260"/>
        <w:gridCol w:w="630"/>
        <w:gridCol w:w="1620"/>
        <w:gridCol w:w="465"/>
        <w:gridCol w:w="53"/>
        <w:gridCol w:w="894"/>
        <w:gridCol w:w="1108"/>
        <w:gridCol w:w="455"/>
        <w:gridCol w:w="33"/>
      </w:tblGrid>
      <w:tr w:rsidR="00154F2B" w:rsidRPr="00F95EE7" w:rsidTr="003F0007">
        <w:trPr>
          <w:trHeight w:val="225"/>
        </w:trPr>
        <w:tc>
          <w:tcPr>
            <w:tcW w:w="3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80" w:type="dxa"/>
            <w:gridSpan w:val="11"/>
            <w:shd w:val="clear" w:color="000000" w:fill="FFFFFF"/>
            <w:noWrap/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F95EE7" w:rsidTr="003F0007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9"/>
            <w:vMerge w:val="restart"/>
            <w:shd w:val="clear" w:color="000000" w:fill="FFFFFF"/>
            <w:noWrap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F95EE7" w:rsidTr="003F0007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9"/>
            <w:vMerge/>
            <w:shd w:val="clear" w:color="000000" w:fill="FFFFFF"/>
            <w:noWrap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F95EE7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F95EE7" w:rsidTr="003F0007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611782" w:rsidRPr="00F95EE7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shd w:val="clear" w:color="000000" w:fill="FFFFFF"/>
            <w:noWrap/>
            <w:vAlign w:val="center"/>
          </w:tcPr>
          <w:p w:rsidR="00611782" w:rsidRPr="00F95EE7" w:rsidRDefault="0013784A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25DFCA98" wp14:editId="156BF4F9">
                  <wp:simplePos x="0" y="0"/>
                  <wp:positionH relativeFrom="column">
                    <wp:posOffset>5639435</wp:posOffset>
                  </wp:positionH>
                  <wp:positionV relativeFrom="paragraph">
                    <wp:posOffset>-375920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F95EE7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F95EE7" w:rsidTr="003F0007">
        <w:trPr>
          <w:trHeight w:val="269"/>
        </w:trPr>
        <w:tc>
          <w:tcPr>
            <w:tcW w:w="360" w:type="dxa"/>
            <w:vMerge/>
            <w:shd w:val="clear" w:color="auto" w:fill="365F91"/>
            <w:vAlign w:val="center"/>
            <w:hideMark/>
          </w:tcPr>
          <w:p w:rsidR="00F41668" w:rsidRPr="00F95EE7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8"/>
            <w:vMerge w:val="restart"/>
            <w:shd w:val="clear" w:color="auto" w:fill="244061"/>
            <w:noWrap/>
            <w:vAlign w:val="center"/>
            <w:hideMark/>
          </w:tcPr>
          <w:p w:rsidR="00F41668" w:rsidRPr="00F95EE7" w:rsidRDefault="0013784A" w:rsidP="0094379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       </w:t>
            </w:r>
            <w:r w:rsidR="00177A3C" w:rsidRPr="00F95EE7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8F327C" w:rsidRPr="00F95EE7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</w:t>
            </w:r>
            <w:r w:rsidR="00943792" w:rsidRPr="00F95EE7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2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F95EE7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F95EE7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F95EE7" w:rsidTr="003F0007">
        <w:trPr>
          <w:trHeight w:val="269"/>
        </w:trPr>
        <w:tc>
          <w:tcPr>
            <w:tcW w:w="360" w:type="dxa"/>
            <w:vMerge/>
            <w:vAlign w:val="center"/>
            <w:hideMark/>
          </w:tcPr>
          <w:p w:rsidR="00F41668" w:rsidRPr="00F95EE7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8"/>
            <w:vMerge/>
            <w:shd w:val="clear" w:color="auto" w:fill="244061"/>
            <w:vAlign w:val="center"/>
            <w:hideMark/>
          </w:tcPr>
          <w:p w:rsidR="00F41668" w:rsidRPr="00F95EE7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F95EE7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F95EE7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F95EE7" w:rsidTr="003F0007">
        <w:trPr>
          <w:trHeight w:val="234"/>
        </w:trPr>
        <w:tc>
          <w:tcPr>
            <w:tcW w:w="360" w:type="dxa"/>
            <w:vMerge/>
            <w:vAlign w:val="center"/>
            <w:hideMark/>
          </w:tcPr>
          <w:p w:rsidR="004B2C6F" w:rsidRPr="00F95EE7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F95EE7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F95EE7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F95EE7" w:rsidTr="00EF767D">
        <w:trPr>
          <w:trHeight w:val="34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723FF" w:rsidRPr="00F95EE7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F95EE7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F95EE7" w:rsidRDefault="00943792" w:rsidP="00AD04B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>REHABILITACIÓN DE CALZADAS EXCLUSIVAS DE TROLEBUS</w:t>
            </w:r>
            <w:r w:rsidR="00AD04B9" w:rsidRPr="00F95EE7">
              <w:rPr>
                <w:rFonts w:asciiTheme="minorHAnsi" w:hAnsiTheme="minorHAnsi" w:cs="Arial"/>
                <w:lang w:val="es-ES"/>
              </w:rPr>
              <w:t xml:space="preserve"> Y ECOVÍA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F95EE7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F95EE7" w:rsidTr="003F0007">
        <w:trPr>
          <w:trHeight w:val="285"/>
        </w:trPr>
        <w:tc>
          <w:tcPr>
            <w:tcW w:w="360" w:type="dxa"/>
            <w:vMerge/>
            <w:vAlign w:val="center"/>
          </w:tcPr>
          <w:p w:rsidR="0000251C" w:rsidRPr="00F95EE7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F95EE7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F95EE7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F95EE7" w:rsidTr="00EF767D">
        <w:trPr>
          <w:trHeight w:val="22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F95EE7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F95EE7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</w:t>
            </w:r>
            <w:r w:rsidR="00EF767D" w:rsidRPr="00F95EE7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 xml:space="preserve"> :</w:t>
            </w:r>
          </w:p>
        </w:tc>
        <w:tc>
          <w:tcPr>
            <w:tcW w:w="53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95EE7" w:rsidRDefault="00F74034" w:rsidP="003F0007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 xml:space="preserve">EJECUTAR LA </w:t>
            </w:r>
            <w:r w:rsidR="00943792" w:rsidRPr="00F95EE7">
              <w:rPr>
                <w:rFonts w:asciiTheme="minorHAnsi" w:hAnsiTheme="minorHAnsi" w:cs="Arial"/>
                <w:lang w:val="es-ES"/>
              </w:rPr>
              <w:t>RECONSTRUCCIÓN</w:t>
            </w:r>
            <w:r w:rsidR="00EB1C93" w:rsidRPr="00F95EE7">
              <w:rPr>
                <w:rFonts w:asciiTheme="minorHAnsi" w:hAnsiTheme="minorHAnsi" w:cs="Arial"/>
                <w:lang w:val="es-ES"/>
              </w:rPr>
              <w:t xml:space="preserve"> INTEGRAL</w:t>
            </w:r>
            <w:r w:rsidR="00943792" w:rsidRPr="00F95EE7">
              <w:rPr>
                <w:rFonts w:asciiTheme="minorHAnsi" w:hAnsiTheme="minorHAnsi" w:cs="Arial"/>
                <w:lang w:val="es-ES"/>
              </w:rPr>
              <w:t xml:space="preserve"> DE LA CALZADA DEL CORREDOR </w:t>
            </w:r>
            <w:r w:rsidR="000243DD" w:rsidRPr="00F95EE7">
              <w:rPr>
                <w:rFonts w:asciiTheme="minorHAnsi" w:hAnsiTheme="minorHAnsi" w:cs="Arial"/>
                <w:lang w:val="es-ES"/>
              </w:rPr>
              <w:t xml:space="preserve">DEL </w:t>
            </w:r>
            <w:r w:rsidR="00943792" w:rsidRPr="00F95EE7">
              <w:rPr>
                <w:rFonts w:asciiTheme="minorHAnsi" w:hAnsiTheme="minorHAnsi" w:cs="Arial"/>
                <w:lang w:val="es-ES"/>
              </w:rPr>
              <w:t>TROLE BUS</w:t>
            </w:r>
            <w:r w:rsidR="00AD04B9" w:rsidRPr="00F95EE7">
              <w:rPr>
                <w:rFonts w:asciiTheme="minorHAnsi" w:hAnsiTheme="minorHAnsi" w:cs="Arial"/>
                <w:lang w:val="es-ES"/>
              </w:rPr>
              <w:t xml:space="preserve"> Y ECOVÍA</w:t>
            </w:r>
            <w:r w:rsidR="00943792" w:rsidRPr="00F95EE7">
              <w:rPr>
                <w:rFonts w:asciiTheme="minorHAnsi" w:hAnsiTheme="minorHAnsi" w:cs="Arial"/>
                <w:lang w:val="es-ES"/>
              </w:rPr>
              <w:t xml:space="preserve"> POR TRAMOS.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7607B" w:rsidRPr="00F95EE7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95EE7" w:rsidRDefault="007C787B" w:rsidP="00261AA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12</w:t>
            </w:r>
            <w:r w:rsidR="00D54355" w:rsidRP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’</w:t>
            </w:r>
            <w:r w:rsidR="00A13E86" w:rsidRP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451</w:t>
            </w:r>
            <w:r w:rsid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.</w:t>
            </w:r>
            <w:r w:rsidR="00A13E86" w:rsidRP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280</w:t>
            </w:r>
            <w:r w:rsid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,</w:t>
            </w:r>
            <w:r w:rsidR="00A13E86" w:rsidRP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80</w:t>
            </w:r>
            <w:r w:rsidR="00943792" w:rsidRP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 xml:space="preserve"> </w:t>
            </w:r>
            <w:r w:rsidR="00EF767D" w:rsidRPr="00F95EE7">
              <w:rPr>
                <w:rFonts w:asciiTheme="minorHAnsi" w:eastAsia="Times New Roman" w:hAnsiTheme="minorHAnsi" w:cs="Calibri"/>
                <w:b/>
                <w:color w:val="000000"/>
                <w:sz w:val="25"/>
                <w:szCs w:val="25"/>
                <w:lang w:eastAsia="es-EC"/>
              </w:rPr>
              <w:t>(Con IVA)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F95EE7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F95EE7" w:rsidTr="00EF767D">
        <w:trPr>
          <w:trHeight w:val="19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F95EE7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F95EE7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3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95EE7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F95EE7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95EE7" w:rsidRDefault="008F327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>EJECUTADO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F95EE7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F95EE7" w:rsidTr="003F0007">
        <w:trPr>
          <w:trHeight w:val="225"/>
        </w:trPr>
        <w:tc>
          <w:tcPr>
            <w:tcW w:w="360" w:type="dxa"/>
            <w:vMerge/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F95EE7" w:rsidRDefault="005E1416" w:rsidP="007651C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F95EE7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7651CB" w:rsidRPr="00F95EE7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F95EE7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F95EE7" w:rsidTr="003F0007">
        <w:trPr>
          <w:trHeight w:val="27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221A92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F95EE7" w:rsidRDefault="00724E32" w:rsidP="006E5E5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ZONAL: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F95EE7" w:rsidRDefault="00A55791" w:rsidP="004D2164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>4 ADMINISTRACIONES (NORTE – EUGENIO ESPEJO / CENTRO – MANUELA SAENZ / SUR – ELOY ALFARO / QUITUMBE)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F95EE7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F95EE7" w:rsidRDefault="00943792" w:rsidP="004D2164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>13 PARROQUIAS (BELISARIO QUEVEDO / CENTRO HISTÓRICO / CHIMBACALLE / IÑAQUITO / ITCHIMBIO / JIPIJAPA / LA MAGDALENA / MARISCAL SUCRE / QUITUMBE / RUMIPAMBA / SAN BARTOLO / SAN JUAN / SOLANDA</w:t>
            </w:r>
            <w:r w:rsidR="00A55791" w:rsidRPr="00F95EE7">
              <w:rPr>
                <w:rFonts w:asciiTheme="minorHAnsi" w:hAnsiTheme="minorHAnsi" w:cs="Arial"/>
                <w:lang w:val="es-ES"/>
              </w:rPr>
              <w:t xml:space="preserve">)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F95EE7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F95EE7" w:rsidRDefault="00943792" w:rsidP="004D2164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>68 BARRIOS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95EE7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97144" w:rsidRPr="00F95EE7" w:rsidTr="003F0007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97144" w:rsidRPr="00F95EE7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F95EE7" w:rsidRDefault="007F1071" w:rsidP="00DA3D2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1.4 </w:t>
            </w:r>
            <w:r w:rsidR="00DA3D25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NOMBRE CALLE: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F95EE7" w:rsidRDefault="00A55791" w:rsidP="004D2164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 xml:space="preserve">AV. EJE LONG. 10 DE AGOSTO / Oe3 GUAYAQUIL / Oe2 FLORES / N2 BOLÍVAR / EJE LONG. PEDRO VICENTE MALDONADO / Oe1C MORASPUNGO / Oe3 HUGO ORTÍZ / Oe3 QUITUMBE ÑAN / S36 CONDOR ÑAN / N44 RIO COCA / 6 DE DICIEMBRE / N16 TARQUI / AV.GRAN COLOMBIA / AV. PICHINCHA </w:t>
            </w:r>
          </w:p>
        </w:tc>
      </w:tr>
      <w:tr w:rsidR="002E0C14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F95EE7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F95EE7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F95EE7" w:rsidRDefault="00A55791" w:rsidP="004D2164">
            <w:pPr>
              <w:spacing w:after="0" w:line="240" w:lineRule="auto"/>
              <w:jc w:val="both"/>
              <w:rPr>
                <w:rFonts w:asciiTheme="minorHAnsi" w:hAnsiTheme="minorHAnsi" w:cs="Arial"/>
                <w:lang w:val="es-ES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 xml:space="preserve">TERMINAL NORTE LA “Y” (TROLEBUS) / </w:t>
            </w:r>
            <w:r w:rsidR="00CE66AB" w:rsidRPr="00F95EE7">
              <w:rPr>
                <w:rFonts w:asciiTheme="minorHAnsi" w:hAnsiTheme="minorHAnsi" w:cs="Arial"/>
                <w:lang w:val="es-ES"/>
              </w:rPr>
              <w:t xml:space="preserve"> </w:t>
            </w:r>
            <w:r w:rsidR="00A13E86" w:rsidRPr="00F95EE7">
              <w:rPr>
                <w:rFonts w:asciiTheme="minorHAnsi" w:hAnsiTheme="minorHAnsi" w:cs="Arial"/>
                <w:lang w:val="es-ES"/>
              </w:rPr>
              <w:t>TERMINAL NORTE RIO COCA (ECOVÍA)</w:t>
            </w: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F95EE7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F95EE7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F95EE7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F95EE7" w:rsidRDefault="00A55791" w:rsidP="004D2164">
            <w:pPr>
              <w:spacing w:after="0" w:line="240" w:lineRule="auto"/>
              <w:jc w:val="both"/>
              <w:rPr>
                <w:rFonts w:asciiTheme="minorHAnsi" w:hAnsiTheme="minorHAnsi" w:cs="Arial"/>
                <w:lang w:val="es-ES"/>
              </w:rPr>
            </w:pPr>
            <w:r w:rsidRPr="00F95EE7">
              <w:rPr>
                <w:rFonts w:asciiTheme="minorHAnsi" w:hAnsiTheme="minorHAnsi" w:cs="Arial"/>
                <w:lang w:val="es-ES"/>
              </w:rPr>
              <w:t xml:space="preserve">TERMINAL QUITUMBE (TROLEBUS) / </w:t>
            </w:r>
            <w:r w:rsidR="00A13E86" w:rsidRPr="00F95EE7">
              <w:rPr>
                <w:rFonts w:asciiTheme="minorHAnsi" w:hAnsiTheme="minorHAnsi" w:cs="Arial"/>
                <w:lang w:val="es-ES"/>
              </w:rPr>
              <w:t>LA MARÍN (ECOVÍA)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F95EE7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F95EE7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221A92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603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221A92" w:rsidRDefault="007C787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F95EE7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F95EE7" w:rsidTr="003F0007">
        <w:trPr>
          <w:gridAfter w:val="1"/>
          <w:wAfter w:w="33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F95EE7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F95EE7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</w:t>
            </w:r>
            <w:r w:rsidR="00EF767D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</w:t>
            </w: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REGULARIZADO</w:t>
            </w:r>
            <w:r w:rsidR="00EF767D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</w:t>
            </w: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F95EE7" w:rsidRDefault="00EF767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F95EE7" w:rsidRDefault="009966C0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i/>
                <w:iCs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33655</wp:posOffset>
                  </wp:positionV>
                  <wp:extent cx="3667125" cy="315277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" t="978" r="23657" b="1870"/>
                          <a:stretch/>
                        </pic:blipFill>
                        <pic:spPr bwMode="auto">
                          <a:xfrm>
                            <a:off x="0" y="0"/>
                            <a:ext cx="3667125" cy="315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F95EE7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F95EE7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F95EE7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F95EE7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F95EE7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F95EE7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F95EE7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F95EE7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F95EE7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F95EE7" w:rsidTr="003F0007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F95EE7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F95EE7" w:rsidRDefault="008D59B8" w:rsidP="003E67F9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2.3 </w:t>
            </w:r>
            <w:r w:rsidR="003E67F9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DENSIDAD POBLACIONAL</w:t>
            </w: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3F0007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(Ha</w:t>
            </w:r>
            <w:r w:rsid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b/ha</w:t>
            </w:r>
            <w:r w:rsidR="003F0007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)</w:t>
            </w: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F95EE7" w:rsidRDefault="009C2909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601 – 820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F95EE7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95EE7" w:rsidRDefault="008F327C" w:rsidP="007F0BD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7F0BD6"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DA3D2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221A92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9C2909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221A92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3F000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221A92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221A92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F95EE7" w:rsidTr="003F0007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5.1 LONGITUD VÍA (m) 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F95EE7" w:rsidRDefault="00A13E86" w:rsidP="00825EA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hAnsiTheme="minorHAnsi"/>
                <w:color w:val="000000"/>
              </w:rPr>
              <w:t>55</w:t>
            </w:r>
            <w:r w:rsidR="00F95EE7">
              <w:rPr>
                <w:rFonts w:asciiTheme="minorHAnsi" w:hAnsiTheme="minorHAnsi"/>
                <w:color w:val="000000"/>
              </w:rPr>
              <w:t>.</w:t>
            </w:r>
            <w:r w:rsidRPr="00F95EE7">
              <w:rPr>
                <w:rFonts w:asciiTheme="minorHAnsi" w:hAnsiTheme="minorHAnsi"/>
                <w:color w:val="000000"/>
              </w:rPr>
              <w:t>494</w:t>
            </w:r>
            <w:r w:rsidR="00F95EE7">
              <w:rPr>
                <w:rFonts w:asciiTheme="minorHAnsi" w:hAnsiTheme="minorHAnsi"/>
                <w:color w:val="000000"/>
              </w:rPr>
              <w:t>,</w:t>
            </w:r>
            <w:r w:rsidR="00825EA6" w:rsidRPr="00F95EE7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F95EE7" w:rsidTr="003F0007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F95EE7" w:rsidRDefault="00802795" w:rsidP="003F000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6</w:t>
            </w:r>
          </w:p>
        </w:tc>
        <w:tc>
          <w:tcPr>
            <w:tcW w:w="6030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F95EE7" w:rsidTr="003F0007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5.3 CAPA DE RODADURA 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F95EE7" w:rsidRDefault="00B40471" w:rsidP="0013784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lang w:eastAsia="es-EC"/>
              </w:rPr>
              <w:t>ASFALTO</w:t>
            </w:r>
          </w:p>
        </w:tc>
        <w:tc>
          <w:tcPr>
            <w:tcW w:w="6030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F95EE7" w:rsidTr="003F0007">
        <w:trPr>
          <w:gridAfter w:val="8"/>
          <w:wAfter w:w="5258" w:type="dxa"/>
          <w:trHeight w:val="80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5.4 ESTADO DE VÍA 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F95EE7" w:rsidRDefault="0013784A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lang w:eastAsia="es-EC"/>
              </w:rPr>
              <w:t>MALO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B40471" w:rsidRPr="00F95EE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003C2C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8F327C" w:rsidRPr="00F95EE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95EE7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95EE7" w:rsidTr="00003C2C">
        <w:trPr>
          <w:trHeight w:val="1340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164" w:rsidRPr="00F95EE7" w:rsidRDefault="004D2164" w:rsidP="00202CFB">
            <w:pPr>
              <w:pStyle w:val="Sinespaciado"/>
              <w:jc w:val="both"/>
              <w:rPr>
                <w:rFonts w:asciiTheme="minorHAnsi" w:hAnsiTheme="minorHAnsi"/>
                <w:lang w:eastAsia="es-EC"/>
              </w:rPr>
            </w:pPr>
            <w:r w:rsidRPr="00F95EE7">
              <w:rPr>
                <w:rFonts w:asciiTheme="minorHAnsi" w:hAnsiTheme="minorHAnsi"/>
                <w:lang w:eastAsia="es-EC"/>
              </w:rPr>
              <w:t>El trolebús de Quito (también llamado Troncal Central Trolebús, o Trole) es un sistema de transporte público de la ciudad de </w:t>
            </w:r>
            <w:hyperlink r:id="rId10" w:tooltip="Quito" w:history="1">
              <w:r w:rsidRPr="00F95EE7">
                <w:rPr>
                  <w:rFonts w:asciiTheme="minorHAnsi" w:hAnsiTheme="minorHAnsi"/>
                  <w:lang w:eastAsia="es-EC"/>
                </w:rPr>
                <w:t>Quito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 (</w:t>
            </w:r>
            <w:hyperlink r:id="rId11" w:tooltip="Ecuador" w:history="1">
              <w:r w:rsidRPr="00F95EE7">
                <w:rPr>
                  <w:rFonts w:asciiTheme="minorHAnsi" w:hAnsiTheme="minorHAnsi"/>
                  <w:lang w:eastAsia="es-EC"/>
                </w:rPr>
                <w:t>Ecuador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). Su construcción se inició en </w:t>
            </w:r>
            <w:hyperlink r:id="rId12" w:tooltip="1994" w:history="1">
              <w:r w:rsidRPr="00F95EE7">
                <w:rPr>
                  <w:rFonts w:asciiTheme="minorHAnsi" w:hAnsiTheme="minorHAnsi"/>
                  <w:lang w:eastAsia="es-EC"/>
                </w:rPr>
                <w:t>1994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, y fue inaugurado por el </w:t>
            </w:r>
            <w:hyperlink r:id="rId13" w:tooltip="Alcalde Metropolitano de Quito" w:history="1">
              <w:r w:rsidRPr="00F95EE7">
                <w:rPr>
                  <w:rFonts w:asciiTheme="minorHAnsi" w:hAnsiTheme="minorHAnsi"/>
                  <w:lang w:eastAsia="es-EC"/>
                </w:rPr>
                <w:t>alcalde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 </w:t>
            </w:r>
            <w:hyperlink r:id="rId14" w:tooltip="Jamil Mahuad" w:history="1">
              <w:r w:rsidRPr="00F95EE7">
                <w:rPr>
                  <w:rFonts w:asciiTheme="minorHAnsi" w:hAnsiTheme="minorHAnsi"/>
                  <w:lang w:eastAsia="es-EC"/>
                </w:rPr>
                <w:t>Jamil Mahuad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 el </w:t>
            </w:r>
            <w:hyperlink r:id="rId15" w:tooltip="17 de diciembre" w:history="1">
              <w:r w:rsidRPr="00F95EE7">
                <w:rPr>
                  <w:rFonts w:asciiTheme="minorHAnsi" w:hAnsiTheme="minorHAnsi"/>
                  <w:lang w:eastAsia="es-EC"/>
                </w:rPr>
                <w:t>17 de diciembre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 del año siguiente. Su recorrido inicia en la </w:t>
            </w:r>
            <w:hyperlink r:id="rId16" w:tooltip="Estación norte (Trolebús de Quito)" w:history="1">
              <w:r w:rsidRPr="00F95EE7">
                <w:rPr>
                  <w:rFonts w:asciiTheme="minorHAnsi" w:hAnsiTheme="minorHAnsi"/>
                  <w:lang w:eastAsia="es-EC"/>
                </w:rPr>
                <w:t>Estación Norte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, ubicada sobre la </w:t>
            </w:r>
            <w:hyperlink r:id="rId17" w:tooltip="Avenida 10 de Agosto (Quito)" w:history="1">
              <w:r w:rsidRPr="00F95EE7">
                <w:rPr>
                  <w:rFonts w:asciiTheme="minorHAnsi" w:hAnsiTheme="minorHAnsi"/>
                  <w:lang w:eastAsia="es-EC"/>
                </w:rPr>
                <w:t>avenida 10 de Agosto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, y avanza hasta la </w:t>
            </w:r>
            <w:hyperlink r:id="rId18" w:tooltip="Terminal Terrestre Quitumbe" w:history="1">
              <w:r w:rsidRPr="00F95EE7">
                <w:rPr>
                  <w:rFonts w:asciiTheme="minorHAnsi" w:hAnsiTheme="minorHAnsi"/>
                  <w:lang w:eastAsia="es-EC"/>
                </w:rPr>
                <w:t>Terminal Terrestre Quitumbe</w:t>
              </w:r>
            </w:hyperlink>
            <w:r w:rsidRPr="00F95EE7">
              <w:rPr>
                <w:rFonts w:asciiTheme="minorHAnsi" w:hAnsiTheme="minorHAnsi"/>
                <w:lang w:eastAsia="es-EC"/>
              </w:rPr>
              <w:t>.</w:t>
            </w:r>
          </w:p>
          <w:p w:rsidR="004D2164" w:rsidRPr="00F95EE7" w:rsidRDefault="004D2164" w:rsidP="00D54355">
            <w:pPr>
              <w:pStyle w:val="Sinespaciado"/>
              <w:jc w:val="both"/>
              <w:rPr>
                <w:rFonts w:asciiTheme="minorHAnsi" w:hAnsiTheme="minorHAnsi"/>
                <w:lang w:eastAsia="es-EC"/>
              </w:rPr>
            </w:pPr>
            <w:r w:rsidRPr="00F95EE7">
              <w:rPr>
                <w:rFonts w:asciiTheme="minorHAnsi" w:hAnsiTheme="minorHAnsi"/>
                <w:lang w:eastAsia="es-EC"/>
              </w:rPr>
              <w:t>En el recorrido que realizan las unidades del sistema de transportes Trolebús desde El Recreo hasta la ‘Y’, en sentido sur-norte hay 11 sitios en los que las unidades del sistema comparten vía con otros vehículos particulares; además, el promedio de circulación de 83 unidades por hora, que en hora pico aumenta a 90 unidades por hora, evidencia la pesada carga de tráfico en esas vías.</w:t>
            </w:r>
            <w:bookmarkStart w:id="0" w:name="_GoBack"/>
            <w:bookmarkEnd w:id="0"/>
          </w:p>
          <w:p w:rsidR="00003C2C" w:rsidRPr="00F95EE7" w:rsidRDefault="00003C2C" w:rsidP="00202CFB">
            <w:pPr>
              <w:pStyle w:val="Sinespaciado"/>
              <w:rPr>
                <w:rFonts w:asciiTheme="minorHAnsi" w:hAnsiTheme="minorHAnsi"/>
                <w:lang w:eastAsia="es-EC"/>
              </w:rPr>
            </w:pPr>
          </w:p>
          <w:p w:rsidR="008F327C" w:rsidRPr="00F95EE7" w:rsidRDefault="004D2164" w:rsidP="00931FCB">
            <w:pPr>
              <w:pStyle w:val="Sinespaciado"/>
              <w:rPr>
                <w:rFonts w:asciiTheme="minorHAnsi" w:hAnsiTheme="minorHAnsi"/>
                <w:lang w:eastAsia="es-EC"/>
              </w:rPr>
            </w:pPr>
            <w:r w:rsidRPr="00F95EE7">
              <w:rPr>
                <w:rFonts w:asciiTheme="minorHAnsi" w:hAnsiTheme="minorHAnsi"/>
                <w:lang w:eastAsia="es-EC"/>
              </w:rPr>
              <w:t>Con ese antecedente; y, debido al evidente deterioro de la calzada, la EPMMOP ha previsto su</w:t>
            </w:r>
            <w:r w:rsidR="00A13E86" w:rsidRPr="00F95EE7">
              <w:rPr>
                <w:rFonts w:asciiTheme="minorHAnsi" w:hAnsiTheme="minorHAnsi"/>
                <w:lang w:eastAsia="es-EC"/>
              </w:rPr>
              <w:t xml:space="preserve"> reconstrucción</w:t>
            </w:r>
            <w:r w:rsidR="00D54355" w:rsidRPr="00F95EE7">
              <w:rPr>
                <w:rFonts w:asciiTheme="minorHAnsi" w:hAnsiTheme="minorHAnsi"/>
                <w:lang w:eastAsia="es-EC"/>
              </w:rPr>
              <w:t xml:space="preserve"> completa</w:t>
            </w:r>
            <w:r w:rsidR="00A13E86" w:rsidRPr="00F95EE7">
              <w:rPr>
                <w:rFonts w:asciiTheme="minorHAnsi" w:hAnsiTheme="minorHAnsi"/>
                <w:lang w:eastAsia="es-EC"/>
              </w:rPr>
              <w:t xml:space="preserve"> </w:t>
            </w:r>
            <w:r w:rsidRPr="00F95EE7">
              <w:rPr>
                <w:rFonts w:asciiTheme="minorHAnsi" w:hAnsiTheme="minorHAnsi"/>
                <w:lang w:eastAsia="es-EC"/>
              </w:rPr>
              <w:t>en todo el corredor</w:t>
            </w:r>
            <w:r w:rsidR="00931FCB" w:rsidRPr="00F95EE7">
              <w:rPr>
                <w:rFonts w:asciiTheme="minorHAnsi" w:hAnsiTheme="minorHAnsi"/>
                <w:lang w:eastAsia="es-EC"/>
              </w:rPr>
              <w:t>, e</w:t>
            </w:r>
            <w:r w:rsidR="00F95EE7">
              <w:rPr>
                <w:rFonts w:asciiTheme="minorHAnsi" w:hAnsiTheme="minorHAnsi"/>
                <w:lang w:eastAsia="es-EC"/>
              </w:rPr>
              <w:t>n una longitud aproximada de 55.</w:t>
            </w:r>
            <w:r w:rsidR="00931FCB" w:rsidRPr="00F95EE7">
              <w:rPr>
                <w:rFonts w:asciiTheme="minorHAnsi" w:hAnsiTheme="minorHAnsi"/>
                <w:lang w:eastAsia="es-EC"/>
              </w:rPr>
              <w:t>494 metros</w:t>
            </w:r>
            <w:r w:rsidRPr="00F95EE7">
              <w:rPr>
                <w:rFonts w:asciiTheme="minorHAnsi" w:hAnsiTheme="minorHAnsi"/>
                <w:lang w:eastAsia="es-EC"/>
              </w:rPr>
              <w:t xml:space="preserve">, </w:t>
            </w:r>
            <w:r w:rsidR="00A13E86" w:rsidRPr="00F95EE7">
              <w:rPr>
                <w:rFonts w:asciiTheme="minorHAnsi" w:hAnsiTheme="minorHAnsi"/>
                <w:lang w:eastAsia="es-EC"/>
              </w:rPr>
              <w:t>en base de un</w:t>
            </w:r>
            <w:r w:rsidR="00E669E0" w:rsidRPr="00F95EE7">
              <w:rPr>
                <w:rFonts w:asciiTheme="minorHAnsi" w:hAnsiTheme="minorHAnsi"/>
                <w:lang w:eastAsia="es-EC"/>
              </w:rPr>
              <w:t xml:space="preserve"> pavimento rígido y</w:t>
            </w:r>
            <w:r w:rsidR="00A13E86" w:rsidRPr="00F95EE7">
              <w:rPr>
                <w:rFonts w:asciiTheme="minorHAnsi" w:hAnsiTheme="minorHAnsi"/>
                <w:lang w:eastAsia="es-EC"/>
              </w:rPr>
              <w:t xml:space="preserve"> retirando el pavimento actual.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F95EE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Default="005B4E26"/>
    <w:sectPr w:rsidR="005B4E26" w:rsidSect="00AE5D91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64" w:rsidRDefault="00375964" w:rsidP="00120A13">
      <w:pPr>
        <w:spacing w:after="0" w:line="240" w:lineRule="auto"/>
      </w:pPr>
      <w:r>
        <w:separator/>
      </w:r>
    </w:p>
  </w:endnote>
  <w:endnote w:type="continuationSeparator" w:id="0">
    <w:p w:rsidR="00375964" w:rsidRDefault="00375964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64" w:rsidRDefault="00375964" w:rsidP="00120A13">
      <w:pPr>
        <w:spacing w:after="0" w:line="240" w:lineRule="auto"/>
      </w:pPr>
      <w:r>
        <w:separator/>
      </w:r>
    </w:p>
  </w:footnote>
  <w:footnote w:type="continuationSeparator" w:id="0">
    <w:p w:rsidR="00375964" w:rsidRDefault="00375964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03C2C"/>
    <w:rsid w:val="000243DD"/>
    <w:rsid w:val="000343F3"/>
    <w:rsid w:val="0005334D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3784A"/>
    <w:rsid w:val="001513A8"/>
    <w:rsid w:val="00152EAC"/>
    <w:rsid w:val="00154F2B"/>
    <w:rsid w:val="00177A3C"/>
    <w:rsid w:val="00186AC6"/>
    <w:rsid w:val="001A728E"/>
    <w:rsid w:val="001B1EBE"/>
    <w:rsid w:val="001B5B10"/>
    <w:rsid w:val="00202CFB"/>
    <w:rsid w:val="00221A92"/>
    <w:rsid w:val="002229C9"/>
    <w:rsid w:val="00261AAF"/>
    <w:rsid w:val="002675B5"/>
    <w:rsid w:val="002979A1"/>
    <w:rsid w:val="002A1FDF"/>
    <w:rsid w:val="002A5077"/>
    <w:rsid w:val="002E0C14"/>
    <w:rsid w:val="002F303B"/>
    <w:rsid w:val="002F6D14"/>
    <w:rsid w:val="003051F2"/>
    <w:rsid w:val="00311FC3"/>
    <w:rsid w:val="00363DF6"/>
    <w:rsid w:val="00371819"/>
    <w:rsid w:val="00371D90"/>
    <w:rsid w:val="00374643"/>
    <w:rsid w:val="00375964"/>
    <w:rsid w:val="00390C3B"/>
    <w:rsid w:val="003A0CAC"/>
    <w:rsid w:val="003E67F9"/>
    <w:rsid w:val="003F0007"/>
    <w:rsid w:val="00425267"/>
    <w:rsid w:val="00483912"/>
    <w:rsid w:val="00494D66"/>
    <w:rsid w:val="004B2C6F"/>
    <w:rsid w:val="004D2164"/>
    <w:rsid w:val="0050668C"/>
    <w:rsid w:val="005207A8"/>
    <w:rsid w:val="005361B1"/>
    <w:rsid w:val="005563FB"/>
    <w:rsid w:val="005872D0"/>
    <w:rsid w:val="005B4E26"/>
    <w:rsid w:val="005E1416"/>
    <w:rsid w:val="00611782"/>
    <w:rsid w:val="00643C27"/>
    <w:rsid w:val="00647C0B"/>
    <w:rsid w:val="00666C14"/>
    <w:rsid w:val="006675F9"/>
    <w:rsid w:val="006A7A7D"/>
    <w:rsid w:val="006B1883"/>
    <w:rsid w:val="006C076B"/>
    <w:rsid w:val="006C6A73"/>
    <w:rsid w:val="006E5C8B"/>
    <w:rsid w:val="006E5E5D"/>
    <w:rsid w:val="00724E32"/>
    <w:rsid w:val="007651CB"/>
    <w:rsid w:val="007710A5"/>
    <w:rsid w:val="0077607B"/>
    <w:rsid w:val="00796EEC"/>
    <w:rsid w:val="007A18D0"/>
    <w:rsid w:val="007A55FE"/>
    <w:rsid w:val="007A6857"/>
    <w:rsid w:val="007C787B"/>
    <w:rsid w:val="007F0BD6"/>
    <w:rsid w:val="007F1071"/>
    <w:rsid w:val="00802795"/>
    <w:rsid w:val="008153C9"/>
    <w:rsid w:val="00820D5E"/>
    <w:rsid w:val="00824840"/>
    <w:rsid w:val="00825EA6"/>
    <w:rsid w:val="008417AB"/>
    <w:rsid w:val="008542B9"/>
    <w:rsid w:val="00856FFE"/>
    <w:rsid w:val="00863FAD"/>
    <w:rsid w:val="008656AA"/>
    <w:rsid w:val="008D1372"/>
    <w:rsid w:val="008D59B8"/>
    <w:rsid w:val="008E12D3"/>
    <w:rsid w:val="008E36FD"/>
    <w:rsid w:val="008F327C"/>
    <w:rsid w:val="008F7856"/>
    <w:rsid w:val="00910739"/>
    <w:rsid w:val="009156A1"/>
    <w:rsid w:val="00923B98"/>
    <w:rsid w:val="00931FCB"/>
    <w:rsid w:val="00937210"/>
    <w:rsid w:val="009379BB"/>
    <w:rsid w:val="00943792"/>
    <w:rsid w:val="00950007"/>
    <w:rsid w:val="009617FE"/>
    <w:rsid w:val="009658A6"/>
    <w:rsid w:val="009966C0"/>
    <w:rsid w:val="009A357C"/>
    <w:rsid w:val="009A5652"/>
    <w:rsid w:val="009C2909"/>
    <w:rsid w:val="009D58CA"/>
    <w:rsid w:val="00A06097"/>
    <w:rsid w:val="00A13E86"/>
    <w:rsid w:val="00A15F38"/>
    <w:rsid w:val="00A24E04"/>
    <w:rsid w:val="00A50797"/>
    <w:rsid w:val="00A55149"/>
    <w:rsid w:val="00A55791"/>
    <w:rsid w:val="00A65D0F"/>
    <w:rsid w:val="00A70909"/>
    <w:rsid w:val="00A7607B"/>
    <w:rsid w:val="00AB2B90"/>
    <w:rsid w:val="00AB6571"/>
    <w:rsid w:val="00AD04B9"/>
    <w:rsid w:val="00AD725B"/>
    <w:rsid w:val="00AE5D91"/>
    <w:rsid w:val="00AE64D6"/>
    <w:rsid w:val="00AF6DEC"/>
    <w:rsid w:val="00B0050E"/>
    <w:rsid w:val="00B31B9B"/>
    <w:rsid w:val="00B40471"/>
    <w:rsid w:val="00B409A7"/>
    <w:rsid w:val="00B731F2"/>
    <w:rsid w:val="00B97144"/>
    <w:rsid w:val="00BD1F83"/>
    <w:rsid w:val="00C05070"/>
    <w:rsid w:val="00C062BB"/>
    <w:rsid w:val="00C1157F"/>
    <w:rsid w:val="00C35265"/>
    <w:rsid w:val="00C35717"/>
    <w:rsid w:val="00C439E8"/>
    <w:rsid w:val="00C6399B"/>
    <w:rsid w:val="00C723FF"/>
    <w:rsid w:val="00C80120"/>
    <w:rsid w:val="00CA435E"/>
    <w:rsid w:val="00CB6DE5"/>
    <w:rsid w:val="00CD7890"/>
    <w:rsid w:val="00CE66AB"/>
    <w:rsid w:val="00CE7006"/>
    <w:rsid w:val="00D54355"/>
    <w:rsid w:val="00DA3D25"/>
    <w:rsid w:val="00DD6967"/>
    <w:rsid w:val="00DD6A7F"/>
    <w:rsid w:val="00E0349F"/>
    <w:rsid w:val="00E06164"/>
    <w:rsid w:val="00E0744C"/>
    <w:rsid w:val="00E16F4B"/>
    <w:rsid w:val="00E508F6"/>
    <w:rsid w:val="00E60239"/>
    <w:rsid w:val="00E669E0"/>
    <w:rsid w:val="00E9392A"/>
    <w:rsid w:val="00EA344A"/>
    <w:rsid w:val="00EB1C93"/>
    <w:rsid w:val="00ED3ED1"/>
    <w:rsid w:val="00EF767D"/>
    <w:rsid w:val="00F23B0D"/>
    <w:rsid w:val="00F41668"/>
    <w:rsid w:val="00F47533"/>
    <w:rsid w:val="00F62363"/>
    <w:rsid w:val="00F6441A"/>
    <w:rsid w:val="00F74034"/>
    <w:rsid w:val="00F95EE7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2164"/>
    <w:rPr>
      <w:color w:val="0000FF"/>
      <w:u w:val="single"/>
    </w:rPr>
  </w:style>
  <w:style w:type="paragraph" w:styleId="Sinespaciado">
    <w:name w:val="No Spacing"/>
    <w:uiPriority w:val="1"/>
    <w:qFormat/>
    <w:rsid w:val="00202C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Alcalde_Metropolitano_de_Quito" TargetMode="External"/><Relationship Id="rId18" Type="http://schemas.openxmlformats.org/officeDocument/2006/relationships/hyperlink" Target="https://es.wikipedia.org/wiki/Terminal_Terrestre_Quitum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94" TargetMode="External"/><Relationship Id="rId17" Type="http://schemas.openxmlformats.org/officeDocument/2006/relationships/hyperlink" Target="https://es.wikipedia.org/wiki/Avenida_10_de_Agosto_(Quito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Estaci%C3%B3n_norte_(Troleb%C3%BAs_de_Quito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Ecuad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17_de_diciembre" TargetMode="External"/><Relationship Id="rId10" Type="http://schemas.openxmlformats.org/officeDocument/2006/relationships/hyperlink" Target="https://es.wikipedia.org/wiki/Qui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s.wikipedia.org/wiki/Jamil_Mahu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8E07-086E-412B-896D-29A2D7B8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95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31</cp:revision>
  <cp:lastPrinted>2015-11-05T16:28:00Z</cp:lastPrinted>
  <dcterms:created xsi:type="dcterms:W3CDTF">2017-07-27T16:19:00Z</dcterms:created>
  <dcterms:modified xsi:type="dcterms:W3CDTF">2017-07-28T17:06:00Z</dcterms:modified>
</cp:coreProperties>
</file>