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17170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515765">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697686">
                                      <w:rPr>
                                        <w:rFonts w:ascii="Gadugi" w:eastAsiaTheme="majorEastAsia" w:hAnsi="Gadugi" w:cstheme="majorBidi"/>
                                        <w:b/>
                                        <w:color w:val="454545"/>
                                        <w:sz w:val="56"/>
                                        <w:szCs w:val="72"/>
                                      </w:rPr>
                                      <w:t>Matriz de priorización</w:t>
                                    </w:r>
                                    <w:r w:rsidR="00AB05F2">
                                      <w:rPr>
                                        <w:rFonts w:ascii="Gadugi" w:eastAsiaTheme="majorEastAsia" w:hAnsi="Gadugi" w:cstheme="majorBidi"/>
                                        <w:b/>
                                        <w:color w:val="454545"/>
                                        <w:sz w:val="56"/>
                                        <w:szCs w:val="72"/>
                                      </w:rPr>
                                      <w:t xml:space="preserve"> de (3) </w:t>
                                    </w:r>
                                    <w:r w:rsidR="002C1862">
                                      <w:rPr>
                                        <w:rFonts w:ascii="Gadugi" w:eastAsiaTheme="majorEastAsia" w:hAnsi="Gadugi" w:cstheme="majorBidi"/>
                                        <w:b/>
                                        <w:color w:val="454545"/>
                                        <w:sz w:val="56"/>
                                        <w:szCs w:val="72"/>
                                      </w:rPr>
                                      <w:t xml:space="preserve">tres </w:t>
                                    </w:r>
                                    <w:r w:rsidR="00AB05F2">
                                      <w:rPr>
                                        <w:rFonts w:ascii="Gadugi" w:eastAsiaTheme="majorEastAsia" w:hAnsi="Gadugi" w:cstheme="majorBidi"/>
                                        <w:b/>
                                        <w:color w:val="454545"/>
                                        <w:sz w:val="56"/>
                                        <w:szCs w:val="72"/>
                                      </w:rPr>
                                      <w:t>servicios municipales</w:t>
                                    </w:r>
                                  </w:sdtContent>
                                </w:sdt>
                              </w:p>
                              <w:p w:rsidR="00887609" w:rsidRPr="00E41A3D" w:rsidRDefault="00515765">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AB05F2">
                                      <w:rPr>
                                        <w:rFonts w:ascii="Gadugi" w:hAnsi="Gadugi"/>
                                        <w:b/>
                                        <w:color w:val="AD7940"/>
                                        <w:sz w:val="32"/>
                                        <w:szCs w:val="36"/>
                                      </w:rPr>
                                      <w:t>Mejoramiento de 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171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" filled="f" stroked="f" strokeweight=".5pt">
                    <v:textbox inset="0,0,0,0">
                      <w:txbxContent>
                        <w:p w:rsidR="00887609" w:rsidRPr="00E41A3D" w:rsidRDefault="00515765">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697686">
                                <w:rPr>
                                  <w:rFonts w:ascii="Gadugi" w:eastAsiaTheme="majorEastAsia" w:hAnsi="Gadugi" w:cstheme="majorBidi"/>
                                  <w:b/>
                                  <w:color w:val="454545"/>
                                  <w:sz w:val="56"/>
                                  <w:szCs w:val="72"/>
                                </w:rPr>
                                <w:t>Matriz de priorización</w:t>
                              </w:r>
                              <w:r w:rsidR="00AB05F2">
                                <w:rPr>
                                  <w:rFonts w:ascii="Gadugi" w:eastAsiaTheme="majorEastAsia" w:hAnsi="Gadugi" w:cstheme="majorBidi"/>
                                  <w:b/>
                                  <w:color w:val="454545"/>
                                  <w:sz w:val="56"/>
                                  <w:szCs w:val="72"/>
                                </w:rPr>
                                <w:t xml:space="preserve"> de (3) </w:t>
                              </w:r>
                              <w:r w:rsidR="002C1862">
                                <w:rPr>
                                  <w:rFonts w:ascii="Gadugi" w:eastAsiaTheme="majorEastAsia" w:hAnsi="Gadugi" w:cstheme="majorBidi"/>
                                  <w:b/>
                                  <w:color w:val="454545"/>
                                  <w:sz w:val="56"/>
                                  <w:szCs w:val="72"/>
                                </w:rPr>
                                <w:t xml:space="preserve">tres </w:t>
                              </w:r>
                              <w:r w:rsidR="00AB05F2">
                                <w:rPr>
                                  <w:rFonts w:ascii="Gadugi" w:eastAsiaTheme="majorEastAsia" w:hAnsi="Gadugi" w:cstheme="majorBidi"/>
                                  <w:b/>
                                  <w:color w:val="454545"/>
                                  <w:sz w:val="56"/>
                                  <w:szCs w:val="72"/>
                                </w:rPr>
                                <w:t>servicios municipales</w:t>
                              </w:r>
                            </w:sdtContent>
                          </w:sdt>
                        </w:p>
                        <w:p w:rsidR="00887609" w:rsidRPr="00E41A3D" w:rsidRDefault="00515765">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AB05F2">
                                <w:rPr>
                                  <w:rFonts w:ascii="Gadugi" w:hAnsi="Gadugi"/>
                                  <w:b/>
                                  <w:color w:val="AD7940"/>
                                  <w:sz w:val="32"/>
                                  <w:szCs w:val="36"/>
                                </w:rPr>
                                <w:t>Mejoramiento de Servicios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E7681CF"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2C1862" w:rsidP="004C55D6">
            <w:pPr>
              <w:spacing w:after="120"/>
              <w:rPr>
                <w:rFonts w:ascii="Gadugi" w:hAnsi="Gadugi"/>
                <w:b/>
                <w:sz w:val="30"/>
                <w:szCs w:val="30"/>
              </w:rPr>
            </w:pPr>
            <w:r>
              <w:rPr>
                <w:rFonts w:ascii="Gadugi" w:hAnsi="Gadugi"/>
                <w:b/>
                <w:sz w:val="30"/>
                <w:szCs w:val="30"/>
              </w:rPr>
              <w:t xml:space="preserve">5.1. </w:t>
            </w:r>
            <w:r w:rsidR="00697686">
              <w:rPr>
                <w:rFonts w:ascii="Gadugi" w:hAnsi="Gadugi"/>
                <w:b/>
                <w:sz w:val="30"/>
                <w:szCs w:val="30"/>
              </w:rPr>
              <w:t>Matriz de priorización</w:t>
            </w:r>
            <w:r>
              <w:rPr>
                <w:rFonts w:ascii="Gadugi" w:hAnsi="Gadugi"/>
                <w:b/>
                <w:sz w:val="30"/>
                <w:szCs w:val="30"/>
              </w:rPr>
              <w:t xml:space="preserve"> de (3) tres servicios municipales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19366C"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F8349E">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19366C" w:rsidP="004C55D6">
            <w:pPr>
              <w:tabs>
                <w:tab w:val="clear" w:pos="5793"/>
              </w:tabs>
              <w:jc w:val="center"/>
              <w:rPr>
                <w:rFonts w:ascii="Gadugi" w:hAnsi="Gadugi"/>
                <w:sz w:val="20"/>
              </w:rPr>
            </w:pPr>
            <w:r>
              <w:rPr>
                <w:rFonts w:ascii="Gadugi" w:hAnsi="Gadugi"/>
                <w:sz w:val="20"/>
              </w:rPr>
              <w:t>17</w:t>
            </w:r>
            <w:r w:rsidR="00F8349E">
              <w:rPr>
                <w:rFonts w:ascii="Gadugi" w:hAnsi="Gadugi"/>
                <w:sz w:val="20"/>
              </w:rPr>
              <w:t>/05/2017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697686" w:rsidP="004C55D6">
            <w:pPr>
              <w:tabs>
                <w:tab w:val="clear" w:pos="5793"/>
              </w:tabs>
              <w:jc w:val="left"/>
              <w:rPr>
                <w:rFonts w:ascii="Gadugi" w:hAnsi="Gadugi"/>
                <w:sz w:val="20"/>
              </w:rPr>
            </w:pPr>
            <w:r>
              <w:rPr>
                <w:rFonts w:ascii="Gadugi" w:hAnsi="Gadugi"/>
                <w:sz w:val="20"/>
              </w:rPr>
              <w:t>Matriz de priorización</w:t>
            </w:r>
            <w:r w:rsidR="002C1862">
              <w:rPr>
                <w:rFonts w:ascii="Gadugi" w:hAnsi="Gadugi"/>
                <w:sz w:val="20"/>
              </w:rPr>
              <w:t xml:space="preserve"> de (3) tres servicios municipales</w:t>
            </w:r>
            <w:r w:rsidR="00521007"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2C1862" w:rsidP="004C55D6">
            <w:pPr>
              <w:tabs>
                <w:tab w:val="clear" w:pos="5793"/>
              </w:tabs>
              <w:jc w:val="left"/>
              <w:rPr>
                <w:rFonts w:ascii="Gadugi" w:hAnsi="Gadugi"/>
                <w:sz w:val="20"/>
              </w:rPr>
            </w:pPr>
            <w:r>
              <w:rPr>
                <w:rFonts w:ascii="Gadugi" w:hAnsi="Gadugi"/>
                <w:sz w:val="20"/>
              </w:rPr>
              <w:t>MRProcessi Cía. Ltda.</w:t>
            </w:r>
          </w:p>
        </w:tc>
      </w:tr>
      <w:tr w:rsidR="0019366C"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19366C" w:rsidRPr="00521007" w:rsidRDefault="0019366C" w:rsidP="0019366C">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19366C" w:rsidRPr="00521007" w:rsidRDefault="0019366C" w:rsidP="0019366C">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19366C" w:rsidRPr="00521007" w:rsidRDefault="0019366C" w:rsidP="0019366C">
            <w:pPr>
              <w:tabs>
                <w:tab w:val="clear" w:pos="5793"/>
              </w:tabs>
              <w:jc w:val="left"/>
              <w:rPr>
                <w:rFonts w:ascii="Gadugi" w:hAnsi="Gadugi"/>
                <w:sz w:val="20"/>
              </w:rPr>
            </w:pPr>
            <w:r>
              <w:rPr>
                <w:rFonts w:ascii="Gadugi" w:hAnsi="Gadugi"/>
                <w:sz w:val="20"/>
              </w:rPr>
              <w:t>Matriz de priorización de (3) tres servicios municipales</w:t>
            </w:r>
            <w:r w:rsidR="00893B1F">
              <w:rPr>
                <w:rFonts w:ascii="Gadugi" w:hAnsi="Gadugi"/>
                <w:sz w:val="20"/>
              </w:rPr>
              <w:t xml:space="preserve"> con correcciones solicitadas</w:t>
            </w:r>
            <w:r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19366C" w:rsidRPr="00521007" w:rsidRDefault="0019366C" w:rsidP="0019366C">
            <w:pPr>
              <w:tabs>
                <w:tab w:val="clear" w:pos="5793"/>
              </w:tabs>
              <w:jc w:val="left"/>
              <w:rPr>
                <w:rFonts w:ascii="Gadugi" w:hAnsi="Gadugi"/>
                <w:sz w:val="20"/>
              </w:rPr>
            </w:pPr>
            <w:r>
              <w:rPr>
                <w:rFonts w:ascii="Gadugi" w:hAnsi="Gadugi"/>
                <w:sz w:val="20"/>
              </w:rPr>
              <w:t>MRProcessi Cía. Ltda.</w:t>
            </w:r>
          </w:p>
        </w:tc>
      </w:tr>
      <w:tr w:rsidR="0019366C"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19366C" w:rsidRPr="00521007" w:rsidRDefault="0019366C" w:rsidP="0019366C">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19366C" w:rsidRPr="00521007" w:rsidRDefault="0019366C" w:rsidP="0019366C">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19366C" w:rsidRPr="00521007" w:rsidRDefault="0019366C" w:rsidP="0019366C">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19366C" w:rsidRPr="00521007" w:rsidRDefault="0019366C" w:rsidP="0019366C">
            <w:pPr>
              <w:tabs>
                <w:tab w:val="clear" w:pos="5793"/>
              </w:tabs>
              <w:jc w:val="left"/>
              <w:rPr>
                <w:rFonts w:ascii="Gadugi" w:hAnsi="Gadugi"/>
                <w:sz w:val="20"/>
              </w:rPr>
            </w:pPr>
          </w:p>
        </w:tc>
      </w:tr>
    </w:tbl>
    <w:p w:rsidR="00DF68E9" w:rsidRPr="00867B8A" w:rsidRDefault="00DF68E9" w:rsidP="00DF68E9">
      <w:pPr>
        <w:jc w:val="both"/>
        <w:outlineLvl w:val="0"/>
        <w:rPr>
          <w:rFonts w:ascii="Gadugi" w:hAnsi="Gadugi"/>
          <w:b/>
          <w:sz w:val="20"/>
          <w:szCs w:val="20"/>
        </w:rPr>
      </w:pPr>
      <w:bookmarkStart w:id="0" w:name="_Toc479525611"/>
      <w:bookmarkStart w:id="1" w:name="_Toc483335422"/>
      <w:r w:rsidRPr="00867B8A">
        <w:rPr>
          <w:rFonts w:ascii="Gadugi" w:hAnsi="Gadugi"/>
          <w:b/>
          <w:sz w:val="20"/>
          <w:szCs w:val="20"/>
        </w:rPr>
        <w:lastRenderedPageBreak/>
        <w:t>ÍNDICE DE CONTENIDO</w:t>
      </w:r>
      <w:bookmarkEnd w:id="0"/>
      <w:bookmarkEnd w:id="1"/>
    </w:p>
    <w:sdt>
      <w:sdtPr>
        <w:rPr>
          <w:rFonts w:ascii="Gadugi" w:eastAsiaTheme="minorHAnsi" w:hAnsi="Gadugi" w:cstheme="minorBidi"/>
          <w:color w:val="auto"/>
          <w:sz w:val="20"/>
          <w:szCs w:val="20"/>
          <w:lang w:val="es-ES" w:eastAsia="en-US"/>
        </w:rPr>
        <w:id w:val="235144193"/>
        <w:docPartObj>
          <w:docPartGallery w:val="Table of Contents"/>
          <w:docPartUnique/>
        </w:docPartObj>
      </w:sdtPr>
      <w:sdtEndPr>
        <w:rPr>
          <w:b/>
          <w:bCs/>
        </w:rPr>
      </w:sdtEndPr>
      <w:sdtContent>
        <w:p w:rsidR="00D3412B" w:rsidRPr="00867B8A" w:rsidRDefault="00D3412B">
          <w:pPr>
            <w:pStyle w:val="TtulodeTDC"/>
            <w:rPr>
              <w:rFonts w:ascii="Gadugi" w:hAnsi="Gadugi"/>
              <w:sz w:val="20"/>
              <w:szCs w:val="20"/>
            </w:rPr>
          </w:pPr>
        </w:p>
        <w:p w:rsidR="006C1F10" w:rsidRDefault="00D3412B">
          <w:pPr>
            <w:pStyle w:val="TDC1"/>
            <w:tabs>
              <w:tab w:val="right" w:leader="dot" w:pos="9628"/>
            </w:tabs>
            <w:rPr>
              <w:rFonts w:eastAsiaTheme="minorEastAsia"/>
              <w:noProof/>
              <w:lang w:val="es-EC" w:eastAsia="es-EC"/>
            </w:rPr>
          </w:pPr>
          <w:r w:rsidRPr="00867B8A">
            <w:rPr>
              <w:rFonts w:ascii="Gadugi" w:hAnsi="Gadugi"/>
              <w:sz w:val="20"/>
              <w:szCs w:val="20"/>
            </w:rPr>
            <w:fldChar w:fldCharType="begin"/>
          </w:r>
          <w:r w:rsidRPr="00867B8A">
            <w:rPr>
              <w:rFonts w:ascii="Gadugi" w:hAnsi="Gadugi"/>
              <w:sz w:val="20"/>
              <w:szCs w:val="20"/>
            </w:rPr>
            <w:instrText xml:space="preserve"> TOC \o "1-3" \h \z \u </w:instrText>
          </w:r>
          <w:r w:rsidRPr="00867B8A">
            <w:rPr>
              <w:rFonts w:ascii="Gadugi" w:hAnsi="Gadugi"/>
              <w:sz w:val="20"/>
              <w:szCs w:val="20"/>
            </w:rPr>
            <w:fldChar w:fldCharType="separate"/>
          </w:r>
          <w:hyperlink w:anchor="_Toc483335422" w:history="1">
            <w:r w:rsidR="006C1F10" w:rsidRPr="00B660A1">
              <w:rPr>
                <w:rStyle w:val="Hipervnculo"/>
                <w:rFonts w:ascii="Gadugi" w:hAnsi="Gadugi"/>
                <w:b/>
                <w:noProof/>
              </w:rPr>
              <w:t>ÍNDICE DE CONTENIDO</w:t>
            </w:r>
            <w:r w:rsidR="006C1F10">
              <w:rPr>
                <w:noProof/>
                <w:webHidden/>
              </w:rPr>
              <w:tab/>
            </w:r>
            <w:r w:rsidR="006C1F10">
              <w:rPr>
                <w:noProof/>
                <w:webHidden/>
              </w:rPr>
              <w:fldChar w:fldCharType="begin"/>
            </w:r>
            <w:r w:rsidR="006C1F10">
              <w:rPr>
                <w:noProof/>
                <w:webHidden/>
              </w:rPr>
              <w:instrText xml:space="preserve"> PAGEREF _Toc483335422 \h </w:instrText>
            </w:r>
            <w:r w:rsidR="006C1F10">
              <w:rPr>
                <w:noProof/>
                <w:webHidden/>
              </w:rPr>
            </w:r>
            <w:r w:rsidR="006C1F10">
              <w:rPr>
                <w:noProof/>
                <w:webHidden/>
              </w:rPr>
              <w:fldChar w:fldCharType="separate"/>
            </w:r>
            <w:r w:rsidR="006C1F10">
              <w:rPr>
                <w:noProof/>
                <w:webHidden/>
              </w:rPr>
              <w:t>2</w:t>
            </w:r>
            <w:r w:rsidR="006C1F10">
              <w:rPr>
                <w:noProof/>
                <w:webHidden/>
              </w:rPr>
              <w:fldChar w:fldCharType="end"/>
            </w:r>
          </w:hyperlink>
        </w:p>
        <w:p w:rsidR="006C1F10" w:rsidRDefault="00515765">
          <w:pPr>
            <w:pStyle w:val="TDC1"/>
            <w:tabs>
              <w:tab w:val="left" w:pos="440"/>
              <w:tab w:val="right" w:leader="dot" w:pos="9628"/>
            </w:tabs>
            <w:rPr>
              <w:rFonts w:eastAsiaTheme="minorEastAsia"/>
              <w:noProof/>
              <w:lang w:val="es-EC" w:eastAsia="es-EC"/>
            </w:rPr>
          </w:pPr>
          <w:hyperlink w:anchor="_Toc483335423" w:history="1">
            <w:r w:rsidR="006C1F10" w:rsidRPr="00B660A1">
              <w:rPr>
                <w:rStyle w:val="Hipervnculo"/>
                <w:rFonts w:ascii="Gadugi" w:hAnsi="Gadugi"/>
                <w:b/>
                <w:noProof/>
              </w:rPr>
              <w:t>1.</w:t>
            </w:r>
            <w:r w:rsidR="006C1F10">
              <w:rPr>
                <w:rFonts w:eastAsiaTheme="minorEastAsia"/>
                <w:noProof/>
                <w:lang w:val="es-EC" w:eastAsia="es-EC"/>
              </w:rPr>
              <w:tab/>
            </w:r>
            <w:r w:rsidR="006C1F10" w:rsidRPr="00B660A1">
              <w:rPr>
                <w:rStyle w:val="Hipervnculo"/>
                <w:rFonts w:ascii="Gadugi" w:hAnsi="Gadugi"/>
                <w:b/>
                <w:noProof/>
              </w:rPr>
              <w:t>INTRODUCCIÓN</w:t>
            </w:r>
            <w:r w:rsidR="006C1F10">
              <w:rPr>
                <w:noProof/>
                <w:webHidden/>
              </w:rPr>
              <w:tab/>
            </w:r>
            <w:r w:rsidR="006C1F10">
              <w:rPr>
                <w:noProof/>
                <w:webHidden/>
              </w:rPr>
              <w:fldChar w:fldCharType="begin"/>
            </w:r>
            <w:r w:rsidR="006C1F10">
              <w:rPr>
                <w:noProof/>
                <w:webHidden/>
              </w:rPr>
              <w:instrText xml:space="preserve"> PAGEREF _Toc483335423 \h </w:instrText>
            </w:r>
            <w:r w:rsidR="006C1F10">
              <w:rPr>
                <w:noProof/>
                <w:webHidden/>
              </w:rPr>
            </w:r>
            <w:r w:rsidR="006C1F10">
              <w:rPr>
                <w:noProof/>
                <w:webHidden/>
              </w:rPr>
              <w:fldChar w:fldCharType="separate"/>
            </w:r>
            <w:r w:rsidR="006C1F10">
              <w:rPr>
                <w:noProof/>
                <w:webHidden/>
              </w:rPr>
              <w:t>3</w:t>
            </w:r>
            <w:r w:rsidR="006C1F10">
              <w:rPr>
                <w:noProof/>
                <w:webHidden/>
              </w:rPr>
              <w:fldChar w:fldCharType="end"/>
            </w:r>
          </w:hyperlink>
        </w:p>
        <w:p w:rsidR="006C1F10" w:rsidRDefault="00515765">
          <w:pPr>
            <w:pStyle w:val="TDC2"/>
            <w:tabs>
              <w:tab w:val="left" w:pos="880"/>
              <w:tab w:val="right" w:leader="dot" w:pos="9628"/>
            </w:tabs>
            <w:rPr>
              <w:rFonts w:eastAsiaTheme="minorEastAsia"/>
              <w:noProof/>
              <w:lang w:val="es-EC" w:eastAsia="es-EC"/>
            </w:rPr>
          </w:pPr>
          <w:hyperlink w:anchor="_Toc483335424" w:history="1">
            <w:r w:rsidR="006C1F10" w:rsidRPr="00B660A1">
              <w:rPr>
                <w:rStyle w:val="Hipervnculo"/>
                <w:rFonts w:ascii="Gadugi" w:hAnsi="Gadugi"/>
                <w:b/>
                <w:noProof/>
              </w:rPr>
              <w:t>1.1.</w:t>
            </w:r>
            <w:r w:rsidR="006C1F10">
              <w:rPr>
                <w:rFonts w:eastAsiaTheme="minorEastAsia"/>
                <w:noProof/>
                <w:lang w:val="es-EC" w:eastAsia="es-EC"/>
              </w:rPr>
              <w:tab/>
            </w:r>
            <w:r w:rsidR="006C1F10" w:rsidRPr="00B660A1">
              <w:rPr>
                <w:rStyle w:val="Hipervnculo"/>
                <w:rFonts w:ascii="Gadugi" w:hAnsi="Gadugi"/>
                <w:b/>
                <w:noProof/>
              </w:rPr>
              <w:t>Propósito del documento</w:t>
            </w:r>
            <w:r w:rsidR="006C1F10">
              <w:rPr>
                <w:noProof/>
                <w:webHidden/>
              </w:rPr>
              <w:tab/>
            </w:r>
            <w:r w:rsidR="006C1F10">
              <w:rPr>
                <w:noProof/>
                <w:webHidden/>
              </w:rPr>
              <w:fldChar w:fldCharType="begin"/>
            </w:r>
            <w:r w:rsidR="006C1F10">
              <w:rPr>
                <w:noProof/>
                <w:webHidden/>
              </w:rPr>
              <w:instrText xml:space="preserve"> PAGEREF _Toc483335424 \h </w:instrText>
            </w:r>
            <w:r w:rsidR="006C1F10">
              <w:rPr>
                <w:noProof/>
                <w:webHidden/>
              </w:rPr>
            </w:r>
            <w:r w:rsidR="006C1F10">
              <w:rPr>
                <w:noProof/>
                <w:webHidden/>
              </w:rPr>
              <w:fldChar w:fldCharType="separate"/>
            </w:r>
            <w:r w:rsidR="006C1F10">
              <w:rPr>
                <w:noProof/>
                <w:webHidden/>
              </w:rPr>
              <w:t>4</w:t>
            </w:r>
            <w:r w:rsidR="006C1F10">
              <w:rPr>
                <w:noProof/>
                <w:webHidden/>
              </w:rPr>
              <w:fldChar w:fldCharType="end"/>
            </w:r>
          </w:hyperlink>
        </w:p>
        <w:p w:rsidR="006C1F10" w:rsidRDefault="00515765">
          <w:pPr>
            <w:pStyle w:val="TDC1"/>
            <w:tabs>
              <w:tab w:val="left" w:pos="440"/>
              <w:tab w:val="right" w:leader="dot" w:pos="9628"/>
            </w:tabs>
            <w:rPr>
              <w:rFonts w:eastAsiaTheme="minorEastAsia"/>
              <w:noProof/>
              <w:lang w:val="es-EC" w:eastAsia="es-EC"/>
            </w:rPr>
          </w:pPr>
          <w:hyperlink w:anchor="_Toc483335425" w:history="1">
            <w:r w:rsidR="006C1F10" w:rsidRPr="00B660A1">
              <w:rPr>
                <w:rStyle w:val="Hipervnculo"/>
                <w:rFonts w:ascii="Gadugi" w:hAnsi="Gadugi"/>
                <w:b/>
                <w:noProof/>
              </w:rPr>
              <w:t>2.</w:t>
            </w:r>
            <w:r w:rsidR="006C1F10">
              <w:rPr>
                <w:rFonts w:eastAsiaTheme="minorEastAsia"/>
                <w:noProof/>
                <w:lang w:val="es-EC" w:eastAsia="es-EC"/>
              </w:rPr>
              <w:tab/>
            </w:r>
            <w:r w:rsidR="006C1F10" w:rsidRPr="00B660A1">
              <w:rPr>
                <w:rStyle w:val="Hipervnculo"/>
                <w:rFonts w:ascii="Gadugi" w:hAnsi="Gadugi"/>
                <w:b/>
                <w:noProof/>
              </w:rPr>
              <w:t>MATRIZ DE PRIORIZACIÓN DE SERVICIOS</w:t>
            </w:r>
            <w:r w:rsidR="006C1F10">
              <w:rPr>
                <w:noProof/>
                <w:webHidden/>
              </w:rPr>
              <w:tab/>
            </w:r>
            <w:r w:rsidR="006C1F10">
              <w:rPr>
                <w:noProof/>
                <w:webHidden/>
              </w:rPr>
              <w:fldChar w:fldCharType="begin"/>
            </w:r>
            <w:r w:rsidR="006C1F10">
              <w:rPr>
                <w:noProof/>
                <w:webHidden/>
              </w:rPr>
              <w:instrText xml:space="preserve"> PAGEREF _Toc483335425 \h </w:instrText>
            </w:r>
            <w:r w:rsidR="006C1F10">
              <w:rPr>
                <w:noProof/>
                <w:webHidden/>
              </w:rPr>
            </w:r>
            <w:r w:rsidR="006C1F10">
              <w:rPr>
                <w:noProof/>
                <w:webHidden/>
              </w:rPr>
              <w:fldChar w:fldCharType="separate"/>
            </w:r>
            <w:r w:rsidR="006C1F10">
              <w:rPr>
                <w:noProof/>
                <w:webHidden/>
              </w:rPr>
              <w:t>4</w:t>
            </w:r>
            <w:r w:rsidR="006C1F10">
              <w:rPr>
                <w:noProof/>
                <w:webHidden/>
              </w:rPr>
              <w:fldChar w:fldCharType="end"/>
            </w:r>
          </w:hyperlink>
        </w:p>
        <w:p w:rsidR="006C1F10" w:rsidRDefault="00515765">
          <w:pPr>
            <w:pStyle w:val="TDC2"/>
            <w:tabs>
              <w:tab w:val="left" w:pos="880"/>
              <w:tab w:val="right" w:leader="dot" w:pos="9628"/>
            </w:tabs>
            <w:rPr>
              <w:rFonts w:eastAsiaTheme="minorEastAsia"/>
              <w:noProof/>
              <w:lang w:val="es-EC" w:eastAsia="es-EC"/>
            </w:rPr>
          </w:pPr>
          <w:hyperlink w:anchor="_Toc483335428" w:history="1">
            <w:r w:rsidR="006C1F10" w:rsidRPr="00B660A1">
              <w:rPr>
                <w:rStyle w:val="Hipervnculo"/>
                <w:rFonts w:ascii="Gadugi" w:hAnsi="Gadugi"/>
                <w:b/>
                <w:noProof/>
              </w:rPr>
              <w:t>2.1.</w:t>
            </w:r>
            <w:r w:rsidR="006C1F10">
              <w:rPr>
                <w:rFonts w:eastAsiaTheme="minorEastAsia"/>
                <w:noProof/>
                <w:lang w:val="es-EC" w:eastAsia="es-EC"/>
              </w:rPr>
              <w:tab/>
            </w:r>
            <w:r w:rsidR="006C1F10" w:rsidRPr="00B660A1">
              <w:rPr>
                <w:rStyle w:val="Hipervnculo"/>
                <w:rFonts w:ascii="Gadugi" w:hAnsi="Gadugi"/>
                <w:b/>
                <w:noProof/>
              </w:rPr>
              <w:t>Criterios (variables) iniciales propuestos</w:t>
            </w:r>
            <w:r w:rsidR="006C1F10">
              <w:rPr>
                <w:noProof/>
                <w:webHidden/>
              </w:rPr>
              <w:tab/>
            </w:r>
            <w:r w:rsidR="006C1F10">
              <w:rPr>
                <w:noProof/>
                <w:webHidden/>
              </w:rPr>
              <w:fldChar w:fldCharType="begin"/>
            </w:r>
            <w:r w:rsidR="006C1F10">
              <w:rPr>
                <w:noProof/>
                <w:webHidden/>
              </w:rPr>
              <w:instrText xml:space="preserve"> PAGEREF _Toc483335428 \h </w:instrText>
            </w:r>
            <w:r w:rsidR="006C1F10">
              <w:rPr>
                <w:noProof/>
                <w:webHidden/>
              </w:rPr>
            </w:r>
            <w:r w:rsidR="006C1F10">
              <w:rPr>
                <w:noProof/>
                <w:webHidden/>
              </w:rPr>
              <w:fldChar w:fldCharType="separate"/>
            </w:r>
            <w:r w:rsidR="006C1F10">
              <w:rPr>
                <w:noProof/>
                <w:webHidden/>
              </w:rPr>
              <w:t>4</w:t>
            </w:r>
            <w:r w:rsidR="006C1F10">
              <w:rPr>
                <w:noProof/>
                <w:webHidden/>
              </w:rPr>
              <w:fldChar w:fldCharType="end"/>
            </w:r>
          </w:hyperlink>
        </w:p>
        <w:p w:rsidR="006C1F10" w:rsidRDefault="00515765">
          <w:pPr>
            <w:pStyle w:val="TDC2"/>
            <w:tabs>
              <w:tab w:val="left" w:pos="880"/>
              <w:tab w:val="right" w:leader="dot" w:pos="9628"/>
            </w:tabs>
            <w:rPr>
              <w:rFonts w:eastAsiaTheme="minorEastAsia"/>
              <w:noProof/>
              <w:lang w:val="es-EC" w:eastAsia="es-EC"/>
            </w:rPr>
          </w:pPr>
          <w:hyperlink w:anchor="_Toc483335429" w:history="1">
            <w:r w:rsidR="006C1F10" w:rsidRPr="00B660A1">
              <w:rPr>
                <w:rStyle w:val="Hipervnculo"/>
                <w:rFonts w:ascii="Gadugi" w:hAnsi="Gadugi"/>
                <w:b/>
                <w:noProof/>
              </w:rPr>
              <w:t>2.2.</w:t>
            </w:r>
            <w:r w:rsidR="006C1F10">
              <w:rPr>
                <w:rFonts w:eastAsiaTheme="minorEastAsia"/>
                <w:noProof/>
                <w:lang w:val="es-EC" w:eastAsia="es-EC"/>
              </w:rPr>
              <w:tab/>
            </w:r>
            <w:r w:rsidR="006C1F10" w:rsidRPr="00B660A1">
              <w:rPr>
                <w:rStyle w:val="Hipervnculo"/>
                <w:rFonts w:ascii="Gadugi" w:hAnsi="Gadugi"/>
                <w:b/>
                <w:noProof/>
              </w:rPr>
              <w:t>Criterios (variables) pre-seleccionados entre las partes y criterios de ponderación:</w:t>
            </w:r>
            <w:r w:rsidR="006C1F10">
              <w:rPr>
                <w:noProof/>
                <w:webHidden/>
              </w:rPr>
              <w:tab/>
            </w:r>
            <w:r w:rsidR="006C1F10">
              <w:rPr>
                <w:noProof/>
                <w:webHidden/>
              </w:rPr>
              <w:fldChar w:fldCharType="begin"/>
            </w:r>
            <w:r w:rsidR="006C1F10">
              <w:rPr>
                <w:noProof/>
                <w:webHidden/>
              </w:rPr>
              <w:instrText xml:space="preserve"> PAGEREF _Toc483335429 \h </w:instrText>
            </w:r>
            <w:r w:rsidR="006C1F10">
              <w:rPr>
                <w:noProof/>
                <w:webHidden/>
              </w:rPr>
            </w:r>
            <w:r w:rsidR="006C1F10">
              <w:rPr>
                <w:noProof/>
                <w:webHidden/>
              </w:rPr>
              <w:fldChar w:fldCharType="separate"/>
            </w:r>
            <w:r w:rsidR="006C1F10">
              <w:rPr>
                <w:noProof/>
                <w:webHidden/>
              </w:rPr>
              <w:t>5</w:t>
            </w:r>
            <w:r w:rsidR="006C1F10">
              <w:rPr>
                <w:noProof/>
                <w:webHidden/>
              </w:rPr>
              <w:fldChar w:fldCharType="end"/>
            </w:r>
          </w:hyperlink>
        </w:p>
        <w:p w:rsidR="006C1F10" w:rsidRDefault="00515765">
          <w:pPr>
            <w:pStyle w:val="TDC2"/>
            <w:tabs>
              <w:tab w:val="left" w:pos="880"/>
              <w:tab w:val="right" w:leader="dot" w:pos="9628"/>
            </w:tabs>
            <w:rPr>
              <w:rFonts w:eastAsiaTheme="minorEastAsia"/>
              <w:noProof/>
              <w:lang w:val="es-EC" w:eastAsia="es-EC"/>
            </w:rPr>
          </w:pPr>
          <w:hyperlink w:anchor="_Toc483335430" w:history="1">
            <w:r w:rsidR="006C1F10" w:rsidRPr="00B660A1">
              <w:rPr>
                <w:rStyle w:val="Hipervnculo"/>
                <w:rFonts w:ascii="Gadugi" w:hAnsi="Gadugi"/>
                <w:b/>
                <w:noProof/>
              </w:rPr>
              <w:t>2.3.</w:t>
            </w:r>
            <w:r w:rsidR="006C1F10">
              <w:rPr>
                <w:rFonts w:eastAsiaTheme="minorEastAsia"/>
                <w:noProof/>
                <w:lang w:val="es-EC" w:eastAsia="es-EC"/>
              </w:rPr>
              <w:tab/>
            </w:r>
            <w:r w:rsidR="006C1F10" w:rsidRPr="00B660A1">
              <w:rPr>
                <w:rStyle w:val="Hipervnculo"/>
                <w:rFonts w:ascii="Gadugi" w:hAnsi="Gadugi"/>
                <w:b/>
                <w:noProof/>
              </w:rPr>
              <w:t>Matriz de priorización final propuesta</w:t>
            </w:r>
            <w:r w:rsidR="006C1F10">
              <w:rPr>
                <w:noProof/>
                <w:webHidden/>
              </w:rPr>
              <w:tab/>
            </w:r>
            <w:r w:rsidR="006C1F10">
              <w:rPr>
                <w:noProof/>
                <w:webHidden/>
              </w:rPr>
              <w:fldChar w:fldCharType="begin"/>
            </w:r>
            <w:r w:rsidR="006C1F10">
              <w:rPr>
                <w:noProof/>
                <w:webHidden/>
              </w:rPr>
              <w:instrText xml:space="preserve"> PAGEREF _Toc483335430 \h </w:instrText>
            </w:r>
            <w:r w:rsidR="006C1F10">
              <w:rPr>
                <w:noProof/>
                <w:webHidden/>
              </w:rPr>
            </w:r>
            <w:r w:rsidR="006C1F10">
              <w:rPr>
                <w:noProof/>
                <w:webHidden/>
              </w:rPr>
              <w:fldChar w:fldCharType="separate"/>
            </w:r>
            <w:r w:rsidR="006C1F10">
              <w:rPr>
                <w:noProof/>
                <w:webHidden/>
              </w:rPr>
              <w:t>6</w:t>
            </w:r>
            <w:r w:rsidR="006C1F10">
              <w:rPr>
                <w:noProof/>
                <w:webHidden/>
              </w:rPr>
              <w:fldChar w:fldCharType="end"/>
            </w:r>
          </w:hyperlink>
        </w:p>
        <w:p w:rsidR="006C1F10" w:rsidRDefault="00515765">
          <w:pPr>
            <w:pStyle w:val="TDC2"/>
            <w:tabs>
              <w:tab w:val="left" w:pos="880"/>
              <w:tab w:val="right" w:leader="dot" w:pos="9628"/>
            </w:tabs>
            <w:rPr>
              <w:rFonts w:eastAsiaTheme="minorEastAsia"/>
              <w:noProof/>
              <w:lang w:val="es-EC" w:eastAsia="es-EC"/>
            </w:rPr>
          </w:pPr>
          <w:hyperlink w:anchor="_Toc483335431" w:history="1">
            <w:r w:rsidR="006C1F10" w:rsidRPr="00B660A1">
              <w:rPr>
                <w:rStyle w:val="Hipervnculo"/>
                <w:rFonts w:ascii="Gadugi" w:hAnsi="Gadugi"/>
                <w:b/>
                <w:noProof/>
              </w:rPr>
              <w:t>2.4.</w:t>
            </w:r>
            <w:r w:rsidR="006C1F10">
              <w:rPr>
                <w:rFonts w:eastAsiaTheme="minorEastAsia"/>
                <w:noProof/>
                <w:lang w:val="es-EC" w:eastAsia="es-EC"/>
              </w:rPr>
              <w:tab/>
            </w:r>
            <w:r w:rsidR="006C1F10" w:rsidRPr="00B660A1">
              <w:rPr>
                <w:rStyle w:val="Hipervnculo"/>
                <w:rFonts w:ascii="Gadugi" w:hAnsi="Gadugi"/>
                <w:b/>
                <w:noProof/>
              </w:rPr>
              <w:t>Servicios Priorizados</w:t>
            </w:r>
            <w:r w:rsidR="006C1F10">
              <w:rPr>
                <w:noProof/>
                <w:webHidden/>
              </w:rPr>
              <w:tab/>
            </w:r>
            <w:r w:rsidR="006C1F10">
              <w:rPr>
                <w:noProof/>
                <w:webHidden/>
              </w:rPr>
              <w:fldChar w:fldCharType="begin"/>
            </w:r>
            <w:r w:rsidR="006C1F10">
              <w:rPr>
                <w:noProof/>
                <w:webHidden/>
              </w:rPr>
              <w:instrText xml:space="preserve"> PAGEREF _Toc483335431 \h </w:instrText>
            </w:r>
            <w:r w:rsidR="006C1F10">
              <w:rPr>
                <w:noProof/>
                <w:webHidden/>
              </w:rPr>
            </w:r>
            <w:r w:rsidR="006C1F10">
              <w:rPr>
                <w:noProof/>
                <w:webHidden/>
              </w:rPr>
              <w:fldChar w:fldCharType="separate"/>
            </w:r>
            <w:r w:rsidR="006C1F10">
              <w:rPr>
                <w:noProof/>
                <w:webHidden/>
              </w:rPr>
              <w:t>6</w:t>
            </w:r>
            <w:r w:rsidR="006C1F10">
              <w:rPr>
                <w:noProof/>
                <w:webHidden/>
              </w:rPr>
              <w:fldChar w:fldCharType="end"/>
            </w:r>
          </w:hyperlink>
        </w:p>
        <w:p w:rsidR="00D3412B" w:rsidRPr="00867B8A" w:rsidRDefault="00D3412B">
          <w:pPr>
            <w:rPr>
              <w:rFonts w:ascii="Gadugi" w:hAnsi="Gadugi"/>
              <w:sz w:val="20"/>
              <w:szCs w:val="20"/>
            </w:rPr>
          </w:pPr>
          <w:r w:rsidRPr="00867B8A">
            <w:rPr>
              <w:rFonts w:ascii="Gadugi" w:hAnsi="Gadugi"/>
              <w:b/>
              <w:bCs/>
              <w:sz w:val="20"/>
              <w:szCs w:val="20"/>
            </w:rPr>
            <w:fldChar w:fldCharType="end"/>
          </w:r>
        </w:p>
      </w:sdtContent>
    </w:sdt>
    <w:p w:rsidR="00D67BFF" w:rsidRPr="00867B8A" w:rsidRDefault="00D67BFF" w:rsidP="00DF68E9">
      <w:pPr>
        <w:jc w:val="both"/>
        <w:outlineLvl w:val="0"/>
        <w:rPr>
          <w:rFonts w:ascii="Gadugi" w:hAnsi="Gadugi"/>
          <w:b/>
          <w:sz w:val="20"/>
          <w:szCs w:val="20"/>
        </w:rPr>
      </w:pPr>
    </w:p>
    <w:p w:rsidR="00D67BFF" w:rsidRPr="00867B8A" w:rsidRDefault="00D67BFF"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67BFF" w:rsidRPr="00867B8A" w:rsidRDefault="00D67BFF" w:rsidP="00DF68E9">
      <w:pPr>
        <w:jc w:val="both"/>
        <w:outlineLvl w:val="0"/>
        <w:rPr>
          <w:rFonts w:ascii="Gadugi" w:hAnsi="Gadugi"/>
          <w:b/>
          <w:sz w:val="20"/>
          <w:szCs w:val="20"/>
        </w:rPr>
      </w:pPr>
    </w:p>
    <w:p w:rsidR="00D67BFF" w:rsidRPr="00867B8A" w:rsidRDefault="00D67BFF" w:rsidP="00DF68E9">
      <w:pPr>
        <w:jc w:val="both"/>
        <w:outlineLvl w:val="0"/>
        <w:rPr>
          <w:rFonts w:ascii="Gadugi" w:hAnsi="Gadugi"/>
          <w:b/>
          <w:sz w:val="20"/>
          <w:szCs w:val="20"/>
        </w:rPr>
      </w:pPr>
    </w:p>
    <w:p w:rsidR="00D67BFF" w:rsidRPr="00867B8A" w:rsidRDefault="00D67BFF" w:rsidP="00DF68E9">
      <w:pPr>
        <w:jc w:val="both"/>
        <w:outlineLvl w:val="0"/>
        <w:rPr>
          <w:rFonts w:ascii="Gadugi" w:hAnsi="Gadugi"/>
          <w:b/>
          <w:sz w:val="20"/>
          <w:szCs w:val="20"/>
        </w:rPr>
      </w:pPr>
    </w:p>
    <w:p w:rsidR="00D67BFF" w:rsidRPr="00867B8A" w:rsidRDefault="00D67BFF"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D67BFF" w:rsidRPr="00867B8A" w:rsidRDefault="00D67BFF" w:rsidP="00DF68E9">
      <w:pPr>
        <w:jc w:val="both"/>
        <w:outlineLvl w:val="0"/>
        <w:rPr>
          <w:rFonts w:ascii="Gadugi" w:hAnsi="Gadugi"/>
          <w:b/>
          <w:sz w:val="20"/>
          <w:szCs w:val="20"/>
        </w:rPr>
      </w:pPr>
    </w:p>
    <w:p w:rsidR="00D3412B" w:rsidRPr="00867B8A" w:rsidRDefault="00D3412B" w:rsidP="00DF68E9">
      <w:pPr>
        <w:jc w:val="both"/>
        <w:outlineLvl w:val="0"/>
        <w:rPr>
          <w:rFonts w:ascii="Gadugi" w:hAnsi="Gadugi"/>
          <w:b/>
          <w:sz w:val="20"/>
          <w:szCs w:val="20"/>
        </w:rPr>
      </w:pPr>
    </w:p>
    <w:p w:rsidR="0019366C" w:rsidRPr="00867B8A" w:rsidRDefault="0019366C" w:rsidP="00DF68E9">
      <w:pPr>
        <w:jc w:val="both"/>
        <w:outlineLvl w:val="0"/>
        <w:rPr>
          <w:rFonts w:ascii="Gadugi" w:hAnsi="Gadugi"/>
          <w:b/>
          <w:sz w:val="20"/>
          <w:szCs w:val="20"/>
        </w:rPr>
      </w:pPr>
    </w:p>
    <w:p w:rsidR="0019366C" w:rsidRPr="00867B8A" w:rsidRDefault="0019366C" w:rsidP="00DF68E9">
      <w:pPr>
        <w:jc w:val="both"/>
        <w:outlineLvl w:val="0"/>
        <w:rPr>
          <w:rFonts w:ascii="Gadugi" w:hAnsi="Gadugi"/>
          <w:b/>
          <w:sz w:val="20"/>
          <w:szCs w:val="20"/>
        </w:rPr>
      </w:pPr>
    </w:p>
    <w:p w:rsidR="00DF68E9" w:rsidRPr="00867B8A" w:rsidRDefault="00DF68E9" w:rsidP="00DF68E9">
      <w:pPr>
        <w:pStyle w:val="Prrafodelista"/>
        <w:numPr>
          <w:ilvl w:val="0"/>
          <w:numId w:val="4"/>
        </w:numPr>
        <w:jc w:val="both"/>
        <w:outlineLvl w:val="0"/>
        <w:rPr>
          <w:rFonts w:ascii="Gadugi" w:hAnsi="Gadugi"/>
          <w:b/>
          <w:sz w:val="20"/>
          <w:szCs w:val="20"/>
        </w:rPr>
      </w:pPr>
      <w:bookmarkStart w:id="2" w:name="_Toc479525612"/>
      <w:bookmarkStart w:id="3" w:name="_Toc483335423"/>
      <w:r w:rsidRPr="00867B8A">
        <w:rPr>
          <w:rFonts w:ascii="Gadugi" w:hAnsi="Gadugi"/>
          <w:b/>
          <w:sz w:val="20"/>
          <w:szCs w:val="20"/>
        </w:rPr>
        <w:lastRenderedPageBreak/>
        <w:t>INTRODUCCIÓN</w:t>
      </w:r>
      <w:bookmarkEnd w:id="2"/>
      <w:bookmarkEnd w:id="3"/>
    </w:p>
    <w:p w:rsidR="00DF68E9" w:rsidRPr="00867B8A" w:rsidRDefault="00DF68E9" w:rsidP="00DF68E9">
      <w:pPr>
        <w:jc w:val="both"/>
        <w:rPr>
          <w:rFonts w:ascii="Gadugi" w:hAnsi="Gadugi"/>
          <w:sz w:val="20"/>
          <w:szCs w:val="20"/>
        </w:rPr>
      </w:pPr>
      <w:r w:rsidRPr="00867B8A">
        <w:rPr>
          <w:rFonts w:ascii="Gadugi" w:hAnsi="Gadugi"/>
          <w:sz w:val="20"/>
          <w:szCs w:val="20"/>
        </w:rPr>
        <w:t xml:space="preserve">Como parte del Contrato LCC-SGP-003-2016 de prestación de servicios de consultoría para la </w:t>
      </w:r>
      <w:r w:rsidRPr="00867B8A">
        <w:rPr>
          <w:rFonts w:ascii="Gadugi" w:hAnsi="Gadugi"/>
          <w:b/>
          <w:sz w:val="20"/>
          <w:szCs w:val="20"/>
        </w:rPr>
        <w:t>“Determinación del Modelo de Prestación de Servicio y Administración por Procesos para el Municipio del Distrito Metropolitano de Quito”</w:t>
      </w:r>
      <w:r w:rsidRPr="00867B8A">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E85312" w:rsidRPr="00867B8A" w:rsidRDefault="00E85312" w:rsidP="00E85312">
      <w:pPr>
        <w:jc w:val="both"/>
        <w:rPr>
          <w:rFonts w:ascii="Gadugi" w:hAnsi="Gadugi"/>
          <w:sz w:val="20"/>
          <w:szCs w:val="20"/>
        </w:rPr>
      </w:pPr>
      <w:r w:rsidRPr="00867B8A">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DF68E9" w:rsidRPr="00867B8A" w:rsidRDefault="00E85312" w:rsidP="00E85312">
      <w:pPr>
        <w:jc w:val="both"/>
        <w:rPr>
          <w:rFonts w:ascii="Gadugi" w:eastAsia="Calibri" w:hAnsi="Gadugi" w:cs="Times New Roman"/>
          <w:sz w:val="20"/>
          <w:szCs w:val="20"/>
          <w:highlight w:val="yellow"/>
        </w:rPr>
      </w:pPr>
      <w:r w:rsidRPr="00867B8A">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E85312" w:rsidRPr="00867B8A" w:rsidRDefault="00E85312" w:rsidP="00E85312">
      <w:pPr>
        <w:jc w:val="both"/>
        <w:rPr>
          <w:rFonts w:ascii="Gadugi" w:hAnsi="Gadugi"/>
          <w:sz w:val="20"/>
          <w:szCs w:val="20"/>
        </w:rPr>
      </w:pPr>
      <w:r w:rsidRPr="00867B8A">
        <w:rPr>
          <w:rFonts w:ascii="Gadugi" w:hAnsi="Gadugi"/>
          <w:sz w:val="20"/>
          <w:szCs w:val="20"/>
        </w:rPr>
        <w:t xml:space="preserve">Este documento forma parte del grupo de productos entregables que cubre el alcance de los </w:t>
      </w:r>
      <w:r w:rsidR="00C02ECD" w:rsidRPr="00867B8A">
        <w:rPr>
          <w:rFonts w:ascii="Gadugi" w:hAnsi="Gadugi"/>
          <w:sz w:val="20"/>
          <w:szCs w:val="20"/>
        </w:rPr>
        <w:t>tres (3</w:t>
      </w:r>
      <w:r w:rsidRPr="00867B8A">
        <w:rPr>
          <w:rFonts w:ascii="Gadugi" w:hAnsi="Gadugi"/>
          <w:sz w:val="20"/>
          <w:szCs w:val="20"/>
        </w:rPr>
        <w:t xml:space="preserve">) </w:t>
      </w:r>
      <w:r w:rsidR="00C02ECD" w:rsidRPr="00867B8A">
        <w:rPr>
          <w:rFonts w:ascii="Gadugi" w:hAnsi="Gadugi"/>
          <w:sz w:val="20"/>
          <w:szCs w:val="20"/>
        </w:rPr>
        <w:t>servicios</w:t>
      </w:r>
      <w:r w:rsidRPr="00867B8A">
        <w:rPr>
          <w:rFonts w:ascii="Gadugi" w:hAnsi="Gadugi"/>
          <w:sz w:val="20"/>
          <w:szCs w:val="20"/>
        </w:rPr>
        <w:t xml:space="preserve"> priorizados en base a los requerimientos definidos.</w:t>
      </w:r>
    </w:p>
    <w:p w:rsidR="00E85312" w:rsidRPr="00867B8A" w:rsidRDefault="00E85312" w:rsidP="00E85312">
      <w:pPr>
        <w:jc w:val="both"/>
        <w:rPr>
          <w:rFonts w:ascii="Gadugi" w:hAnsi="Gadugi"/>
          <w:sz w:val="20"/>
          <w:szCs w:val="20"/>
        </w:rPr>
      </w:pPr>
      <w:r w:rsidRPr="00867B8A">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72"/>
        <w:gridCol w:w="9182"/>
      </w:tblGrid>
      <w:tr w:rsidR="00DF68E9" w:rsidRPr="00867B8A" w:rsidTr="00E85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DF68E9" w:rsidRPr="00867B8A" w:rsidRDefault="00DF68E9" w:rsidP="00E85312">
            <w:pPr>
              <w:jc w:val="both"/>
              <w:rPr>
                <w:rFonts w:ascii="Gadugi" w:hAnsi="Gadugi" w:cstheme="minorBidi"/>
                <w:color w:val="FFFFFF" w:themeColor="background1"/>
                <w:sz w:val="20"/>
                <w:szCs w:val="20"/>
              </w:rPr>
            </w:pPr>
            <w:r w:rsidRPr="00867B8A">
              <w:rPr>
                <w:rFonts w:ascii="Gadugi" w:hAnsi="Gadugi" w:cstheme="minorBidi"/>
                <w:color w:val="FFFFFF" w:themeColor="background1"/>
                <w:sz w:val="20"/>
                <w:szCs w:val="20"/>
              </w:rPr>
              <w:t>Servicios priorizados</w:t>
            </w:r>
          </w:p>
        </w:tc>
      </w:tr>
      <w:tr w:rsidR="00DF68E9" w:rsidRPr="00867B8A" w:rsidTr="00E8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DF68E9" w:rsidRPr="00867B8A" w:rsidRDefault="00DF68E9" w:rsidP="00E85312">
            <w:pPr>
              <w:jc w:val="both"/>
              <w:rPr>
                <w:rFonts w:ascii="Gadugi" w:hAnsi="Gadugi" w:cstheme="minorBidi"/>
                <w:sz w:val="20"/>
                <w:szCs w:val="20"/>
              </w:rPr>
            </w:pPr>
            <w:r w:rsidRPr="00867B8A">
              <w:rPr>
                <w:rFonts w:ascii="Gadugi" w:hAnsi="Gadugi" w:cstheme="minorBidi"/>
                <w:sz w:val="20"/>
                <w:szCs w:val="20"/>
              </w:rPr>
              <w:t>No.</w:t>
            </w:r>
          </w:p>
        </w:tc>
        <w:tc>
          <w:tcPr>
            <w:tcW w:w="4659" w:type="pct"/>
          </w:tcPr>
          <w:p w:rsidR="00DF68E9" w:rsidRPr="00867B8A" w:rsidRDefault="00DF68E9" w:rsidP="00E85312">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867B8A">
              <w:rPr>
                <w:rFonts w:ascii="Gadugi" w:hAnsi="Gadugi" w:cstheme="minorBidi"/>
                <w:b/>
                <w:sz w:val="20"/>
                <w:szCs w:val="20"/>
              </w:rPr>
              <w:t>Nombre del Servicio</w:t>
            </w:r>
          </w:p>
        </w:tc>
      </w:tr>
      <w:tr w:rsidR="00DF68E9" w:rsidRPr="00867B8A" w:rsidTr="00E85312">
        <w:tc>
          <w:tcPr>
            <w:cnfStyle w:val="001000000000" w:firstRow="0" w:lastRow="0" w:firstColumn="1" w:lastColumn="0" w:oddVBand="0" w:evenVBand="0" w:oddHBand="0" w:evenHBand="0" w:firstRowFirstColumn="0" w:firstRowLastColumn="0" w:lastRowFirstColumn="0" w:lastRowLastColumn="0"/>
            <w:tcW w:w="341" w:type="pct"/>
          </w:tcPr>
          <w:p w:rsidR="00DF68E9" w:rsidRPr="00867B8A" w:rsidRDefault="00DF68E9" w:rsidP="00E85312">
            <w:pPr>
              <w:jc w:val="both"/>
              <w:rPr>
                <w:rFonts w:ascii="Gadugi" w:hAnsi="Gadugi" w:cstheme="minorBidi"/>
                <w:b w:val="0"/>
                <w:sz w:val="20"/>
                <w:szCs w:val="20"/>
              </w:rPr>
            </w:pPr>
            <w:r w:rsidRPr="00867B8A">
              <w:rPr>
                <w:rFonts w:ascii="Gadugi" w:hAnsi="Gadugi" w:cstheme="minorBidi"/>
                <w:b w:val="0"/>
                <w:sz w:val="20"/>
                <w:szCs w:val="20"/>
              </w:rPr>
              <w:t>1</w:t>
            </w:r>
          </w:p>
        </w:tc>
        <w:tc>
          <w:tcPr>
            <w:tcW w:w="4659" w:type="pct"/>
          </w:tcPr>
          <w:p w:rsidR="00DF68E9" w:rsidRPr="00867B8A" w:rsidRDefault="00DF68E9" w:rsidP="00E85312">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867B8A">
              <w:rPr>
                <w:rFonts w:ascii="Gadugi" w:hAnsi="Gadugi" w:cstheme="minorBidi"/>
                <w:sz w:val="20"/>
                <w:szCs w:val="20"/>
              </w:rPr>
              <w:t>Emisión de viabilidad técnica</w:t>
            </w:r>
          </w:p>
        </w:tc>
      </w:tr>
      <w:tr w:rsidR="00DF68E9" w:rsidRPr="00867B8A" w:rsidTr="00E8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DF68E9" w:rsidRPr="00867B8A" w:rsidRDefault="00DF68E9" w:rsidP="00E85312">
            <w:pPr>
              <w:jc w:val="both"/>
              <w:rPr>
                <w:rFonts w:ascii="Gadugi" w:hAnsi="Gadugi" w:cstheme="minorBidi"/>
                <w:b w:val="0"/>
                <w:sz w:val="20"/>
                <w:szCs w:val="20"/>
              </w:rPr>
            </w:pPr>
            <w:r w:rsidRPr="00867B8A">
              <w:rPr>
                <w:rFonts w:ascii="Gadugi" w:hAnsi="Gadugi" w:cstheme="minorBidi"/>
                <w:b w:val="0"/>
                <w:sz w:val="20"/>
                <w:szCs w:val="20"/>
              </w:rPr>
              <w:t>2</w:t>
            </w:r>
          </w:p>
        </w:tc>
        <w:tc>
          <w:tcPr>
            <w:tcW w:w="4659" w:type="pct"/>
          </w:tcPr>
          <w:p w:rsidR="00DF68E9" w:rsidRPr="00867B8A" w:rsidRDefault="00DF68E9" w:rsidP="00E85312">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867B8A">
              <w:rPr>
                <w:rFonts w:ascii="Gadugi" w:hAnsi="Gadugi" w:cstheme="minorBidi"/>
                <w:sz w:val="20"/>
                <w:szCs w:val="20"/>
              </w:rPr>
              <w:t>Emisión de lice</w:t>
            </w:r>
            <w:r w:rsidR="00D67BFF" w:rsidRPr="00867B8A">
              <w:rPr>
                <w:rFonts w:ascii="Gadugi" w:hAnsi="Gadugi" w:cstheme="minorBidi"/>
                <w:sz w:val="20"/>
                <w:szCs w:val="20"/>
              </w:rPr>
              <w:t>ncias urbanísticas</w:t>
            </w:r>
          </w:p>
        </w:tc>
      </w:tr>
      <w:tr w:rsidR="00DF68E9" w:rsidRPr="00867B8A" w:rsidTr="00E85312">
        <w:tc>
          <w:tcPr>
            <w:cnfStyle w:val="001000000000" w:firstRow="0" w:lastRow="0" w:firstColumn="1" w:lastColumn="0" w:oddVBand="0" w:evenVBand="0" w:oddHBand="0" w:evenHBand="0" w:firstRowFirstColumn="0" w:firstRowLastColumn="0" w:lastRowFirstColumn="0" w:lastRowLastColumn="0"/>
            <w:tcW w:w="341" w:type="pct"/>
          </w:tcPr>
          <w:p w:rsidR="00DF68E9" w:rsidRPr="00867B8A" w:rsidRDefault="00DF68E9" w:rsidP="00E85312">
            <w:pPr>
              <w:jc w:val="both"/>
              <w:rPr>
                <w:rFonts w:ascii="Gadugi" w:hAnsi="Gadugi" w:cstheme="minorBidi"/>
                <w:b w:val="0"/>
                <w:sz w:val="20"/>
                <w:szCs w:val="20"/>
              </w:rPr>
            </w:pPr>
            <w:r w:rsidRPr="00867B8A">
              <w:rPr>
                <w:rFonts w:ascii="Gadugi" w:hAnsi="Gadugi" w:cstheme="minorBidi"/>
                <w:b w:val="0"/>
                <w:sz w:val="20"/>
                <w:szCs w:val="20"/>
              </w:rPr>
              <w:t>3</w:t>
            </w:r>
          </w:p>
        </w:tc>
        <w:tc>
          <w:tcPr>
            <w:tcW w:w="4659" w:type="pct"/>
          </w:tcPr>
          <w:p w:rsidR="00DF68E9" w:rsidRPr="00867B8A" w:rsidRDefault="00E85312" w:rsidP="00E85312">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867B8A">
              <w:rPr>
                <w:rFonts w:ascii="Gadugi" w:hAnsi="Gadugi" w:cstheme="minorBidi"/>
                <w:sz w:val="20"/>
                <w:szCs w:val="20"/>
              </w:rPr>
              <w:t>Regularización Metropolitana de Implantación</w:t>
            </w:r>
          </w:p>
        </w:tc>
      </w:tr>
    </w:tbl>
    <w:p w:rsidR="00DF68E9" w:rsidRPr="00867B8A" w:rsidRDefault="00DF68E9" w:rsidP="00DF68E9">
      <w:pPr>
        <w:rPr>
          <w:rFonts w:ascii="Gadugi" w:eastAsia="Calibri" w:hAnsi="Gadugi" w:cs="Times New Roman"/>
          <w:sz w:val="20"/>
          <w:szCs w:val="20"/>
        </w:rPr>
      </w:pPr>
    </w:p>
    <w:p w:rsidR="00DF68E9" w:rsidRPr="00867B8A" w:rsidRDefault="00DF68E9" w:rsidP="00DF68E9">
      <w:pPr>
        <w:jc w:val="both"/>
        <w:rPr>
          <w:rFonts w:ascii="Gadugi" w:hAnsi="Gadugi"/>
          <w:sz w:val="20"/>
          <w:szCs w:val="20"/>
        </w:rPr>
      </w:pPr>
      <w:r w:rsidRPr="00867B8A">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DF68E9" w:rsidRPr="00867B8A" w:rsidRDefault="00DF68E9" w:rsidP="00DF68E9">
      <w:pPr>
        <w:pStyle w:val="Prrafodelista"/>
        <w:numPr>
          <w:ilvl w:val="0"/>
          <w:numId w:val="5"/>
        </w:numPr>
        <w:jc w:val="both"/>
        <w:rPr>
          <w:rFonts w:ascii="Gadugi" w:hAnsi="Gadugi"/>
          <w:sz w:val="20"/>
          <w:szCs w:val="20"/>
        </w:rPr>
      </w:pPr>
      <w:r w:rsidRPr="00867B8A">
        <w:rPr>
          <w:rFonts w:ascii="Gadugi" w:hAnsi="Gadugi"/>
          <w:sz w:val="20"/>
          <w:szCs w:val="20"/>
        </w:rPr>
        <w:t>Estudios referentes a Desarrollo Institucional del Municipio del Distrito Metropolitano de Quito,</w:t>
      </w:r>
    </w:p>
    <w:p w:rsidR="00DF68E9" w:rsidRPr="00867B8A" w:rsidRDefault="00DF68E9" w:rsidP="00DF68E9">
      <w:pPr>
        <w:pStyle w:val="Prrafodelista"/>
        <w:numPr>
          <w:ilvl w:val="0"/>
          <w:numId w:val="5"/>
        </w:numPr>
        <w:jc w:val="both"/>
        <w:rPr>
          <w:rFonts w:ascii="Gadugi" w:hAnsi="Gadugi"/>
          <w:sz w:val="20"/>
          <w:szCs w:val="20"/>
        </w:rPr>
      </w:pPr>
      <w:r w:rsidRPr="00867B8A">
        <w:rPr>
          <w:rFonts w:ascii="Gadugi" w:hAnsi="Gadugi"/>
          <w:sz w:val="20"/>
          <w:szCs w:val="20"/>
        </w:rPr>
        <w:t>Estructura del MDQ y sus entidades adscritas,</w:t>
      </w:r>
    </w:p>
    <w:p w:rsidR="00DF68E9" w:rsidRPr="00867B8A" w:rsidRDefault="00DF68E9" w:rsidP="00DF68E9">
      <w:pPr>
        <w:pStyle w:val="Prrafodelista"/>
        <w:numPr>
          <w:ilvl w:val="0"/>
          <w:numId w:val="5"/>
        </w:numPr>
        <w:jc w:val="both"/>
        <w:rPr>
          <w:rFonts w:ascii="Gadugi" w:hAnsi="Gadugi"/>
          <w:sz w:val="20"/>
          <w:szCs w:val="20"/>
        </w:rPr>
      </w:pPr>
      <w:r w:rsidRPr="00867B8A">
        <w:rPr>
          <w:rFonts w:ascii="Gadugi" w:hAnsi="Gadugi"/>
          <w:sz w:val="20"/>
          <w:szCs w:val="20"/>
        </w:rPr>
        <w:t>Estatuto Orgánico por Procesos del Municipio del Distrito Metropolitano de Quito,</w:t>
      </w:r>
    </w:p>
    <w:p w:rsidR="00DF68E9" w:rsidRPr="00867B8A" w:rsidRDefault="00DF68E9" w:rsidP="00DF68E9">
      <w:pPr>
        <w:pStyle w:val="Prrafodelista"/>
        <w:numPr>
          <w:ilvl w:val="0"/>
          <w:numId w:val="5"/>
        </w:numPr>
        <w:jc w:val="both"/>
        <w:rPr>
          <w:rFonts w:ascii="Gadugi" w:hAnsi="Gadugi"/>
          <w:sz w:val="20"/>
          <w:szCs w:val="20"/>
        </w:rPr>
      </w:pPr>
      <w:r w:rsidRPr="00867B8A">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DF68E9" w:rsidRPr="00867B8A" w:rsidRDefault="00DF68E9" w:rsidP="00DF68E9">
      <w:pPr>
        <w:pStyle w:val="Prrafodelista"/>
        <w:numPr>
          <w:ilvl w:val="0"/>
          <w:numId w:val="5"/>
        </w:numPr>
        <w:jc w:val="both"/>
        <w:rPr>
          <w:rFonts w:ascii="Gadugi" w:hAnsi="Gadugi"/>
          <w:sz w:val="20"/>
          <w:szCs w:val="20"/>
        </w:rPr>
      </w:pPr>
      <w:r w:rsidRPr="00867B8A">
        <w:rPr>
          <w:rFonts w:ascii="Gadugi" w:hAnsi="Gadugi"/>
          <w:sz w:val="20"/>
          <w:szCs w:val="20"/>
        </w:rPr>
        <w:t>Resultados de otras consultorías ejecutadas,</w:t>
      </w:r>
    </w:p>
    <w:p w:rsidR="00DF68E9" w:rsidRPr="00867B8A" w:rsidRDefault="00DF68E9" w:rsidP="00DF68E9">
      <w:pPr>
        <w:pStyle w:val="Prrafodelista"/>
        <w:numPr>
          <w:ilvl w:val="0"/>
          <w:numId w:val="5"/>
        </w:numPr>
        <w:jc w:val="both"/>
        <w:rPr>
          <w:rFonts w:ascii="Gadugi" w:hAnsi="Gadugi"/>
          <w:sz w:val="20"/>
          <w:szCs w:val="20"/>
        </w:rPr>
      </w:pPr>
      <w:r w:rsidRPr="00867B8A">
        <w:rPr>
          <w:rFonts w:ascii="Gadugi" w:hAnsi="Gadugi"/>
          <w:sz w:val="20"/>
          <w:szCs w:val="20"/>
        </w:rPr>
        <w:t>Marco normativo que regula los servicios y procesos seleccionados.</w:t>
      </w:r>
    </w:p>
    <w:p w:rsidR="00DF68E9" w:rsidRPr="00867B8A" w:rsidRDefault="00DF68E9" w:rsidP="00DF68E9">
      <w:pPr>
        <w:jc w:val="both"/>
        <w:rPr>
          <w:rFonts w:ascii="Gadugi" w:hAnsi="Gadugi"/>
          <w:sz w:val="20"/>
          <w:szCs w:val="20"/>
        </w:rPr>
      </w:pPr>
      <w:r w:rsidRPr="00867B8A">
        <w:rPr>
          <w:rFonts w:ascii="Gadugi" w:hAnsi="Gadugi"/>
          <w:sz w:val="20"/>
          <w:szCs w:val="20"/>
        </w:rPr>
        <w:t>Además de esta documentación, se analizó también la información levantada por MRProcessi durante los talleres ejecutados con los servidores municipales.</w:t>
      </w:r>
    </w:p>
    <w:p w:rsidR="00DF68E9" w:rsidRPr="00867B8A" w:rsidRDefault="00DF68E9" w:rsidP="00DF68E9">
      <w:pPr>
        <w:rPr>
          <w:rFonts w:ascii="Gadugi" w:hAnsi="Gadugi"/>
          <w:sz w:val="20"/>
          <w:szCs w:val="20"/>
        </w:rPr>
      </w:pPr>
    </w:p>
    <w:p w:rsidR="00DF68E9" w:rsidRPr="00867B8A" w:rsidRDefault="00DF68E9" w:rsidP="00DF68E9">
      <w:pPr>
        <w:pStyle w:val="Prrafodelista"/>
        <w:numPr>
          <w:ilvl w:val="1"/>
          <w:numId w:val="3"/>
        </w:numPr>
        <w:outlineLvl w:val="1"/>
        <w:rPr>
          <w:rFonts w:ascii="Gadugi" w:hAnsi="Gadugi"/>
          <w:b/>
          <w:sz w:val="20"/>
          <w:szCs w:val="20"/>
        </w:rPr>
      </w:pPr>
      <w:bookmarkStart w:id="4" w:name="_Toc479525613"/>
      <w:bookmarkStart w:id="5" w:name="_Toc483335424"/>
      <w:r w:rsidRPr="00867B8A">
        <w:rPr>
          <w:rFonts w:ascii="Gadugi" w:hAnsi="Gadugi"/>
          <w:b/>
          <w:sz w:val="20"/>
          <w:szCs w:val="20"/>
        </w:rPr>
        <w:lastRenderedPageBreak/>
        <w:t>Propósito del documento</w:t>
      </w:r>
      <w:bookmarkEnd w:id="4"/>
      <w:bookmarkEnd w:id="5"/>
    </w:p>
    <w:p w:rsidR="00DF68E9" w:rsidRPr="00867B8A" w:rsidRDefault="00DF68E9" w:rsidP="00DF68E9">
      <w:pPr>
        <w:jc w:val="both"/>
        <w:rPr>
          <w:rFonts w:ascii="Gadugi" w:hAnsi="Gadugi"/>
          <w:sz w:val="20"/>
          <w:szCs w:val="20"/>
        </w:rPr>
      </w:pPr>
      <w:r w:rsidRPr="00867B8A">
        <w:rPr>
          <w:rFonts w:ascii="Gadugi" w:hAnsi="Gadugi"/>
          <w:sz w:val="20"/>
          <w:szCs w:val="20"/>
        </w:rPr>
        <w:t xml:space="preserve">El propósito del presente documento es presentar los resultados cuantitativos del </w:t>
      </w:r>
      <w:r w:rsidR="000202D1" w:rsidRPr="00867B8A">
        <w:rPr>
          <w:rFonts w:ascii="Gadugi" w:hAnsi="Gadugi"/>
          <w:sz w:val="20"/>
          <w:szCs w:val="20"/>
        </w:rPr>
        <w:t>portafolio</w:t>
      </w:r>
      <w:r w:rsidRPr="00867B8A">
        <w:rPr>
          <w:rFonts w:ascii="Gadugi" w:hAnsi="Gadugi"/>
          <w:sz w:val="20"/>
          <w:szCs w:val="20"/>
        </w:rPr>
        <w:t xml:space="preserve"> de </w:t>
      </w:r>
      <w:r w:rsidR="000202D1" w:rsidRPr="00867B8A">
        <w:rPr>
          <w:rFonts w:ascii="Gadugi" w:hAnsi="Gadugi"/>
          <w:sz w:val="20"/>
          <w:szCs w:val="20"/>
        </w:rPr>
        <w:t>servicios</w:t>
      </w:r>
      <w:r w:rsidRPr="00867B8A">
        <w:rPr>
          <w:rFonts w:ascii="Gadugi" w:hAnsi="Gadugi"/>
          <w:sz w:val="20"/>
          <w:szCs w:val="20"/>
        </w:rPr>
        <w:t xml:space="preserve"> en base a los criterios de calificación definidos (v</w:t>
      </w:r>
      <w:r w:rsidR="000202D1" w:rsidRPr="00867B8A">
        <w:rPr>
          <w:rFonts w:ascii="Gadugi" w:hAnsi="Gadugi"/>
          <w:sz w:val="20"/>
          <w:szCs w:val="20"/>
        </w:rPr>
        <w:t>ariables) y priorizar los tres</w:t>
      </w:r>
      <w:r w:rsidRPr="00867B8A">
        <w:rPr>
          <w:rFonts w:ascii="Gadugi" w:hAnsi="Gadugi"/>
          <w:sz w:val="20"/>
          <w:szCs w:val="20"/>
        </w:rPr>
        <w:t xml:space="preserve"> (</w:t>
      </w:r>
      <w:r w:rsidR="000202D1" w:rsidRPr="00867B8A">
        <w:rPr>
          <w:rFonts w:ascii="Gadugi" w:hAnsi="Gadugi"/>
          <w:sz w:val="20"/>
          <w:szCs w:val="20"/>
        </w:rPr>
        <w:t>3</w:t>
      </w:r>
      <w:r w:rsidRPr="00867B8A">
        <w:rPr>
          <w:rFonts w:ascii="Gadugi" w:hAnsi="Gadugi"/>
          <w:sz w:val="20"/>
          <w:szCs w:val="20"/>
        </w:rPr>
        <w:t xml:space="preserve">) </w:t>
      </w:r>
      <w:r w:rsidR="000202D1" w:rsidRPr="00867B8A">
        <w:rPr>
          <w:rFonts w:ascii="Gadugi" w:hAnsi="Gadugi"/>
          <w:sz w:val="20"/>
          <w:szCs w:val="20"/>
        </w:rPr>
        <w:t>servicios</w:t>
      </w:r>
      <w:r w:rsidRPr="00867B8A">
        <w:rPr>
          <w:rFonts w:ascii="Gadugi" w:hAnsi="Gadugi"/>
          <w:sz w:val="20"/>
          <w:szCs w:val="20"/>
        </w:rPr>
        <w:t xml:space="preserve"> que obtengan la mayor calificación y que serán seleccionados para el mejoramiento. Cabe recalcar que una de las variables definitivas para la selección de los </w:t>
      </w:r>
      <w:r w:rsidR="000202D1" w:rsidRPr="00867B8A">
        <w:rPr>
          <w:rFonts w:ascii="Gadugi" w:hAnsi="Gadugi"/>
          <w:sz w:val="20"/>
          <w:szCs w:val="20"/>
        </w:rPr>
        <w:t>servicios</w:t>
      </w:r>
      <w:r w:rsidRPr="00867B8A">
        <w:rPr>
          <w:rFonts w:ascii="Gadugi" w:hAnsi="Gadugi"/>
          <w:sz w:val="20"/>
          <w:szCs w:val="20"/>
        </w:rPr>
        <w:t xml:space="preserve"> será la necesidad institucional, por lo que la Administración del Contrato tiene la potes</w:t>
      </w:r>
      <w:r w:rsidR="000202D1" w:rsidRPr="00867B8A">
        <w:rPr>
          <w:rFonts w:ascii="Gadugi" w:hAnsi="Gadugi"/>
          <w:sz w:val="20"/>
          <w:szCs w:val="20"/>
        </w:rPr>
        <w:t xml:space="preserve">tad para seleccionar un servicio </w:t>
      </w:r>
      <w:r w:rsidRPr="00867B8A">
        <w:rPr>
          <w:rFonts w:ascii="Gadugi" w:hAnsi="Gadugi"/>
          <w:sz w:val="20"/>
          <w:szCs w:val="20"/>
        </w:rPr>
        <w:t>independientemente de si se encuentra calificado como priorizado o no, de acuerdo a los resultados de las variables.</w:t>
      </w:r>
    </w:p>
    <w:p w:rsidR="00DF68E9" w:rsidRPr="00867B8A" w:rsidRDefault="000202D1" w:rsidP="00DF68E9">
      <w:pPr>
        <w:jc w:val="both"/>
        <w:rPr>
          <w:rFonts w:ascii="Gadugi" w:hAnsi="Gadugi"/>
          <w:sz w:val="20"/>
          <w:szCs w:val="20"/>
        </w:rPr>
      </w:pPr>
      <w:r w:rsidRPr="00867B8A">
        <w:rPr>
          <w:rFonts w:ascii="Gadugi" w:hAnsi="Gadugi"/>
          <w:sz w:val="20"/>
          <w:szCs w:val="20"/>
        </w:rPr>
        <w:t>Los servicios</w:t>
      </w:r>
      <w:r w:rsidR="00DF68E9" w:rsidRPr="00867B8A">
        <w:rPr>
          <w:rFonts w:ascii="Gadugi" w:hAnsi="Gadugi"/>
          <w:sz w:val="20"/>
          <w:szCs w:val="20"/>
        </w:rPr>
        <w:t xml:space="preserve"> podrán ser priorizados por requerimiento institucional o decisión política sin importar su calificación final.</w:t>
      </w:r>
    </w:p>
    <w:p w:rsidR="00344003" w:rsidRPr="00867B8A" w:rsidRDefault="00344003" w:rsidP="00DD5FCE">
      <w:pPr>
        <w:jc w:val="both"/>
        <w:outlineLvl w:val="0"/>
        <w:rPr>
          <w:rFonts w:ascii="Gadugi" w:hAnsi="Gadugi"/>
          <w:sz w:val="20"/>
          <w:szCs w:val="20"/>
        </w:rPr>
      </w:pPr>
    </w:p>
    <w:p w:rsidR="00344003" w:rsidRPr="00867B8A" w:rsidRDefault="00697686" w:rsidP="00DD5FCE">
      <w:pPr>
        <w:pStyle w:val="Prrafodelista"/>
        <w:numPr>
          <w:ilvl w:val="0"/>
          <w:numId w:val="4"/>
        </w:numPr>
        <w:jc w:val="both"/>
        <w:outlineLvl w:val="0"/>
        <w:rPr>
          <w:rFonts w:ascii="Gadugi" w:hAnsi="Gadugi"/>
          <w:b/>
          <w:sz w:val="20"/>
          <w:szCs w:val="20"/>
        </w:rPr>
      </w:pPr>
      <w:bookmarkStart w:id="6" w:name="_Toc483335425"/>
      <w:r w:rsidRPr="00867B8A">
        <w:rPr>
          <w:rFonts w:ascii="Gadugi" w:hAnsi="Gadugi"/>
          <w:b/>
          <w:sz w:val="20"/>
          <w:szCs w:val="20"/>
        </w:rPr>
        <w:t>MATRIZ DE PRIORIZACIÓN</w:t>
      </w:r>
      <w:r w:rsidR="00DD5FCE" w:rsidRPr="00867B8A">
        <w:rPr>
          <w:rFonts w:ascii="Gadugi" w:hAnsi="Gadugi"/>
          <w:b/>
          <w:sz w:val="20"/>
          <w:szCs w:val="20"/>
        </w:rPr>
        <w:t xml:space="preserve"> DE SERVICIOS</w:t>
      </w:r>
      <w:bookmarkEnd w:id="6"/>
    </w:p>
    <w:p w:rsidR="00DD5FCE" w:rsidRPr="00867B8A" w:rsidRDefault="00DD5FCE" w:rsidP="00DD5FCE">
      <w:pPr>
        <w:pStyle w:val="Prrafodelista"/>
        <w:numPr>
          <w:ilvl w:val="0"/>
          <w:numId w:val="8"/>
        </w:numPr>
        <w:jc w:val="both"/>
        <w:outlineLvl w:val="0"/>
        <w:rPr>
          <w:rFonts w:ascii="Gadugi" w:hAnsi="Gadugi"/>
          <w:b/>
          <w:vanish/>
          <w:sz w:val="20"/>
          <w:szCs w:val="20"/>
        </w:rPr>
      </w:pPr>
      <w:bookmarkStart w:id="7" w:name="_Toc481322960"/>
      <w:bookmarkStart w:id="8" w:name="_Toc481322988"/>
      <w:bookmarkStart w:id="9" w:name="_Toc483248825"/>
      <w:bookmarkStart w:id="10" w:name="_Toc483335426"/>
      <w:bookmarkEnd w:id="7"/>
      <w:bookmarkEnd w:id="8"/>
      <w:bookmarkEnd w:id="9"/>
      <w:bookmarkEnd w:id="10"/>
    </w:p>
    <w:p w:rsidR="00DD5FCE" w:rsidRPr="00867B8A" w:rsidRDefault="00DD5FCE" w:rsidP="00DD5FCE">
      <w:pPr>
        <w:pStyle w:val="Prrafodelista"/>
        <w:numPr>
          <w:ilvl w:val="0"/>
          <w:numId w:val="8"/>
        </w:numPr>
        <w:jc w:val="both"/>
        <w:outlineLvl w:val="0"/>
        <w:rPr>
          <w:rFonts w:ascii="Gadugi" w:hAnsi="Gadugi"/>
          <w:b/>
          <w:vanish/>
          <w:sz w:val="20"/>
          <w:szCs w:val="20"/>
        </w:rPr>
      </w:pPr>
      <w:bookmarkStart w:id="11" w:name="_Toc481322961"/>
      <w:bookmarkStart w:id="12" w:name="_Toc481322989"/>
      <w:bookmarkStart w:id="13" w:name="_Toc483248826"/>
      <w:bookmarkStart w:id="14" w:name="_Toc483335427"/>
      <w:bookmarkEnd w:id="11"/>
      <w:bookmarkEnd w:id="12"/>
      <w:bookmarkEnd w:id="13"/>
      <w:bookmarkEnd w:id="14"/>
    </w:p>
    <w:p w:rsidR="00BB143C" w:rsidRPr="00867B8A" w:rsidRDefault="00BB143C" w:rsidP="00D3412B">
      <w:pPr>
        <w:rPr>
          <w:rFonts w:ascii="Gadugi" w:hAnsi="Gadugi"/>
          <w:sz w:val="20"/>
          <w:szCs w:val="20"/>
        </w:rPr>
      </w:pPr>
      <w:r w:rsidRPr="00867B8A">
        <w:rPr>
          <w:rFonts w:ascii="Gadugi" w:hAnsi="Gadugi"/>
          <w:sz w:val="20"/>
          <w:szCs w:val="20"/>
        </w:rPr>
        <w:t>Con la finalidad de realizar la priorización de los servicios se han definido las variables propuestas por la empresa Consultora MRProcessi Cía. Ltda. las mismas que fueron puestas para socialización de la Administración del Contrato conforme el detalle en los siguientes apartados:</w:t>
      </w:r>
    </w:p>
    <w:p w:rsidR="007109EF" w:rsidRPr="00867B8A" w:rsidRDefault="007109EF" w:rsidP="00D3412B">
      <w:pPr>
        <w:rPr>
          <w:rFonts w:ascii="Gadugi" w:hAnsi="Gadugi"/>
          <w:b/>
          <w:sz w:val="20"/>
          <w:szCs w:val="20"/>
        </w:rPr>
      </w:pPr>
    </w:p>
    <w:p w:rsidR="00344003" w:rsidRPr="00867B8A" w:rsidRDefault="00DD5FCE" w:rsidP="00DD5FCE">
      <w:pPr>
        <w:pStyle w:val="Prrafodelista"/>
        <w:numPr>
          <w:ilvl w:val="1"/>
          <w:numId w:val="8"/>
        </w:numPr>
        <w:jc w:val="both"/>
        <w:outlineLvl w:val="1"/>
        <w:rPr>
          <w:rFonts w:ascii="Gadugi" w:hAnsi="Gadugi"/>
          <w:b/>
          <w:sz w:val="20"/>
          <w:szCs w:val="20"/>
        </w:rPr>
      </w:pPr>
      <w:bookmarkStart w:id="15" w:name="_Toc483335428"/>
      <w:r w:rsidRPr="00867B8A">
        <w:rPr>
          <w:rFonts w:ascii="Gadugi" w:hAnsi="Gadugi"/>
          <w:b/>
          <w:sz w:val="20"/>
          <w:szCs w:val="20"/>
        </w:rPr>
        <w:t>Criterios (variables) iniciales propuestos</w:t>
      </w:r>
      <w:bookmarkEnd w:id="15"/>
    </w:p>
    <w:tbl>
      <w:tblPr>
        <w:tblW w:w="0" w:type="auto"/>
        <w:tblCellMar>
          <w:left w:w="70" w:type="dxa"/>
          <w:right w:w="70" w:type="dxa"/>
        </w:tblCellMar>
        <w:tblLook w:val="04A0" w:firstRow="1" w:lastRow="0" w:firstColumn="1" w:lastColumn="0" w:noHBand="0" w:noVBand="1"/>
      </w:tblPr>
      <w:tblGrid>
        <w:gridCol w:w="2585"/>
        <w:gridCol w:w="7193"/>
      </w:tblGrid>
      <w:tr w:rsidR="00BB143C" w:rsidRPr="00867B8A" w:rsidTr="007062A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222A35" w:themeFill="text2" w:themeFillShade="80"/>
            <w:noWrap/>
            <w:vAlign w:val="center"/>
          </w:tcPr>
          <w:p w:rsidR="00BB143C" w:rsidRPr="00867B8A" w:rsidRDefault="00BB143C" w:rsidP="0019366C">
            <w:pPr>
              <w:widowControl w:val="0"/>
              <w:tabs>
                <w:tab w:val="left" w:pos="709"/>
              </w:tabs>
              <w:suppressAutoHyphens/>
              <w:spacing w:after="0" w:line="240" w:lineRule="auto"/>
              <w:jc w:val="center"/>
              <w:rPr>
                <w:rFonts w:ascii="Gadugi" w:hAnsi="Gadugi"/>
                <w:b/>
                <w:sz w:val="20"/>
                <w:szCs w:val="20"/>
              </w:rPr>
            </w:pPr>
            <w:r w:rsidRPr="00867B8A">
              <w:rPr>
                <w:rFonts w:ascii="Gadugi" w:hAnsi="Gadugi"/>
                <w:b/>
                <w:sz w:val="20"/>
                <w:szCs w:val="20"/>
              </w:rPr>
              <w:t>Criterio</w:t>
            </w:r>
          </w:p>
        </w:tc>
        <w:tc>
          <w:tcPr>
            <w:tcW w:w="0" w:type="auto"/>
            <w:tcBorders>
              <w:top w:val="single" w:sz="4" w:space="0" w:color="auto"/>
              <w:left w:val="nil"/>
              <w:bottom w:val="single" w:sz="4" w:space="0" w:color="auto"/>
              <w:right w:val="single" w:sz="4" w:space="0" w:color="auto"/>
            </w:tcBorders>
            <w:shd w:val="clear" w:color="auto" w:fill="222A35" w:themeFill="text2" w:themeFillShade="80"/>
            <w:noWrap/>
            <w:vAlign w:val="center"/>
          </w:tcPr>
          <w:p w:rsidR="00BB143C" w:rsidRPr="00867B8A" w:rsidRDefault="00BB143C" w:rsidP="0019366C">
            <w:pPr>
              <w:widowControl w:val="0"/>
              <w:tabs>
                <w:tab w:val="left" w:pos="709"/>
              </w:tabs>
              <w:suppressAutoHyphens/>
              <w:spacing w:after="0" w:line="240" w:lineRule="auto"/>
              <w:jc w:val="center"/>
              <w:rPr>
                <w:rFonts w:ascii="Gadugi" w:hAnsi="Gadugi"/>
                <w:b/>
                <w:sz w:val="20"/>
                <w:szCs w:val="20"/>
              </w:rPr>
            </w:pPr>
            <w:r w:rsidRPr="00867B8A">
              <w:rPr>
                <w:rFonts w:ascii="Gadugi" w:hAnsi="Gadugi"/>
                <w:b/>
                <w:sz w:val="20"/>
                <w:szCs w:val="20"/>
              </w:rPr>
              <w:t>Descripción</w:t>
            </w:r>
          </w:p>
        </w:tc>
      </w:tr>
      <w:tr w:rsidR="00BB143C" w:rsidRPr="00867B8A" w:rsidTr="00BB143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Transaccionalidad</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Cantidad de transacciones que el ciudadano debe ejecutar para poder ejecutar un proceso específico, por ejemplo pedir permisos, adquirir un certificado, realizar pago</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Demanda de la ciudadanía</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La cantidad de veces que el proceso se ejecuta o número de instancias ejecutadas dentro de un periodo de tiempo.</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Satisfacción del usuario</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Medida en que los servicios brindados cumplen o rebasan las expectativas del ciudadano</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Esfuerzo en el trámite</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 xml:space="preserve">Métrica que determina el esfuerzo que realiza el ciudadano para interactuar en los distintos puntos de contacto para obtener un servicio, que tan fácil o tan difícil </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Momentos de verdad en las interacciones</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 xml:space="preserve">Cantidad de puntos del servicio donde el cliente se siente frustrado, perdido o aburrido  </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Nivel de reclamos y quejas</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 xml:space="preserve">Quejas de la ciudadanía por inconformidad en el servicio </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Alineamiento a los objetivos estratégicos</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Está enfocado al cumplimiento de metas y a los resultados que la empresa pretende alcanzar?</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 xml:space="preserve">Tiempo de ciclo </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Describe cuánto tiempo toma completar una tarea específica desde el comienzo hasta el final</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Asignación presupuestaría</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Capacidad de la institución para generar y movilizar adecuadamente los recursos financieros en el marco de sus objetivos.</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Comunicación e información al ciudadano</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El valor de la información  provista al ciudadano por cualquier medio como: horas de apertura y atención de las instalaciones, horas de habilitado el portal web, horas de recepción de trámites, horas de recepción de denuncias</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Comunicación</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Grado de interacción del ciudadano con el funcionario municipal para recibir o proveer información (aplica comunicación por email, presencial, telefónica o cualquier tipo)</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lastRenderedPageBreak/>
              <w:t>Nivel de automatización del servicio</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 La ejecución del servicio se encuentra soportada por tecnologías de la información? En qué grado? Está automatizado semiautomatizado o no esta automatizado y es enteramente manual</w:t>
            </w:r>
          </w:p>
        </w:tc>
      </w:tr>
      <w:tr w:rsidR="00BB143C" w:rsidRPr="00867B8A" w:rsidTr="00BB143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Costo de ejecución del proceso</w:t>
            </w:r>
          </w:p>
        </w:tc>
        <w:tc>
          <w:tcPr>
            <w:tcW w:w="0" w:type="auto"/>
            <w:tcBorders>
              <w:top w:val="nil"/>
              <w:left w:val="nil"/>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Cantidad de recursos monetarios que demanda las distintas actividades de un proceso</w:t>
            </w:r>
          </w:p>
        </w:tc>
      </w:tr>
      <w:tr w:rsidR="00BB143C" w:rsidRPr="00867B8A" w:rsidTr="00BB143C">
        <w:trPr>
          <w:trHeight w:val="255"/>
        </w:trPr>
        <w:tc>
          <w:tcPr>
            <w:tcW w:w="0" w:type="auto"/>
            <w:tcBorders>
              <w:top w:val="single" w:sz="4" w:space="0" w:color="auto"/>
              <w:left w:val="single" w:sz="4" w:space="0" w:color="auto"/>
              <w:bottom w:val="single" w:sz="4" w:space="0" w:color="auto"/>
              <w:right w:val="nil"/>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Número de instituciones involucradas en el proceso</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Cantidad de instituciones que interactúan en los distintos puntos con el proceso</w:t>
            </w:r>
          </w:p>
        </w:tc>
      </w:tr>
      <w:tr w:rsidR="00BB143C" w:rsidRPr="00867B8A" w:rsidTr="00BB143C">
        <w:trPr>
          <w:trHeight w:val="255"/>
        </w:trPr>
        <w:tc>
          <w:tcPr>
            <w:tcW w:w="0" w:type="auto"/>
            <w:tcBorders>
              <w:top w:val="single" w:sz="4" w:space="0" w:color="auto"/>
              <w:left w:val="single" w:sz="4" w:space="0" w:color="auto"/>
              <w:bottom w:val="single" w:sz="4" w:space="0" w:color="auto"/>
              <w:right w:val="nil"/>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Nivel de cooperación e integración con otras instituciones (tecnológicamente)</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143C" w:rsidRPr="00867B8A" w:rsidRDefault="00BB143C" w:rsidP="0019366C">
            <w:pPr>
              <w:spacing w:after="0" w:line="240" w:lineRule="auto"/>
              <w:rPr>
                <w:rFonts w:ascii="Gadugi" w:hAnsi="Gadugi" w:cs="Calibri"/>
                <w:sz w:val="20"/>
                <w:szCs w:val="20"/>
              </w:rPr>
            </w:pPr>
            <w:r w:rsidRPr="00867B8A">
              <w:rPr>
                <w:rFonts w:ascii="Gadugi" w:hAnsi="Gadugi" w:cs="Calibri"/>
                <w:sz w:val="20"/>
                <w:szCs w:val="20"/>
              </w:rPr>
              <w:t>Grado de interacción entre y relación con otras entidades y apoyo por medio de TIC´s</w:t>
            </w:r>
          </w:p>
        </w:tc>
      </w:tr>
    </w:tbl>
    <w:p w:rsidR="00BB143C" w:rsidRPr="00867B8A" w:rsidRDefault="00BB143C" w:rsidP="00BB143C">
      <w:pPr>
        <w:jc w:val="both"/>
        <w:outlineLvl w:val="1"/>
        <w:rPr>
          <w:rFonts w:ascii="Gadugi" w:hAnsi="Gadugi"/>
          <w:b/>
          <w:sz w:val="20"/>
          <w:szCs w:val="20"/>
        </w:rPr>
      </w:pPr>
    </w:p>
    <w:p w:rsidR="007109EF" w:rsidRPr="00867B8A" w:rsidRDefault="007109EF" w:rsidP="00BB143C">
      <w:pPr>
        <w:jc w:val="both"/>
        <w:outlineLvl w:val="1"/>
        <w:rPr>
          <w:rFonts w:ascii="Gadugi" w:hAnsi="Gadugi"/>
          <w:b/>
          <w:sz w:val="20"/>
          <w:szCs w:val="20"/>
        </w:rPr>
      </w:pPr>
    </w:p>
    <w:p w:rsidR="00BB143C" w:rsidRPr="00867B8A" w:rsidRDefault="00BB143C" w:rsidP="00BB143C">
      <w:pPr>
        <w:pStyle w:val="Prrafodelista"/>
        <w:numPr>
          <w:ilvl w:val="1"/>
          <w:numId w:val="8"/>
        </w:numPr>
        <w:jc w:val="both"/>
        <w:outlineLvl w:val="1"/>
        <w:rPr>
          <w:rFonts w:ascii="Gadugi" w:hAnsi="Gadugi"/>
          <w:b/>
          <w:sz w:val="20"/>
          <w:szCs w:val="20"/>
        </w:rPr>
      </w:pPr>
      <w:bookmarkStart w:id="16" w:name="_Toc479525617"/>
      <w:bookmarkStart w:id="17" w:name="_Toc483335429"/>
      <w:r w:rsidRPr="00867B8A">
        <w:rPr>
          <w:rFonts w:ascii="Gadugi" w:hAnsi="Gadugi"/>
          <w:b/>
          <w:sz w:val="20"/>
          <w:szCs w:val="20"/>
        </w:rPr>
        <w:t>Criterios (variables) pre-seleccionados entre las partes y criterios de ponderación:</w:t>
      </w:r>
      <w:bookmarkEnd w:id="16"/>
      <w:bookmarkEnd w:id="17"/>
    </w:p>
    <w:p w:rsidR="00BB143C" w:rsidRPr="00867B8A" w:rsidRDefault="00BB143C" w:rsidP="00BB143C">
      <w:pPr>
        <w:jc w:val="both"/>
        <w:rPr>
          <w:rFonts w:ascii="Gadugi" w:hAnsi="Gadugi"/>
          <w:sz w:val="20"/>
          <w:szCs w:val="20"/>
        </w:rPr>
      </w:pPr>
      <w:r w:rsidRPr="00867B8A">
        <w:rPr>
          <w:rFonts w:ascii="Gadugi" w:hAnsi="Gadugi"/>
          <w:sz w:val="20"/>
          <w:szCs w:val="20"/>
        </w:rPr>
        <w:t>En los acercamientos preliminares entre la Administración del Contrato y la Empresa Consultora, se definieron como variables probables a ser utilizadas las siguientes:</w:t>
      </w:r>
    </w:p>
    <w:tbl>
      <w:tblPr>
        <w:tblW w:w="0" w:type="auto"/>
        <w:tblInd w:w="80" w:type="dxa"/>
        <w:tblCellMar>
          <w:left w:w="70" w:type="dxa"/>
          <w:right w:w="70" w:type="dxa"/>
        </w:tblCellMar>
        <w:tblLook w:val="04A0" w:firstRow="1" w:lastRow="0" w:firstColumn="1" w:lastColumn="0" w:noHBand="0" w:noVBand="1"/>
      </w:tblPr>
      <w:tblGrid>
        <w:gridCol w:w="1786"/>
        <w:gridCol w:w="4023"/>
        <w:gridCol w:w="3889"/>
      </w:tblGrid>
      <w:tr w:rsidR="00837454" w:rsidRPr="00867B8A" w:rsidTr="007062AF">
        <w:trPr>
          <w:trHeight w:val="319"/>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222A35" w:themeFill="text2" w:themeFillShade="80"/>
            <w:noWrap/>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VARIABLES DE PRIORIZACIÓN SERVICIOS</w:t>
            </w:r>
          </w:p>
        </w:tc>
      </w:tr>
      <w:tr w:rsidR="00837454" w:rsidRPr="00867B8A" w:rsidTr="007062AF">
        <w:trPr>
          <w:trHeight w:val="319"/>
        </w:trPr>
        <w:tc>
          <w:tcPr>
            <w:tcW w:w="0" w:type="auto"/>
            <w:gridSpan w:val="3"/>
            <w:vMerge/>
            <w:tcBorders>
              <w:top w:val="single" w:sz="8" w:space="0" w:color="auto"/>
              <w:left w:val="single" w:sz="8" w:space="0" w:color="auto"/>
              <w:bottom w:val="single" w:sz="8" w:space="0" w:color="000000"/>
              <w:right w:val="single" w:sz="8" w:space="0" w:color="000000"/>
            </w:tcBorders>
            <w:shd w:val="clear" w:color="auto" w:fill="222A35" w:themeFill="text2" w:themeFillShade="80"/>
            <w:vAlign w:val="center"/>
            <w:hideMark/>
          </w:tcPr>
          <w:p w:rsidR="00837454" w:rsidRPr="00867B8A" w:rsidRDefault="00837454" w:rsidP="0019366C">
            <w:pPr>
              <w:spacing w:after="0" w:line="240" w:lineRule="auto"/>
              <w:rPr>
                <w:rFonts w:ascii="Gadugi" w:eastAsia="Times New Roman" w:hAnsi="Gadugi" w:cstheme="majorHAnsi"/>
                <w:b/>
                <w:bCs/>
                <w:color w:val="FFFFFF"/>
                <w:sz w:val="20"/>
                <w:szCs w:val="20"/>
                <w:lang w:val="es-EC" w:eastAsia="es-EC"/>
              </w:rPr>
            </w:pPr>
          </w:p>
        </w:tc>
      </w:tr>
      <w:tr w:rsidR="00837454" w:rsidRPr="00867B8A" w:rsidTr="007062AF">
        <w:trPr>
          <w:trHeight w:val="330"/>
        </w:trPr>
        <w:tc>
          <w:tcPr>
            <w:tcW w:w="0" w:type="auto"/>
            <w:tcBorders>
              <w:top w:val="nil"/>
              <w:left w:val="single" w:sz="8" w:space="0" w:color="auto"/>
              <w:bottom w:val="single" w:sz="8" w:space="0" w:color="auto"/>
              <w:right w:val="single" w:sz="8" w:space="0" w:color="auto"/>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 xml:space="preserve">VARIABLE </w:t>
            </w:r>
          </w:p>
        </w:tc>
        <w:tc>
          <w:tcPr>
            <w:tcW w:w="0" w:type="auto"/>
            <w:tcBorders>
              <w:top w:val="nil"/>
              <w:left w:val="nil"/>
              <w:bottom w:val="single" w:sz="8" w:space="0" w:color="auto"/>
              <w:right w:val="single" w:sz="4" w:space="0" w:color="auto"/>
            </w:tcBorders>
            <w:shd w:val="clear" w:color="auto" w:fill="222A35" w:themeFill="text2" w:themeFillShade="80"/>
            <w:noWrap/>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DESCRIPCIÓN</w:t>
            </w:r>
          </w:p>
        </w:tc>
        <w:tc>
          <w:tcPr>
            <w:tcW w:w="0" w:type="auto"/>
            <w:tcBorders>
              <w:top w:val="nil"/>
              <w:left w:val="nil"/>
              <w:bottom w:val="single" w:sz="8" w:space="0" w:color="auto"/>
              <w:right w:val="single" w:sz="8" w:space="0" w:color="auto"/>
            </w:tcBorders>
            <w:shd w:val="clear" w:color="auto" w:fill="222A35" w:themeFill="text2" w:themeFillShade="80"/>
            <w:noWrap/>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CRITERIO DE PONDERACIÓN</w:t>
            </w:r>
          </w:p>
        </w:tc>
      </w:tr>
      <w:tr w:rsidR="00837454" w:rsidRPr="00867B8A" w:rsidTr="007062AF">
        <w:trPr>
          <w:trHeight w:val="900"/>
        </w:trPr>
        <w:tc>
          <w:tcPr>
            <w:tcW w:w="0" w:type="auto"/>
            <w:tcBorders>
              <w:top w:val="nil"/>
              <w:left w:val="single" w:sz="8" w:space="0" w:color="auto"/>
              <w:bottom w:val="single" w:sz="4" w:space="0" w:color="auto"/>
              <w:right w:val="single" w:sz="8" w:space="0" w:color="auto"/>
            </w:tcBorders>
            <w:shd w:val="clear" w:color="auto" w:fill="222A35" w:themeFill="text2" w:themeFillShade="80"/>
            <w:vAlign w:val="center"/>
            <w:hideMark/>
          </w:tcPr>
          <w:p w:rsidR="00837454" w:rsidRPr="00867B8A" w:rsidRDefault="00837454" w:rsidP="0019366C">
            <w:pPr>
              <w:spacing w:after="0" w:line="240" w:lineRule="auto"/>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Alineamiento estratégico</w:t>
            </w:r>
          </w:p>
        </w:tc>
        <w:tc>
          <w:tcPr>
            <w:tcW w:w="0" w:type="auto"/>
            <w:tcBorders>
              <w:top w:val="nil"/>
              <w:left w:val="nil"/>
              <w:bottom w:val="single" w:sz="4" w:space="0" w:color="auto"/>
              <w:right w:val="single" w:sz="4"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Nivel de enfoque del servicio al cumplimiento de metas y a los resultados que el Municipio del Distrito Metropolitano de Quito pretende alcanzar, en este caso es el alineamiento estratégico al PMDOT</w:t>
            </w:r>
          </w:p>
        </w:tc>
        <w:tc>
          <w:tcPr>
            <w:tcW w:w="0" w:type="auto"/>
            <w:tcBorders>
              <w:top w:val="nil"/>
              <w:left w:val="nil"/>
              <w:bottom w:val="single" w:sz="4" w:space="0" w:color="auto"/>
              <w:right w:val="single" w:sz="8"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Binario</w:t>
            </w:r>
            <w:r w:rsidRPr="00867B8A">
              <w:rPr>
                <w:rFonts w:ascii="Gadugi" w:eastAsia="Times New Roman" w:hAnsi="Gadugi" w:cstheme="majorHAnsi"/>
                <w:color w:val="000000"/>
                <w:sz w:val="20"/>
                <w:szCs w:val="20"/>
                <w:lang w:val="es-EC" w:eastAsia="es-EC"/>
              </w:rPr>
              <w:br/>
              <w:t>(10 si está alineado o 1 si no está alineado)</w:t>
            </w:r>
          </w:p>
        </w:tc>
      </w:tr>
      <w:tr w:rsidR="00837454" w:rsidRPr="00867B8A" w:rsidTr="007062AF">
        <w:trPr>
          <w:trHeight w:val="1200"/>
        </w:trPr>
        <w:tc>
          <w:tcPr>
            <w:tcW w:w="0" w:type="auto"/>
            <w:tcBorders>
              <w:top w:val="nil"/>
              <w:left w:val="single" w:sz="8" w:space="0" w:color="auto"/>
              <w:bottom w:val="single" w:sz="4" w:space="0" w:color="auto"/>
              <w:right w:val="single" w:sz="8" w:space="0" w:color="auto"/>
            </w:tcBorders>
            <w:shd w:val="clear" w:color="auto" w:fill="222A35" w:themeFill="text2" w:themeFillShade="80"/>
            <w:vAlign w:val="center"/>
            <w:hideMark/>
          </w:tcPr>
          <w:p w:rsidR="00837454" w:rsidRPr="00867B8A" w:rsidRDefault="00837454" w:rsidP="0019366C">
            <w:pPr>
              <w:spacing w:after="0" w:line="240" w:lineRule="auto"/>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Número de trámites</w:t>
            </w:r>
          </w:p>
        </w:tc>
        <w:tc>
          <w:tcPr>
            <w:tcW w:w="0" w:type="auto"/>
            <w:tcBorders>
              <w:top w:val="nil"/>
              <w:left w:val="nil"/>
              <w:bottom w:val="single" w:sz="4" w:space="0" w:color="auto"/>
              <w:right w:val="single" w:sz="4"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Número de interacciones diferentes de solicitud que tiene el ciudadano con el Municipio del Distrito Metropolitano de Quito</w:t>
            </w:r>
          </w:p>
        </w:tc>
        <w:tc>
          <w:tcPr>
            <w:tcW w:w="0" w:type="auto"/>
            <w:tcBorders>
              <w:top w:val="nil"/>
              <w:left w:val="nil"/>
              <w:bottom w:val="single" w:sz="4" w:space="0" w:color="auto"/>
              <w:right w:val="single" w:sz="8"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 xml:space="preserve">Ascendente </w:t>
            </w:r>
            <w:r w:rsidRPr="00867B8A">
              <w:rPr>
                <w:rFonts w:ascii="Gadugi" w:eastAsia="Times New Roman" w:hAnsi="Gadugi" w:cstheme="majorHAnsi"/>
                <w:color w:val="000000"/>
                <w:sz w:val="20"/>
                <w:szCs w:val="20"/>
                <w:lang w:val="es-EC" w:eastAsia="es-EC"/>
              </w:rPr>
              <w:br/>
              <w:t>(1 si tiene de 1 a 5 trámites, 5 si tiene de 6 a 10 trámites o 10 si son 11 trámites o más)</w:t>
            </w:r>
          </w:p>
        </w:tc>
      </w:tr>
      <w:tr w:rsidR="00837454" w:rsidRPr="00867B8A" w:rsidTr="007062AF">
        <w:trPr>
          <w:trHeight w:val="1500"/>
        </w:trPr>
        <w:tc>
          <w:tcPr>
            <w:tcW w:w="0" w:type="auto"/>
            <w:tcBorders>
              <w:top w:val="nil"/>
              <w:left w:val="single" w:sz="8" w:space="0" w:color="auto"/>
              <w:bottom w:val="single" w:sz="4" w:space="0" w:color="auto"/>
              <w:right w:val="single" w:sz="8" w:space="0" w:color="auto"/>
            </w:tcBorders>
            <w:shd w:val="clear" w:color="auto" w:fill="222A35" w:themeFill="text2" w:themeFillShade="80"/>
            <w:vAlign w:val="center"/>
            <w:hideMark/>
          </w:tcPr>
          <w:p w:rsidR="00837454" w:rsidRPr="00867B8A" w:rsidRDefault="00837454" w:rsidP="0019366C">
            <w:pPr>
              <w:spacing w:after="0" w:line="240" w:lineRule="auto"/>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Comunicación e información al ciudadano</w:t>
            </w:r>
          </w:p>
        </w:tc>
        <w:tc>
          <w:tcPr>
            <w:tcW w:w="0" w:type="auto"/>
            <w:tcBorders>
              <w:top w:val="nil"/>
              <w:left w:val="nil"/>
              <w:bottom w:val="single" w:sz="4" w:space="0" w:color="auto"/>
              <w:right w:val="single" w:sz="4"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Grado de interacción del ciudadano con el servidor municipal para proveer o recibir información, también se refiere a la disponibilidad de la información, ayuda, direccionamiento y aclaración de dudas por cualquier canal de comunicación.</w:t>
            </w:r>
          </w:p>
        </w:tc>
        <w:tc>
          <w:tcPr>
            <w:tcW w:w="0" w:type="auto"/>
            <w:tcBorders>
              <w:top w:val="nil"/>
              <w:left w:val="nil"/>
              <w:bottom w:val="single" w:sz="4" w:space="0" w:color="auto"/>
              <w:right w:val="single" w:sz="8"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Descendente</w:t>
            </w:r>
            <w:r w:rsidRPr="00867B8A">
              <w:rPr>
                <w:rFonts w:ascii="Gadugi" w:eastAsia="Times New Roman" w:hAnsi="Gadugi" w:cstheme="majorHAnsi"/>
                <w:color w:val="000000"/>
                <w:sz w:val="20"/>
                <w:szCs w:val="20"/>
                <w:lang w:val="es-EC" w:eastAsia="es-EC"/>
              </w:rPr>
              <w:br/>
              <w:t>(10 si no es la adecuada o no existe, 5 si cuenta con algo de información pero no está completa o 1 si es la adecuada)</w:t>
            </w:r>
          </w:p>
        </w:tc>
      </w:tr>
      <w:tr w:rsidR="00837454" w:rsidRPr="00867B8A" w:rsidTr="007062AF">
        <w:trPr>
          <w:trHeight w:val="1815"/>
        </w:trPr>
        <w:tc>
          <w:tcPr>
            <w:tcW w:w="0" w:type="auto"/>
            <w:tcBorders>
              <w:top w:val="nil"/>
              <w:left w:val="single" w:sz="8" w:space="0" w:color="auto"/>
              <w:bottom w:val="single" w:sz="8" w:space="0" w:color="auto"/>
              <w:right w:val="single" w:sz="8" w:space="0" w:color="auto"/>
            </w:tcBorders>
            <w:shd w:val="clear" w:color="auto" w:fill="222A35" w:themeFill="text2" w:themeFillShade="80"/>
            <w:vAlign w:val="center"/>
            <w:hideMark/>
          </w:tcPr>
          <w:p w:rsidR="00837454" w:rsidRPr="00867B8A" w:rsidRDefault="00837454" w:rsidP="0019366C">
            <w:pPr>
              <w:spacing w:after="0" w:line="240" w:lineRule="auto"/>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Puntos de prestación del servicio</w:t>
            </w:r>
          </w:p>
        </w:tc>
        <w:tc>
          <w:tcPr>
            <w:tcW w:w="0" w:type="auto"/>
            <w:tcBorders>
              <w:top w:val="nil"/>
              <w:left w:val="nil"/>
              <w:bottom w:val="single" w:sz="8" w:space="0" w:color="auto"/>
              <w:right w:val="single" w:sz="4"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Si es un servicio prestado únicamente en la Matriz del Municipio del Distrito Metropolitano de Quito o también se lo presta en las Administraciones Zonales.</w:t>
            </w:r>
          </w:p>
        </w:tc>
        <w:tc>
          <w:tcPr>
            <w:tcW w:w="0" w:type="auto"/>
            <w:tcBorders>
              <w:top w:val="nil"/>
              <w:left w:val="nil"/>
              <w:bottom w:val="single" w:sz="8" w:space="0" w:color="auto"/>
              <w:right w:val="single" w:sz="8" w:space="0" w:color="auto"/>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Binario</w:t>
            </w:r>
            <w:r w:rsidRPr="00867B8A">
              <w:rPr>
                <w:rFonts w:ascii="Gadugi" w:eastAsia="Times New Roman" w:hAnsi="Gadugi" w:cstheme="majorHAnsi"/>
                <w:color w:val="000000"/>
                <w:sz w:val="20"/>
                <w:szCs w:val="20"/>
                <w:lang w:val="es-EC" w:eastAsia="es-EC"/>
              </w:rPr>
              <w:br/>
              <w:t>(10 si se presta en Administraciones Zonales y la Matriz, o 1 si se presta solo en la Matriz o solo en las Administraciones Zonales)</w:t>
            </w:r>
          </w:p>
        </w:tc>
      </w:tr>
    </w:tbl>
    <w:p w:rsidR="00837454" w:rsidRPr="00867B8A" w:rsidRDefault="00837454" w:rsidP="00BB143C">
      <w:pPr>
        <w:jc w:val="both"/>
        <w:outlineLvl w:val="1"/>
        <w:rPr>
          <w:rFonts w:ascii="Gadugi" w:hAnsi="Gadugi"/>
          <w:b/>
          <w:sz w:val="20"/>
          <w:szCs w:val="20"/>
        </w:rPr>
      </w:pPr>
    </w:p>
    <w:p w:rsidR="0019366C" w:rsidRPr="00867B8A" w:rsidRDefault="0019366C" w:rsidP="00BB143C">
      <w:pPr>
        <w:jc w:val="both"/>
        <w:outlineLvl w:val="1"/>
        <w:rPr>
          <w:rFonts w:ascii="Gadugi" w:hAnsi="Gadugi"/>
          <w:b/>
          <w:sz w:val="20"/>
          <w:szCs w:val="20"/>
        </w:rPr>
      </w:pPr>
    </w:p>
    <w:p w:rsidR="00697686" w:rsidRPr="00867B8A" w:rsidRDefault="00DD5FCE" w:rsidP="00DD5FCE">
      <w:pPr>
        <w:pStyle w:val="Prrafodelista"/>
        <w:numPr>
          <w:ilvl w:val="1"/>
          <w:numId w:val="8"/>
        </w:numPr>
        <w:jc w:val="both"/>
        <w:outlineLvl w:val="1"/>
        <w:rPr>
          <w:rFonts w:ascii="Gadugi" w:hAnsi="Gadugi"/>
          <w:b/>
          <w:sz w:val="20"/>
          <w:szCs w:val="20"/>
        </w:rPr>
      </w:pPr>
      <w:bookmarkStart w:id="18" w:name="_Toc483335430"/>
      <w:r w:rsidRPr="00867B8A">
        <w:rPr>
          <w:rFonts w:ascii="Gadugi" w:hAnsi="Gadugi"/>
          <w:b/>
          <w:sz w:val="20"/>
          <w:szCs w:val="20"/>
        </w:rPr>
        <w:lastRenderedPageBreak/>
        <w:t>Matriz de priorización final propuesta</w:t>
      </w:r>
      <w:bookmarkEnd w:id="18"/>
    </w:p>
    <w:tbl>
      <w:tblPr>
        <w:tblW w:w="5000" w:type="pct"/>
        <w:tblCellMar>
          <w:left w:w="70" w:type="dxa"/>
          <w:right w:w="70" w:type="dxa"/>
        </w:tblCellMar>
        <w:tblLook w:val="04A0" w:firstRow="1" w:lastRow="0" w:firstColumn="1" w:lastColumn="0" w:noHBand="0" w:noVBand="1"/>
      </w:tblPr>
      <w:tblGrid>
        <w:gridCol w:w="1311"/>
        <w:gridCol w:w="938"/>
        <w:gridCol w:w="1275"/>
        <w:gridCol w:w="842"/>
        <w:gridCol w:w="1591"/>
        <w:gridCol w:w="1243"/>
        <w:gridCol w:w="574"/>
        <w:gridCol w:w="857"/>
        <w:gridCol w:w="1147"/>
      </w:tblGrid>
      <w:tr w:rsidR="00837454" w:rsidRPr="00867B8A" w:rsidTr="007062AF">
        <w:trPr>
          <w:trHeight w:val="110"/>
        </w:trPr>
        <w:tc>
          <w:tcPr>
            <w:tcW w:w="674" w:type="pct"/>
            <w:tcBorders>
              <w:top w:val="nil"/>
              <w:left w:val="nil"/>
              <w:bottom w:val="nil"/>
              <w:right w:val="nil"/>
            </w:tcBorders>
            <w:shd w:val="clear" w:color="auto" w:fill="auto"/>
            <w:noWrap/>
            <w:vAlign w:val="bottom"/>
            <w:hideMark/>
          </w:tcPr>
          <w:p w:rsidR="00837454" w:rsidRPr="00867B8A" w:rsidRDefault="00837454" w:rsidP="007062AF">
            <w:pPr>
              <w:spacing w:after="0" w:line="240" w:lineRule="auto"/>
              <w:jc w:val="center"/>
              <w:rPr>
                <w:rFonts w:ascii="Gadugi" w:eastAsia="Times New Roman" w:hAnsi="Gadugi" w:cstheme="majorHAnsi"/>
                <w:sz w:val="18"/>
                <w:szCs w:val="20"/>
                <w:lang w:val="es-EC" w:eastAsia="es-EC"/>
              </w:rPr>
            </w:pPr>
          </w:p>
        </w:tc>
        <w:tc>
          <w:tcPr>
            <w:tcW w:w="426" w:type="pct"/>
            <w:tcBorders>
              <w:top w:val="nil"/>
              <w:left w:val="nil"/>
              <w:bottom w:val="nil"/>
              <w:right w:val="nil"/>
            </w:tcBorders>
            <w:shd w:val="clear" w:color="auto" w:fill="auto"/>
            <w:noWrap/>
            <w:vAlign w:val="bottom"/>
            <w:hideMark/>
          </w:tcPr>
          <w:p w:rsidR="00837454" w:rsidRPr="00867B8A" w:rsidRDefault="00837454" w:rsidP="007062AF">
            <w:pPr>
              <w:spacing w:after="0" w:line="240" w:lineRule="auto"/>
              <w:jc w:val="center"/>
              <w:rPr>
                <w:rFonts w:ascii="Gadugi" w:eastAsia="Times New Roman" w:hAnsi="Gadugi" w:cstheme="majorHAnsi"/>
                <w:sz w:val="18"/>
                <w:szCs w:val="20"/>
                <w:lang w:val="es-EC" w:eastAsia="es-EC"/>
              </w:rPr>
            </w:pPr>
          </w:p>
        </w:tc>
        <w:tc>
          <w:tcPr>
            <w:tcW w:w="3901" w:type="pct"/>
            <w:gridSpan w:val="7"/>
            <w:tcBorders>
              <w:top w:val="single" w:sz="8" w:space="0" w:color="auto"/>
              <w:left w:val="single" w:sz="8" w:space="0" w:color="auto"/>
              <w:bottom w:val="single" w:sz="8" w:space="0" w:color="auto"/>
              <w:right w:val="single" w:sz="4" w:space="0" w:color="auto"/>
            </w:tcBorders>
            <w:shd w:val="clear" w:color="auto" w:fill="222A35" w:themeFill="text2" w:themeFillShade="80"/>
            <w:vAlign w:val="center"/>
            <w:hideMark/>
          </w:tcPr>
          <w:p w:rsidR="00837454" w:rsidRPr="00867B8A" w:rsidRDefault="00837454" w:rsidP="007062AF">
            <w:pPr>
              <w:jc w:val="center"/>
              <w:rPr>
                <w:rFonts w:ascii="Gadugi" w:eastAsia="Times New Roman" w:hAnsi="Gadugi" w:cstheme="majorHAnsi"/>
                <w:sz w:val="18"/>
                <w:szCs w:val="20"/>
                <w:lang w:val="es-EC" w:eastAsia="es-EC"/>
              </w:rPr>
            </w:pPr>
            <w:r w:rsidRPr="00867B8A">
              <w:rPr>
                <w:rFonts w:ascii="Gadugi" w:eastAsia="Times New Roman" w:hAnsi="Gadugi" w:cstheme="majorHAnsi"/>
                <w:b/>
                <w:bCs/>
                <w:color w:val="FFFFFF"/>
                <w:sz w:val="18"/>
                <w:szCs w:val="20"/>
                <w:lang w:val="es-EC" w:eastAsia="es-EC"/>
              </w:rPr>
              <w:t>Variables</w:t>
            </w:r>
          </w:p>
        </w:tc>
      </w:tr>
      <w:tr w:rsidR="007109EF" w:rsidRPr="00867B8A" w:rsidTr="007062AF">
        <w:trPr>
          <w:trHeight w:val="514"/>
        </w:trPr>
        <w:tc>
          <w:tcPr>
            <w:tcW w:w="674" w:type="pct"/>
            <w:tcBorders>
              <w:top w:val="single" w:sz="8" w:space="0" w:color="auto"/>
              <w:left w:val="single" w:sz="8" w:space="0" w:color="auto"/>
              <w:bottom w:val="single" w:sz="8" w:space="0" w:color="auto"/>
              <w:right w:val="nil"/>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ENTIDAD PRESTADORA</w:t>
            </w:r>
          </w:p>
        </w:tc>
        <w:tc>
          <w:tcPr>
            <w:tcW w:w="426" w:type="pct"/>
            <w:tcBorders>
              <w:top w:val="single" w:sz="8" w:space="0" w:color="auto"/>
              <w:left w:val="single" w:sz="8" w:space="0" w:color="auto"/>
              <w:bottom w:val="single" w:sz="8" w:space="0" w:color="auto"/>
              <w:right w:val="nil"/>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SERVICIO</w:t>
            </w:r>
          </w:p>
        </w:tc>
        <w:tc>
          <w:tcPr>
            <w:tcW w:w="692" w:type="pct"/>
            <w:tcBorders>
              <w:top w:val="nil"/>
              <w:left w:val="single" w:sz="8" w:space="0" w:color="auto"/>
              <w:bottom w:val="single" w:sz="8" w:space="0" w:color="auto"/>
              <w:right w:val="single" w:sz="4" w:space="0" w:color="auto"/>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Alineamiento estratégico</w:t>
            </w:r>
          </w:p>
        </w:tc>
        <w:tc>
          <w:tcPr>
            <w:tcW w:w="502" w:type="pct"/>
            <w:tcBorders>
              <w:top w:val="nil"/>
              <w:left w:val="nil"/>
              <w:bottom w:val="single" w:sz="8" w:space="0" w:color="auto"/>
              <w:right w:val="single" w:sz="4" w:space="0" w:color="auto"/>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Número de trámites</w:t>
            </w:r>
          </w:p>
        </w:tc>
        <w:tc>
          <w:tcPr>
            <w:tcW w:w="873" w:type="pct"/>
            <w:tcBorders>
              <w:top w:val="nil"/>
              <w:left w:val="nil"/>
              <w:bottom w:val="single" w:sz="8" w:space="0" w:color="auto"/>
              <w:right w:val="single" w:sz="4" w:space="0" w:color="auto"/>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Comunicación e información al ciudadano</w:t>
            </w:r>
          </w:p>
        </w:tc>
        <w:tc>
          <w:tcPr>
            <w:tcW w:w="683" w:type="pct"/>
            <w:tcBorders>
              <w:top w:val="nil"/>
              <w:left w:val="nil"/>
              <w:bottom w:val="single" w:sz="8" w:space="0" w:color="auto"/>
              <w:right w:val="single" w:sz="4" w:space="0" w:color="auto"/>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Puntos de prestación del servicio</w:t>
            </w:r>
          </w:p>
        </w:tc>
        <w:tc>
          <w:tcPr>
            <w:tcW w:w="292" w:type="pct"/>
            <w:tcBorders>
              <w:top w:val="nil"/>
              <w:left w:val="nil"/>
              <w:bottom w:val="single" w:sz="8" w:space="0" w:color="auto"/>
              <w:right w:val="single" w:sz="4" w:space="0" w:color="auto"/>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Total (T)</w:t>
            </w:r>
          </w:p>
        </w:tc>
        <w:tc>
          <w:tcPr>
            <w:tcW w:w="467" w:type="pct"/>
            <w:tcBorders>
              <w:top w:val="nil"/>
              <w:left w:val="nil"/>
              <w:bottom w:val="single" w:sz="8" w:space="0" w:color="auto"/>
              <w:right w:val="single" w:sz="8" w:space="0" w:color="auto"/>
            </w:tcBorders>
            <w:shd w:val="clear" w:color="auto" w:fill="222A35" w:themeFill="text2" w:themeFillShade="80"/>
            <w:vAlign w:val="center"/>
            <w:hideMark/>
          </w:tcPr>
          <w:p w:rsidR="00837454" w:rsidRPr="00867B8A" w:rsidRDefault="00837454" w:rsidP="0019366C">
            <w:pPr>
              <w:spacing w:after="0" w:line="240" w:lineRule="auto"/>
              <w:jc w:val="center"/>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Decisión política</w:t>
            </w:r>
          </w:p>
        </w:tc>
        <w:tc>
          <w:tcPr>
            <w:tcW w:w="393" w:type="pct"/>
            <w:tcBorders>
              <w:top w:val="single" w:sz="4" w:space="0" w:color="auto"/>
              <w:bottom w:val="single" w:sz="4" w:space="0" w:color="auto"/>
              <w:right w:val="single" w:sz="4" w:space="0" w:color="auto"/>
            </w:tcBorders>
            <w:shd w:val="clear" w:color="auto" w:fill="222A35" w:themeFill="text2" w:themeFillShade="80"/>
          </w:tcPr>
          <w:p w:rsidR="00837454" w:rsidRPr="00867B8A" w:rsidRDefault="00837454" w:rsidP="0019366C">
            <w:pPr>
              <w:spacing w:line="240" w:lineRule="auto"/>
              <w:rPr>
                <w:rFonts w:ascii="Gadugi" w:eastAsia="Times New Roman" w:hAnsi="Gadugi" w:cstheme="majorHAnsi"/>
                <w:b/>
                <w:bCs/>
                <w:color w:val="FFFFFF"/>
                <w:sz w:val="18"/>
                <w:szCs w:val="20"/>
                <w:lang w:val="es-EC" w:eastAsia="es-EC"/>
              </w:rPr>
            </w:pPr>
          </w:p>
          <w:p w:rsidR="007515C6" w:rsidRPr="00867B8A" w:rsidRDefault="007515C6" w:rsidP="0019366C">
            <w:pPr>
              <w:spacing w:line="240" w:lineRule="auto"/>
              <w:rPr>
                <w:rFonts w:ascii="Gadugi" w:eastAsia="Times New Roman" w:hAnsi="Gadugi" w:cstheme="majorHAnsi"/>
                <w:b/>
                <w:bCs/>
                <w:color w:val="FFFFFF"/>
                <w:sz w:val="18"/>
                <w:szCs w:val="20"/>
                <w:lang w:val="es-EC" w:eastAsia="es-EC"/>
              </w:rPr>
            </w:pPr>
            <w:r w:rsidRPr="00867B8A">
              <w:rPr>
                <w:rFonts w:ascii="Gadugi" w:eastAsia="Times New Roman" w:hAnsi="Gadugi" w:cstheme="majorHAnsi"/>
                <w:b/>
                <w:bCs/>
                <w:color w:val="FFFFFF"/>
                <w:sz w:val="18"/>
                <w:szCs w:val="20"/>
                <w:lang w:val="es-EC" w:eastAsia="es-EC"/>
              </w:rPr>
              <w:t>Índice de priorización</w:t>
            </w:r>
            <w:r w:rsidR="0019366C" w:rsidRPr="00867B8A">
              <w:rPr>
                <w:rFonts w:ascii="Gadugi" w:eastAsia="Times New Roman" w:hAnsi="Gadugi" w:cstheme="majorHAnsi"/>
                <w:b/>
                <w:bCs/>
                <w:color w:val="FFFFFF"/>
                <w:sz w:val="18"/>
                <w:szCs w:val="20"/>
                <w:lang w:val="es-EC" w:eastAsia="es-EC"/>
              </w:rPr>
              <w:t xml:space="preserve"> </w:t>
            </w:r>
            <w:r w:rsidRPr="00867B8A">
              <w:rPr>
                <w:rFonts w:ascii="Gadugi" w:eastAsia="Times New Roman" w:hAnsi="Gadugi" w:cstheme="majorHAnsi"/>
                <w:b/>
                <w:bCs/>
                <w:color w:val="FFFFFF"/>
                <w:sz w:val="18"/>
                <w:szCs w:val="20"/>
                <w:lang w:val="es-EC" w:eastAsia="es-EC"/>
              </w:rPr>
              <w:t>(IP%)</w:t>
            </w:r>
          </w:p>
        </w:tc>
      </w:tr>
      <w:tr w:rsidR="007109EF" w:rsidRPr="00867B8A" w:rsidTr="0019366C">
        <w:trPr>
          <w:trHeight w:val="337"/>
        </w:trPr>
        <w:tc>
          <w:tcPr>
            <w:tcW w:w="674" w:type="pct"/>
            <w:tcBorders>
              <w:top w:val="nil"/>
              <w:left w:val="single" w:sz="8" w:space="0" w:color="auto"/>
              <w:bottom w:val="single" w:sz="4" w:space="0" w:color="auto"/>
              <w:right w:val="nil"/>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sz w:val="18"/>
                <w:szCs w:val="20"/>
                <w:lang w:val="es-EC" w:eastAsia="es-EC"/>
              </w:rPr>
            </w:pPr>
            <w:r w:rsidRPr="00867B8A">
              <w:rPr>
                <w:rFonts w:ascii="Gadugi" w:eastAsia="Times New Roman" w:hAnsi="Gadugi" w:cstheme="majorHAnsi"/>
                <w:sz w:val="18"/>
                <w:szCs w:val="20"/>
                <w:lang w:val="es-EC" w:eastAsia="es-EC"/>
              </w:rPr>
              <w:t>Entidad 1</w:t>
            </w:r>
          </w:p>
        </w:tc>
        <w:tc>
          <w:tcPr>
            <w:tcW w:w="426" w:type="pct"/>
            <w:tcBorders>
              <w:top w:val="nil"/>
              <w:left w:val="single" w:sz="8" w:space="0" w:color="auto"/>
              <w:bottom w:val="single" w:sz="4" w:space="0" w:color="auto"/>
              <w:right w:val="nil"/>
            </w:tcBorders>
            <w:shd w:val="clear" w:color="auto" w:fill="auto"/>
            <w:vAlign w:val="center"/>
          </w:tcPr>
          <w:p w:rsidR="00837454" w:rsidRPr="00867B8A" w:rsidRDefault="00837454" w:rsidP="0019366C">
            <w:pPr>
              <w:spacing w:after="0" w:line="240" w:lineRule="auto"/>
              <w:rPr>
                <w:rFonts w:ascii="Gadugi" w:eastAsia="Times New Roman" w:hAnsi="Gadugi" w:cstheme="majorHAnsi"/>
                <w:sz w:val="18"/>
                <w:szCs w:val="20"/>
                <w:lang w:val="es-EC" w:eastAsia="es-EC"/>
              </w:rPr>
            </w:pPr>
            <w:r w:rsidRPr="00867B8A">
              <w:rPr>
                <w:rFonts w:ascii="Gadugi" w:eastAsia="Times New Roman" w:hAnsi="Gadugi" w:cstheme="majorHAnsi"/>
                <w:sz w:val="18"/>
                <w:szCs w:val="20"/>
                <w:lang w:val="es-EC" w:eastAsia="es-EC"/>
              </w:rPr>
              <w:t>Servicio 1</w:t>
            </w:r>
          </w:p>
        </w:tc>
        <w:tc>
          <w:tcPr>
            <w:tcW w:w="692" w:type="pct"/>
            <w:tcBorders>
              <w:top w:val="nil"/>
              <w:left w:val="single" w:sz="8" w:space="0" w:color="auto"/>
              <w:bottom w:val="single" w:sz="4" w:space="0" w:color="auto"/>
              <w:right w:val="single" w:sz="4" w:space="0" w:color="auto"/>
            </w:tcBorders>
            <w:shd w:val="clear" w:color="auto" w:fill="auto"/>
            <w:noWrap/>
            <w:vAlign w:val="center"/>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p>
        </w:tc>
        <w:tc>
          <w:tcPr>
            <w:tcW w:w="502" w:type="pct"/>
            <w:tcBorders>
              <w:top w:val="nil"/>
              <w:left w:val="nil"/>
              <w:bottom w:val="single" w:sz="4" w:space="0" w:color="auto"/>
              <w:right w:val="single" w:sz="4"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 </w:t>
            </w:r>
          </w:p>
        </w:tc>
        <w:tc>
          <w:tcPr>
            <w:tcW w:w="873" w:type="pct"/>
            <w:tcBorders>
              <w:top w:val="nil"/>
              <w:left w:val="nil"/>
              <w:bottom w:val="single" w:sz="4" w:space="0" w:color="auto"/>
              <w:right w:val="single" w:sz="4"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 </w:t>
            </w:r>
          </w:p>
        </w:tc>
        <w:tc>
          <w:tcPr>
            <w:tcW w:w="683" w:type="pct"/>
            <w:tcBorders>
              <w:top w:val="nil"/>
              <w:left w:val="nil"/>
              <w:bottom w:val="single" w:sz="4" w:space="0" w:color="auto"/>
              <w:right w:val="single" w:sz="4" w:space="0" w:color="auto"/>
            </w:tcBorders>
            <w:shd w:val="clear" w:color="auto" w:fill="auto"/>
            <w:noWrap/>
            <w:vAlign w:val="center"/>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p>
        </w:tc>
        <w:tc>
          <w:tcPr>
            <w:tcW w:w="292" w:type="pct"/>
            <w:tcBorders>
              <w:top w:val="nil"/>
              <w:left w:val="nil"/>
              <w:bottom w:val="single" w:sz="4" w:space="0" w:color="auto"/>
              <w:right w:val="single" w:sz="4"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2</w:t>
            </w:r>
          </w:p>
        </w:tc>
        <w:tc>
          <w:tcPr>
            <w:tcW w:w="467" w:type="pct"/>
            <w:tcBorders>
              <w:top w:val="nil"/>
              <w:left w:val="nil"/>
              <w:bottom w:val="single" w:sz="4" w:space="0" w:color="auto"/>
              <w:right w:val="single" w:sz="8"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SI</w:t>
            </w:r>
          </w:p>
        </w:tc>
        <w:tc>
          <w:tcPr>
            <w:tcW w:w="393" w:type="pct"/>
            <w:tcBorders>
              <w:top w:val="single" w:sz="4" w:space="0" w:color="auto"/>
              <w:bottom w:val="single" w:sz="4" w:space="0" w:color="auto"/>
              <w:right w:val="single" w:sz="4" w:space="0" w:color="auto"/>
            </w:tcBorders>
            <w:shd w:val="clear" w:color="auto" w:fill="auto"/>
          </w:tcPr>
          <w:p w:rsidR="007515C6" w:rsidRPr="00867B8A" w:rsidRDefault="007515C6" w:rsidP="0019366C">
            <w:pPr>
              <w:spacing w:after="0" w:line="240" w:lineRule="auto"/>
              <w:rPr>
                <w:rFonts w:ascii="Gadugi" w:eastAsia="Times New Roman" w:hAnsi="Gadugi" w:cstheme="majorHAnsi"/>
                <w:sz w:val="18"/>
                <w:szCs w:val="20"/>
                <w:lang w:val="es-EC" w:eastAsia="es-EC"/>
              </w:rPr>
            </w:pPr>
            <w:r w:rsidRPr="00867B8A">
              <w:rPr>
                <w:rFonts w:ascii="Gadugi" w:eastAsia="Times New Roman" w:hAnsi="Gadugi" w:cstheme="majorHAnsi"/>
                <w:sz w:val="18"/>
                <w:szCs w:val="20"/>
                <w:lang w:val="es-EC" w:eastAsia="es-EC"/>
              </w:rPr>
              <w:t>25%</w:t>
            </w:r>
          </w:p>
        </w:tc>
      </w:tr>
      <w:tr w:rsidR="007109EF" w:rsidRPr="00867B8A" w:rsidTr="0019366C">
        <w:trPr>
          <w:trHeight w:val="126"/>
        </w:trPr>
        <w:tc>
          <w:tcPr>
            <w:tcW w:w="674" w:type="pct"/>
            <w:tcBorders>
              <w:top w:val="nil"/>
              <w:left w:val="single" w:sz="8" w:space="0" w:color="auto"/>
              <w:bottom w:val="single" w:sz="4" w:space="0" w:color="auto"/>
              <w:right w:val="nil"/>
            </w:tcBorders>
            <w:shd w:val="clear" w:color="auto" w:fill="auto"/>
            <w:vAlign w:val="center"/>
            <w:hideMark/>
          </w:tcPr>
          <w:p w:rsidR="00837454" w:rsidRPr="00867B8A" w:rsidRDefault="00837454" w:rsidP="0019366C">
            <w:pPr>
              <w:spacing w:after="0" w:line="240" w:lineRule="auto"/>
              <w:rPr>
                <w:rFonts w:ascii="Gadugi" w:eastAsia="Times New Roman" w:hAnsi="Gadugi" w:cstheme="majorHAnsi"/>
                <w:sz w:val="18"/>
                <w:szCs w:val="20"/>
                <w:lang w:val="es-EC" w:eastAsia="es-EC"/>
              </w:rPr>
            </w:pPr>
            <w:r w:rsidRPr="00867B8A">
              <w:rPr>
                <w:rFonts w:ascii="Gadugi" w:eastAsia="Times New Roman" w:hAnsi="Gadugi" w:cstheme="majorHAnsi"/>
                <w:sz w:val="18"/>
                <w:szCs w:val="20"/>
                <w:lang w:val="es-EC" w:eastAsia="es-EC"/>
              </w:rPr>
              <w:t>Entidad 2</w:t>
            </w:r>
          </w:p>
        </w:tc>
        <w:tc>
          <w:tcPr>
            <w:tcW w:w="426" w:type="pct"/>
            <w:tcBorders>
              <w:top w:val="nil"/>
              <w:left w:val="single" w:sz="8" w:space="0" w:color="auto"/>
              <w:bottom w:val="single" w:sz="4" w:space="0" w:color="auto"/>
              <w:right w:val="nil"/>
            </w:tcBorders>
            <w:shd w:val="clear" w:color="auto" w:fill="auto"/>
            <w:vAlign w:val="center"/>
          </w:tcPr>
          <w:p w:rsidR="00837454" w:rsidRPr="00867B8A" w:rsidRDefault="00837454" w:rsidP="0019366C">
            <w:pPr>
              <w:spacing w:after="0" w:line="240" w:lineRule="auto"/>
              <w:rPr>
                <w:rFonts w:ascii="Gadugi" w:eastAsia="Times New Roman" w:hAnsi="Gadugi" w:cstheme="majorHAnsi"/>
                <w:sz w:val="18"/>
                <w:szCs w:val="20"/>
                <w:lang w:val="es-EC" w:eastAsia="es-EC"/>
              </w:rPr>
            </w:pPr>
            <w:r w:rsidRPr="00867B8A">
              <w:rPr>
                <w:rFonts w:ascii="Gadugi" w:eastAsia="Times New Roman" w:hAnsi="Gadugi" w:cstheme="majorHAnsi"/>
                <w:sz w:val="18"/>
                <w:szCs w:val="20"/>
                <w:lang w:val="es-EC" w:eastAsia="es-EC"/>
              </w:rPr>
              <w:t>Servicio 2</w:t>
            </w:r>
          </w:p>
        </w:tc>
        <w:tc>
          <w:tcPr>
            <w:tcW w:w="692" w:type="pct"/>
            <w:tcBorders>
              <w:top w:val="nil"/>
              <w:left w:val="single" w:sz="8" w:space="0" w:color="auto"/>
              <w:bottom w:val="single" w:sz="4" w:space="0" w:color="auto"/>
              <w:right w:val="single" w:sz="4" w:space="0" w:color="auto"/>
            </w:tcBorders>
            <w:shd w:val="clear" w:color="auto" w:fill="auto"/>
            <w:noWrap/>
            <w:vAlign w:val="center"/>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p>
        </w:tc>
        <w:tc>
          <w:tcPr>
            <w:tcW w:w="502" w:type="pct"/>
            <w:tcBorders>
              <w:top w:val="nil"/>
              <w:left w:val="nil"/>
              <w:bottom w:val="single" w:sz="4" w:space="0" w:color="auto"/>
              <w:right w:val="single" w:sz="4"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 </w:t>
            </w:r>
          </w:p>
        </w:tc>
        <w:tc>
          <w:tcPr>
            <w:tcW w:w="873" w:type="pct"/>
            <w:tcBorders>
              <w:top w:val="nil"/>
              <w:left w:val="nil"/>
              <w:bottom w:val="single" w:sz="4" w:space="0" w:color="auto"/>
              <w:right w:val="single" w:sz="4"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 </w:t>
            </w:r>
          </w:p>
        </w:tc>
        <w:tc>
          <w:tcPr>
            <w:tcW w:w="683" w:type="pct"/>
            <w:tcBorders>
              <w:top w:val="nil"/>
              <w:left w:val="nil"/>
              <w:bottom w:val="single" w:sz="4" w:space="0" w:color="auto"/>
              <w:right w:val="single" w:sz="4" w:space="0" w:color="auto"/>
            </w:tcBorders>
            <w:shd w:val="clear" w:color="auto" w:fill="auto"/>
            <w:noWrap/>
            <w:vAlign w:val="center"/>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p>
        </w:tc>
        <w:tc>
          <w:tcPr>
            <w:tcW w:w="292" w:type="pct"/>
            <w:tcBorders>
              <w:top w:val="nil"/>
              <w:left w:val="nil"/>
              <w:bottom w:val="single" w:sz="4" w:space="0" w:color="auto"/>
              <w:right w:val="single" w:sz="4"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2</w:t>
            </w:r>
          </w:p>
        </w:tc>
        <w:tc>
          <w:tcPr>
            <w:tcW w:w="467" w:type="pct"/>
            <w:tcBorders>
              <w:top w:val="nil"/>
              <w:left w:val="nil"/>
              <w:bottom w:val="single" w:sz="4" w:space="0" w:color="auto"/>
              <w:right w:val="single" w:sz="8" w:space="0" w:color="auto"/>
            </w:tcBorders>
            <w:shd w:val="clear" w:color="auto" w:fill="auto"/>
            <w:noWrap/>
            <w:vAlign w:val="center"/>
            <w:hideMark/>
          </w:tcPr>
          <w:p w:rsidR="00837454" w:rsidRPr="00867B8A" w:rsidRDefault="00837454" w:rsidP="0019366C">
            <w:pPr>
              <w:spacing w:after="0" w:line="240" w:lineRule="auto"/>
              <w:jc w:val="center"/>
              <w:rPr>
                <w:rFonts w:ascii="Gadugi" w:eastAsia="Times New Roman" w:hAnsi="Gadugi" w:cstheme="majorHAnsi"/>
                <w:color w:val="000000"/>
                <w:sz w:val="18"/>
                <w:szCs w:val="20"/>
                <w:lang w:val="es-EC" w:eastAsia="es-EC"/>
              </w:rPr>
            </w:pPr>
            <w:r w:rsidRPr="00867B8A">
              <w:rPr>
                <w:rFonts w:ascii="Gadugi" w:eastAsia="Times New Roman" w:hAnsi="Gadugi" w:cstheme="majorHAnsi"/>
                <w:color w:val="000000"/>
                <w:sz w:val="18"/>
                <w:szCs w:val="20"/>
                <w:lang w:val="es-EC" w:eastAsia="es-EC"/>
              </w:rPr>
              <w:t>NO</w:t>
            </w:r>
          </w:p>
        </w:tc>
        <w:tc>
          <w:tcPr>
            <w:tcW w:w="393" w:type="pct"/>
            <w:tcBorders>
              <w:top w:val="single" w:sz="4" w:space="0" w:color="auto"/>
              <w:bottom w:val="single" w:sz="4" w:space="0" w:color="auto"/>
              <w:right w:val="single" w:sz="4" w:space="0" w:color="auto"/>
            </w:tcBorders>
            <w:shd w:val="clear" w:color="auto" w:fill="auto"/>
          </w:tcPr>
          <w:p w:rsidR="00837454" w:rsidRPr="00867B8A" w:rsidRDefault="007515C6" w:rsidP="0019366C">
            <w:pPr>
              <w:spacing w:after="0" w:line="240" w:lineRule="auto"/>
              <w:rPr>
                <w:rFonts w:ascii="Gadugi" w:eastAsia="Times New Roman" w:hAnsi="Gadugi" w:cstheme="majorHAnsi"/>
                <w:sz w:val="18"/>
                <w:szCs w:val="20"/>
                <w:lang w:val="es-EC" w:eastAsia="es-EC"/>
              </w:rPr>
            </w:pPr>
            <w:r w:rsidRPr="00867B8A">
              <w:rPr>
                <w:rFonts w:ascii="Gadugi" w:eastAsia="Times New Roman" w:hAnsi="Gadugi" w:cstheme="majorHAnsi"/>
                <w:sz w:val="18"/>
                <w:szCs w:val="20"/>
                <w:lang w:val="es-EC" w:eastAsia="es-EC"/>
              </w:rPr>
              <w:t>5%</w:t>
            </w:r>
          </w:p>
        </w:tc>
      </w:tr>
    </w:tbl>
    <w:p w:rsidR="00BB143C" w:rsidRPr="00867B8A" w:rsidRDefault="00BB143C" w:rsidP="00BB143C">
      <w:pPr>
        <w:jc w:val="both"/>
        <w:outlineLvl w:val="1"/>
        <w:rPr>
          <w:rFonts w:ascii="Gadugi" w:hAnsi="Gadugi"/>
          <w:b/>
          <w:sz w:val="20"/>
          <w:szCs w:val="20"/>
        </w:rPr>
      </w:pPr>
    </w:p>
    <w:p w:rsidR="00837454" w:rsidRPr="00867B8A" w:rsidRDefault="00837454" w:rsidP="00837454">
      <w:pPr>
        <w:jc w:val="both"/>
        <w:rPr>
          <w:rFonts w:ascii="Gadugi" w:hAnsi="Gadugi"/>
          <w:sz w:val="20"/>
          <w:szCs w:val="20"/>
        </w:rPr>
      </w:pPr>
      <w:r w:rsidRPr="00867B8A">
        <w:rPr>
          <w:rFonts w:ascii="Gadugi" w:hAnsi="Gadugi"/>
          <w:sz w:val="20"/>
          <w:szCs w:val="20"/>
        </w:rPr>
        <w:t>Para comprensión de la matriz se adjunta un detalle de los campos:</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3"/>
        <w:gridCol w:w="6970"/>
      </w:tblGrid>
      <w:tr w:rsidR="007515C6" w:rsidRPr="00867B8A" w:rsidTr="007062AF">
        <w:trPr>
          <w:trHeight w:val="319"/>
        </w:trPr>
        <w:tc>
          <w:tcPr>
            <w:tcW w:w="0" w:type="auto"/>
            <w:gridSpan w:val="2"/>
            <w:vMerge w:val="restart"/>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ATRIBUTOS DE PRIORIZACIÓN</w:t>
            </w:r>
          </w:p>
        </w:tc>
      </w:tr>
      <w:tr w:rsidR="007515C6" w:rsidRPr="00867B8A" w:rsidTr="007062AF">
        <w:trPr>
          <w:trHeight w:val="319"/>
        </w:trPr>
        <w:tc>
          <w:tcPr>
            <w:tcW w:w="0" w:type="auto"/>
            <w:gridSpan w:val="2"/>
            <w:vMerge/>
            <w:shd w:val="clear" w:color="auto" w:fill="222A35" w:themeFill="text2" w:themeFillShade="80"/>
            <w:vAlign w:val="center"/>
            <w:hideMark/>
          </w:tcPr>
          <w:p w:rsidR="007515C6" w:rsidRPr="00867B8A" w:rsidRDefault="007515C6" w:rsidP="007416BE">
            <w:pPr>
              <w:spacing w:after="0" w:line="240" w:lineRule="auto"/>
              <w:rPr>
                <w:rFonts w:ascii="Gadugi" w:eastAsia="Times New Roman" w:hAnsi="Gadugi" w:cstheme="majorHAnsi"/>
                <w:b/>
                <w:bCs/>
                <w:color w:val="FFFFFF"/>
                <w:sz w:val="20"/>
                <w:szCs w:val="20"/>
                <w:lang w:val="es-EC" w:eastAsia="es-EC"/>
              </w:rPr>
            </w:pPr>
          </w:p>
        </w:tc>
      </w:tr>
      <w:tr w:rsidR="007515C6" w:rsidRPr="00867B8A" w:rsidTr="007062AF">
        <w:trPr>
          <w:trHeight w:val="585"/>
        </w:trPr>
        <w:tc>
          <w:tcPr>
            <w:tcW w:w="0" w:type="auto"/>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Servicio</w:t>
            </w:r>
          </w:p>
        </w:tc>
        <w:tc>
          <w:tcPr>
            <w:tcW w:w="0" w:type="auto"/>
            <w:shd w:val="clear" w:color="auto" w:fill="auto"/>
            <w:vAlign w:val="bottom"/>
            <w:hideMark/>
          </w:tcPr>
          <w:p w:rsidR="007515C6" w:rsidRPr="00867B8A" w:rsidRDefault="007515C6" w:rsidP="007416BE">
            <w:pPr>
              <w:spacing w:after="0" w:line="240" w:lineRule="auto"/>
              <w:rPr>
                <w:rFonts w:ascii="Gadugi" w:eastAsia="Times New Roman" w:hAnsi="Gadugi" w:cstheme="majorHAnsi"/>
                <w:color w:val="333333"/>
                <w:sz w:val="20"/>
                <w:szCs w:val="20"/>
                <w:lang w:val="es-EC" w:eastAsia="es-EC"/>
              </w:rPr>
            </w:pPr>
            <w:r w:rsidRPr="00867B8A">
              <w:rPr>
                <w:rFonts w:ascii="Gadugi" w:eastAsia="Times New Roman" w:hAnsi="Gadugi" w:cstheme="majorHAnsi"/>
                <w:color w:val="333333"/>
                <w:sz w:val="20"/>
                <w:szCs w:val="20"/>
                <w:lang w:val="es-EC" w:eastAsia="es-EC"/>
              </w:rPr>
              <w:t>Conjunto de actividades y procesos que se ejecutan para satisfacer las necesidades de la ciudadanía, optimizando los recursos.</w:t>
            </w:r>
          </w:p>
        </w:tc>
      </w:tr>
      <w:tr w:rsidR="007515C6" w:rsidRPr="00867B8A" w:rsidTr="007062AF">
        <w:trPr>
          <w:trHeight w:val="600"/>
        </w:trPr>
        <w:tc>
          <w:tcPr>
            <w:tcW w:w="0" w:type="auto"/>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Variables (V1 a Vn)</w:t>
            </w:r>
          </w:p>
        </w:tc>
        <w:tc>
          <w:tcPr>
            <w:tcW w:w="0" w:type="auto"/>
            <w:shd w:val="clear" w:color="auto" w:fill="auto"/>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Es el aspecto a evaluar del servicio o proceso que tiene influencia directa en la importancia o prioridad del proceso</w:t>
            </w:r>
          </w:p>
        </w:tc>
      </w:tr>
      <w:tr w:rsidR="007515C6" w:rsidRPr="00867B8A" w:rsidTr="007062AF">
        <w:trPr>
          <w:trHeight w:val="300"/>
        </w:trPr>
        <w:tc>
          <w:tcPr>
            <w:tcW w:w="0" w:type="auto"/>
            <w:vMerge w:val="restart"/>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x1 a nn…</w:t>
            </w:r>
          </w:p>
        </w:tc>
        <w:tc>
          <w:tcPr>
            <w:tcW w:w="0" w:type="auto"/>
            <w:shd w:val="clear" w:color="auto" w:fill="auto"/>
            <w:noWrap/>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Valor que se le asigna a la variable de acuerdo a la escala metodológica:</w:t>
            </w:r>
          </w:p>
        </w:tc>
      </w:tr>
      <w:tr w:rsidR="007515C6" w:rsidRPr="00867B8A" w:rsidTr="007062AF">
        <w:trPr>
          <w:trHeight w:val="300"/>
        </w:trPr>
        <w:tc>
          <w:tcPr>
            <w:tcW w:w="0" w:type="auto"/>
            <w:vMerge/>
            <w:shd w:val="clear" w:color="auto" w:fill="222A35" w:themeFill="text2" w:themeFillShade="80"/>
            <w:vAlign w:val="center"/>
            <w:hideMark/>
          </w:tcPr>
          <w:p w:rsidR="007515C6" w:rsidRPr="00867B8A" w:rsidRDefault="007515C6" w:rsidP="007416BE">
            <w:pPr>
              <w:spacing w:after="0" w:line="240" w:lineRule="auto"/>
              <w:rPr>
                <w:rFonts w:ascii="Gadugi" w:eastAsia="Times New Roman" w:hAnsi="Gadugi" w:cstheme="majorHAnsi"/>
                <w:b/>
                <w:bCs/>
                <w:color w:val="FFFFFF"/>
                <w:sz w:val="20"/>
                <w:szCs w:val="20"/>
                <w:lang w:val="es-EC" w:eastAsia="es-EC"/>
              </w:rPr>
            </w:pPr>
          </w:p>
        </w:tc>
        <w:tc>
          <w:tcPr>
            <w:tcW w:w="0" w:type="auto"/>
            <w:shd w:val="clear" w:color="auto" w:fill="auto"/>
            <w:noWrap/>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Valor de 1: Variable de baja importancia, no representa mayor prioridad</w:t>
            </w:r>
          </w:p>
        </w:tc>
      </w:tr>
      <w:tr w:rsidR="007515C6" w:rsidRPr="00867B8A" w:rsidTr="007062AF">
        <w:trPr>
          <w:trHeight w:val="300"/>
        </w:trPr>
        <w:tc>
          <w:tcPr>
            <w:tcW w:w="0" w:type="auto"/>
            <w:vMerge/>
            <w:shd w:val="clear" w:color="auto" w:fill="222A35" w:themeFill="text2" w:themeFillShade="80"/>
            <w:vAlign w:val="center"/>
            <w:hideMark/>
          </w:tcPr>
          <w:p w:rsidR="007515C6" w:rsidRPr="00867B8A" w:rsidRDefault="007515C6" w:rsidP="007416BE">
            <w:pPr>
              <w:spacing w:after="0" w:line="240" w:lineRule="auto"/>
              <w:rPr>
                <w:rFonts w:ascii="Gadugi" w:eastAsia="Times New Roman" w:hAnsi="Gadugi" w:cstheme="majorHAnsi"/>
                <w:b/>
                <w:bCs/>
                <w:color w:val="FFFFFF"/>
                <w:sz w:val="20"/>
                <w:szCs w:val="20"/>
                <w:lang w:val="es-EC" w:eastAsia="es-EC"/>
              </w:rPr>
            </w:pPr>
          </w:p>
        </w:tc>
        <w:tc>
          <w:tcPr>
            <w:tcW w:w="0" w:type="auto"/>
            <w:shd w:val="clear" w:color="auto" w:fill="auto"/>
            <w:noWrap/>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Valor de 5: Variable de media importancia, prioridad media</w:t>
            </w:r>
          </w:p>
        </w:tc>
      </w:tr>
      <w:tr w:rsidR="007515C6" w:rsidRPr="00867B8A" w:rsidTr="007062AF">
        <w:trPr>
          <w:trHeight w:val="300"/>
        </w:trPr>
        <w:tc>
          <w:tcPr>
            <w:tcW w:w="0" w:type="auto"/>
            <w:vMerge/>
            <w:shd w:val="clear" w:color="auto" w:fill="222A35" w:themeFill="text2" w:themeFillShade="80"/>
            <w:vAlign w:val="center"/>
            <w:hideMark/>
          </w:tcPr>
          <w:p w:rsidR="007515C6" w:rsidRPr="00867B8A" w:rsidRDefault="007515C6" w:rsidP="007416BE">
            <w:pPr>
              <w:spacing w:after="0" w:line="240" w:lineRule="auto"/>
              <w:rPr>
                <w:rFonts w:ascii="Gadugi" w:eastAsia="Times New Roman" w:hAnsi="Gadugi" w:cstheme="majorHAnsi"/>
                <w:b/>
                <w:bCs/>
                <w:color w:val="FFFFFF"/>
                <w:sz w:val="20"/>
                <w:szCs w:val="20"/>
                <w:lang w:val="es-EC" w:eastAsia="es-EC"/>
              </w:rPr>
            </w:pPr>
          </w:p>
        </w:tc>
        <w:tc>
          <w:tcPr>
            <w:tcW w:w="0" w:type="auto"/>
            <w:shd w:val="clear" w:color="auto" w:fill="auto"/>
            <w:noWrap/>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Valor de 10: Variable de alta importancia, prioridad alta</w:t>
            </w:r>
          </w:p>
        </w:tc>
      </w:tr>
      <w:tr w:rsidR="007515C6" w:rsidRPr="00867B8A" w:rsidTr="007062AF">
        <w:trPr>
          <w:trHeight w:val="315"/>
        </w:trPr>
        <w:tc>
          <w:tcPr>
            <w:tcW w:w="0" w:type="auto"/>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Total (T)</w:t>
            </w:r>
          </w:p>
        </w:tc>
        <w:tc>
          <w:tcPr>
            <w:tcW w:w="0" w:type="auto"/>
            <w:shd w:val="clear" w:color="auto" w:fill="auto"/>
            <w:noWrap/>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Suma de los valores asignados a las variables (x1+y1+z1+n1…)</w:t>
            </w:r>
          </w:p>
        </w:tc>
      </w:tr>
      <w:tr w:rsidR="007515C6" w:rsidRPr="00867B8A" w:rsidTr="007062AF">
        <w:trPr>
          <w:trHeight w:val="900"/>
        </w:trPr>
        <w:tc>
          <w:tcPr>
            <w:tcW w:w="0" w:type="auto"/>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Decisión Política</w:t>
            </w:r>
          </w:p>
        </w:tc>
        <w:tc>
          <w:tcPr>
            <w:tcW w:w="0" w:type="auto"/>
            <w:shd w:val="clear" w:color="auto" w:fill="auto"/>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Factor que determina un peso adicional en un 20% al índice de priorización (IP%), "SI" indica un alto grado en el que influye la decisión política de la autoridad en la priorización del proceso o servicio.</w:t>
            </w:r>
          </w:p>
        </w:tc>
      </w:tr>
      <w:tr w:rsidR="007515C6" w:rsidRPr="00867B8A" w:rsidTr="007062AF">
        <w:trPr>
          <w:trHeight w:val="600"/>
        </w:trPr>
        <w:tc>
          <w:tcPr>
            <w:tcW w:w="0" w:type="auto"/>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Índice de priorización (IP%)</w:t>
            </w:r>
          </w:p>
        </w:tc>
        <w:tc>
          <w:tcPr>
            <w:tcW w:w="0" w:type="auto"/>
            <w:shd w:val="clear" w:color="auto" w:fill="auto"/>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Razón entre el Total (T) y (el número de variables (N) * 10 (número máximo que puede tener una variable)), este índice se lo expresa de forma porcentual</w:t>
            </w:r>
          </w:p>
        </w:tc>
      </w:tr>
      <w:tr w:rsidR="007515C6" w:rsidRPr="00867B8A" w:rsidTr="007062AF">
        <w:trPr>
          <w:trHeight w:val="315"/>
        </w:trPr>
        <w:tc>
          <w:tcPr>
            <w:tcW w:w="0" w:type="auto"/>
            <w:shd w:val="clear" w:color="auto" w:fill="222A35" w:themeFill="text2" w:themeFillShade="80"/>
            <w:noWrap/>
            <w:vAlign w:val="center"/>
            <w:hideMark/>
          </w:tcPr>
          <w:p w:rsidR="007515C6" w:rsidRPr="00867B8A" w:rsidRDefault="007515C6" w:rsidP="007416BE">
            <w:pPr>
              <w:spacing w:after="0" w:line="240" w:lineRule="auto"/>
              <w:jc w:val="center"/>
              <w:rPr>
                <w:rFonts w:ascii="Gadugi" w:eastAsia="Times New Roman" w:hAnsi="Gadugi" w:cstheme="majorHAnsi"/>
                <w:b/>
                <w:bCs/>
                <w:color w:val="FFFFFF"/>
                <w:sz w:val="20"/>
                <w:szCs w:val="20"/>
                <w:lang w:val="es-EC" w:eastAsia="es-EC"/>
              </w:rPr>
            </w:pPr>
            <w:r w:rsidRPr="00867B8A">
              <w:rPr>
                <w:rFonts w:ascii="Gadugi" w:eastAsia="Times New Roman" w:hAnsi="Gadugi" w:cstheme="majorHAnsi"/>
                <w:b/>
                <w:bCs/>
                <w:color w:val="FFFFFF"/>
                <w:sz w:val="20"/>
                <w:szCs w:val="20"/>
                <w:lang w:val="es-EC" w:eastAsia="es-EC"/>
              </w:rPr>
              <w:t>Número de Variables (N)</w:t>
            </w:r>
          </w:p>
        </w:tc>
        <w:tc>
          <w:tcPr>
            <w:tcW w:w="0" w:type="auto"/>
            <w:shd w:val="clear" w:color="auto" w:fill="auto"/>
            <w:noWrap/>
            <w:vAlign w:val="bottom"/>
            <w:hideMark/>
          </w:tcPr>
          <w:p w:rsidR="007515C6" w:rsidRPr="00867B8A" w:rsidRDefault="007515C6" w:rsidP="007416BE">
            <w:pPr>
              <w:spacing w:after="0" w:line="240" w:lineRule="auto"/>
              <w:rPr>
                <w:rFonts w:ascii="Gadugi" w:eastAsia="Times New Roman" w:hAnsi="Gadugi" w:cstheme="majorHAnsi"/>
                <w:color w:val="000000"/>
                <w:sz w:val="20"/>
                <w:szCs w:val="20"/>
                <w:lang w:val="es-EC" w:eastAsia="es-EC"/>
              </w:rPr>
            </w:pPr>
            <w:r w:rsidRPr="00867B8A">
              <w:rPr>
                <w:rFonts w:ascii="Gadugi" w:eastAsia="Times New Roman" w:hAnsi="Gadugi" w:cstheme="majorHAnsi"/>
                <w:color w:val="000000"/>
                <w:sz w:val="20"/>
                <w:szCs w:val="20"/>
                <w:lang w:val="es-EC" w:eastAsia="es-EC"/>
              </w:rPr>
              <w:t>Es la cantidad de variables que se ha de analizar para cada servicio o proceso</w:t>
            </w:r>
          </w:p>
        </w:tc>
      </w:tr>
    </w:tbl>
    <w:p w:rsidR="007515C6" w:rsidRPr="00867B8A" w:rsidRDefault="007515C6" w:rsidP="00BB143C">
      <w:pPr>
        <w:jc w:val="both"/>
        <w:outlineLvl w:val="1"/>
        <w:rPr>
          <w:rFonts w:ascii="Gadugi" w:hAnsi="Gadugi"/>
          <w:b/>
          <w:sz w:val="20"/>
          <w:szCs w:val="20"/>
        </w:rPr>
      </w:pPr>
    </w:p>
    <w:p w:rsidR="00697686" w:rsidRPr="00867B8A" w:rsidRDefault="00DD5FCE" w:rsidP="00DD5FCE">
      <w:pPr>
        <w:pStyle w:val="Prrafodelista"/>
        <w:numPr>
          <w:ilvl w:val="1"/>
          <w:numId w:val="8"/>
        </w:numPr>
        <w:jc w:val="both"/>
        <w:outlineLvl w:val="1"/>
        <w:rPr>
          <w:rFonts w:ascii="Gadugi" w:hAnsi="Gadugi"/>
          <w:b/>
          <w:sz w:val="20"/>
          <w:szCs w:val="20"/>
        </w:rPr>
      </w:pPr>
      <w:bookmarkStart w:id="19" w:name="_Toc483335431"/>
      <w:r w:rsidRPr="00867B8A">
        <w:rPr>
          <w:rFonts w:ascii="Gadugi" w:hAnsi="Gadugi"/>
          <w:b/>
          <w:sz w:val="20"/>
          <w:szCs w:val="20"/>
        </w:rPr>
        <w:t>Servicios Priorizados</w:t>
      </w:r>
      <w:bookmarkEnd w:id="19"/>
    </w:p>
    <w:p w:rsidR="007515C6" w:rsidRPr="00867B8A" w:rsidRDefault="007515C6" w:rsidP="007515C6">
      <w:pPr>
        <w:jc w:val="both"/>
        <w:rPr>
          <w:rFonts w:ascii="Gadugi" w:hAnsi="Gadugi"/>
          <w:sz w:val="20"/>
          <w:szCs w:val="20"/>
        </w:rPr>
      </w:pPr>
      <w:r w:rsidRPr="00867B8A">
        <w:rPr>
          <w:rFonts w:ascii="Gadugi" w:hAnsi="Gadugi"/>
          <w:sz w:val="20"/>
          <w:szCs w:val="20"/>
        </w:rPr>
        <w:t>Conforme los análisis realizados previamente, se pusieron a disposición de la Administración del Contrato estos catálogos y finalmente, se realizó la priorización de servicios de forma conjunta entre la Administración del Contrato y la empresa Consultora MRProcessi Cía. Ltda. como consta en el Acta No. EJ-140217-JB15 con fecha 14 de febrero de 2017. Los servicios priorizados son:</w:t>
      </w:r>
    </w:p>
    <w:p w:rsidR="007515C6" w:rsidRPr="00867B8A" w:rsidRDefault="007515C6" w:rsidP="007515C6">
      <w:pPr>
        <w:pStyle w:val="Prrafodelista"/>
        <w:numPr>
          <w:ilvl w:val="0"/>
          <w:numId w:val="9"/>
        </w:numPr>
        <w:jc w:val="both"/>
        <w:rPr>
          <w:rFonts w:ascii="Gadugi" w:hAnsi="Gadugi"/>
          <w:sz w:val="20"/>
          <w:szCs w:val="20"/>
        </w:rPr>
      </w:pPr>
      <w:r w:rsidRPr="00867B8A">
        <w:rPr>
          <w:rFonts w:ascii="Gadugi" w:hAnsi="Gadugi"/>
          <w:sz w:val="20"/>
          <w:szCs w:val="20"/>
        </w:rPr>
        <w:t>Modificación de la información Catastral.</w:t>
      </w:r>
    </w:p>
    <w:p w:rsidR="007515C6" w:rsidRPr="00867B8A" w:rsidRDefault="007515C6" w:rsidP="007515C6">
      <w:pPr>
        <w:pStyle w:val="Prrafodelista"/>
        <w:numPr>
          <w:ilvl w:val="0"/>
          <w:numId w:val="9"/>
        </w:numPr>
        <w:jc w:val="both"/>
        <w:rPr>
          <w:rFonts w:ascii="Gadugi" w:hAnsi="Gadugi"/>
          <w:sz w:val="20"/>
          <w:szCs w:val="20"/>
        </w:rPr>
      </w:pPr>
      <w:r w:rsidRPr="00867B8A">
        <w:rPr>
          <w:rFonts w:ascii="Gadugi" w:hAnsi="Gadugi"/>
          <w:sz w:val="20"/>
          <w:szCs w:val="20"/>
        </w:rPr>
        <w:t xml:space="preserve">Emisión de licencias Urbanísticas y para el ejercicio de actividades económicas. </w:t>
      </w:r>
    </w:p>
    <w:p w:rsidR="007515C6" w:rsidRPr="00867B8A" w:rsidRDefault="007515C6" w:rsidP="007515C6">
      <w:pPr>
        <w:pStyle w:val="Prrafodelista"/>
        <w:numPr>
          <w:ilvl w:val="0"/>
          <w:numId w:val="9"/>
        </w:numPr>
        <w:jc w:val="both"/>
        <w:rPr>
          <w:rFonts w:ascii="Gadugi" w:hAnsi="Gadugi"/>
          <w:sz w:val="20"/>
          <w:szCs w:val="20"/>
        </w:rPr>
      </w:pPr>
      <w:r w:rsidRPr="00867B8A">
        <w:rPr>
          <w:rFonts w:ascii="Gadugi" w:hAnsi="Gadugi"/>
          <w:sz w:val="20"/>
          <w:szCs w:val="20"/>
        </w:rPr>
        <w:t>Emisión de informe de compatibilidad de uso de suelo.</w:t>
      </w:r>
    </w:p>
    <w:p w:rsidR="007515C6" w:rsidRPr="00867B8A" w:rsidRDefault="007515C6" w:rsidP="007515C6">
      <w:pPr>
        <w:pStyle w:val="Sinespaciado"/>
        <w:spacing w:after="240" w:line="276" w:lineRule="auto"/>
        <w:jc w:val="both"/>
        <w:rPr>
          <w:rFonts w:ascii="Gadugi" w:eastAsiaTheme="minorHAnsi" w:hAnsi="Gadugi"/>
          <w:sz w:val="20"/>
          <w:szCs w:val="20"/>
          <w:lang w:val="es-ES" w:eastAsia="en-US"/>
        </w:rPr>
      </w:pPr>
      <w:r w:rsidRPr="00867B8A">
        <w:rPr>
          <w:rFonts w:ascii="Gadugi" w:eastAsiaTheme="minorHAnsi" w:hAnsi="Gadugi"/>
          <w:sz w:val="20"/>
          <w:szCs w:val="20"/>
          <w:lang w:val="es-ES" w:eastAsia="en-US"/>
        </w:rPr>
        <w:t xml:space="preserve">Con fecha 23 de marzo de 2017, la Secretaría General de Planificación a través de la Administración del Contrato emite el oficio No. SGP-DMDI-2017-008, en donde formaliza que NO se considerará el servicio de </w:t>
      </w:r>
      <w:r w:rsidR="00D03F03" w:rsidRPr="00867B8A">
        <w:rPr>
          <w:rFonts w:ascii="Gadugi" w:eastAsiaTheme="minorHAnsi" w:hAnsi="Gadugi"/>
          <w:sz w:val="20"/>
          <w:szCs w:val="20"/>
          <w:lang w:val="es-ES" w:eastAsia="en-US"/>
        </w:rPr>
        <w:lastRenderedPageBreak/>
        <w:t>“</w:t>
      </w:r>
      <w:r w:rsidRPr="00867B8A">
        <w:rPr>
          <w:rFonts w:ascii="Gadugi" w:eastAsiaTheme="minorHAnsi" w:hAnsi="Gadugi"/>
          <w:sz w:val="20"/>
          <w:szCs w:val="20"/>
          <w:lang w:val="es-ES" w:eastAsia="en-US"/>
        </w:rPr>
        <w:t>Modificación de información Catastral</w:t>
      </w:r>
      <w:r w:rsidR="00D03F03" w:rsidRPr="00867B8A">
        <w:rPr>
          <w:rFonts w:ascii="Gadugi" w:eastAsiaTheme="minorHAnsi" w:hAnsi="Gadugi"/>
          <w:sz w:val="20"/>
          <w:szCs w:val="20"/>
          <w:lang w:val="es-ES" w:eastAsia="en-US"/>
        </w:rPr>
        <w:t>”</w:t>
      </w:r>
      <w:r w:rsidRPr="00867B8A">
        <w:rPr>
          <w:rFonts w:ascii="Gadugi" w:eastAsiaTheme="minorHAnsi" w:hAnsi="Gadugi"/>
          <w:sz w:val="20"/>
          <w:szCs w:val="20"/>
          <w:lang w:val="es-ES" w:eastAsia="en-US"/>
        </w:rPr>
        <w:t xml:space="preserve"> para el desarrollo del proyecto; y, que se ha procedido bajo la misma metodología de priorización a seleccionar el servicio de </w:t>
      </w:r>
      <w:r w:rsidR="00D03F03" w:rsidRPr="00867B8A">
        <w:rPr>
          <w:rFonts w:ascii="Gadugi" w:eastAsiaTheme="minorHAnsi" w:hAnsi="Gadugi"/>
          <w:sz w:val="20"/>
          <w:szCs w:val="20"/>
          <w:lang w:val="es-ES" w:eastAsia="en-US"/>
        </w:rPr>
        <w:t>“</w:t>
      </w:r>
      <w:r w:rsidRPr="00867B8A">
        <w:rPr>
          <w:rFonts w:ascii="Gadugi" w:eastAsiaTheme="minorHAnsi" w:hAnsi="Gadugi"/>
          <w:sz w:val="20"/>
          <w:szCs w:val="20"/>
          <w:lang w:val="es-ES" w:eastAsia="en-US"/>
        </w:rPr>
        <w:t>Regularización Ambiental</w:t>
      </w:r>
      <w:r w:rsidR="00D03F03" w:rsidRPr="00867B8A">
        <w:rPr>
          <w:rFonts w:ascii="Gadugi" w:eastAsiaTheme="minorHAnsi" w:hAnsi="Gadugi"/>
          <w:sz w:val="20"/>
          <w:szCs w:val="20"/>
          <w:lang w:val="es-ES" w:eastAsia="en-US"/>
        </w:rPr>
        <w:t>”</w:t>
      </w:r>
      <w:r w:rsidRPr="00867B8A">
        <w:rPr>
          <w:rFonts w:ascii="Gadugi" w:eastAsiaTheme="minorHAnsi" w:hAnsi="Gadugi"/>
          <w:sz w:val="20"/>
          <w:szCs w:val="20"/>
          <w:lang w:val="es-ES" w:eastAsia="en-US"/>
        </w:rPr>
        <w:t xml:space="preserve">; cuyo taller de inicio será el día lunes 27 de marzo de 2017. </w:t>
      </w:r>
      <w:r w:rsidR="00D03F03" w:rsidRPr="00867B8A">
        <w:rPr>
          <w:rFonts w:ascii="Gadugi" w:eastAsiaTheme="minorHAnsi" w:hAnsi="Gadugi"/>
          <w:sz w:val="20"/>
          <w:szCs w:val="20"/>
          <w:lang w:val="es-ES" w:eastAsia="en-US"/>
        </w:rPr>
        <w:t>Adicionalmente se comunica que para el caso del servicio de “Emisión de Licencias Urbanísticas y para el Ejercicio de Actividades Económicas” por solicitud del responsable del servicio no se considerará las licencias para ejercicio de actividades económicas, únicamente se abordará el servicio de Licencias Urbanísticas. Además la Administración del contrato determina que el servicio de “Emisión de informe de compatibilidad de uso de suelo” deberá ser reemplazado por el servicio de “Emisión de viabilidad técnica” debido a que cuenta con gran cantidad de trámites y tendrá mayor impacto a la ciudadanía que el servicio de “Emisión de informe de compatibilidad de uso de suelo” el que cuenta con un solo trámite.</w:t>
      </w:r>
    </w:p>
    <w:p w:rsidR="00D3412B" w:rsidRPr="00867B8A" w:rsidRDefault="00D67BFF" w:rsidP="00D3412B">
      <w:pPr>
        <w:jc w:val="both"/>
        <w:rPr>
          <w:rFonts w:ascii="Gadugi" w:hAnsi="Gadugi"/>
          <w:sz w:val="20"/>
          <w:szCs w:val="20"/>
        </w:rPr>
      </w:pPr>
      <w:r w:rsidRPr="00867B8A">
        <w:rPr>
          <w:rFonts w:ascii="Gadugi" w:hAnsi="Gadugi"/>
          <w:sz w:val="20"/>
          <w:szCs w:val="20"/>
        </w:rPr>
        <w:t>Durante los acercamientos preliminares para el servicio de “Emisión de Viabilidad Técnica” se realizó una priorización de trámites internos por solicitud expresa del responsable del servicio, en don</w:t>
      </w:r>
      <w:r w:rsidR="000873B7" w:rsidRPr="00867B8A">
        <w:rPr>
          <w:rFonts w:ascii="Gadugi" w:hAnsi="Gadugi"/>
          <w:sz w:val="20"/>
          <w:szCs w:val="20"/>
        </w:rPr>
        <w:t xml:space="preserve">de se determinó a través de </w:t>
      </w:r>
      <w:r w:rsidR="000873B7" w:rsidRPr="00867B8A">
        <w:rPr>
          <w:rFonts w:ascii="Gadugi" w:hAnsi="Gadugi"/>
          <w:b/>
          <w:sz w:val="20"/>
          <w:szCs w:val="20"/>
        </w:rPr>
        <w:t>Acta No. EJ-240317-JB16</w:t>
      </w:r>
      <w:r w:rsidRPr="00867B8A">
        <w:rPr>
          <w:rFonts w:ascii="Gadugi" w:hAnsi="Gadugi"/>
          <w:sz w:val="20"/>
          <w:szCs w:val="20"/>
        </w:rPr>
        <w:t xml:space="preserve"> </w:t>
      </w:r>
      <w:r w:rsidR="00D3412B" w:rsidRPr="00867B8A">
        <w:rPr>
          <w:rFonts w:ascii="Gadugi" w:hAnsi="Gadugi"/>
          <w:sz w:val="20"/>
          <w:szCs w:val="20"/>
        </w:rPr>
        <w:t xml:space="preserve">del </w:t>
      </w:r>
      <w:r w:rsidR="000873B7" w:rsidRPr="00867B8A">
        <w:rPr>
          <w:rFonts w:ascii="Gadugi" w:hAnsi="Gadugi"/>
          <w:sz w:val="20"/>
          <w:szCs w:val="20"/>
        </w:rPr>
        <w:t xml:space="preserve">24 de marzo </w:t>
      </w:r>
      <w:r w:rsidR="00D3412B" w:rsidRPr="00867B8A">
        <w:rPr>
          <w:rFonts w:ascii="Gadugi" w:hAnsi="Gadugi"/>
          <w:sz w:val="20"/>
          <w:szCs w:val="20"/>
        </w:rPr>
        <w:t>de 2017</w:t>
      </w:r>
      <w:r w:rsidR="000873B7" w:rsidRPr="00867B8A">
        <w:rPr>
          <w:rFonts w:ascii="Gadugi" w:hAnsi="Gadugi"/>
          <w:sz w:val="20"/>
          <w:szCs w:val="20"/>
        </w:rPr>
        <w:t xml:space="preserve"> </w:t>
      </w:r>
      <w:r w:rsidRPr="00867B8A">
        <w:rPr>
          <w:rFonts w:ascii="Gadugi" w:hAnsi="Gadugi"/>
          <w:sz w:val="20"/>
          <w:szCs w:val="20"/>
        </w:rPr>
        <w:t xml:space="preserve">una nueva jerarquización del servicio depurada con la información tanto del Secretario como de los Directores y Responsables correspondientes. La nueva jerarquía </w:t>
      </w:r>
      <w:r w:rsidR="00D3412B" w:rsidRPr="00867B8A">
        <w:rPr>
          <w:rFonts w:ascii="Gadugi" w:hAnsi="Gadugi"/>
          <w:sz w:val="20"/>
          <w:szCs w:val="20"/>
        </w:rPr>
        <w:t xml:space="preserve">consta de </w:t>
      </w:r>
      <w:r w:rsidR="000873B7" w:rsidRPr="00867B8A">
        <w:rPr>
          <w:rFonts w:ascii="Gadugi" w:hAnsi="Gadugi"/>
          <w:sz w:val="20"/>
          <w:szCs w:val="20"/>
        </w:rPr>
        <w:t>16</w:t>
      </w:r>
      <w:r w:rsidRPr="00867B8A">
        <w:rPr>
          <w:rFonts w:ascii="Gadugi" w:hAnsi="Gadugi"/>
          <w:sz w:val="20"/>
          <w:szCs w:val="20"/>
        </w:rPr>
        <w:t xml:space="preserve"> </w:t>
      </w:r>
      <w:r w:rsidR="00D3412B" w:rsidRPr="00867B8A">
        <w:rPr>
          <w:rFonts w:ascii="Gadugi" w:hAnsi="Gadugi"/>
          <w:sz w:val="20"/>
          <w:szCs w:val="20"/>
        </w:rPr>
        <w:t>trámites de los cuales se intervendrán 10</w:t>
      </w:r>
      <w:r w:rsidR="000873B7" w:rsidRPr="00867B8A">
        <w:rPr>
          <w:rFonts w:ascii="Gadugi" w:hAnsi="Gadugi"/>
          <w:sz w:val="20"/>
          <w:szCs w:val="20"/>
        </w:rPr>
        <w:t xml:space="preserve"> priorizados por el Secretario de Territorio, Hábitat y Vivienda</w:t>
      </w:r>
      <w:r w:rsidR="00D3412B" w:rsidRPr="00867B8A">
        <w:rPr>
          <w:rFonts w:ascii="Gadugi" w:hAnsi="Gadugi"/>
          <w:sz w:val="20"/>
          <w:szCs w:val="20"/>
        </w:rPr>
        <w:t>. Adicionalmente a través de acta No. SER-030417-EC03, se acordó la unificaron los trámites correspondientes al Grupo “Subdivisión predial”, quedando un solo trámite con el nombre “Solicitud para la subdivisión o unificación predial en áreas históricas”, puesto que se señaló por parte de la responsable del servicio que se trata del mismo trámite. En función de esto se determinó que el alcance del proyecto para este servicio será sobre 9 trámites.</w:t>
      </w:r>
    </w:p>
    <w:p w:rsidR="00D3412B" w:rsidRPr="00867B8A" w:rsidRDefault="00D3412B" w:rsidP="00D3412B">
      <w:pPr>
        <w:pStyle w:val="Sinespaciado"/>
        <w:spacing w:after="240" w:line="276" w:lineRule="auto"/>
        <w:jc w:val="both"/>
        <w:rPr>
          <w:rFonts w:ascii="Gadugi" w:eastAsiaTheme="minorHAnsi" w:hAnsi="Gadugi"/>
          <w:sz w:val="20"/>
          <w:szCs w:val="20"/>
        </w:rPr>
      </w:pPr>
      <w:r w:rsidRPr="00867B8A">
        <w:rPr>
          <w:rFonts w:ascii="Gadugi" w:eastAsiaTheme="minorHAnsi" w:hAnsi="Gadugi"/>
          <w:sz w:val="20"/>
          <w:szCs w:val="20"/>
          <w:lang w:val="es-ES" w:eastAsia="en-US"/>
        </w:rPr>
        <w:t>Durante los acercamientos preliminares del servicio de “Emisión de Licencias Urbanísticas” se realizó una depuración de la Jerarquía en donde se definió que el servicio cuenta con una estructura de grupos y trámites propia sobre los cuales se realizará el despliegue metodológico correspondiente. La nueva jerarquía fue definida a través de acta</w:t>
      </w:r>
      <w:r w:rsidR="006959A3" w:rsidRPr="00867B8A">
        <w:rPr>
          <w:rFonts w:ascii="Gadugi" w:eastAsiaTheme="minorHAnsi" w:hAnsi="Gadugi"/>
          <w:sz w:val="20"/>
          <w:szCs w:val="20"/>
          <w:lang w:val="es-ES" w:eastAsia="en-US"/>
        </w:rPr>
        <w:t xml:space="preserve"> No. SER-200317-MR02 </w:t>
      </w:r>
      <w:r w:rsidRPr="00867B8A">
        <w:rPr>
          <w:rFonts w:ascii="Gadugi" w:eastAsiaTheme="minorHAnsi" w:hAnsi="Gadugi"/>
          <w:sz w:val="20"/>
          <w:szCs w:val="20"/>
        </w:rPr>
        <w:t xml:space="preserve">del </w:t>
      </w:r>
      <w:r w:rsidR="006959A3" w:rsidRPr="00867B8A">
        <w:rPr>
          <w:rFonts w:ascii="Gadugi" w:eastAsiaTheme="minorHAnsi" w:hAnsi="Gadugi"/>
          <w:sz w:val="20"/>
          <w:szCs w:val="20"/>
        </w:rPr>
        <w:t>20 de marzo</w:t>
      </w:r>
      <w:r w:rsidRPr="00867B8A">
        <w:rPr>
          <w:rFonts w:ascii="Gadugi" w:eastAsiaTheme="minorHAnsi" w:hAnsi="Gadugi"/>
          <w:sz w:val="20"/>
          <w:szCs w:val="20"/>
        </w:rPr>
        <w:t xml:space="preserve"> de 2017.</w:t>
      </w:r>
    </w:p>
    <w:p w:rsidR="00D3412B" w:rsidRPr="00867B8A" w:rsidRDefault="00D3412B" w:rsidP="00D3412B">
      <w:pPr>
        <w:pStyle w:val="Sinespaciado"/>
        <w:spacing w:after="240" w:line="276" w:lineRule="auto"/>
        <w:jc w:val="both"/>
        <w:rPr>
          <w:rFonts w:ascii="Gadugi" w:eastAsiaTheme="minorHAnsi" w:hAnsi="Gadugi"/>
          <w:sz w:val="20"/>
          <w:szCs w:val="20"/>
        </w:rPr>
      </w:pPr>
      <w:r w:rsidRPr="00867B8A">
        <w:rPr>
          <w:rFonts w:ascii="Gadugi" w:eastAsiaTheme="minorHAnsi" w:hAnsi="Gadugi"/>
          <w:sz w:val="20"/>
          <w:szCs w:val="20"/>
        </w:rPr>
        <w:t xml:space="preserve">Durante los acercamientos preliminares del servicio de “Regularización Ambiental” se analizó detenidamente cada trámite, detectando que algunos de los trámites (licencias) se encuentran ya automatizados a través del sistema SUIA. Por lo que por solicitud expresa del responsable del servicio se definió como alcance de este proyecto el trámite de Autorización Metropolitana de Implantación o AMI, lo cual quedó sentado a través de acta </w:t>
      </w:r>
      <w:r w:rsidR="006959A3" w:rsidRPr="00867B8A">
        <w:rPr>
          <w:rFonts w:ascii="Gadugi" w:eastAsiaTheme="minorHAnsi" w:hAnsi="Gadugi"/>
          <w:sz w:val="20"/>
          <w:szCs w:val="20"/>
        </w:rPr>
        <w:t>No. SER-270317-DY01</w:t>
      </w:r>
      <w:r w:rsidRPr="00867B8A">
        <w:rPr>
          <w:rFonts w:ascii="Gadugi" w:eastAsiaTheme="minorHAnsi" w:hAnsi="Gadugi"/>
          <w:sz w:val="20"/>
          <w:szCs w:val="20"/>
        </w:rPr>
        <w:t xml:space="preserve"> del </w:t>
      </w:r>
      <w:r w:rsidR="006959A3" w:rsidRPr="00867B8A">
        <w:rPr>
          <w:rFonts w:ascii="Gadugi" w:eastAsiaTheme="minorHAnsi" w:hAnsi="Gadugi"/>
          <w:sz w:val="20"/>
          <w:szCs w:val="20"/>
        </w:rPr>
        <w:t>27 de marzo</w:t>
      </w:r>
      <w:r w:rsidRPr="00867B8A">
        <w:rPr>
          <w:rFonts w:ascii="Gadugi" w:eastAsiaTheme="minorHAnsi" w:hAnsi="Gadugi"/>
          <w:sz w:val="20"/>
          <w:szCs w:val="20"/>
        </w:rPr>
        <w:t xml:space="preserve"> de 2017. Además se estableció una estructura jerárquica propia para este servicio, definiendo el nombre del servicio como “Regularización Metropolitana de implantación”.</w:t>
      </w:r>
    </w:p>
    <w:p w:rsidR="00D67BFF" w:rsidRPr="00867B8A" w:rsidRDefault="00D03F03" w:rsidP="00D3412B">
      <w:pPr>
        <w:pStyle w:val="Sinespaciado"/>
        <w:spacing w:after="240" w:line="276" w:lineRule="auto"/>
        <w:jc w:val="both"/>
        <w:rPr>
          <w:rFonts w:ascii="Gadugi" w:hAnsi="Gadugi"/>
          <w:sz w:val="20"/>
          <w:szCs w:val="20"/>
        </w:rPr>
      </w:pPr>
      <w:r w:rsidRPr="00867B8A">
        <w:rPr>
          <w:rFonts w:ascii="Gadugi" w:hAnsi="Gadugi"/>
          <w:sz w:val="20"/>
          <w:szCs w:val="20"/>
        </w:rPr>
        <w:t>Por lo tanto los servicios</w:t>
      </w:r>
      <w:r w:rsidR="007515C6" w:rsidRPr="00867B8A">
        <w:rPr>
          <w:rFonts w:ascii="Gadugi" w:hAnsi="Gadugi"/>
          <w:sz w:val="20"/>
          <w:szCs w:val="20"/>
        </w:rPr>
        <w:t xml:space="preserve"> priorizados definitivos</w:t>
      </w:r>
      <w:r w:rsidRPr="00867B8A">
        <w:rPr>
          <w:rFonts w:ascii="Gadugi" w:hAnsi="Gadugi"/>
          <w:sz w:val="20"/>
          <w:szCs w:val="20"/>
        </w:rPr>
        <w:t xml:space="preserve"> </w:t>
      </w:r>
      <w:r w:rsidR="00D67BFF" w:rsidRPr="00867B8A">
        <w:rPr>
          <w:rFonts w:ascii="Gadugi" w:hAnsi="Gadugi"/>
          <w:sz w:val="20"/>
          <w:szCs w:val="20"/>
        </w:rPr>
        <w:t>con los que se trabajará los productos contractuales subsiguientes serán:</w:t>
      </w:r>
    </w:p>
    <w:p w:rsidR="007515C6" w:rsidRPr="00867B8A" w:rsidRDefault="00D67BFF" w:rsidP="007515C6">
      <w:pPr>
        <w:pStyle w:val="Prrafodelista"/>
        <w:numPr>
          <w:ilvl w:val="0"/>
          <w:numId w:val="10"/>
        </w:numPr>
        <w:jc w:val="both"/>
        <w:rPr>
          <w:rFonts w:ascii="Gadugi" w:hAnsi="Gadugi"/>
          <w:sz w:val="20"/>
          <w:szCs w:val="20"/>
        </w:rPr>
      </w:pPr>
      <w:r w:rsidRPr="00867B8A">
        <w:rPr>
          <w:rFonts w:ascii="Gadugi" w:hAnsi="Gadugi"/>
          <w:sz w:val="20"/>
          <w:szCs w:val="20"/>
        </w:rPr>
        <w:t>Emisión de viabilidad técnica de la Secretaría de Territorio, Hábitat y Vivienda;</w:t>
      </w:r>
    </w:p>
    <w:p w:rsidR="007515C6" w:rsidRPr="00867B8A" w:rsidRDefault="00D67BFF" w:rsidP="007515C6">
      <w:pPr>
        <w:pStyle w:val="Prrafodelista"/>
        <w:numPr>
          <w:ilvl w:val="0"/>
          <w:numId w:val="10"/>
        </w:numPr>
        <w:jc w:val="both"/>
        <w:rPr>
          <w:rFonts w:ascii="Gadugi" w:hAnsi="Gadugi"/>
          <w:sz w:val="20"/>
          <w:szCs w:val="20"/>
        </w:rPr>
      </w:pPr>
      <w:r w:rsidRPr="00867B8A">
        <w:rPr>
          <w:rFonts w:ascii="Gadugi" w:hAnsi="Gadugi"/>
          <w:sz w:val="20"/>
          <w:szCs w:val="20"/>
        </w:rPr>
        <w:t>Emisión de Licencias Urbanísticas</w:t>
      </w:r>
      <w:r w:rsidR="00D3412B" w:rsidRPr="00867B8A">
        <w:rPr>
          <w:rFonts w:ascii="Gadugi" w:hAnsi="Gadugi"/>
          <w:sz w:val="20"/>
          <w:szCs w:val="20"/>
        </w:rPr>
        <w:t xml:space="preserve"> de la Secretaría de Territorio, Hábitat y Vivienda</w:t>
      </w:r>
      <w:r w:rsidR="007515C6" w:rsidRPr="00867B8A">
        <w:rPr>
          <w:rFonts w:ascii="Gadugi" w:hAnsi="Gadugi"/>
          <w:sz w:val="20"/>
          <w:szCs w:val="20"/>
        </w:rPr>
        <w:t>;</w:t>
      </w:r>
    </w:p>
    <w:p w:rsidR="0019366C" w:rsidRPr="00867B8A" w:rsidRDefault="00D67BFF" w:rsidP="00C151F4">
      <w:pPr>
        <w:pStyle w:val="Prrafodelista"/>
        <w:numPr>
          <w:ilvl w:val="0"/>
          <w:numId w:val="10"/>
        </w:numPr>
        <w:jc w:val="both"/>
        <w:rPr>
          <w:rFonts w:ascii="Gadugi" w:hAnsi="Gadugi"/>
          <w:sz w:val="20"/>
          <w:szCs w:val="20"/>
        </w:rPr>
      </w:pPr>
      <w:r w:rsidRPr="00867B8A">
        <w:rPr>
          <w:rFonts w:ascii="Gadugi" w:hAnsi="Gadugi"/>
          <w:sz w:val="20"/>
          <w:szCs w:val="20"/>
        </w:rPr>
        <w:t>Regularización Metropolitana de Implantación</w:t>
      </w:r>
      <w:r w:rsidR="00D3412B" w:rsidRPr="00867B8A">
        <w:rPr>
          <w:rFonts w:ascii="Gadugi" w:hAnsi="Gadugi"/>
          <w:sz w:val="20"/>
          <w:szCs w:val="20"/>
        </w:rPr>
        <w:t xml:space="preserve"> de la Secretaría de Ambiente</w:t>
      </w:r>
      <w:r w:rsidR="007515C6" w:rsidRPr="00867B8A">
        <w:rPr>
          <w:rFonts w:ascii="Gadugi" w:hAnsi="Gadugi"/>
          <w:sz w:val="20"/>
          <w:szCs w:val="20"/>
        </w:rPr>
        <w:t>.</w:t>
      </w:r>
    </w:p>
    <w:p w:rsidR="0019366C" w:rsidRPr="00867B8A" w:rsidRDefault="0019366C" w:rsidP="0019366C">
      <w:pPr>
        <w:ind w:left="360"/>
        <w:jc w:val="both"/>
        <w:rPr>
          <w:rFonts w:ascii="Gadugi" w:hAnsi="Gadugi"/>
          <w:sz w:val="20"/>
          <w:szCs w:val="20"/>
        </w:rPr>
      </w:pPr>
    </w:p>
    <w:p w:rsidR="0019366C" w:rsidRPr="00867B8A" w:rsidRDefault="0019366C" w:rsidP="0019366C">
      <w:pPr>
        <w:jc w:val="both"/>
        <w:rPr>
          <w:rFonts w:ascii="Gadugi" w:hAnsi="Gadugi"/>
          <w:sz w:val="20"/>
          <w:szCs w:val="20"/>
        </w:rPr>
      </w:pPr>
      <w:r w:rsidRPr="00867B8A">
        <w:rPr>
          <w:rFonts w:ascii="Gadugi" w:hAnsi="Gadugi"/>
          <w:sz w:val="20"/>
          <w:szCs w:val="20"/>
        </w:rPr>
        <w:t xml:space="preserve">Se adjunta el </w:t>
      </w:r>
      <w:r w:rsidRPr="00867B8A">
        <w:rPr>
          <w:rFonts w:ascii="Gadugi" w:hAnsi="Gadugi"/>
          <w:b/>
          <w:sz w:val="20"/>
          <w:szCs w:val="20"/>
        </w:rPr>
        <w:t xml:space="preserve">ANEXO No. 1 – Matriz de Priorización de Servicios, </w:t>
      </w:r>
      <w:r w:rsidRPr="00867B8A">
        <w:rPr>
          <w:rFonts w:ascii="Gadugi" w:hAnsi="Gadugi"/>
          <w:sz w:val="20"/>
          <w:szCs w:val="20"/>
        </w:rPr>
        <w:t>la cual muestra la calificación final conjunta de servicios y su respectiva prioridad institucional asignada, que permite determinar los servicios definitivos.</w:t>
      </w:r>
      <w:bookmarkStart w:id="20" w:name="_GoBack"/>
      <w:bookmarkEnd w:id="20"/>
    </w:p>
    <w:sectPr w:rsidR="0019366C" w:rsidRPr="00867B8A" w:rsidSect="00D26141">
      <w:headerReference w:type="default" r:id="rId10"/>
      <w:footerReference w:type="default" r:id="rId11"/>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65" w:rsidRDefault="00515765" w:rsidP="00A91011">
      <w:pPr>
        <w:spacing w:after="0" w:line="240" w:lineRule="auto"/>
      </w:pPr>
      <w:r>
        <w:separator/>
      </w:r>
    </w:p>
  </w:endnote>
  <w:endnote w:type="continuationSeparator" w:id="0">
    <w:p w:rsidR="00515765" w:rsidRDefault="00515765"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8A" w:rsidRDefault="00867B8A" w:rsidP="00867B8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062AF">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062AF">
      <w:rPr>
        <w:noProof/>
        <w:color w:val="323E4F" w:themeColor="text2" w:themeShade="BF"/>
        <w:sz w:val="24"/>
        <w:szCs w:val="24"/>
      </w:rPr>
      <w:t>7</w:t>
    </w:r>
    <w:r>
      <w:rPr>
        <w:color w:val="323E4F" w:themeColor="text2" w:themeShade="BF"/>
        <w:sz w:val="24"/>
        <w:szCs w:val="24"/>
      </w:rPr>
      <w:fldChar w:fldCharType="end"/>
    </w:r>
  </w:p>
  <w:p w:rsidR="00D26141" w:rsidRDefault="00D261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65" w:rsidRDefault="00515765" w:rsidP="00A91011">
      <w:pPr>
        <w:spacing w:after="0" w:line="240" w:lineRule="auto"/>
      </w:pPr>
      <w:r>
        <w:separator/>
      </w:r>
    </w:p>
  </w:footnote>
  <w:footnote w:type="continuationSeparator" w:id="0">
    <w:p w:rsidR="00515765" w:rsidRDefault="00515765"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F8349E">
    <w:pPr>
      <w:pStyle w:val="Encabezado"/>
    </w:pPr>
    <w:r>
      <w:rPr>
        <w:noProof/>
        <w:lang w:val="es-EC" w:eastAsia="es-EC"/>
      </w:rPr>
      <w:drawing>
        <wp:anchor distT="0" distB="0" distL="114300" distR="114300" simplePos="0" relativeHeight="251666944" behindDoc="1" locked="0" layoutInCell="1" allowOverlap="1" wp14:anchorId="612C999D" wp14:editId="070E0550">
          <wp:simplePos x="0" y="0"/>
          <wp:positionH relativeFrom="page">
            <wp:posOffset>123825</wp:posOffset>
          </wp:positionH>
          <wp:positionV relativeFrom="paragraph">
            <wp:posOffset>-554990</wp:posOffset>
          </wp:positionV>
          <wp:extent cx="7342125" cy="10772775"/>
          <wp:effectExtent l="0" t="0" r="0" b="0"/>
          <wp:wrapNone/>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3270" cy="10774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759"/>
    <w:multiLevelType w:val="hybridMultilevel"/>
    <w:tmpl w:val="952894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1F606ECE"/>
    <w:multiLevelType w:val="multilevel"/>
    <w:tmpl w:val="5DDAD5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12F4E1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5">
    <w:nsid w:val="3A43568B"/>
    <w:multiLevelType w:val="hybridMultilevel"/>
    <w:tmpl w:val="25D4A7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E546A0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B9D196E"/>
    <w:multiLevelType w:val="hybridMultilevel"/>
    <w:tmpl w:val="681A2644"/>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9">
    <w:nsid w:val="53EB20F8"/>
    <w:multiLevelType w:val="hybridMultilevel"/>
    <w:tmpl w:val="9872E9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D447172"/>
    <w:multiLevelType w:val="hybridMultilevel"/>
    <w:tmpl w:val="CB0C2C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EE02D9A"/>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0"/>
  </w:num>
  <w:num w:numId="4">
    <w:abstractNumId w:val="2"/>
  </w:num>
  <w:num w:numId="5">
    <w:abstractNumId w:val="4"/>
  </w:num>
  <w:num w:numId="6">
    <w:abstractNumId w:val="3"/>
  </w:num>
  <w:num w:numId="7">
    <w:abstractNumId w:val="6"/>
  </w:num>
  <w:num w:numId="8">
    <w:abstractNumId w:val="12"/>
  </w:num>
  <w:num w:numId="9">
    <w:abstractNumId w:val="8"/>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02D1"/>
    <w:rsid w:val="00026C35"/>
    <w:rsid w:val="000873B7"/>
    <w:rsid w:val="000A791D"/>
    <w:rsid w:val="0011717B"/>
    <w:rsid w:val="0015320F"/>
    <w:rsid w:val="001909A2"/>
    <w:rsid w:val="0019366C"/>
    <w:rsid w:val="00193F9F"/>
    <w:rsid w:val="001A443C"/>
    <w:rsid w:val="001C4BF8"/>
    <w:rsid w:val="002C1862"/>
    <w:rsid w:val="002E1CB5"/>
    <w:rsid w:val="00344003"/>
    <w:rsid w:val="00402752"/>
    <w:rsid w:val="00486627"/>
    <w:rsid w:val="004B4630"/>
    <w:rsid w:val="00515765"/>
    <w:rsid w:val="00521007"/>
    <w:rsid w:val="00562E44"/>
    <w:rsid w:val="005A664C"/>
    <w:rsid w:val="005D3CF6"/>
    <w:rsid w:val="00627C07"/>
    <w:rsid w:val="006547FD"/>
    <w:rsid w:val="006959A3"/>
    <w:rsid w:val="00697686"/>
    <w:rsid w:val="006B31B0"/>
    <w:rsid w:val="006B3814"/>
    <w:rsid w:val="006C1F10"/>
    <w:rsid w:val="007062AF"/>
    <w:rsid w:val="007109EF"/>
    <w:rsid w:val="007515C6"/>
    <w:rsid w:val="00774D4B"/>
    <w:rsid w:val="007D7DAE"/>
    <w:rsid w:val="00837454"/>
    <w:rsid w:val="00867B8A"/>
    <w:rsid w:val="00887609"/>
    <w:rsid w:val="008908B6"/>
    <w:rsid w:val="00893B1F"/>
    <w:rsid w:val="008B0B55"/>
    <w:rsid w:val="008B585A"/>
    <w:rsid w:val="00986A9B"/>
    <w:rsid w:val="00A03726"/>
    <w:rsid w:val="00A52872"/>
    <w:rsid w:val="00A71087"/>
    <w:rsid w:val="00A91011"/>
    <w:rsid w:val="00AB05F2"/>
    <w:rsid w:val="00AD6454"/>
    <w:rsid w:val="00B65ECF"/>
    <w:rsid w:val="00B7678C"/>
    <w:rsid w:val="00BB143C"/>
    <w:rsid w:val="00C02ECD"/>
    <w:rsid w:val="00C22A7E"/>
    <w:rsid w:val="00C75EEF"/>
    <w:rsid w:val="00C77632"/>
    <w:rsid w:val="00D03097"/>
    <w:rsid w:val="00D03F03"/>
    <w:rsid w:val="00D26141"/>
    <w:rsid w:val="00D3412B"/>
    <w:rsid w:val="00D43123"/>
    <w:rsid w:val="00D45675"/>
    <w:rsid w:val="00D577C8"/>
    <w:rsid w:val="00D67BFF"/>
    <w:rsid w:val="00D940CF"/>
    <w:rsid w:val="00DD5FCE"/>
    <w:rsid w:val="00DF68E9"/>
    <w:rsid w:val="00E41A3D"/>
    <w:rsid w:val="00E70A1F"/>
    <w:rsid w:val="00E85312"/>
    <w:rsid w:val="00F8349E"/>
    <w:rsid w:val="00FA1669"/>
    <w:rsid w:val="00FA5807"/>
    <w:rsid w:val="00FF6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9C926-2CC3-42AD-B3BF-20578F45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34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styleId="Listaclara-nfasis3">
    <w:name w:val="Light List Accent 3"/>
    <w:basedOn w:val="Tablanormal"/>
    <w:uiPriority w:val="61"/>
    <w:rsid w:val="006B31B0"/>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nfasis31">
    <w:name w:val="Lista clara - Énfasis 31"/>
    <w:basedOn w:val="Tablanormal"/>
    <w:next w:val="Listaclara-nfasis3"/>
    <w:uiPriority w:val="61"/>
    <w:rsid w:val="00774D4B"/>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PrrafodelistaCar">
    <w:name w:val="Párrafo de lista Car"/>
    <w:aliases w:val="Capítulo Car,List Paragraph Car,TIT 2 IND Car,Lista vistosa - Énfasis 11 Car"/>
    <w:link w:val="Prrafodelista"/>
    <w:uiPriority w:val="34"/>
    <w:rsid w:val="00DF68E9"/>
  </w:style>
  <w:style w:type="character" w:customStyle="1" w:styleId="Ttulo1Car">
    <w:name w:val="Título 1 Car"/>
    <w:basedOn w:val="Fuentedeprrafopredeter"/>
    <w:link w:val="Ttulo1"/>
    <w:uiPriority w:val="9"/>
    <w:rsid w:val="00D3412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3412B"/>
    <w:pPr>
      <w:outlineLvl w:val="9"/>
    </w:pPr>
    <w:rPr>
      <w:lang w:val="es-EC" w:eastAsia="es-EC"/>
    </w:rPr>
  </w:style>
  <w:style w:type="paragraph" w:styleId="TDC1">
    <w:name w:val="toc 1"/>
    <w:basedOn w:val="Normal"/>
    <w:next w:val="Normal"/>
    <w:autoRedefine/>
    <w:uiPriority w:val="39"/>
    <w:unhideWhenUsed/>
    <w:rsid w:val="00D3412B"/>
    <w:pPr>
      <w:spacing w:after="100"/>
    </w:pPr>
  </w:style>
  <w:style w:type="paragraph" w:styleId="TDC2">
    <w:name w:val="toc 2"/>
    <w:basedOn w:val="Normal"/>
    <w:next w:val="Normal"/>
    <w:autoRedefine/>
    <w:uiPriority w:val="39"/>
    <w:unhideWhenUsed/>
    <w:rsid w:val="00D3412B"/>
    <w:pPr>
      <w:spacing w:after="100"/>
      <w:ind w:left="220"/>
    </w:pPr>
  </w:style>
  <w:style w:type="character" w:styleId="Hipervnculo">
    <w:name w:val="Hyperlink"/>
    <w:basedOn w:val="Fuentedeprrafopredeter"/>
    <w:uiPriority w:val="99"/>
    <w:unhideWhenUsed/>
    <w:rsid w:val="00D34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8168">
      <w:bodyDiv w:val="1"/>
      <w:marLeft w:val="0"/>
      <w:marRight w:val="0"/>
      <w:marTop w:val="0"/>
      <w:marBottom w:val="0"/>
      <w:divBdr>
        <w:top w:val="none" w:sz="0" w:space="0" w:color="auto"/>
        <w:left w:val="none" w:sz="0" w:space="0" w:color="auto"/>
        <w:bottom w:val="none" w:sz="0" w:space="0" w:color="auto"/>
        <w:right w:val="none" w:sz="0" w:space="0" w:color="auto"/>
      </w:divBdr>
    </w:div>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474418810">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28447116">
      <w:bodyDiv w:val="1"/>
      <w:marLeft w:val="0"/>
      <w:marRight w:val="0"/>
      <w:marTop w:val="0"/>
      <w:marBottom w:val="0"/>
      <w:divBdr>
        <w:top w:val="none" w:sz="0" w:space="0" w:color="auto"/>
        <w:left w:val="none" w:sz="0" w:space="0" w:color="auto"/>
        <w:bottom w:val="none" w:sz="0" w:space="0" w:color="auto"/>
        <w:right w:val="none" w:sz="0" w:space="0" w:color="auto"/>
      </w:divBdr>
    </w:div>
    <w:div w:id="866990845">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916939392">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116144531">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016028270">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0330D-1102-4EFE-BD49-FA6B2488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2332</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Título: Matriz de priorización de (3) tres servicios municipales</vt:lpstr>
    </vt:vector>
  </TitlesOfParts>
  <Company>MicrElaborado</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Matriz de priorización de (3) tres servicios municipales</dc:title>
  <dc:subject>Fase: Mejoramiento de Servicios</dc:subject>
  <dc:creator>Elaborado para:</dc:creator>
  <cp:keywords/>
  <dc:description/>
  <cp:lastModifiedBy>Danny P. Morales Rubio</cp:lastModifiedBy>
  <cp:revision>32</cp:revision>
  <cp:lastPrinted>2017-05-23T01:38:00Z</cp:lastPrinted>
  <dcterms:created xsi:type="dcterms:W3CDTF">2016-07-14T21:03:00Z</dcterms:created>
  <dcterms:modified xsi:type="dcterms:W3CDTF">2017-05-28T01:53:00Z</dcterms:modified>
</cp:coreProperties>
</file>