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HAnsi"/>
          <w:lang w:val="es-ES" w:eastAsia="en-US"/>
        </w:rPr>
        <w:id w:val="-1402445291"/>
        <w:docPartObj>
          <w:docPartGallery w:val="Cover Pages"/>
          <w:docPartUnique/>
        </w:docPartObj>
      </w:sdtPr>
      <w:sdtEndPr>
        <w:rPr>
          <w:sz w:val="2"/>
        </w:rPr>
      </w:sdtEndPr>
      <w:sdtContent>
        <w:p w:rsidR="00887609" w:rsidRDefault="00E41A3D">
          <w:pPr>
            <w:pStyle w:val="Sinespaciado"/>
          </w:pPr>
          <w:r>
            <w:rPr>
              <w:noProof/>
            </w:rPr>
            <mc:AlternateContent>
              <mc:Choice Requires="wps">
                <w:drawing>
                  <wp:anchor distT="0" distB="0" distL="114300" distR="114300" simplePos="0" relativeHeight="251660288" behindDoc="0" locked="0" layoutInCell="1" allowOverlap="1" wp14:anchorId="66AAB8CF" wp14:editId="3E80C593">
                    <wp:simplePos x="0" y="0"/>
                    <wp:positionH relativeFrom="margin">
                      <wp:posOffset>645572</wp:posOffset>
                    </wp:positionH>
                    <wp:positionV relativeFrom="margin">
                      <wp:align>top</wp:align>
                    </wp:positionV>
                    <wp:extent cx="5320146" cy="2152650"/>
                    <wp:effectExtent l="0" t="0" r="13970" b="0"/>
                    <wp:wrapNone/>
                    <wp:docPr id="35" name="Cuadro de texto 35"/>
                    <wp:cNvGraphicFramePr/>
                    <a:graphic xmlns:a="http://schemas.openxmlformats.org/drawingml/2006/main">
                      <a:graphicData uri="http://schemas.microsoft.com/office/word/2010/wordprocessingShape">
                        <wps:wsp>
                          <wps:cNvSpPr txBox="1"/>
                          <wps:spPr>
                            <a:xfrm>
                              <a:off x="0" y="0"/>
                              <a:ext cx="5320146" cy="2152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6391" w:rsidRPr="00E41A3D" w:rsidRDefault="0066673D">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E56391">
                                      <w:rPr>
                                        <w:rFonts w:ascii="Gadugi" w:eastAsiaTheme="majorEastAsia" w:hAnsi="Gadugi" w:cstheme="majorBidi"/>
                                        <w:b/>
                                        <w:color w:val="454545"/>
                                        <w:sz w:val="56"/>
                                        <w:szCs w:val="72"/>
                                      </w:rPr>
                                      <w:t>Título: Matriz de Priorización de (4) cuatro Procesos Adjetivos</w:t>
                                    </w:r>
                                  </w:sdtContent>
                                </w:sdt>
                              </w:p>
                              <w:p w:rsidR="00E56391" w:rsidRPr="00E41A3D" w:rsidRDefault="0066673D">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E56391" w:rsidRPr="00E41A3D">
                                      <w:rPr>
                                        <w:rFonts w:ascii="Gadugi" w:hAnsi="Gadugi"/>
                                        <w:b/>
                                        <w:color w:val="AD7940"/>
                                        <w:sz w:val="32"/>
                                        <w:szCs w:val="36"/>
                                      </w:rPr>
                                      <w:t xml:space="preserve">Fase: </w:t>
                                    </w:r>
                                    <w:r w:rsidR="00E56391" w:rsidRPr="008F7D4A">
                                      <w:rPr>
                                        <w:rFonts w:ascii="Gadugi" w:hAnsi="Gadugi"/>
                                        <w:b/>
                                        <w:color w:val="AD7940"/>
                                        <w:sz w:val="32"/>
                                        <w:szCs w:val="36"/>
                                      </w:rPr>
                                      <w:t>Mejoramiento de Procesos Adjetivos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5" o:spid="_x0000_s1026" type="#_x0000_t202" style="position:absolute;margin-left:50.85pt;margin-top:0;width:418.9pt;height:169.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" filled="f" stroked="f" strokeweight=".5pt">
                    <v:textbox inset="0,0,0,0">
                      <w:txbxContent>
                        <w:p w:rsidR="00E56391" w:rsidRPr="00E41A3D" w:rsidRDefault="00E56391">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Content>
                              <w:r>
                                <w:rPr>
                                  <w:rFonts w:ascii="Gadugi" w:eastAsiaTheme="majorEastAsia" w:hAnsi="Gadugi" w:cstheme="majorBidi"/>
                                  <w:b/>
                                  <w:color w:val="454545"/>
                                  <w:sz w:val="56"/>
                                  <w:szCs w:val="72"/>
                                </w:rPr>
                                <w:t>Título: Matriz de Priorización de (4) cuatro Procesos Adjetivos</w:t>
                              </w:r>
                            </w:sdtContent>
                          </w:sdt>
                        </w:p>
                        <w:p w:rsidR="00E56391" w:rsidRPr="00E41A3D" w:rsidRDefault="00E56391">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Content>
                              <w:r w:rsidRPr="00E41A3D">
                                <w:rPr>
                                  <w:rFonts w:ascii="Gadugi" w:hAnsi="Gadugi"/>
                                  <w:b/>
                                  <w:color w:val="AD7940"/>
                                  <w:sz w:val="32"/>
                                  <w:szCs w:val="36"/>
                                </w:rPr>
                                <w:t xml:space="preserve">Fase: </w:t>
                              </w:r>
                              <w:r w:rsidRPr="008F7D4A">
                                <w:rPr>
                                  <w:rFonts w:ascii="Gadugi" w:hAnsi="Gadugi"/>
                                  <w:b/>
                                  <w:color w:val="AD7940"/>
                                  <w:sz w:val="32"/>
                                  <w:szCs w:val="36"/>
                                </w:rPr>
                                <w:t>Mejoramiento de Procesos Adjetivos</w:t>
                              </w:r>
                            </w:sdtContent>
                          </w:sdt>
                        </w:p>
                      </w:txbxContent>
                    </v:textbox>
                    <w10:wrap anchorx="margin" anchory="margin"/>
                  </v:shape>
                </w:pict>
              </mc:Fallback>
            </mc:AlternateContent>
          </w:r>
          <w:r w:rsidR="00887609">
            <w:rPr>
              <w:noProof/>
            </w:rPr>
            <mc:AlternateContent>
              <mc:Choice Requires="wpg">
                <w:drawing>
                  <wp:anchor distT="0" distB="0" distL="114300" distR="114300" simplePos="0" relativeHeight="251659264" behindDoc="1" locked="0" layoutInCell="1" allowOverlap="1" wp14:anchorId="09E52BB8" wp14:editId="37CAEF5C">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5="http://schemas.microsoft.com/office/word/2012/wordml">
                <w:pict>
                  <v:group w14:anchorId="221B39AA" id="Grupo 5" o:spid="_x0000_s1026" style="position:absolute;margin-left:23.4pt;margin-top:21.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87609" w:rsidRDefault="00E41A3D">
          <w:pPr>
            <w:rPr>
              <w:rFonts w:eastAsiaTheme="minorEastAsia"/>
              <w:sz w:val="2"/>
              <w:lang w:val="es-EC" w:eastAsia="es-EC"/>
            </w:rPr>
          </w:pPr>
          <w:r>
            <w:rPr>
              <w:noProof/>
              <w:lang w:val="es-EC" w:eastAsia="es-EC"/>
            </w:rPr>
            <mc:AlternateContent>
              <mc:Choice Requires="wps">
                <w:drawing>
                  <wp:anchor distT="0" distB="0" distL="114300" distR="114300" simplePos="0" relativeHeight="251664384" behindDoc="0" locked="0" layoutInCell="1" allowOverlap="1" wp14:anchorId="5D00BA0C" wp14:editId="7FEE374C">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6391" w:rsidRPr="00521007" w:rsidRDefault="00E56391">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56391" w:rsidRPr="00521007" w:rsidRDefault="00E56391">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8" o:spid="_x0000_s1027" type="#_x0000_t202" style="position:absolute;margin-left:125.65pt;margin-top:561.35pt;width:346.9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rsidR="00E56391" w:rsidRPr="00521007" w:rsidRDefault="00E56391">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56391" w:rsidRPr="00521007" w:rsidRDefault="00E56391">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Pr>
              <w:rFonts w:eastAsiaTheme="minorEastAsia"/>
              <w:sz w:val="2"/>
              <w:lang w:val="es-EC" w:eastAsia="es-EC"/>
            </w:rPr>
            <w:br w:type="page"/>
          </w:r>
          <w:r w:rsidR="00887609">
            <w:rPr>
              <w:noProof/>
              <w:lang w:val="es-EC" w:eastAsia="es-EC"/>
            </w:rPr>
            <w:drawing>
              <wp:anchor distT="0" distB="0" distL="114300" distR="114300" simplePos="0" relativeHeight="251663360" behindDoc="1" locked="1" layoutInCell="1" allowOverlap="1" wp14:anchorId="6AC1FA92" wp14:editId="2EB6A814">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026C35" w:rsidRDefault="00026C35" w:rsidP="00887609">
      <w:pPr>
        <w:rPr>
          <w:sz w:val="24"/>
        </w:rPr>
      </w:pPr>
    </w:p>
    <w:p w:rsidR="00521007" w:rsidRDefault="00521007" w:rsidP="00887609">
      <w:pPr>
        <w:rPr>
          <w:sz w:val="24"/>
        </w:rPr>
      </w:pPr>
    </w:p>
    <w:p w:rsidR="00521007" w:rsidRPr="00521007" w:rsidRDefault="00521007" w:rsidP="00887609">
      <w:pPr>
        <w:rPr>
          <w:rFonts w:ascii="Gadugi" w:hAnsi="Gadugi"/>
          <w:sz w:val="24"/>
        </w:rPr>
      </w:pPr>
    </w:p>
    <w:p w:rsidR="00521007" w:rsidRPr="00521007" w:rsidRDefault="00521007" w:rsidP="00887609">
      <w:pPr>
        <w:rPr>
          <w:rFonts w:ascii="Gadugi" w:hAnsi="Gadugi"/>
          <w:sz w:val="24"/>
        </w:rPr>
      </w:pPr>
    </w:p>
    <w:p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rsidR="00521007" w:rsidRPr="00521007" w:rsidRDefault="00521007" w:rsidP="00887609">
      <w:pPr>
        <w:rPr>
          <w:rFonts w:ascii="Gadugi" w:hAnsi="Gadugi"/>
        </w:rPr>
      </w:pPr>
    </w:p>
    <w:p w:rsidR="00521007" w:rsidRDefault="00521007" w:rsidP="00887609">
      <w:pPr>
        <w:rPr>
          <w:rFonts w:ascii="Gadugi" w:hAnsi="Gadugi"/>
        </w:rPr>
      </w:pPr>
    </w:p>
    <w:p w:rsidR="00521007" w:rsidRPr="00521007" w:rsidRDefault="00521007" w:rsidP="00887609">
      <w:pPr>
        <w:rPr>
          <w:rFonts w:ascii="Gadugi" w:hAnsi="Gadugi"/>
        </w:rPr>
      </w:pPr>
    </w:p>
    <w:p w:rsidR="00521007" w:rsidRPr="00521007" w:rsidRDefault="00521007" w:rsidP="00887609">
      <w:pPr>
        <w:rPr>
          <w:rFonts w:ascii="Gadugi" w:hAnsi="Gadugi"/>
        </w:rPr>
      </w:pPr>
    </w:p>
    <w:tbl>
      <w:tblPr>
        <w:tblW w:w="5000" w:type="pct"/>
        <w:tblLook w:val="0000" w:firstRow="0" w:lastRow="0" w:firstColumn="0" w:lastColumn="0" w:noHBand="0" w:noVBand="0"/>
      </w:tblPr>
      <w:tblGrid>
        <w:gridCol w:w="3307"/>
        <w:gridCol w:w="6471"/>
      </w:tblGrid>
      <w:tr w:rsidR="00521007" w:rsidRPr="0052100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521007" w:rsidRDefault="00521007" w:rsidP="00522EA8">
            <w:pPr>
              <w:spacing w:after="120"/>
              <w:rPr>
                <w:rFonts w:ascii="Gadugi" w:hAnsi="Gadugi"/>
                <w:sz w:val="30"/>
                <w:szCs w:val="30"/>
              </w:rPr>
            </w:pPr>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297F66" w:rsidP="00522EA8">
            <w:pPr>
              <w:spacing w:after="120"/>
              <w:rPr>
                <w:rFonts w:ascii="Gadugi" w:hAnsi="Gadugi"/>
                <w:b/>
                <w:sz w:val="30"/>
                <w:szCs w:val="30"/>
              </w:rPr>
            </w:pPr>
            <w:r>
              <w:rPr>
                <w:rFonts w:ascii="Gadugi" w:hAnsi="Gadugi"/>
                <w:b/>
                <w:sz w:val="30"/>
                <w:szCs w:val="30"/>
              </w:rPr>
              <w:t xml:space="preserve">4.2. </w:t>
            </w:r>
            <w:r w:rsidR="00CF70CE">
              <w:rPr>
                <w:rFonts w:ascii="Gadugi" w:hAnsi="Gadugi"/>
                <w:b/>
                <w:sz w:val="30"/>
                <w:szCs w:val="30"/>
              </w:rPr>
              <w:t xml:space="preserve">Matriz de Priorización de </w:t>
            </w:r>
            <w:r w:rsidR="006A5E6E">
              <w:rPr>
                <w:rFonts w:ascii="Gadugi" w:hAnsi="Gadugi"/>
                <w:b/>
                <w:sz w:val="30"/>
                <w:szCs w:val="30"/>
              </w:rPr>
              <w:t>(4)</w:t>
            </w:r>
            <w:r w:rsidR="002B7D65">
              <w:rPr>
                <w:rFonts w:ascii="Gadugi" w:hAnsi="Gadugi"/>
                <w:b/>
                <w:sz w:val="30"/>
                <w:szCs w:val="30"/>
              </w:rPr>
              <w:t xml:space="preserve"> cuatro</w:t>
            </w:r>
            <w:r w:rsidR="006A5E6E">
              <w:rPr>
                <w:rFonts w:ascii="Gadugi" w:hAnsi="Gadugi"/>
                <w:b/>
                <w:sz w:val="30"/>
                <w:szCs w:val="30"/>
              </w:rPr>
              <w:t xml:space="preserve"> </w:t>
            </w:r>
            <w:r w:rsidR="00CF70CE">
              <w:rPr>
                <w:rFonts w:ascii="Gadugi" w:hAnsi="Gadugi"/>
                <w:b/>
                <w:sz w:val="30"/>
                <w:szCs w:val="30"/>
              </w:rPr>
              <w:t>Procesos Adjetivos</w:t>
            </w:r>
          </w:p>
        </w:tc>
      </w:tr>
      <w:tr w:rsidR="00521007" w:rsidRPr="00521007"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521007" w:rsidRDefault="00521007" w:rsidP="00522EA8">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E56391" w:rsidP="00522EA8">
            <w:pPr>
              <w:spacing w:after="120"/>
              <w:rPr>
                <w:rFonts w:ascii="Gadugi" w:hAnsi="Gadugi"/>
                <w:b/>
                <w:sz w:val="30"/>
                <w:szCs w:val="30"/>
              </w:rPr>
            </w:pPr>
            <w:r>
              <w:rPr>
                <w:rFonts w:ascii="Gadugi" w:hAnsi="Gadugi"/>
                <w:b/>
                <w:sz w:val="30"/>
                <w:szCs w:val="30"/>
              </w:rPr>
              <w:t>17</w:t>
            </w:r>
            <w:r w:rsidR="00521007" w:rsidRPr="00521007">
              <w:rPr>
                <w:rFonts w:ascii="Gadugi" w:hAnsi="Gadugi"/>
                <w:b/>
                <w:sz w:val="30"/>
                <w:szCs w:val="30"/>
              </w:rPr>
              <w:t>/</w:t>
            </w:r>
            <w:r w:rsidR="00186E81">
              <w:rPr>
                <w:rFonts w:ascii="Gadugi" w:hAnsi="Gadugi"/>
                <w:b/>
                <w:sz w:val="30"/>
                <w:szCs w:val="30"/>
              </w:rPr>
              <w:t>05</w:t>
            </w:r>
            <w:r w:rsidR="00063579">
              <w:rPr>
                <w:rFonts w:ascii="Gadugi" w:hAnsi="Gadugi"/>
                <w:b/>
                <w:sz w:val="30"/>
                <w:szCs w:val="30"/>
              </w:rPr>
              <w:t>/2017</w:t>
            </w:r>
          </w:p>
        </w:tc>
      </w:tr>
    </w:tbl>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Pr="00521007" w:rsidRDefault="00521007" w:rsidP="00297F66">
      <w:pPr>
        <w:keepNext/>
        <w:spacing w:before="240" w:after="120"/>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297F66" w:rsidRPr="00521007" w:rsidTr="00522EA8">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297F66" w:rsidRPr="00521007" w:rsidRDefault="00297F66" w:rsidP="00522EA8">
            <w:pPr>
              <w:keepLines/>
              <w:widowControl w:val="0"/>
              <w:tabs>
                <w:tab w:val="clear" w:pos="5793"/>
              </w:tabs>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297F66" w:rsidRPr="00521007" w:rsidRDefault="00297F66" w:rsidP="00522EA8">
            <w:pPr>
              <w:keepLines/>
              <w:widowControl w:val="0"/>
              <w:tabs>
                <w:tab w:val="clear" w:pos="5793"/>
              </w:tabs>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297F66" w:rsidRPr="00521007" w:rsidRDefault="00297F66" w:rsidP="00522EA8">
            <w:pPr>
              <w:keepLines/>
              <w:widowControl w:val="0"/>
              <w:tabs>
                <w:tab w:val="clear" w:pos="5793"/>
              </w:tabs>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97F66" w:rsidRPr="00521007" w:rsidRDefault="00297F66" w:rsidP="00522EA8">
            <w:pPr>
              <w:keepLines/>
              <w:widowControl w:val="0"/>
              <w:tabs>
                <w:tab w:val="clear" w:pos="5793"/>
              </w:tabs>
              <w:rPr>
                <w:rFonts w:ascii="Gadugi" w:hAnsi="Gadugi"/>
                <w:sz w:val="20"/>
              </w:rPr>
            </w:pPr>
            <w:r w:rsidRPr="00521007">
              <w:rPr>
                <w:rFonts w:ascii="Gadugi" w:hAnsi="Gadugi"/>
                <w:b/>
                <w:sz w:val="20"/>
              </w:rPr>
              <w:t>Autor</w:t>
            </w:r>
          </w:p>
        </w:tc>
      </w:tr>
      <w:tr w:rsidR="00297F66" w:rsidRPr="00521007" w:rsidTr="00522EA8">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297F66" w:rsidRPr="00521007" w:rsidRDefault="00E56391" w:rsidP="00CC7DBC">
            <w:pPr>
              <w:tabs>
                <w:tab w:val="clear" w:pos="5793"/>
              </w:tabs>
              <w:jc w:val="center"/>
              <w:rPr>
                <w:rFonts w:ascii="Gadugi" w:hAnsi="Gadugi"/>
                <w:sz w:val="20"/>
              </w:rPr>
            </w:pPr>
            <w:r>
              <w:rPr>
                <w:rFonts w:ascii="Gadugi" w:hAnsi="Gadugi"/>
                <w:sz w:val="20"/>
              </w:rPr>
              <w:t>17</w:t>
            </w:r>
            <w:r w:rsidR="00186E81">
              <w:rPr>
                <w:rFonts w:ascii="Gadugi" w:hAnsi="Gadugi"/>
                <w:sz w:val="20"/>
              </w:rPr>
              <w:t>/05</w:t>
            </w:r>
            <w:r w:rsidR="00297F66">
              <w:rPr>
                <w:rFonts w:ascii="Gadugi" w:hAnsi="Gadugi"/>
                <w:sz w:val="20"/>
              </w:rPr>
              <w:t>/2017</w:t>
            </w:r>
          </w:p>
        </w:tc>
        <w:tc>
          <w:tcPr>
            <w:tcW w:w="965" w:type="dxa"/>
            <w:tcBorders>
              <w:left w:val="single" w:sz="4" w:space="0" w:color="000000"/>
              <w:bottom w:val="single" w:sz="4" w:space="0" w:color="000000"/>
            </w:tcBorders>
            <w:shd w:val="clear" w:color="auto" w:fill="FFFFFF"/>
            <w:tcMar>
              <w:left w:w="108" w:type="dxa"/>
              <w:right w:w="108" w:type="dxa"/>
            </w:tcMar>
          </w:tcPr>
          <w:p w:rsidR="00297F66" w:rsidRPr="00521007" w:rsidRDefault="00297F66" w:rsidP="00CC7DBC">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297F66" w:rsidRPr="00521007" w:rsidRDefault="00297F66" w:rsidP="00522EA8">
            <w:pPr>
              <w:tabs>
                <w:tab w:val="clear" w:pos="5793"/>
              </w:tabs>
              <w:rPr>
                <w:rFonts w:ascii="Gadugi" w:hAnsi="Gadugi"/>
                <w:sz w:val="20"/>
              </w:rPr>
            </w:pPr>
            <w:r>
              <w:rPr>
                <w:rFonts w:ascii="Gadugi" w:hAnsi="Gadugi"/>
                <w:sz w:val="20"/>
              </w:rPr>
              <w:t xml:space="preserve">Matriz de Priorización de </w:t>
            </w:r>
            <w:r w:rsidR="006A5E6E">
              <w:rPr>
                <w:rFonts w:ascii="Gadugi" w:hAnsi="Gadugi"/>
                <w:sz w:val="20"/>
              </w:rPr>
              <w:t xml:space="preserve">(4) </w:t>
            </w:r>
            <w:r w:rsidR="002B7D65">
              <w:rPr>
                <w:rFonts w:ascii="Gadugi" w:hAnsi="Gadugi"/>
                <w:sz w:val="20"/>
              </w:rPr>
              <w:t xml:space="preserve">cuatro </w:t>
            </w:r>
            <w:r>
              <w:rPr>
                <w:rFonts w:ascii="Gadugi" w:hAnsi="Gadugi"/>
                <w:sz w:val="20"/>
              </w:rPr>
              <w:t>Procesos Adjetivos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297F66" w:rsidRPr="00521007" w:rsidRDefault="00297F66" w:rsidP="00522EA8">
            <w:pPr>
              <w:tabs>
                <w:tab w:val="clear" w:pos="5793"/>
              </w:tabs>
              <w:rPr>
                <w:rFonts w:ascii="Gadugi" w:hAnsi="Gadugi"/>
                <w:sz w:val="20"/>
              </w:rPr>
            </w:pPr>
            <w:r>
              <w:rPr>
                <w:rFonts w:ascii="Gadugi" w:hAnsi="Gadugi"/>
                <w:sz w:val="20"/>
              </w:rPr>
              <w:t>MRProcessi Cía. Ltda.</w:t>
            </w:r>
          </w:p>
        </w:tc>
      </w:tr>
      <w:tr w:rsidR="00E56391" w:rsidRPr="00521007" w:rsidTr="00522EA8">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E56391" w:rsidRPr="00521007" w:rsidRDefault="00E56391" w:rsidP="00CC7DBC">
            <w:pPr>
              <w:tabs>
                <w:tab w:val="clear" w:pos="5793"/>
              </w:tabs>
              <w:jc w:val="center"/>
              <w:rPr>
                <w:rFonts w:ascii="Gadugi" w:hAnsi="Gadugi"/>
                <w:sz w:val="20"/>
              </w:rPr>
            </w:pPr>
            <w:r>
              <w:rPr>
                <w:rFonts w:ascii="Gadugi" w:hAnsi="Gadugi"/>
                <w:sz w:val="20"/>
              </w:rPr>
              <w:t>29/05/2017</w:t>
            </w:r>
          </w:p>
        </w:tc>
        <w:tc>
          <w:tcPr>
            <w:tcW w:w="965" w:type="dxa"/>
            <w:tcBorders>
              <w:left w:val="single" w:sz="4" w:space="0" w:color="000000"/>
              <w:bottom w:val="single" w:sz="4" w:space="0" w:color="000000"/>
            </w:tcBorders>
            <w:shd w:val="clear" w:color="auto" w:fill="FFFFFF"/>
            <w:tcMar>
              <w:left w:w="108" w:type="dxa"/>
              <w:right w:w="108" w:type="dxa"/>
            </w:tcMar>
          </w:tcPr>
          <w:p w:rsidR="00E56391" w:rsidRPr="00521007" w:rsidRDefault="00E56391" w:rsidP="00CC7DBC">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rsidR="00E56391" w:rsidRPr="00521007" w:rsidRDefault="00E56391" w:rsidP="00E56391">
            <w:pPr>
              <w:tabs>
                <w:tab w:val="clear" w:pos="5793"/>
              </w:tabs>
              <w:rPr>
                <w:rFonts w:ascii="Gadugi" w:hAnsi="Gadugi"/>
                <w:sz w:val="20"/>
              </w:rPr>
            </w:pPr>
            <w:r>
              <w:rPr>
                <w:rFonts w:ascii="Gadugi" w:hAnsi="Gadugi"/>
                <w:sz w:val="20"/>
              </w:rPr>
              <w:t>Matriz de Priorización de (4) cuatro</w:t>
            </w:r>
            <w:r w:rsidR="00D04AB7">
              <w:rPr>
                <w:rFonts w:ascii="Gadugi" w:hAnsi="Gadugi"/>
                <w:sz w:val="20"/>
              </w:rPr>
              <w:t xml:space="preserve"> Procesos Adjetivos con correcciones solicitada</w:t>
            </w:r>
            <w:r>
              <w:rPr>
                <w:rFonts w:ascii="Gadugi" w:hAnsi="Gadugi"/>
                <w:sz w:val="20"/>
              </w:rPr>
              <w:t>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E56391" w:rsidRPr="00521007" w:rsidRDefault="00E56391" w:rsidP="00E56391">
            <w:pPr>
              <w:tabs>
                <w:tab w:val="clear" w:pos="5793"/>
              </w:tabs>
              <w:rPr>
                <w:rFonts w:ascii="Gadugi" w:hAnsi="Gadugi"/>
                <w:sz w:val="20"/>
              </w:rPr>
            </w:pPr>
            <w:r>
              <w:rPr>
                <w:rFonts w:ascii="Gadugi" w:hAnsi="Gadugi"/>
                <w:sz w:val="20"/>
              </w:rPr>
              <w:t>MRProcessi Cía. Ltda.</w:t>
            </w:r>
          </w:p>
        </w:tc>
      </w:tr>
      <w:tr w:rsidR="00E56391" w:rsidRPr="00521007" w:rsidTr="00522EA8">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E56391" w:rsidRPr="00521007" w:rsidRDefault="00E56391" w:rsidP="00522EA8">
            <w:pPr>
              <w:tabs>
                <w:tab w:val="clear" w:pos="5793"/>
              </w:tabs>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E56391" w:rsidRPr="00521007" w:rsidRDefault="00E56391" w:rsidP="00522EA8">
            <w:pPr>
              <w:tabs>
                <w:tab w:val="clear" w:pos="5793"/>
              </w:tabs>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E56391" w:rsidRPr="00521007" w:rsidRDefault="00E56391" w:rsidP="00522EA8">
            <w:pPr>
              <w:tabs>
                <w:tab w:val="clear" w:pos="5793"/>
              </w:tabs>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E56391" w:rsidRPr="00521007" w:rsidRDefault="00E56391" w:rsidP="00522EA8">
            <w:pPr>
              <w:tabs>
                <w:tab w:val="clear" w:pos="5793"/>
              </w:tabs>
              <w:rPr>
                <w:rFonts w:ascii="Gadugi" w:hAnsi="Gadugi"/>
                <w:sz w:val="20"/>
              </w:rPr>
            </w:pPr>
          </w:p>
        </w:tc>
      </w:tr>
    </w:tbl>
    <w:p w:rsidR="00521007" w:rsidRPr="00521007" w:rsidRDefault="00521007" w:rsidP="00521007">
      <w:pPr>
        <w:rPr>
          <w:rFonts w:ascii="Gadugi" w:hAnsi="Gadugi"/>
        </w:rPr>
      </w:pPr>
    </w:p>
    <w:p w:rsidR="00344003" w:rsidRPr="00E56391" w:rsidRDefault="00344003" w:rsidP="00297F66">
      <w:pPr>
        <w:jc w:val="both"/>
        <w:outlineLvl w:val="0"/>
        <w:rPr>
          <w:rFonts w:ascii="Gadugi" w:hAnsi="Gadugi"/>
          <w:b/>
          <w:sz w:val="20"/>
          <w:szCs w:val="20"/>
        </w:rPr>
      </w:pPr>
      <w:bookmarkStart w:id="1" w:name="_Toc483474882"/>
      <w:r w:rsidRPr="00E56391">
        <w:rPr>
          <w:rFonts w:ascii="Gadugi" w:hAnsi="Gadugi"/>
          <w:b/>
          <w:sz w:val="20"/>
          <w:szCs w:val="20"/>
        </w:rPr>
        <w:lastRenderedPageBreak/>
        <w:t>ÍNDICE DE CONTENIDO</w:t>
      </w:r>
      <w:bookmarkEnd w:id="1"/>
    </w:p>
    <w:sdt>
      <w:sdtPr>
        <w:rPr>
          <w:rFonts w:ascii="Gadugi" w:eastAsiaTheme="minorHAnsi" w:hAnsi="Gadugi" w:cstheme="minorBidi"/>
          <w:color w:val="auto"/>
          <w:sz w:val="20"/>
          <w:szCs w:val="20"/>
          <w:lang w:val="es-ES" w:eastAsia="en-US"/>
        </w:rPr>
        <w:id w:val="-260300353"/>
        <w:docPartObj>
          <w:docPartGallery w:val="Table of Contents"/>
          <w:docPartUnique/>
        </w:docPartObj>
      </w:sdtPr>
      <w:sdtEndPr>
        <w:rPr>
          <w:b/>
          <w:bCs/>
        </w:rPr>
      </w:sdtEndPr>
      <w:sdtContent>
        <w:p w:rsidR="007941B3" w:rsidRPr="00FD1628" w:rsidRDefault="007941B3">
          <w:pPr>
            <w:pStyle w:val="TtulodeTDC"/>
            <w:rPr>
              <w:rFonts w:ascii="Gadugi" w:hAnsi="Gadugi"/>
              <w:sz w:val="20"/>
              <w:szCs w:val="20"/>
            </w:rPr>
          </w:pPr>
        </w:p>
        <w:p w:rsidR="00BA4DAB" w:rsidRPr="00BA4DAB" w:rsidRDefault="007941B3">
          <w:pPr>
            <w:pStyle w:val="TDC1"/>
            <w:tabs>
              <w:tab w:val="right" w:leader="dot" w:pos="9628"/>
            </w:tabs>
            <w:rPr>
              <w:rFonts w:eastAsiaTheme="minorEastAsia"/>
              <w:noProof/>
              <w:sz w:val="20"/>
              <w:szCs w:val="20"/>
              <w:lang w:val="es-EC" w:eastAsia="es-EC"/>
            </w:rPr>
          </w:pPr>
          <w:r w:rsidRPr="00BA4DAB">
            <w:rPr>
              <w:rFonts w:ascii="Gadugi" w:hAnsi="Gadugi"/>
              <w:sz w:val="20"/>
              <w:szCs w:val="20"/>
            </w:rPr>
            <w:fldChar w:fldCharType="begin"/>
          </w:r>
          <w:r w:rsidRPr="00BA4DAB">
            <w:rPr>
              <w:rFonts w:ascii="Gadugi" w:hAnsi="Gadugi"/>
              <w:sz w:val="20"/>
              <w:szCs w:val="20"/>
            </w:rPr>
            <w:instrText xml:space="preserve"> TOC \o "1-3" \h \z \u </w:instrText>
          </w:r>
          <w:r w:rsidRPr="00BA4DAB">
            <w:rPr>
              <w:rFonts w:ascii="Gadugi" w:hAnsi="Gadugi"/>
              <w:sz w:val="20"/>
              <w:szCs w:val="20"/>
            </w:rPr>
            <w:fldChar w:fldCharType="separate"/>
          </w:r>
          <w:hyperlink w:anchor="_Toc483474882" w:history="1">
            <w:r w:rsidR="00BA4DAB" w:rsidRPr="00BA4DAB">
              <w:rPr>
                <w:rStyle w:val="Hipervnculo"/>
                <w:rFonts w:ascii="Gadugi" w:hAnsi="Gadugi"/>
                <w:b/>
                <w:noProof/>
                <w:sz w:val="20"/>
                <w:szCs w:val="20"/>
              </w:rPr>
              <w:t>ÍNDICE DE CONTENIDO</w:t>
            </w:r>
            <w:r w:rsidR="00BA4DAB" w:rsidRPr="00BA4DAB">
              <w:rPr>
                <w:noProof/>
                <w:webHidden/>
                <w:sz w:val="20"/>
                <w:szCs w:val="20"/>
              </w:rPr>
              <w:tab/>
            </w:r>
            <w:r w:rsidR="00BA4DAB" w:rsidRPr="00BA4DAB">
              <w:rPr>
                <w:noProof/>
                <w:webHidden/>
                <w:sz w:val="20"/>
                <w:szCs w:val="20"/>
              </w:rPr>
              <w:fldChar w:fldCharType="begin"/>
            </w:r>
            <w:r w:rsidR="00BA4DAB" w:rsidRPr="00BA4DAB">
              <w:rPr>
                <w:noProof/>
                <w:webHidden/>
                <w:sz w:val="20"/>
                <w:szCs w:val="20"/>
              </w:rPr>
              <w:instrText xml:space="preserve"> PAGEREF _Toc483474882 \h </w:instrText>
            </w:r>
            <w:r w:rsidR="00BA4DAB" w:rsidRPr="00BA4DAB">
              <w:rPr>
                <w:noProof/>
                <w:webHidden/>
                <w:sz w:val="20"/>
                <w:szCs w:val="20"/>
              </w:rPr>
            </w:r>
            <w:r w:rsidR="00BA4DAB" w:rsidRPr="00BA4DAB">
              <w:rPr>
                <w:noProof/>
                <w:webHidden/>
                <w:sz w:val="20"/>
                <w:szCs w:val="20"/>
              </w:rPr>
              <w:fldChar w:fldCharType="separate"/>
            </w:r>
            <w:r w:rsidR="008C2AB3">
              <w:rPr>
                <w:noProof/>
                <w:webHidden/>
                <w:sz w:val="20"/>
                <w:szCs w:val="20"/>
              </w:rPr>
              <w:t>2</w:t>
            </w:r>
            <w:r w:rsidR="00BA4DAB" w:rsidRPr="00BA4DAB">
              <w:rPr>
                <w:noProof/>
                <w:webHidden/>
                <w:sz w:val="20"/>
                <w:szCs w:val="20"/>
              </w:rPr>
              <w:fldChar w:fldCharType="end"/>
            </w:r>
          </w:hyperlink>
        </w:p>
        <w:p w:rsidR="00BA4DAB" w:rsidRPr="00BA4DAB" w:rsidRDefault="0066673D">
          <w:pPr>
            <w:pStyle w:val="TDC1"/>
            <w:tabs>
              <w:tab w:val="left" w:pos="440"/>
              <w:tab w:val="right" w:leader="dot" w:pos="9628"/>
            </w:tabs>
            <w:rPr>
              <w:rFonts w:eastAsiaTheme="minorEastAsia"/>
              <w:noProof/>
              <w:sz w:val="20"/>
              <w:szCs w:val="20"/>
              <w:lang w:val="es-EC" w:eastAsia="es-EC"/>
            </w:rPr>
          </w:pPr>
          <w:hyperlink w:anchor="_Toc483474883" w:history="1">
            <w:r w:rsidR="00BA4DAB" w:rsidRPr="00BA4DAB">
              <w:rPr>
                <w:rStyle w:val="Hipervnculo"/>
                <w:rFonts w:ascii="Gadugi" w:hAnsi="Gadugi"/>
                <w:b/>
                <w:noProof/>
                <w:sz w:val="20"/>
                <w:szCs w:val="20"/>
              </w:rPr>
              <w:t>1.</w:t>
            </w:r>
            <w:r w:rsidR="00BA4DAB" w:rsidRPr="00BA4DAB">
              <w:rPr>
                <w:rFonts w:eastAsiaTheme="minorEastAsia"/>
                <w:noProof/>
                <w:sz w:val="20"/>
                <w:szCs w:val="20"/>
                <w:lang w:val="es-EC" w:eastAsia="es-EC"/>
              </w:rPr>
              <w:tab/>
            </w:r>
            <w:r w:rsidR="00BA4DAB" w:rsidRPr="00BA4DAB">
              <w:rPr>
                <w:rStyle w:val="Hipervnculo"/>
                <w:rFonts w:ascii="Gadugi" w:hAnsi="Gadugi"/>
                <w:b/>
                <w:noProof/>
                <w:sz w:val="20"/>
                <w:szCs w:val="20"/>
              </w:rPr>
              <w:t>INTRODUCCIÓN</w:t>
            </w:r>
            <w:r w:rsidR="00BA4DAB" w:rsidRPr="00BA4DAB">
              <w:rPr>
                <w:noProof/>
                <w:webHidden/>
                <w:sz w:val="20"/>
                <w:szCs w:val="20"/>
              </w:rPr>
              <w:tab/>
            </w:r>
            <w:r w:rsidR="00BA4DAB" w:rsidRPr="00BA4DAB">
              <w:rPr>
                <w:noProof/>
                <w:webHidden/>
                <w:sz w:val="20"/>
                <w:szCs w:val="20"/>
              </w:rPr>
              <w:fldChar w:fldCharType="begin"/>
            </w:r>
            <w:r w:rsidR="00BA4DAB" w:rsidRPr="00BA4DAB">
              <w:rPr>
                <w:noProof/>
                <w:webHidden/>
                <w:sz w:val="20"/>
                <w:szCs w:val="20"/>
              </w:rPr>
              <w:instrText xml:space="preserve"> PAGEREF _Toc483474883 \h </w:instrText>
            </w:r>
            <w:r w:rsidR="00BA4DAB" w:rsidRPr="00BA4DAB">
              <w:rPr>
                <w:noProof/>
                <w:webHidden/>
                <w:sz w:val="20"/>
                <w:szCs w:val="20"/>
              </w:rPr>
            </w:r>
            <w:r w:rsidR="00BA4DAB" w:rsidRPr="00BA4DAB">
              <w:rPr>
                <w:noProof/>
                <w:webHidden/>
                <w:sz w:val="20"/>
                <w:szCs w:val="20"/>
              </w:rPr>
              <w:fldChar w:fldCharType="separate"/>
            </w:r>
            <w:r w:rsidR="008C2AB3">
              <w:rPr>
                <w:noProof/>
                <w:webHidden/>
                <w:sz w:val="20"/>
                <w:szCs w:val="20"/>
              </w:rPr>
              <w:t>3</w:t>
            </w:r>
            <w:r w:rsidR="00BA4DAB" w:rsidRPr="00BA4DAB">
              <w:rPr>
                <w:noProof/>
                <w:webHidden/>
                <w:sz w:val="20"/>
                <w:szCs w:val="20"/>
              </w:rPr>
              <w:fldChar w:fldCharType="end"/>
            </w:r>
          </w:hyperlink>
        </w:p>
        <w:p w:rsidR="00BA4DAB" w:rsidRPr="00BA4DAB" w:rsidRDefault="0066673D">
          <w:pPr>
            <w:pStyle w:val="TDC2"/>
            <w:tabs>
              <w:tab w:val="left" w:pos="880"/>
              <w:tab w:val="right" w:leader="dot" w:pos="9628"/>
            </w:tabs>
            <w:rPr>
              <w:rFonts w:eastAsiaTheme="minorEastAsia"/>
              <w:noProof/>
              <w:sz w:val="20"/>
              <w:szCs w:val="20"/>
              <w:lang w:val="es-EC" w:eastAsia="es-EC"/>
            </w:rPr>
          </w:pPr>
          <w:hyperlink w:anchor="_Toc483474884" w:history="1">
            <w:r w:rsidR="00BA4DAB" w:rsidRPr="00BA4DAB">
              <w:rPr>
                <w:rStyle w:val="Hipervnculo"/>
                <w:rFonts w:ascii="Gadugi" w:hAnsi="Gadugi"/>
                <w:b/>
                <w:noProof/>
                <w:sz w:val="20"/>
                <w:szCs w:val="20"/>
              </w:rPr>
              <w:t>1.1.</w:t>
            </w:r>
            <w:r w:rsidR="00BA4DAB" w:rsidRPr="00BA4DAB">
              <w:rPr>
                <w:rFonts w:eastAsiaTheme="minorEastAsia"/>
                <w:noProof/>
                <w:sz w:val="20"/>
                <w:szCs w:val="20"/>
                <w:lang w:val="es-EC" w:eastAsia="es-EC"/>
              </w:rPr>
              <w:tab/>
            </w:r>
            <w:r w:rsidR="00BA4DAB" w:rsidRPr="00BA4DAB">
              <w:rPr>
                <w:rStyle w:val="Hipervnculo"/>
                <w:rFonts w:ascii="Gadugi" w:hAnsi="Gadugi"/>
                <w:b/>
                <w:noProof/>
                <w:sz w:val="20"/>
                <w:szCs w:val="20"/>
              </w:rPr>
              <w:t>Propósito del documento</w:t>
            </w:r>
            <w:r w:rsidR="00BA4DAB" w:rsidRPr="00BA4DAB">
              <w:rPr>
                <w:noProof/>
                <w:webHidden/>
                <w:sz w:val="20"/>
                <w:szCs w:val="20"/>
              </w:rPr>
              <w:tab/>
            </w:r>
            <w:r w:rsidR="00BA4DAB" w:rsidRPr="00BA4DAB">
              <w:rPr>
                <w:noProof/>
                <w:webHidden/>
                <w:sz w:val="20"/>
                <w:szCs w:val="20"/>
              </w:rPr>
              <w:fldChar w:fldCharType="begin"/>
            </w:r>
            <w:r w:rsidR="00BA4DAB" w:rsidRPr="00BA4DAB">
              <w:rPr>
                <w:noProof/>
                <w:webHidden/>
                <w:sz w:val="20"/>
                <w:szCs w:val="20"/>
              </w:rPr>
              <w:instrText xml:space="preserve"> PAGEREF _Toc483474884 \h </w:instrText>
            </w:r>
            <w:r w:rsidR="00BA4DAB" w:rsidRPr="00BA4DAB">
              <w:rPr>
                <w:noProof/>
                <w:webHidden/>
                <w:sz w:val="20"/>
                <w:szCs w:val="20"/>
              </w:rPr>
            </w:r>
            <w:r w:rsidR="00BA4DAB" w:rsidRPr="00BA4DAB">
              <w:rPr>
                <w:noProof/>
                <w:webHidden/>
                <w:sz w:val="20"/>
                <w:szCs w:val="20"/>
              </w:rPr>
              <w:fldChar w:fldCharType="separate"/>
            </w:r>
            <w:r w:rsidR="008C2AB3">
              <w:rPr>
                <w:noProof/>
                <w:webHidden/>
                <w:sz w:val="20"/>
                <w:szCs w:val="20"/>
              </w:rPr>
              <w:t>4</w:t>
            </w:r>
            <w:r w:rsidR="00BA4DAB" w:rsidRPr="00BA4DAB">
              <w:rPr>
                <w:noProof/>
                <w:webHidden/>
                <w:sz w:val="20"/>
                <w:szCs w:val="20"/>
              </w:rPr>
              <w:fldChar w:fldCharType="end"/>
            </w:r>
          </w:hyperlink>
        </w:p>
        <w:p w:rsidR="00BA4DAB" w:rsidRPr="00BA4DAB" w:rsidRDefault="0066673D">
          <w:pPr>
            <w:pStyle w:val="TDC1"/>
            <w:tabs>
              <w:tab w:val="left" w:pos="440"/>
              <w:tab w:val="right" w:leader="dot" w:pos="9628"/>
            </w:tabs>
            <w:rPr>
              <w:rFonts w:eastAsiaTheme="minorEastAsia"/>
              <w:noProof/>
              <w:sz w:val="20"/>
              <w:szCs w:val="20"/>
              <w:lang w:val="es-EC" w:eastAsia="es-EC"/>
            </w:rPr>
          </w:pPr>
          <w:hyperlink w:anchor="_Toc483474885" w:history="1">
            <w:r w:rsidR="00BA4DAB" w:rsidRPr="00BA4DAB">
              <w:rPr>
                <w:rStyle w:val="Hipervnculo"/>
                <w:rFonts w:ascii="Gadugi" w:hAnsi="Gadugi"/>
                <w:b/>
                <w:noProof/>
                <w:sz w:val="20"/>
                <w:szCs w:val="20"/>
              </w:rPr>
              <w:t>2.</w:t>
            </w:r>
            <w:r w:rsidR="00BA4DAB" w:rsidRPr="00BA4DAB">
              <w:rPr>
                <w:rFonts w:eastAsiaTheme="minorEastAsia"/>
                <w:noProof/>
                <w:sz w:val="20"/>
                <w:szCs w:val="20"/>
                <w:lang w:val="es-EC" w:eastAsia="es-EC"/>
              </w:rPr>
              <w:tab/>
            </w:r>
            <w:r w:rsidR="00BA4DAB" w:rsidRPr="00BA4DAB">
              <w:rPr>
                <w:rStyle w:val="Hipervnculo"/>
                <w:rFonts w:ascii="Gadugi" w:hAnsi="Gadugi"/>
                <w:b/>
                <w:noProof/>
                <w:sz w:val="20"/>
                <w:szCs w:val="20"/>
              </w:rPr>
              <w:t>MATRIZ DE PRIORIZACIÓN DE PROCESOS ADJETIVOS</w:t>
            </w:r>
            <w:r w:rsidR="00BA4DAB" w:rsidRPr="00BA4DAB">
              <w:rPr>
                <w:noProof/>
                <w:webHidden/>
                <w:sz w:val="20"/>
                <w:szCs w:val="20"/>
              </w:rPr>
              <w:tab/>
            </w:r>
            <w:r w:rsidR="00BA4DAB" w:rsidRPr="00BA4DAB">
              <w:rPr>
                <w:noProof/>
                <w:webHidden/>
                <w:sz w:val="20"/>
                <w:szCs w:val="20"/>
              </w:rPr>
              <w:fldChar w:fldCharType="begin"/>
            </w:r>
            <w:r w:rsidR="00BA4DAB" w:rsidRPr="00BA4DAB">
              <w:rPr>
                <w:noProof/>
                <w:webHidden/>
                <w:sz w:val="20"/>
                <w:szCs w:val="20"/>
              </w:rPr>
              <w:instrText xml:space="preserve"> PAGEREF _Toc483474885 \h </w:instrText>
            </w:r>
            <w:r w:rsidR="00BA4DAB" w:rsidRPr="00BA4DAB">
              <w:rPr>
                <w:noProof/>
                <w:webHidden/>
                <w:sz w:val="20"/>
                <w:szCs w:val="20"/>
              </w:rPr>
            </w:r>
            <w:r w:rsidR="00BA4DAB" w:rsidRPr="00BA4DAB">
              <w:rPr>
                <w:noProof/>
                <w:webHidden/>
                <w:sz w:val="20"/>
                <w:szCs w:val="20"/>
              </w:rPr>
              <w:fldChar w:fldCharType="separate"/>
            </w:r>
            <w:r w:rsidR="008C2AB3">
              <w:rPr>
                <w:noProof/>
                <w:webHidden/>
                <w:sz w:val="20"/>
                <w:szCs w:val="20"/>
              </w:rPr>
              <w:t>4</w:t>
            </w:r>
            <w:r w:rsidR="00BA4DAB" w:rsidRPr="00BA4DAB">
              <w:rPr>
                <w:noProof/>
                <w:webHidden/>
                <w:sz w:val="20"/>
                <w:szCs w:val="20"/>
              </w:rPr>
              <w:fldChar w:fldCharType="end"/>
            </w:r>
          </w:hyperlink>
        </w:p>
        <w:p w:rsidR="00BA4DAB" w:rsidRPr="00BA4DAB" w:rsidRDefault="0066673D">
          <w:pPr>
            <w:pStyle w:val="TDC2"/>
            <w:tabs>
              <w:tab w:val="left" w:pos="880"/>
              <w:tab w:val="right" w:leader="dot" w:pos="9628"/>
            </w:tabs>
            <w:rPr>
              <w:rFonts w:eastAsiaTheme="minorEastAsia"/>
              <w:noProof/>
              <w:sz w:val="20"/>
              <w:szCs w:val="20"/>
              <w:lang w:val="es-EC" w:eastAsia="es-EC"/>
            </w:rPr>
          </w:pPr>
          <w:hyperlink w:anchor="_Toc483474886" w:history="1">
            <w:r w:rsidR="00BA4DAB" w:rsidRPr="00BA4DAB">
              <w:rPr>
                <w:rStyle w:val="Hipervnculo"/>
                <w:rFonts w:ascii="Gadugi" w:hAnsi="Gadugi"/>
                <w:b/>
                <w:noProof/>
                <w:sz w:val="20"/>
                <w:szCs w:val="20"/>
              </w:rPr>
              <w:t>2.1.</w:t>
            </w:r>
            <w:r w:rsidR="00BA4DAB" w:rsidRPr="00BA4DAB">
              <w:rPr>
                <w:rFonts w:eastAsiaTheme="minorEastAsia"/>
                <w:noProof/>
                <w:sz w:val="20"/>
                <w:szCs w:val="20"/>
                <w:lang w:val="es-EC" w:eastAsia="es-EC"/>
              </w:rPr>
              <w:tab/>
            </w:r>
            <w:r w:rsidR="00BA4DAB" w:rsidRPr="00BA4DAB">
              <w:rPr>
                <w:rStyle w:val="Hipervnculo"/>
                <w:rFonts w:ascii="Gadugi" w:hAnsi="Gadugi"/>
                <w:b/>
                <w:noProof/>
                <w:sz w:val="20"/>
                <w:szCs w:val="20"/>
              </w:rPr>
              <w:t>Muestreo de unidades para definición de variables de priorización</w:t>
            </w:r>
            <w:r w:rsidR="00BA4DAB" w:rsidRPr="00BA4DAB">
              <w:rPr>
                <w:noProof/>
                <w:webHidden/>
                <w:sz w:val="20"/>
                <w:szCs w:val="20"/>
              </w:rPr>
              <w:tab/>
            </w:r>
            <w:r w:rsidR="00BA4DAB" w:rsidRPr="00BA4DAB">
              <w:rPr>
                <w:noProof/>
                <w:webHidden/>
                <w:sz w:val="20"/>
                <w:szCs w:val="20"/>
              </w:rPr>
              <w:fldChar w:fldCharType="begin"/>
            </w:r>
            <w:r w:rsidR="00BA4DAB" w:rsidRPr="00BA4DAB">
              <w:rPr>
                <w:noProof/>
                <w:webHidden/>
                <w:sz w:val="20"/>
                <w:szCs w:val="20"/>
              </w:rPr>
              <w:instrText xml:space="preserve"> PAGEREF _Toc483474886 \h </w:instrText>
            </w:r>
            <w:r w:rsidR="00BA4DAB" w:rsidRPr="00BA4DAB">
              <w:rPr>
                <w:noProof/>
                <w:webHidden/>
                <w:sz w:val="20"/>
                <w:szCs w:val="20"/>
              </w:rPr>
            </w:r>
            <w:r w:rsidR="00BA4DAB" w:rsidRPr="00BA4DAB">
              <w:rPr>
                <w:noProof/>
                <w:webHidden/>
                <w:sz w:val="20"/>
                <w:szCs w:val="20"/>
              </w:rPr>
              <w:fldChar w:fldCharType="separate"/>
            </w:r>
            <w:r w:rsidR="008C2AB3">
              <w:rPr>
                <w:noProof/>
                <w:webHidden/>
                <w:sz w:val="20"/>
                <w:szCs w:val="20"/>
              </w:rPr>
              <w:t>4</w:t>
            </w:r>
            <w:r w:rsidR="00BA4DAB" w:rsidRPr="00BA4DAB">
              <w:rPr>
                <w:noProof/>
                <w:webHidden/>
                <w:sz w:val="20"/>
                <w:szCs w:val="20"/>
              </w:rPr>
              <w:fldChar w:fldCharType="end"/>
            </w:r>
          </w:hyperlink>
        </w:p>
        <w:p w:rsidR="00BA4DAB" w:rsidRPr="00BA4DAB" w:rsidRDefault="0066673D">
          <w:pPr>
            <w:pStyle w:val="TDC2"/>
            <w:tabs>
              <w:tab w:val="left" w:pos="880"/>
              <w:tab w:val="right" w:leader="dot" w:pos="9628"/>
            </w:tabs>
            <w:rPr>
              <w:rFonts w:eastAsiaTheme="minorEastAsia"/>
              <w:noProof/>
              <w:sz w:val="20"/>
              <w:szCs w:val="20"/>
              <w:lang w:val="es-EC" w:eastAsia="es-EC"/>
            </w:rPr>
          </w:pPr>
          <w:hyperlink w:anchor="_Toc483474887" w:history="1">
            <w:r w:rsidR="00BA4DAB" w:rsidRPr="00BA4DAB">
              <w:rPr>
                <w:rStyle w:val="Hipervnculo"/>
                <w:rFonts w:ascii="Gadugi" w:hAnsi="Gadugi"/>
                <w:b/>
                <w:noProof/>
                <w:sz w:val="20"/>
                <w:szCs w:val="20"/>
              </w:rPr>
              <w:t>2.2.</w:t>
            </w:r>
            <w:r w:rsidR="00BA4DAB" w:rsidRPr="00BA4DAB">
              <w:rPr>
                <w:rFonts w:eastAsiaTheme="minorEastAsia"/>
                <w:noProof/>
                <w:sz w:val="20"/>
                <w:szCs w:val="20"/>
                <w:lang w:val="es-EC" w:eastAsia="es-EC"/>
              </w:rPr>
              <w:tab/>
            </w:r>
            <w:r w:rsidR="00BA4DAB" w:rsidRPr="00BA4DAB">
              <w:rPr>
                <w:rStyle w:val="Hipervnculo"/>
                <w:rFonts w:ascii="Gadugi" w:hAnsi="Gadugi"/>
                <w:b/>
                <w:noProof/>
                <w:sz w:val="20"/>
                <w:szCs w:val="20"/>
              </w:rPr>
              <w:t>Criterios (variables) iniciales propuestos</w:t>
            </w:r>
            <w:r w:rsidR="00BA4DAB" w:rsidRPr="00BA4DAB">
              <w:rPr>
                <w:noProof/>
                <w:webHidden/>
                <w:sz w:val="20"/>
                <w:szCs w:val="20"/>
              </w:rPr>
              <w:tab/>
            </w:r>
            <w:r w:rsidR="00BA4DAB" w:rsidRPr="00BA4DAB">
              <w:rPr>
                <w:noProof/>
                <w:webHidden/>
                <w:sz w:val="20"/>
                <w:szCs w:val="20"/>
              </w:rPr>
              <w:fldChar w:fldCharType="begin"/>
            </w:r>
            <w:r w:rsidR="00BA4DAB" w:rsidRPr="00BA4DAB">
              <w:rPr>
                <w:noProof/>
                <w:webHidden/>
                <w:sz w:val="20"/>
                <w:szCs w:val="20"/>
              </w:rPr>
              <w:instrText xml:space="preserve"> PAGEREF _Toc483474887 \h </w:instrText>
            </w:r>
            <w:r w:rsidR="00BA4DAB" w:rsidRPr="00BA4DAB">
              <w:rPr>
                <w:noProof/>
                <w:webHidden/>
                <w:sz w:val="20"/>
                <w:szCs w:val="20"/>
              </w:rPr>
            </w:r>
            <w:r w:rsidR="00BA4DAB" w:rsidRPr="00BA4DAB">
              <w:rPr>
                <w:noProof/>
                <w:webHidden/>
                <w:sz w:val="20"/>
                <w:szCs w:val="20"/>
              </w:rPr>
              <w:fldChar w:fldCharType="separate"/>
            </w:r>
            <w:r w:rsidR="008C2AB3">
              <w:rPr>
                <w:noProof/>
                <w:webHidden/>
                <w:sz w:val="20"/>
                <w:szCs w:val="20"/>
              </w:rPr>
              <w:t>5</w:t>
            </w:r>
            <w:r w:rsidR="00BA4DAB" w:rsidRPr="00BA4DAB">
              <w:rPr>
                <w:noProof/>
                <w:webHidden/>
                <w:sz w:val="20"/>
                <w:szCs w:val="20"/>
              </w:rPr>
              <w:fldChar w:fldCharType="end"/>
            </w:r>
          </w:hyperlink>
        </w:p>
        <w:p w:rsidR="00BA4DAB" w:rsidRPr="00BA4DAB" w:rsidRDefault="0066673D">
          <w:pPr>
            <w:pStyle w:val="TDC2"/>
            <w:tabs>
              <w:tab w:val="left" w:pos="880"/>
              <w:tab w:val="right" w:leader="dot" w:pos="9628"/>
            </w:tabs>
            <w:rPr>
              <w:rFonts w:eastAsiaTheme="minorEastAsia"/>
              <w:noProof/>
              <w:sz w:val="20"/>
              <w:szCs w:val="20"/>
              <w:lang w:val="es-EC" w:eastAsia="es-EC"/>
            </w:rPr>
          </w:pPr>
          <w:hyperlink w:anchor="_Toc483474888" w:history="1">
            <w:r w:rsidR="00BA4DAB" w:rsidRPr="00BA4DAB">
              <w:rPr>
                <w:rStyle w:val="Hipervnculo"/>
                <w:rFonts w:ascii="Gadugi" w:hAnsi="Gadugi"/>
                <w:b/>
                <w:noProof/>
                <w:sz w:val="20"/>
                <w:szCs w:val="20"/>
              </w:rPr>
              <w:t>2.3.</w:t>
            </w:r>
            <w:r w:rsidR="00BA4DAB" w:rsidRPr="00BA4DAB">
              <w:rPr>
                <w:rFonts w:eastAsiaTheme="minorEastAsia"/>
                <w:noProof/>
                <w:sz w:val="20"/>
                <w:szCs w:val="20"/>
                <w:lang w:val="es-EC" w:eastAsia="es-EC"/>
              </w:rPr>
              <w:tab/>
            </w:r>
            <w:r w:rsidR="00BA4DAB" w:rsidRPr="00BA4DAB">
              <w:rPr>
                <w:rStyle w:val="Hipervnculo"/>
                <w:rFonts w:ascii="Gadugi" w:hAnsi="Gadugi"/>
                <w:b/>
                <w:noProof/>
                <w:sz w:val="20"/>
                <w:szCs w:val="20"/>
              </w:rPr>
              <w:t>Criterios (variables) pre-seleccionados entre las partes y criterios de ponderación</w:t>
            </w:r>
            <w:r w:rsidR="00BA4DAB" w:rsidRPr="00BA4DAB">
              <w:rPr>
                <w:noProof/>
                <w:webHidden/>
                <w:sz w:val="20"/>
                <w:szCs w:val="20"/>
              </w:rPr>
              <w:tab/>
            </w:r>
            <w:r w:rsidR="00BA4DAB" w:rsidRPr="00BA4DAB">
              <w:rPr>
                <w:noProof/>
                <w:webHidden/>
                <w:sz w:val="20"/>
                <w:szCs w:val="20"/>
              </w:rPr>
              <w:fldChar w:fldCharType="begin"/>
            </w:r>
            <w:r w:rsidR="00BA4DAB" w:rsidRPr="00BA4DAB">
              <w:rPr>
                <w:noProof/>
                <w:webHidden/>
                <w:sz w:val="20"/>
                <w:szCs w:val="20"/>
              </w:rPr>
              <w:instrText xml:space="preserve"> PAGEREF _Toc483474888 \h </w:instrText>
            </w:r>
            <w:r w:rsidR="00BA4DAB" w:rsidRPr="00BA4DAB">
              <w:rPr>
                <w:noProof/>
                <w:webHidden/>
                <w:sz w:val="20"/>
                <w:szCs w:val="20"/>
              </w:rPr>
            </w:r>
            <w:r w:rsidR="00BA4DAB" w:rsidRPr="00BA4DAB">
              <w:rPr>
                <w:noProof/>
                <w:webHidden/>
                <w:sz w:val="20"/>
                <w:szCs w:val="20"/>
              </w:rPr>
              <w:fldChar w:fldCharType="separate"/>
            </w:r>
            <w:r w:rsidR="008C2AB3">
              <w:rPr>
                <w:noProof/>
                <w:webHidden/>
                <w:sz w:val="20"/>
                <w:szCs w:val="20"/>
              </w:rPr>
              <w:t>6</w:t>
            </w:r>
            <w:r w:rsidR="00BA4DAB" w:rsidRPr="00BA4DAB">
              <w:rPr>
                <w:noProof/>
                <w:webHidden/>
                <w:sz w:val="20"/>
                <w:szCs w:val="20"/>
              </w:rPr>
              <w:fldChar w:fldCharType="end"/>
            </w:r>
          </w:hyperlink>
        </w:p>
        <w:p w:rsidR="00BA4DAB" w:rsidRPr="00BA4DAB" w:rsidRDefault="0066673D">
          <w:pPr>
            <w:pStyle w:val="TDC2"/>
            <w:tabs>
              <w:tab w:val="left" w:pos="880"/>
              <w:tab w:val="right" w:leader="dot" w:pos="9628"/>
            </w:tabs>
            <w:rPr>
              <w:rFonts w:eastAsiaTheme="minorEastAsia"/>
              <w:noProof/>
              <w:sz w:val="20"/>
              <w:szCs w:val="20"/>
              <w:lang w:val="es-EC" w:eastAsia="es-EC"/>
            </w:rPr>
          </w:pPr>
          <w:hyperlink w:anchor="_Toc483474889" w:history="1">
            <w:r w:rsidR="00BA4DAB" w:rsidRPr="00BA4DAB">
              <w:rPr>
                <w:rStyle w:val="Hipervnculo"/>
                <w:rFonts w:ascii="Gadugi" w:hAnsi="Gadugi"/>
                <w:b/>
                <w:noProof/>
                <w:sz w:val="20"/>
                <w:szCs w:val="20"/>
              </w:rPr>
              <w:t>2.4.</w:t>
            </w:r>
            <w:r w:rsidR="00BA4DAB" w:rsidRPr="00BA4DAB">
              <w:rPr>
                <w:rFonts w:eastAsiaTheme="minorEastAsia"/>
                <w:noProof/>
                <w:sz w:val="20"/>
                <w:szCs w:val="20"/>
                <w:lang w:val="es-EC" w:eastAsia="es-EC"/>
              </w:rPr>
              <w:tab/>
            </w:r>
            <w:r w:rsidR="00BA4DAB" w:rsidRPr="00BA4DAB">
              <w:rPr>
                <w:rStyle w:val="Hipervnculo"/>
                <w:rFonts w:ascii="Gadugi" w:hAnsi="Gadugi"/>
                <w:b/>
                <w:noProof/>
                <w:sz w:val="20"/>
                <w:szCs w:val="20"/>
              </w:rPr>
              <w:t>Matriz de Priorización final Propuesta</w:t>
            </w:r>
            <w:r w:rsidR="00BA4DAB" w:rsidRPr="00BA4DAB">
              <w:rPr>
                <w:noProof/>
                <w:webHidden/>
                <w:sz w:val="20"/>
                <w:szCs w:val="20"/>
              </w:rPr>
              <w:tab/>
            </w:r>
            <w:r w:rsidR="00BA4DAB" w:rsidRPr="00BA4DAB">
              <w:rPr>
                <w:noProof/>
                <w:webHidden/>
                <w:sz w:val="20"/>
                <w:szCs w:val="20"/>
              </w:rPr>
              <w:fldChar w:fldCharType="begin"/>
            </w:r>
            <w:r w:rsidR="00BA4DAB" w:rsidRPr="00BA4DAB">
              <w:rPr>
                <w:noProof/>
                <w:webHidden/>
                <w:sz w:val="20"/>
                <w:szCs w:val="20"/>
              </w:rPr>
              <w:instrText xml:space="preserve"> PAGEREF _Toc483474889 \h </w:instrText>
            </w:r>
            <w:r w:rsidR="00BA4DAB" w:rsidRPr="00BA4DAB">
              <w:rPr>
                <w:noProof/>
                <w:webHidden/>
                <w:sz w:val="20"/>
                <w:szCs w:val="20"/>
              </w:rPr>
            </w:r>
            <w:r w:rsidR="00BA4DAB" w:rsidRPr="00BA4DAB">
              <w:rPr>
                <w:noProof/>
                <w:webHidden/>
                <w:sz w:val="20"/>
                <w:szCs w:val="20"/>
              </w:rPr>
              <w:fldChar w:fldCharType="separate"/>
            </w:r>
            <w:r w:rsidR="008C2AB3">
              <w:rPr>
                <w:noProof/>
                <w:webHidden/>
                <w:sz w:val="20"/>
                <w:szCs w:val="20"/>
              </w:rPr>
              <w:t>7</w:t>
            </w:r>
            <w:r w:rsidR="00BA4DAB" w:rsidRPr="00BA4DAB">
              <w:rPr>
                <w:noProof/>
                <w:webHidden/>
                <w:sz w:val="20"/>
                <w:szCs w:val="20"/>
              </w:rPr>
              <w:fldChar w:fldCharType="end"/>
            </w:r>
          </w:hyperlink>
        </w:p>
        <w:p w:rsidR="00BA4DAB" w:rsidRPr="00BA4DAB" w:rsidRDefault="0066673D">
          <w:pPr>
            <w:pStyle w:val="TDC2"/>
            <w:tabs>
              <w:tab w:val="left" w:pos="880"/>
              <w:tab w:val="right" w:leader="dot" w:pos="9628"/>
            </w:tabs>
            <w:rPr>
              <w:rFonts w:eastAsiaTheme="minorEastAsia"/>
              <w:noProof/>
              <w:sz w:val="20"/>
              <w:szCs w:val="20"/>
              <w:lang w:val="es-EC" w:eastAsia="es-EC"/>
            </w:rPr>
          </w:pPr>
          <w:hyperlink w:anchor="_Toc483474890" w:history="1">
            <w:r w:rsidR="00BA4DAB" w:rsidRPr="00BA4DAB">
              <w:rPr>
                <w:rStyle w:val="Hipervnculo"/>
                <w:rFonts w:ascii="Gadugi" w:hAnsi="Gadugi"/>
                <w:b/>
                <w:noProof/>
                <w:sz w:val="20"/>
                <w:szCs w:val="20"/>
              </w:rPr>
              <w:t>2.5.</w:t>
            </w:r>
            <w:r w:rsidR="00BA4DAB" w:rsidRPr="00BA4DAB">
              <w:rPr>
                <w:rFonts w:eastAsiaTheme="minorEastAsia"/>
                <w:noProof/>
                <w:sz w:val="20"/>
                <w:szCs w:val="20"/>
                <w:lang w:val="es-EC" w:eastAsia="es-EC"/>
              </w:rPr>
              <w:tab/>
            </w:r>
            <w:r w:rsidR="00BA4DAB" w:rsidRPr="00BA4DAB">
              <w:rPr>
                <w:rStyle w:val="Hipervnculo"/>
                <w:rFonts w:ascii="Gadugi" w:hAnsi="Gadugi"/>
                <w:b/>
                <w:noProof/>
                <w:sz w:val="20"/>
                <w:szCs w:val="20"/>
              </w:rPr>
              <w:t>Definición de método de priorización definitivo</w:t>
            </w:r>
            <w:r w:rsidR="00BA4DAB" w:rsidRPr="00BA4DAB">
              <w:rPr>
                <w:noProof/>
                <w:webHidden/>
                <w:sz w:val="20"/>
                <w:szCs w:val="20"/>
              </w:rPr>
              <w:tab/>
            </w:r>
            <w:r w:rsidR="00BA4DAB" w:rsidRPr="00BA4DAB">
              <w:rPr>
                <w:noProof/>
                <w:webHidden/>
                <w:sz w:val="20"/>
                <w:szCs w:val="20"/>
              </w:rPr>
              <w:fldChar w:fldCharType="begin"/>
            </w:r>
            <w:r w:rsidR="00BA4DAB" w:rsidRPr="00BA4DAB">
              <w:rPr>
                <w:noProof/>
                <w:webHidden/>
                <w:sz w:val="20"/>
                <w:szCs w:val="20"/>
              </w:rPr>
              <w:instrText xml:space="preserve"> PAGEREF _Toc483474890 \h </w:instrText>
            </w:r>
            <w:r w:rsidR="00BA4DAB" w:rsidRPr="00BA4DAB">
              <w:rPr>
                <w:noProof/>
                <w:webHidden/>
                <w:sz w:val="20"/>
                <w:szCs w:val="20"/>
              </w:rPr>
            </w:r>
            <w:r w:rsidR="00BA4DAB" w:rsidRPr="00BA4DAB">
              <w:rPr>
                <w:noProof/>
                <w:webHidden/>
                <w:sz w:val="20"/>
                <w:szCs w:val="20"/>
              </w:rPr>
              <w:fldChar w:fldCharType="separate"/>
            </w:r>
            <w:r w:rsidR="008C2AB3">
              <w:rPr>
                <w:noProof/>
                <w:webHidden/>
                <w:sz w:val="20"/>
                <w:szCs w:val="20"/>
              </w:rPr>
              <w:t>8</w:t>
            </w:r>
            <w:r w:rsidR="00BA4DAB" w:rsidRPr="00BA4DAB">
              <w:rPr>
                <w:noProof/>
                <w:webHidden/>
                <w:sz w:val="20"/>
                <w:szCs w:val="20"/>
              </w:rPr>
              <w:fldChar w:fldCharType="end"/>
            </w:r>
          </w:hyperlink>
        </w:p>
        <w:p w:rsidR="00BA4DAB" w:rsidRPr="00BA4DAB" w:rsidRDefault="0066673D">
          <w:pPr>
            <w:pStyle w:val="TDC2"/>
            <w:tabs>
              <w:tab w:val="left" w:pos="880"/>
              <w:tab w:val="right" w:leader="dot" w:pos="9628"/>
            </w:tabs>
            <w:rPr>
              <w:rFonts w:eastAsiaTheme="minorEastAsia"/>
              <w:noProof/>
              <w:sz w:val="20"/>
              <w:szCs w:val="20"/>
              <w:lang w:val="es-EC" w:eastAsia="es-EC"/>
            </w:rPr>
          </w:pPr>
          <w:hyperlink w:anchor="_Toc483474891" w:history="1">
            <w:r w:rsidR="00BA4DAB" w:rsidRPr="00BA4DAB">
              <w:rPr>
                <w:rStyle w:val="Hipervnculo"/>
                <w:rFonts w:ascii="Gadugi" w:hAnsi="Gadugi"/>
                <w:b/>
                <w:noProof/>
                <w:sz w:val="20"/>
                <w:szCs w:val="20"/>
              </w:rPr>
              <w:t>2.6.</w:t>
            </w:r>
            <w:r w:rsidR="00BA4DAB" w:rsidRPr="00BA4DAB">
              <w:rPr>
                <w:rFonts w:eastAsiaTheme="minorEastAsia"/>
                <w:noProof/>
                <w:sz w:val="20"/>
                <w:szCs w:val="20"/>
                <w:lang w:val="es-EC" w:eastAsia="es-EC"/>
              </w:rPr>
              <w:tab/>
            </w:r>
            <w:r w:rsidR="00BA4DAB" w:rsidRPr="00BA4DAB">
              <w:rPr>
                <w:rStyle w:val="Hipervnculo"/>
                <w:rFonts w:ascii="Gadugi" w:hAnsi="Gadugi"/>
                <w:b/>
                <w:noProof/>
                <w:sz w:val="20"/>
                <w:szCs w:val="20"/>
              </w:rPr>
              <w:t>Análisis de los pilares para la priorización</w:t>
            </w:r>
            <w:r w:rsidR="00BA4DAB" w:rsidRPr="00BA4DAB">
              <w:rPr>
                <w:noProof/>
                <w:webHidden/>
                <w:sz w:val="20"/>
                <w:szCs w:val="20"/>
              </w:rPr>
              <w:tab/>
            </w:r>
            <w:r w:rsidR="00BA4DAB" w:rsidRPr="00BA4DAB">
              <w:rPr>
                <w:noProof/>
                <w:webHidden/>
                <w:sz w:val="20"/>
                <w:szCs w:val="20"/>
              </w:rPr>
              <w:fldChar w:fldCharType="begin"/>
            </w:r>
            <w:r w:rsidR="00BA4DAB" w:rsidRPr="00BA4DAB">
              <w:rPr>
                <w:noProof/>
                <w:webHidden/>
                <w:sz w:val="20"/>
                <w:szCs w:val="20"/>
              </w:rPr>
              <w:instrText xml:space="preserve"> PAGEREF _Toc483474891 \h </w:instrText>
            </w:r>
            <w:r w:rsidR="00BA4DAB" w:rsidRPr="00BA4DAB">
              <w:rPr>
                <w:noProof/>
                <w:webHidden/>
                <w:sz w:val="20"/>
                <w:szCs w:val="20"/>
              </w:rPr>
            </w:r>
            <w:r w:rsidR="00BA4DAB" w:rsidRPr="00BA4DAB">
              <w:rPr>
                <w:noProof/>
                <w:webHidden/>
                <w:sz w:val="20"/>
                <w:szCs w:val="20"/>
              </w:rPr>
              <w:fldChar w:fldCharType="separate"/>
            </w:r>
            <w:r w:rsidR="008C2AB3">
              <w:rPr>
                <w:noProof/>
                <w:webHidden/>
                <w:sz w:val="20"/>
                <w:szCs w:val="20"/>
              </w:rPr>
              <w:t>8</w:t>
            </w:r>
            <w:r w:rsidR="00BA4DAB" w:rsidRPr="00BA4DAB">
              <w:rPr>
                <w:noProof/>
                <w:webHidden/>
                <w:sz w:val="20"/>
                <w:szCs w:val="20"/>
              </w:rPr>
              <w:fldChar w:fldCharType="end"/>
            </w:r>
          </w:hyperlink>
        </w:p>
        <w:p w:rsidR="00BA4DAB" w:rsidRPr="00BA4DAB" w:rsidRDefault="0066673D">
          <w:pPr>
            <w:pStyle w:val="TDC3"/>
            <w:tabs>
              <w:tab w:val="left" w:pos="1320"/>
              <w:tab w:val="right" w:leader="dot" w:pos="9628"/>
            </w:tabs>
            <w:rPr>
              <w:rFonts w:eastAsiaTheme="minorEastAsia"/>
              <w:noProof/>
              <w:sz w:val="20"/>
              <w:szCs w:val="20"/>
              <w:lang w:val="es-EC" w:eastAsia="es-EC"/>
            </w:rPr>
          </w:pPr>
          <w:hyperlink w:anchor="_Toc483474892" w:history="1">
            <w:r w:rsidR="00BA4DAB" w:rsidRPr="00BA4DAB">
              <w:rPr>
                <w:rStyle w:val="Hipervnculo"/>
                <w:rFonts w:ascii="Gadugi" w:hAnsi="Gadugi"/>
                <w:b/>
                <w:noProof/>
                <w:sz w:val="20"/>
                <w:szCs w:val="20"/>
              </w:rPr>
              <w:t>2.6.1.</w:t>
            </w:r>
            <w:r w:rsidR="00BA4DAB" w:rsidRPr="00BA4DAB">
              <w:rPr>
                <w:rFonts w:eastAsiaTheme="minorEastAsia"/>
                <w:noProof/>
                <w:sz w:val="20"/>
                <w:szCs w:val="20"/>
                <w:lang w:val="es-EC" w:eastAsia="es-EC"/>
              </w:rPr>
              <w:tab/>
            </w:r>
            <w:r w:rsidR="00BA4DAB" w:rsidRPr="00BA4DAB">
              <w:rPr>
                <w:rStyle w:val="Hipervnculo"/>
                <w:rFonts w:ascii="Gadugi" w:hAnsi="Gadugi"/>
                <w:b/>
                <w:noProof/>
                <w:sz w:val="20"/>
                <w:szCs w:val="20"/>
              </w:rPr>
              <w:t>Pilares del modelo de integración provisto</w:t>
            </w:r>
            <w:r w:rsidR="00BA4DAB" w:rsidRPr="00BA4DAB">
              <w:rPr>
                <w:noProof/>
                <w:webHidden/>
                <w:sz w:val="20"/>
                <w:szCs w:val="20"/>
              </w:rPr>
              <w:tab/>
            </w:r>
            <w:r w:rsidR="00BA4DAB" w:rsidRPr="00BA4DAB">
              <w:rPr>
                <w:noProof/>
                <w:webHidden/>
                <w:sz w:val="20"/>
                <w:szCs w:val="20"/>
              </w:rPr>
              <w:fldChar w:fldCharType="begin"/>
            </w:r>
            <w:r w:rsidR="00BA4DAB" w:rsidRPr="00BA4DAB">
              <w:rPr>
                <w:noProof/>
                <w:webHidden/>
                <w:sz w:val="20"/>
                <w:szCs w:val="20"/>
              </w:rPr>
              <w:instrText xml:space="preserve"> PAGEREF _Toc483474892 \h </w:instrText>
            </w:r>
            <w:r w:rsidR="00BA4DAB" w:rsidRPr="00BA4DAB">
              <w:rPr>
                <w:noProof/>
                <w:webHidden/>
                <w:sz w:val="20"/>
                <w:szCs w:val="20"/>
              </w:rPr>
            </w:r>
            <w:r w:rsidR="00BA4DAB" w:rsidRPr="00BA4DAB">
              <w:rPr>
                <w:noProof/>
                <w:webHidden/>
                <w:sz w:val="20"/>
                <w:szCs w:val="20"/>
              </w:rPr>
              <w:fldChar w:fldCharType="separate"/>
            </w:r>
            <w:r w:rsidR="008C2AB3">
              <w:rPr>
                <w:noProof/>
                <w:webHidden/>
                <w:sz w:val="20"/>
                <w:szCs w:val="20"/>
              </w:rPr>
              <w:t>9</w:t>
            </w:r>
            <w:r w:rsidR="00BA4DAB" w:rsidRPr="00BA4DAB">
              <w:rPr>
                <w:noProof/>
                <w:webHidden/>
                <w:sz w:val="20"/>
                <w:szCs w:val="20"/>
              </w:rPr>
              <w:fldChar w:fldCharType="end"/>
            </w:r>
          </w:hyperlink>
        </w:p>
        <w:p w:rsidR="00BA4DAB" w:rsidRPr="00BA4DAB" w:rsidRDefault="0066673D">
          <w:pPr>
            <w:pStyle w:val="TDC3"/>
            <w:tabs>
              <w:tab w:val="left" w:pos="1540"/>
              <w:tab w:val="right" w:leader="dot" w:pos="9628"/>
            </w:tabs>
            <w:rPr>
              <w:rFonts w:eastAsiaTheme="minorEastAsia"/>
              <w:noProof/>
              <w:sz w:val="20"/>
              <w:szCs w:val="20"/>
              <w:lang w:val="es-EC" w:eastAsia="es-EC"/>
            </w:rPr>
          </w:pPr>
          <w:hyperlink w:anchor="_Toc483474893" w:history="1">
            <w:r w:rsidR="00BA4DAB" w:rsidRPr="00BA4DAB">
              <w:rPr>
                <w:rStyle w:val="Hipervnculo"/>
                <w:rFonts w:ascii="Gadugi" w:hAnsi="Gadugi"/>
                <w:b/>
                <w:noProof/>
                <w:sz w:val="20"/>
                <w:szCs w:val="20"/>
              </w:rPr>
              <w:t>2.6.1.1.</w:t>
            </w:r>
            <w:r w:rsidR="00BA4DAB" w:rsidRPr="00BA4DAB">
              <w:rPr>
                <w:rFonts w:eastAsiaTheme="minorEastAsia"/>
                <w:noProof/>
                <w:sz w:val="20"/>
                <w:szCs w:val="20"/>
                <w:lang w:val="es-EC" w:eastAsia="es-EC"/>
              </w:rPr>
              <w:tab/>
            </w:r>
            <w:r w:rsidR="00BA4DAB" w:rsidRPr="00BA4DAB">
              <w:rPr>
                <w:rStyle w:val="Hipervnculo"/>
                <w:rFonts w:ascii="Gadugi" w:hAnsi="Gadugi"/>
                <w:b/>
                <w:noProof/>
                <w:sz w:val="20"/>
                <w:szCs w:val="20"/>
              </w:rPr>
              <w:t>Análisis del Pilar: Gobierno corporativo</w:t>
            </w:r>
            <w:r w:rsidR="00BA4DAB" w:rsidRPr="00BA4DAB">
              <w:rPr>
                <w:noProof/>
                <w:webHidden/>
                <w:sz w:val="20"/>
                <w:szCs w:val="20"/>
              </w:rPr>
              <w:tab/>
            </w:r>
            <w:r w:rsidR="00BA4DAB" w:rsidRPr="00BA4DAB">
              <w:rPr>
                <w:noProof/>
                <w:webHidden/>
                <w:sz w:val="20"/>
                <w:szCs w:val="20"/>
              </w:rPr>
              <w:fldChar w:fldCharType="begin"/>
            </w:r>
            <w:r w:rsidR="00BA4DAB" w:rsidRPr="00BA4DAB">
              <w:rPr>
                <w:noProof/>
                <w:webHidden/>
                <w:sz w:val="20"/>
                <w:szCs w:val="20"/>
              </w:rPr>
              <w:instrText xml:space="preserve"> PAGEREF _Toc483474893 \h </w:instrText>
            </w:r>
            <w:r w:rsidR="00BA4DAB" w:rsidRPr="00BA4DAB">
              <w:rPr>
                <w:noProof/>
                <w:webHidden/>
                <w:sz w:val="20"/>
                <w:szCs w:val="20"/>
              </w:rPr>
            </w:r>
            <w:r w:rsidR="00BA4DAB" w:rsidRPr="00BA4DAB">
              <w:rPr>
                <w:noProof/>
                <w:webHidden/>
                <w:sz w:val="20"/>
                <w:szCs w:val="20"/>
              </w:rPr>
              <w:fldChar w:fldCharType="separate"/>
            </w:r>
            <w:r w:rsidR="008C2AB3">
              <w:rPr>
                <w:noProof/>
                <w:webHidden/>
                <w:sz w:val="20"/>
                <w:szCs w:val="20"/>
              </w:rPr>
              <w:t>9</w:t>
            </w:r>
            <w:r w:rsidR="00BA4DAB" w:rsidRPr="00BA4DAB">
              <w:rPr>
                <w:noProof/>
                <w:webHidden/>
                <w:sz w:val="20"/>
                <w:szCs w:val="20"/>
              </w:rPr>
              <w:fldChar w:fldCharType="end"/>
            </w:r>
          </w:hyperlink>
        </w:p>
        <w:p w:rsidR="00BA4DAB" w:rsidRPr="00BA4DAB" w:rsidRDefault="0066673D">
          <w:pPr>
            <w:pStyle w:val="TDC3"/>
            <w:tabs>
              <w:tab w:val="left" w:pos="1540"/>
              <w:tab w:val="right" w:leader="dot" w:pos="9628"/>
            </w:tabs>
            <w:rPr>
              <w:rFonts w:eastAsiaTheme="minorEastAsia"/>
              <w:noProof/>
              <w:sz w:val="20"/>
              <w:szCs w:val="20"/>
              <w:lang w:val="es-EC" w:eastAsia="es-EC"/>
            </w:rPr>
          </w:pPr>
          <w:hyperlink w:anchor="_Toc483474894" w:history="1">
            <w:r w:rsidR="00BA4DAB" w:rsidRPr="00BA4DAB">
              <w:rPr>
                <w:rStyle w:val="Hipervnculo"/>
                <w:rFonts w:ascii="Gadugi" w:hAnsi="Gadugi"/>
                <w:b/>
                <w:noProof/>
                <w:sz w:val="20"/>
                <w:szCs w:val="20"/>
              </w:rPr>
              <w:t>2.6.1.2.</w:t>
            </w:r>
            <w:r w:rsidR="00BA4DAB" w:rsidRPr="00BA4DAB">
              <w:rPr>
                <w:rFonts w:eastAsiaTheme="minorEastAsia"/>
                <w:noProof/>
                <w:sz w:val="20"/>
                <w:szCs w:val="20"/>
                <w:lang w:val="es-EC" w:eastAsia="es-EC"/>
              </w:rPr>
              <w:tab/>
            </w:r>
            <w:r w:rsidR="00BA4DAB" w:rsidRPr="00BA4DAB">
              <w:rPr>
                <w:rStyle w:val="Hipervnculo"/>
                <w:rFonts w:ascii="Gadugi" w:hAnsi="Gadugi"/>
                <w:b/>
                <w:noProof/>
                <w:sz w:val="20"/>
                <w:szCs w:val="20"/>
              </w:rPr>
              <w:t>Análisis del Pilar: Planificación</w:t>
            </w:r>
            <w:r w:rsidR="00BA4DAB" w:rsidRPr="00BA4DAB">
              <w:rPr>
                <w:noProof/>
                <w:webHidden/>
                <w:sz w:val="20"/>
                <w:szCs w:val="20"/>
              </w:rPr>
              <w:tab/>
            </w:r>
            <w:r w:rsidR="00BA4DAB" w:rsidRPr="00BA4DAB">
              <w:rPr>
                <w:noProof/>
                <w:webHidden/>
                <w:sz w:val="20"/>
                <w:szCs w:val="20"/>
              </w:rPr>
              <w:fldChar w:fldCharType="begin"/>
            </w:r>
            <w:r w:rsidR="00BA4DAB" w:rsidRPr="00BA4DAB">
              <w:rPr>
                <w:noProof/>
                <w:webHidden/>
                <w:sz w:val="20"/>
                <w:szCs w:val="20"/>
              </w:rPr>
              <w:instrText xml:space="preserve"> PAGEREF _Toc483474894 \h </w:instrText>
            </w:r>
            <w:r w:rsidR="00BA4DAB" w:rsidRPr="00BA4DAB">
              <w:rPr>
                <w:noProof/>
                <w:webHidden/>
                <w:sz w:val="20"/>
                <w:szCs w:val="20"/>
              </w:rPr>
            </w:r>
            <w:r w:rsidR="00BA4DAB" w:rsidRPr="00BA4DAB">
              <w:rPr>
                <w:noProof/>
                <w:webHidden/>
                <w:sz w:val="20"/>
                <w:szCs w:val="20"/>
              </w:rPr>
              <w:fldChar w:fldCharType="separate"/>
            </w:r>
            <w:r w:rsidR="008C2AB3">
              <w:rPr>
                <w:noProof/>
                <w:webHidden/>
                <w:sz w:val="20"/>
                <w:szCs w:val="20"/>
              </w:rPr>
              <w:t>11</w:t>
            </w:r>
            <w:r w:rsidR="00BA4DAB" w:rsidRPr="00BA4DAB">
              <w:rPr>
                <w:noProof/>
                <w:webHidden/>
                <w:sz w:val="20"/>
                <w:szCs w:val="20"/>
              </w:rPr>
              <w:fldChar w:fldCharType="end"/>
            </w:r>
          </w:hyperlink>
        </w:p>
        <w:p w:rsidR="00BA4DAB" w:rsidRPr="00BA4DAB" w:rsidRDefault="0066673D">
          <w:pPr>
            <w:pStyle w:val="TDC3"/>
            <w:tabs>
              <w:tab w:val="left" w:pos="1540"/>
              <w:tab w:val="right" w:leader="dot" w:pos="9628"/>
            </w:tabs>
            <w:rPr>
              <w:rFonts w:eastAsiaTheme="minorEastAsia"/>
              <w:noProof/>
              <w:sz w:val="20"/>
              <w:szCs w:val="20"/>
              <w:lang w:val="es-EC" w:eastAsia="es-EC"/>
            </w:rPr>
          </w:pPr>
          <w:hyperlink w:anchor="_Toc483474895" w:history="1">
            <w:r w:rsidR="00BA4DAB" w:rsidRPr="00BA4DAB">
              <w:rPr>
                <w:rStyle w:val="Hipervnculo"/>
                <w:rFonts w:ascii="Gadugi" w:hAnsi="Gadugi"/>
                <w:b/>
                <w:noProof/>
                <w:sz w:val="20"/>
                <w:szCs w:val="20"/>
              </w:rPr>
              <w:t>2.6.1.3.</w:t>
            </w:r>
            <w:r w:rsidR="00BA4DAB" w:rsidRPr="00BA4DAB">
              <w:rPr>
                <w:rFonts w:eastAsiaTheme="minorEastAsia"/>
                <w:noProof/>
                <w:sz w:val="20"/>
                <w:szCs w:val="20"/>
                <w:lang w:val="es-EC" w:eastAsia="es-EC"/>
              </w:rPr>
              <w:tab/>
            </w:r>
            <w:r w:rsidR="00BA4DAB" w:rsidRPr="00BA4DAB">
              <w:rPr>
                <w:rStyle w:val="Hipervnculo"/>
                <w:rFonts w:ascii="Gadugi" w:hAnsi="Gadugi"/>
                <w:b/>
                <w:noProof/>
                <w:sz w:val="20"/>
                <w:szCs w:val="20"/>
              </w:rPr>
              <w:t>Análisis del Pilar: Gestión Financiera</w:t>
            </w:r>
            <w:r w:rsidR="00BA4DAB" w:rsidRPr="00BA4DAB">
              <w:rPr>
                <w:noProof/>
                <w:webHidden/>
                <w:sz w:val="20"/>
                <w:szCs w:val="20"/>
              </w:rPr>
              <w:tab/>
            </w:r>
            <w:r w:rsidR="00BA4DAB" w:rsidRPr="00BA4DAB">
              <w:rPr>
                <w:noProof/>
                <w:webHidden/>
                <w:sz w:val="20"/>
                <w:szCs w:val="20"/>
              </w:rPr>
              <w:fldChar w:fldCharType="begin"/>
            </w:r>
            <w:r w:rsidR="00BA4DAB" w:rsidRPr="00BA4DAB">
              <w:rPr>
                <w:noProof/>
                <w:webHidden/>
                <w:sz w:val="20"/>
                <w:szCs w:val="20"/>
              </w:rPr>
              <w:instrText xml:space="preserve"> PAGEREF _Toc483474895 \h </w:instrText>
            </w:r>
            <w:r w:rsidR="00BA4DAB" w:rsidRPr="00BA4DAB">
              <w:rPr>
                <w:noProof/>
                <w:webHidden/>
                <w:sz w:val="20"/>
                <w:szCs w:val="20"/>
              </w:rPr>
            </w:r>
            <w:r w:rsidR="00BA4DAB" w:rsidRPr="00BA4DAB">
              <w:rPr>
                <w:noProof/>
                <w:webHidden/>
                <w:sz w:val="20"/>
                <w:szCs w:val="20"/>
              </w:rPr>
              <w:fldChar w:fldCharType="separate"/>
            </w:r>
            <w:r w:rsidR="008C2AB3">
              <w:rPr>
                <w:noProof/>
                <w:webHidden/>
                <w:sz w:val="20"/>
                <w:szCs w:val="20"/>
              </w:rPr>
              <w:t>14</w:t>
            </w:r>
            <w:r w:rsidR="00BA4DAB" w:rsidRPr="00BA4DAB">
              <w:rPr>
                <w:noProof/>
                <w:webHidden/>
                <w:sz w:val="20"/>
                <w:szCs w:val="20"/>
              </w:rPr>
              <w:fldChar w:fldCharType="end"/>
            </w:r>
          </w:hyperlink>
        </w:p>
        <w:p w:rsidR="00BA4DAB" w:rsidRPr="00BA4DAB" w:rsidRDefault="0066673D">
          <w:pPr>
            <w:pStyle w:val="TDC3"/>
            <w:tabs>
              <w:tab w:val="left" w:pos="1540"/>
              <w:tab w:val="right" w:leader="dot" w:pos="9628"/>
            </w:tabs>
            <w:rPr>
              <w:rFonts w:eastAsiaTheme="minorEastAsia"/>
              <w:noProof/>
              <w:sz w:val="20"/>
              <w:szCs w:val="20"/>
              <w:lang w:val="es-EC" w:eastAsia="es-EC"/>
            </w:rPr>
          </w:pPr>
          <w:hyperlink w:anchor="_Toc483474896" w:history="1">
            <w:r w:rsidR="00BA4DAB" w:rsidRPr="00BA4DAB">
              <w:rPr>
                <w:rStyle w:val="Hipervnculo"/>
                <w:rFonts w:ascii="Gadugi" w:hAnsi="Gadugi"/>
                <w:b/>
                <w:noProof/>
                <w:sz w:val="20"/>
                <w:szCs w:val="20"/>
              </w:rPr>
              <w:t>2.6.1.4.</w:t>
            </w:r>
            <w:r w:rsidR="00BA4DAB" w:rsidRPr="00BA4DAB">
              <w:rPr>
                <w:rFonts w:eastAsiaTheme="minorEastAsia"/>
                <w:noProof/>
                <w:sz w:val="20"/>
                <w:szCs w:val="20"/>
                <w:lang w:val="es-EC" w:eastAsia="es-EC"/>
              </w:rPr>
              <w:tab/>
            </w:r>
            <w:r w:rsidR="00BA4DAB" w:rsidRPr="00BA4DAB">
              <w:rPr>
                <w:rStyle w:val="Hipervnculo"/>
                <w:rFonts w:ascii="Gadugi" w:hAnsi="Gadugi"/>
                <w:b/>
                <w:noProof/>
                <w:sz w:val="20"/>
                <w:szCs w:val="20"/>
              </w:rPr>
              <w:t>Análisis del Pilar: Comunicación</w:t>
            </w:r>
            <w:r w:rsidR="00BA4DAB" w:rsidRPr="00BA4DAB">
              <w:rPr>
                <w:noProof/>
                <w:webHidden/>
                <w:sz w:val="20"/>
                <w:szCs w:val="20"/>
              </w:rPr>
              <w:tab/>
            </w:r>
            <w:r w:rsidR="00BA4DAB" w:rsidRPr="00BA4DAB">
              <w:rPr>
                <w:noProof/>
                <w:webHidden/>
                <w:sz w:val="20"/>
                <w:szCs w:val="20"/>
              </w:rPr>
              <w:fldChar w:fldCharType="begin"/>
            </w:r>
            <w:r w:rsidR="00BA4DAB" w:rsidRPr="00BA4DAB">
              <w:rPr>
                <w:noProof/>
                <w:webHidden/>
                <w:sz w:val="20"/>
                <w:szCs w:val="20"/>
              </w:rPr>
              <w:instrText xml:space="preserve"> PAGEREF _Toc483474896 \h </w:instrText>
            </w:r>
            <w:r w:rsidR="00BA4DAB" w:rsidRPr="00BA4DAB">
              <w:rPr>
                <w:noProof/>
                <w:webHidden/>
                <w:sz w:val="20"/>
                <w:szCs w:val="20"/>
              </w:rPr>
            </w:r>
            <w:r w:rsidR="00BA4DAB" w:rsidRPr="00BA4DAB">
              <w:rPr>
                <w:noProof/>
                <w:webHidden/>
                <w:sz w:val="20"/>
                <w:szCs w:val="20"/>
              </w:rPr>
              <w:fldChar w:fldCharType="separate"/>
            </w:r>
            <w:r w:rsidR="008C2AB3">
              <w:rPr>
                <w:noProof/>
                <w:webHidden/>
                <w:sz w:val="20"/>
                <w:szCs w:val="20"/>
              </w:rPr>
              <w:t>19</w:t>
            </w:r>
            <w:r w:rsidR="00BA4DAB" w:rsidRPr="00BA4DAB">
              <w:rPr>
                <w:noProof/>
                <w:webHidden/>
                <w:sz w:val="20"/>
                <w:szCs w:val="20"/>
              </w:rPr>
              <w:fldChar w:fldCharType="end"/>
            </w:r>
          </w:hyperlink>
        </w:p>
        <w:p w:rsidR="00BA4DAB" w:rsidRPr="00BA4DAB" w:rsidRDefault="0066673D">
          <w:pPr>
            <w:pStyle w:val="TDC3"/>
            <w:tabs>
              <w:tab w:val="left" w:pos="1540"/>
              <w:tab w:val="right" w:leader="dot" w:pos="9628"/>
            </w:tabs>
            <w:rPr>
              <w:rFonts w:eastAsiaTheme="minorEastAsia"/>
              <w:noProof/>
              <w:sz w:val="20"/>
              <w:szCs w:val="20"/>
              <w:lang w:val="es-EC" w:eastAsia="es-EC"/>
            </w:rPr>
          </w:pPr>
          <w:hyperlink w:anchor="_Toc483474897" w:history="1">
            <w:r w:rsidR="00BA4DAB" w:rsidRPr="00BA4DAB">
              <w:rPr>
                <w:rStyle w:val="Hipervnculo"/>
                <w:rFonts w:ascii="Gadugi" w:hAnsi="Gadugi"/>
                <w:b/>
                <w:noProof/>
                <w:sz w:val="20"/>
                <w:szCs w:val="20"/>
              </w:rPr>
              <w:t>2.6.1.5.</w:t>
            </w:r>
            <w:r w:rsidR="00BA4DAB" w:rsidRPr="00BA4DAB">
              <w:rPr>
                <w:rFonts w:eastAsiaTheme="minorEastAsia"/>
                <w:noProof/>
                <w:sz w:val="20"/>
                <w:szCs w:val="20"/>
                <w:lang w:val="es-EC" w:eastAsia="es-EC"/>
              </w:rPr>
              <w:tab/>
            </w:r>
            <w:r w:rsidR="00BA4DAB" w:rsidRPr="00BA4DAB">
              <w:rPr>
                <w:rStyle w:val="Hipervnculo"/>
                <w:rFonts w:ascii="Gadugi" w:hAnsi="Gadugi"/>
                <w:b/>
                <w:noProof/>
                <w:sz w:val="20"/>
                <w:szCs w:val="20"/>
              </w:rPr>
              <w:t>Análisis del Pilar: Gestión Interna</w:t>
            </w:r>
            <w:r w:rsidR="00BA4DAB" w:rsidRPr="00BA4DAB">
              <w:rPr>
                <w:noProof/>
                <w:webHidden/>
                <w:sz w:val="20"/>
                <w:szCs w:val="20"/>
              </w:rPr>
              <w:tab/>
            </w:r>
            <w:r w:rsidR="00BA4DAB" w:rsidRPr="00BA4DAB">
              <w:rPr>
                <w:noProof/>
                <w:webHidden/>
                <w:sz w:val="20"/>
                <w:szCs w:val="20"/>
              </w:rPr>
              <w:fldChar w:fldCharType="begin"/>
            </w:r>
            <w:r w:rsidR="00BA4DAB" w:rsidRPr="00BA4DAB">
              <w:rPr>
                <w:noProof/>
                <w:webHidden/>
                <w:sz w:val="20"/>
                <w:szCs w:val="20"/>
              </w:rPr>
              <w:instrText xml:space="preserve"> PAGEREF _Toc483474897 \h </w:instrText>
            </w:r>
            <w:r w:rsidR="00BA4DAB" w:rsidRPr="00BA4DAB">
              <w:rPr>
                <w:noProof/>
                <w:webHidden/>
                <w:sz w:val="20"/>
                <w:szCs w:val="20"/>
              </w:rPr>
            </w:r>
            <w:r w:rsidR="00BA4DAB" w:rsidRPr="00BA4DAB">
              <w:rPr>
                <w:noProof/>
                <w:webHidden/>
                <w:sz w:val="20"/>
                <w:szCs w:val="20"/>
              </w:rPr>
              <w:fldChar w:fldCharType="separate"/>
            </w:r>
            <w:r w:rsidR="008C2AB3">
              <w:rPr>
                <w:noProof/>
                <w:webHidden/>
                <w:sz w:val="20"/>
                <w:szCs w:val="20"/>
              </w:rPr>
              <w:t>21</w:t>
            </w:r>
            <w:r w:rsidR="00BA4DAB" w:rsidRPr="00BA4DAB">
              <w:rPr>
                <w:noProof/>
                <w:webHidden/>
                <w:sz w:val="20"/>
                <w:szCs w:val="20"/>
              </w:rPr>
              <w:fldChar w:fldCharType="end"/>
            </w:r>
          </w:hyperlink>
        </w:p>
        <w:p w:rsidR="00BA4DAB" w:rsidRPr="00BA4DAB" w:rsidRDefault="0066673D">
          <w:pPr>
            <w:pStyle w:val="TDC2"/>
            <w:tabs>
              <w:tab w:val="left" w:pos="880"/>
              <w:tab w:val="right" w:leader="dot" w:pos="9628"/>
            </w:tabs>
            <w:rPr>
              <w:rFonts w:eastAsiaTheme="minorEastAsia"/>
              <w:noProof/>
              <w:sz w:val="20"/>
              <w:szCs w:val="20"/>
              <w:lang w:val="es-EC" w:eastAsia="es-EC"/>
            </w:rPr>
          </w:pPr>
          <w:hyperlink w:anchor="_Toc483474898" w:history="1">
            <w:r w:rsidR="00BA4DAB" w:rsidRPr="00BA4DAB">
              <w:rPr>
                <w:rStyle w:val="Hipervnculo"/>
                <w:rFonts w:ascii="Gadugi" w:hAnsi="Gadugi"/>
                <w:b/>
                <w:noProof/>
                <w:sz w:val="20"/>
                <w:szCs w:val="20"/>
              </w:rPr>
              <w:t>2.7.</w:t>
            </w:r>
            <w:r w:rsidR="00BA4DAB" w:rsidRPr="00BA4DAB">
              <w:rPr>
                <w:rFonts w:eastAsiaTheme="minorEastAsia"/>
                <w:noProof/>
                <w:sz w:val="20"/>
                <w:szCs w:val="20"/>
                <w:lang w:val="es-EC" w:eastAsia="es-EC"/>
              </w:rPr>
              <w:tab/>
            </w:r>
            <w:r w:rsidR="00BA4DAB" w:rsidRPr="00BA4DAB">
              <w:rPr>
                <w:rStyle w:val="Hipervnculo"/>
                <w:rFonts w:ascii="Gadugi" w:hAnsi="Gadugi"/>
                <w:b/>
                <w:noProof/>
                <w:sz w:val="20"/>
                <w:szCs w:val="20"/>
              </w:rPr>
              <w:t>Procesos priorizados</w:t>
            </w:r>
            <w:r w:rsidR="00BA4DAB" w:rsidRPr="00BA4DAB">
              <w:rPr>
                <w:noProof/>
                <w:webHidden/>
                <w:sz w:val="20"/>
                <w:szCs w:val="20"/>
              </w:rPr>
              <w:tab/>
            </w:r>
            <w:r w:rsidR="00BA4DAB" w:rsidRPr="00BA4DAB">
              <w:rPr>
                <w:noProof/>
                <w:webHidden/>
                <w:sz w:val="20"/>
                <w:szCs w:val="20"/>
              </w:rPr>
              <w:fldChar w:fldCharType="begin"/>
            </w:r>
            <w:r w:rsidR="00BA4DAB" w:rsidRPr="00BA4DAB">
              <w:rPr>
                <w:noProof/>
                <w:webHidden/>
                <w:sz w:val="20"/>
                <w:szCs w:val="20"/>
              </w:rPr>
              <w:instrText xml:space="preserve"> PAGEREF _Toc483474898 \h </w:instrText>
            </w:r>
            <w:r w:rsidR="00BA4DAB" w:rsidRPr="00BA4DAB">
              <w:rPr>
                <w:noProof/>
                <w:webHidden/>
                <w:sz w:val="20"/>
                <w:szCs w:val="20"/>
              </w:rPr>
            </w:r>
            <w:r w:rsidR="00BA4DAB" w:rsidRPr="00BA4DAB">
              <w:rPr>
                <w:noProof/>
                <w:webHidden/>
                <w:sz w:val="20"/>
                <w:szCs w:val="20"/>
              </w:rPr>
              <w:fldChar w:fldCharType="separate"/>
            </w:r>
            <w:r w:rsidR="008C2AB3">
              <w:rPr>
                <w:noProof/>
                <w:webHidden/>
                <w:sz w:val="20"/>
                <w:szCs w:val="20"/>
              </w:rPr>
              <w:t>24</w:t>
            </w:r>
            <w:r w:rsidR="00BA4DAB" w:rsidRPr="00BA4DAB">
              <w:rPr>
                <w:noProof/>
                <w:webHidden/>
                <w:sz w:val="20"/>
                <w:szCs w:val="20"/>
              </w:rPr>
              <w:fldChar w:fldCharType="end"/>
            </w:r>
          </w:hyperlink>
        </w:p>
        <w:p w:rsidR="007941B3" w:rsidRPr="00BA4DAB" w:rsidRDefault="007941B3">
          <w:pPr>
            <w:rPr>
              <w:rFonts w:ascii="Gadugi" w:hAnsi="Gadugi"/>
              <w:sz w:val="20"/>
              <w:szCs w:val="20"/>
            </w:rPr>
          </w:pPr>
          <w:r w:rsidRPr="00BA4DAB">
            <w:rPr>
              <w:rFonts w:ascii="Gadugi" w:hAnsi="Gadugi"/>
              <w:b/>
              <w:bCs/>
              <w:sz w:val="20"/>
              <w:szCs w:val="20"/>
            </w:rPr>
            <w:fldChar w:fldCharType="end"/>
          </w:r>
        </w:p>
      </w:sdtContent>
    </w:sdt>
    <w:p w:rsidR="00297F66" w:rsidRPr="00E56391" w:rsidRDefault="00297F66" w:rsidP="00344003">
      <w:pPr>
        <w:rPr>
          <w:rFonts w:ascii="Gadugi" w:hAnsi="Gadugi"/>
          <w:sz w:val="20"/>
          <w:szCs w:val="20"/>
        </w:rPr>
      </w:pPr>
    </w:p>
    <w:p w:rsidR="00522EA8" w:rsidRPr="00E56391" w:rsidRDefault="00522EA8" w:rsidP="00344003">
      <w:pPr>
        <w:rPr>
          <w:rFonts w:ascii="Gadugi" w:hAnsi="Gadugi"/>
          <w:sz w:val="20"/>
          <w:szCs w:val="20"/>
        </w:rPr>
      </w:pPr>
    </w:p>
    <w:p w:rsidR="00522EA8" w:rsidRPr="00E56391" w:rsidRDefault="00522EA8" w:rsidP="00344003">
      <w:pPr>
        <w:rPr>
          <w:rFonts w:ascii="Gadugi" w:hAnsi="Gadugi"/>
          <w:sz w:val="20"/>
          <w:szCs w:val="20"/>
        </w:rPr>
      </w:pPr>
    </w:p>
    <w:p w:rsidR="00522EA8" w:rsidRPr="00E56391" w:rsidRDefault="00522EA8" w:rsidP="00344003">
      <w:pPr>
        <w:rPr>
          <w:rFonts w:ascii="Gadugi" w:hAnsi="Gadugi"/>
          <w:sz w:val="20"/>
          <w:szCs w:val="20"/>
        </w:rPr>
      </w:pPr>
    </w:p>
    <w:p w:rsidR="00522EA8" w:rsidRPr="00E56391" w:rsidRDefault="00522EA8" w:rsidP="00344003">
      <w:pPr>
        <w:rPr>
          <w:rFonts w:ascii="Gadugi" w:hAnsi="Gadugi"/>
          <w:sz w:val="20"/>
          <w:szCs w:val="20"/>
        </w:rPr>
      </w:pPr>
    </w:p>
    <w:p w:rsidR="00522EA8" w:rsidRDefault="00522EA8" w:rsidP="00344003">
      <w:pPr>
        <w:rPr>
          <w:rFonts w:ascii="Gadugi" w:hAnsi="Gadugi"/>
          <w:sz w:val="20"/>
          <w:szCs w:val="20"/>
        </w:rPr>
      </w:pPr>
    </w:p>
    <w:p w:rsidR="00E56391" w:rsidRDefault="00E56391" w:rsidP="00344003">
      <w:pPr>
        <w:rPr>
          <w:rFonts w:ascii="Gadugi" w:hAnsi="Gadugi"/>
          <w:sz w:val="20"/>
          <w:szCs w:val="20"/>
        </w:rPr>
      </w:pPr>
    </w:p>
    <w:p w:rsidR="00E56391" w:rsidRDefault="00E56391" w:rsidP="00344003">
      <w:pPr>
        <w:rPr>
          <w:rFonts w:ascii="Gadugi" w:hAnsi="Gadugi"/>
          <w:sz w:val="20"/>
          <w:szCs w:val="20"/>
        </w:rPr>
      </w:pPr>
    </w:p>
    <w:p w:rsidR="00E56391" w:rsidRPr="00E56391" w:rsidRDefault="00E56391" w:rsidP="00344003">
      <w:pPr>
        <w:rPr>
          <w:rFonts w:ascii="Gadugi" w:hAnsi="Gadugi"/>
          <w:sz w:val="20"/>
          <w:szCs w:val="20"/>
        </w:rPr>
      </w:pPr>
    </w:p>
    <w:p w:rsidR="00522EA8" w:rsidRPr="00E56391" w:rsidRDefault="00522EA8" w:rsidP="00344003">
      <w:pPr>
        <w:rPr>
          <w:rFonts w:ascii="Gadugi" w:hAnsi="Gadugi"/>
          <w:sz w:val="20"/>
          <w:szCs w:val="20"/>
        </w:rPr>
      </w:pPr>
    </w:p>
    <w:p w:rsidR="00C1652B" w:rsidRPr="00C1652B" w:rsidRDefault="00C1652B" w:rsidP="00344003">
      <w:pPr>
        <w:rPr>
          <w:rFonts w:ascii="Gadugi" w:hAnsi="Gadugi"/>
          <w:sz w:val="24"/>
          <w:szCs w:val="24"/>
        </w:rPr>
      </w:pPr>
    </w:p>
    <w:p w:rsidR="00344003" w:rsidRPr="00E56391" w:rsidRDefault="00344003" w:rsidP="00297F66">
      <w:pPr>
        <w:pStyle w:val="Prrafodelista"/>
        <w:numPr>
          <w:ilvl w:val="0"/>
          <w:numId w:val="6"/>
        </w:numPr>
        <w:jc w:val="both"/>
        <w:outlineLvl w:val="0"/>
        <w:rPr>
          <w:rFonts w:ascii="Gadugi" w:hAnsi="Gadugi"/>
          <w:b/>
          <w:sz w:val="20"/>
          <w:szCs w:val="24"/>
        </w:rPr>
      </w:pPr>
      <w:bookmarkStart w:id="2" w:name="_Toc483474883"/>
      <w:r w:rsidRPr="00E56391">
        <w:rPr>
          <w:rFonts w:ascii="Gadugi" w:hAnsi="Gadugi"/>
          <w:b/>
          <w:sz w:val="20"/>
          <w:szCs w:val="24"/>
        </w:rPr>
        <w:lastRenderedPageBreak/>
        <w:t>INTRODUCCIÓN</w:t>
      </w:r>
      <w:bookmarkEnd w:id="2"/>
    </w:p>
    <w:p w:rsidR="00297F66" w:rsidRPr="00E56391" w:rsidRDefault="00297F66" w:rsidP="00297F66">
      <w:pPr>
        <w:jc w:val="both"/>
        <w:rPr>
          <w:rFonts w:ascii="Gadugi" w:hAnsi="Gadugi"/>
          <w:sz w:val="20"/>
          <w:szCs w:val="24"/>
        </w:rPr>
      </w:pPr>
      <w:r w:rsidRPr="00E56391">
        <w:rPr>
          <w:rFonts w:ascii="Gadugi" w:hAnsi="Gadugi"/>
          <w:sz w:val="20"/>
          <w:szCs w:val="24"/>
        </w:rPr>
        <w:t xml:space="preserve">Como parte del Contrato LCC-SGP-003-2016 de prestación de servicios de consultoría para la </w:t>
      </w:r>
      <w:r w:rsidRPr="00E56391">
        <w:rPr>
          <w:rFonts w:ascii="Gadugi" w:hAnsi="Gadugi"/>
          <w:b/>
          <w:sz w:val="20"/>
          <w:szCs w:val="24"/>
        </w:rPr>
        <w:t>“Determinación del Modelo de Prestación de Servicio y Administración por Procesos para el Municipio del Distrito Metropolitano de Quito”</w:t>
      </w:r>
      <w:r w:rsidRPr="00E56391">
        <w:rPr>
          <w:rFonts w:ascii="Gadugi" w:hAnsi="Gadugi"/>
          <w:sz w:val="20"/>
          <w:szCs w:val="24"/>
        </w:rPr>
        <w:t>, MRProcessi Consultora ha ejecutado las actividades correspondientes en coordinación con la Secretaría General de Planificación del Municipio del Distrito Metropolitano de Quito a través de la Administración del Contrato, con la finalidad de cumplir con el objeto, alcance, metodología de trabajo, objetivos y demás requerimientos contractuales de la consultoría.</w:t>
      </w:r>
    </w:p>
    <w:p w:rsidR="00297F66" w:rsidRPr="00E56391" w:rsidRDefault="00297F66" w:rsidP="00297F66">
      <w:pPr>
        <w:jc w:val="both"/>
        <w:rPr>
          <w:rFonts w:ascii="Gadugi" w:hAnsi="Gadugi"/>
          <w:sz w:val="20"/>
          <w:szCs w:val="24"/>
        </w:rPr>
      </w:pPr>
      <w:r w:rsidRPr="00E56391">
        <w:rPr>
          <w:rFonts w:ascii="Gadugi" w:hAnsi="Gadugi"/>
          <w:sz w:val="20"/>
          <w:szCs w:val="24"/>
        </w:rPr>
        <w:t xml:space="preserve">En cumplimiento a lo que antecede, MRProcessi Consultora ha elaborado el presente documento como parte de los productos que se contemplan en la ejecución del proyecto de conformidad con los Términos de Referencia, el Acta de Negociación y la oferta técnica negociada y adjudicada a la empresa Consultora MRProcessi. </w:t>
      </w:r>
    </w:p>
    <w:p w:rsidR="00297F66" w:rsidRPr="00E56391" w:rsidRDefault="00297F66" w:rsidP="00297F66">
      <w:pPr>
        <w:jc w:val="both"/>
        <w:rPr>
          <w:rFonts w:ascii="Gadugi" w:hAnsi="Gadugi"/>
          <w:sz w:val="20"/>
          <w:szCs w:val="24"/>
        </w:rPr>
      </w:pPr>
      <w:r w:rsidRPr="00E56391">
        <w:rPr>
          <w:rFonts w:ascii="Gadugi" w:hAnsi="Gadugi"/>
          <w:sz w:val="20"/>
          <w:szCs w:val="24"/>
        </w:rPr>
        <w:t>En el marco de las actividades y productos definidos, así como en los objetivos específicos del proyecto, se destaca la “Optimización y estandarización de procesos adjetivos”, que contempla el análisis, priorización, levantamiento, mejora y propuesta de automatización de cuatro (4) procesos adjetivos del MDMQ; y el “Mejoramiento de Servicios”, que contempla el análisis, priorización, levantamiento, mejora y propuesta de automatización de (3) servicios del MDMQ.</w:t>
      </w:r>
    </w:p>
    <w:p w:rsidR="00297F66" w:rsidRPr="00E56391" w:rsidRDefault="00297F66" w:rsidP="00297F66">
      <w:pPr>
        <w:jc w:val="both"/>
        <w:rPr>
          <w:rFonts w:ascii="Gadugi" w:hAnsi="Gadugi"/>
          <w:sz w:val="20"/>
          <w:szCs w:val="24"/>
        </w:rPr>
      </w:pPr>
      <w:r w:rsidRPr="00E56391">
        <w:rPr>
          <w:rFonts w:ascii="Gadugi" w:hAnsi="Gadugi"/>
          <w:sz w:val="20"/>
          <w:szCs w:val="24"/>
        </w:rPr>
        <w:t>Este documento forma parte del grupo de productos entregables que cubre el alcance de los cuatro (4) procesos adjetivos priorizados en base a los requerimientos definidos.</w:t>
      </w:r>
    </w:p>
    <w:p w:rsidR="00297F66" w:rsidRPr="00E56391" w:rsidRDefault="00297F66" w:rsidP="00297F66">
      <w:pPr>
        <w:jc w:val="both"/>
        <w:rPr>
          <w:rFonts w:ascii="Gadugi" w:hAnsi="Gadugi"/>
          <w:sz w:val="20"/>
          <w:szCs w:val="24"/>
        </w:rPr>
      </w:pPr>
      <w:r w:rsidRPr="00E56391">
        <w:rPr>
          <w:rFonts w:ascii="Gadugi" w:hAnsi="Gadugi"/>
          <w:sz w:val="20"/>
          <w:szCs w:val="24"/>
        </w:rPr>
        <w:t>A continuación se detallan los procesos adjetivos priorizados:</w:t>
      </w:r>
    </w:p>
    <w:tbl>
      <w:tblPr>
        <w:tblStyle w:val="Listaclara-nfasis3"/>
        <w:tblW w:w="5000" w:type="pct"/>
        <w:tblLook w:val="04A0" w:firstRow="1" w:lastRow="0" w:firstColumn="1" w:lastColumn="0" w:noHBand="0" w:noVBand="1"/>
      </w:tblPr>
      <w:tblGrid>
        <w:gridCol w:w="672"/>
        <w:gridCol w:w="9182"/>
      </w:tblGrid>
      <w:tr w:rsidR="00297F66" w:rsidRPr="00E56391" w:rsidTr="00522EA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2"/>
          </w:tcPr>
          <w:p w:rsidR="00297F66" w:rsidRPr="00E56391" w:rsidRDefault="00297F66" w:rsidP="00522EA8">
            <w:pPr>
              <w:jc w:val="both"/>
              <w:rPr>
                <w:rFonts w:ascii="Gadugi" w:hAnsi="Gadugi"/>
                <w:sz w:val="20"/>
                <w:szCs w:val="24"/>
              </w:rPr>
            </w:pPr>
            <w:r w:rsidRPr="00E56391">
              <w:rPr>
                <w:rFonts w:ascii="Gadugi" w:hAnsi="Gadugi"/>
                <w:sz w:val="20"/>
                <w:szCs w:val="24"/>
              </w:rPr>
              <w:t>Procesos priorizados</w:t>
            </w:r>
          </w:p>
        </w:tc>
      </w:tr>
      <w:tr w:rsidR="00297F66" w:rsidRPr="00E56391" w:rsidTr="00522EA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297F66" w:rsidRPr="00E56391" w:rsidRDefault="00297F66" w:rsidP="00522EA8">
            <w:pPr>
              <w:jc w:val="both"/>
              <w:rPr>
                <w:rFonts w:ascii="Gadugi" w:hAnsi="Gadugi"/>
                <w:sz w:val="20"/>
                <w:szCs w:val="24"/>
              </w:rPr>
            </w:pPr>
            <w:r w:rsidRPr="00E56391">
              <w:rPr>
                <w:rFonts w:ascii="Gadugi" w:hAnsi="Gadugi"/>
                <w:sz w:val="20"/>
                <w:szCs w:val="24"/>
              </w:rPr>
              <w:t>No.</w:t>
            </w:r>
          </w:p>
        </w:tc>
        <w:tc>
          <w:tcPr>
            <w:tcW w:w="4659" w:type="pct"/>
          </w:tcPr>
          <w:p w:rsidR="00297F66" w:rsidRPr="00E56391" w:rsidRDefault="00297F66" w:rsidP="00522EA8">
            <w:pPr>
              <w:jc w:val="both"/>
              <w:cnfStyle w:val="000000100000" w:firstRow="0" w:lastRow="0" w:firstColumn="0" w:lastColumn="0" w:oddVBand="0" w:evenVBand="0" w:oddHBand="1" w:evenHBand="0" w:firstRowFirstColumn="0" w:firstRowLastColumn="0" w:lastRowFirstColumn="0" w:lastRowLastColumn="0"/>
              <w:rPr>
                <w:rFonts w:ascii="Gadugi" w:hAnsi="Gadugi"/>
                <w:b/>
                <w:sz w:val="20"/>
                <w:szCs w:val="24"/>
              </w:rPr>
            </w:pPr>
            <w:r w:rsidRPr="00E56391">
              <w:rPr>
                <w:rFonts w:ascii="Gadugi" w:hAnsi="Gadugi"/>
                <w:b/>
                <w:sz w:val="20"/>
                <w:szCs w:val="24"/>
              </w:rPr>
              <w:t>Nombre del Proceso</w:t>
            </w:r>
          </w:p>
        </w:tc>
      </w:tr>
      <w:tr w:rsidR="00297F66" w:rsidRPr="00E56391" w:rsidTr="00522EA8">
        <w:trPr>
          <w:trHeight w:val="340"/>
        </w:trPr>
        <w:tc>
          <w:tcPr>
            <w:cnfStyle w:val="001000000000" w:firstRow="0" w:lastRow="0" w:firstColumn="1" w:lastColumn="0" w:oddVBand="0" w:evenVBand="0" w:oddHBand="0" w:evenHBand="0" w:firstRowFirstColumn="0" w:firstRowLastColumn="0" w:lastRowFirstColumn="0" w:lastRowLastColumn="0"/>
            <w:tcW w:w="341" w:type="pct"/>
          </w:tcPr>
          <w:p w:rsidR="00297F66" w:rsidRPr="00E56391" w:rsidRDefault="00297F66" w:rsidP="00522EA8">
            <w:pPr>
              <w:jc w:val="both"/>
              <w:rPr>
                <w:rFonts w:ascii="Gadugi" w:hAnsi="Gadugi"/>
                <w:b w:val="0"/>
                <w:sz w:val="20"/>
                <w:szCs w:val="24"/>
              </w:rPr>
            </w:pPr>
            <w:r w:rsidRPr="00E56391">
              <w:rPr>
                <w:rFonts w:ascii="Gadugi" w:hAnsi="Gadugi"/>
                <w:b w:val="0"/>
                <w:sz w:val="20"/>
                <w:szCs w:val="24"/>
              </w:rPr>
              <w:t>1</w:t>
            </w:r>
          </w:p>
        </w:tc>
        <w:tc>
          <w:tcPr>
            <w:tcW w:w="4659" w:type="pct"/>
          </w:tcPr>
          <w:p w:rsidR="00297F66" w:rsidRPr="00E56391" w:rsidRDefault="00297F66" w:rsidP="00522EA8">
            <w:pPr>
              <w:jc w:val="both"/>
              <w:cnfStyle w:val="000000000000" w:firstRow="0" w:lastRow="0" w:firstColumn="0" w:lastColumn="0" w:oddVBand="0" w:evenVBand="0" w:oddHBand="0" w:evenHBand="0" w:firstRowFirstColumn="0" w:firstRowLastColumn="0" w:lastRowFirstColumn="0" w:lastRowLastColumn="0"/>
              <w:rPr>
                <w:rFonts w:ascii="Gadugi" w:hAnsi="Gadugi"/>
                <w:sz w:val="20"/>
                <w:szCs w:val="24"/>
              </w:rPr>
            </w:pPr>
            <w:r w:rsidRPr="00E56391">
              <w:rPr>
                <w:rFonts w:ascii="Gadugi" w:hAnsi="Gadugi"/>
                <w:sz w:val="20"/>
                <w:szCs w:val="24"/>
              </w:rPr>
              <w:t>Asesoría y acompañamiento en la ejecución de procedimientos de Contratación Pública</w:t>
            </w:r>
          </w:p>
        </w:tc>
      </w:tr>
      <w:tr w:rsidR="00297F66" w:rsidRPr="00E56391" w:rsidTr="00522EA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297F66" w:rsidRPr="00E56391" w:rsidRDefault="00297F66" w:rsidP="00522EA8">
            <w:pPr>
              <w:jc w:val="both"/>
              <w:rPr>
                <w:rFonts w:ascii="Gadugi" w:hAnsi="Gadugi"/>
                <w:b w:val="0"/>
                <w:sz w:val="20"/>
                <w:szCs w:val="24"/>
              </w:rPr>
            </w:pPr>
            <w:r w:rsidRPr="00E56391">
              <w:rPr>
                <w:rFonts w:ascii="Gadugi" w:hAnsi="Gadugi"/>
                <w:b w:val="0"/>
                <w:sz w:val="20"/>
                <w:szCs w:val="24"/>
              </w:rPr>
              <w:t>2</w:t>
            </w:r>
          </w:p>
        </w:tc>
        <w:tc>
          <w:tcPr>
            <w:tcW w:w="4659" w:type="pct"/>
          </w:tcPr>
          <w:p w:rsidR="00297F66" w:rsidRPr="00E56391" w:rsidRDefault="00297F66" w:rsidP="00522EA8">
            <w:pPr>
              <w:jc w:val="both"/>
              <w:cnfStyle w:val="000000100000" w:firstRow="0" w:lastRow="0" w:firstColumn="0" w:lastColumn="0" w:oddVBand="0" w:evenVBand="0" w:oddHBand="1" w:evenHBand="0" w:firstRowFirstColumn="0" w:firstRowLastColumn="0" w:lastRowFirstColumn="0" w:lastRowLastColumn="0"/>
              <w:rPr>
                <w:rFonts w:ascii="Gadugi" w:hAnsi="Gadugi"/>
                <w:sz w:val="20"/>
                <w:szCs w:val="24"/>
              </w:rPr>
            </w:pPr>
            <w:r w:rsidRPr="00E56391">
              <w:rPr>
                <w:rFonts w:ascii="Gadugi" w:hAnsi="Gadugi"/>
                <w:sz w:val="20"/>
                <w:szCs w:val="24"/>
              </w:rPr>
              <w:t>Formulación y consolidación de planes operativos anuales del MDMQ</w:t>
            </w:r>
          </w:p>
        </w:tc>
      </w:tr>
      <w:tr w:rsidR="00297F66" w:rsidRPr="00E56391" w:rsidTr="00522EA8">
        <w:trPr>
          <w:trHeight w:val="340"/>
        </w:trPr>
        <w:tc>
          <w:tcPr>
            <w:cnfStyle w:val="001000000000" w:firstRow="0" w:lastRow="0" w:firstColumn="1" w:lastColumn="0" w:oddVBand="0" w:evenVBand="0" w:oddHBand="0" w:evenHBand="0" w:firstRowFirstColumn="0" w:firstRowLastColumn="0" w:lastRowFirstColumn="0" w:lastRowLastColumn="0"/>
            <w:tcW w:w="341" w:type="pct"/>
          </w:tcPr>
          <w:p w:rsidR="00297F66" w:rsidRPr="00E56391" w:rsidRDefault="00297F66" w:rsidP="00522EA8">
            <w:pPr>
              <w:jc w:val="both"/>
              <w:rPr>
                <w:rFonts w:ascii="Gadugi" w:hAnsi="Gadugi"/>
                <w:b w:val="0"/>
                <w:sz w:val="20"/>
                <w:szCs w:val="24"/>
              </w:rPr>
            </w:pPr>
            <w:r w:rsidRPr="00E56391">
              <w:rPr>
                <w:rFonts w:ascii="Gadugi" w:hAnsi="Gadugi"/>
                <w:b w:val="0"/>
                <w:sz w:val="20"/>
                <w:szCs w:val="24"/>
              </w:rPr>
              <w:t>3</w:t>
            </w:r>
          </w:p>
        </w:tc>
        <w:tc>
          <w:tcPr>
            <w:tcW w:w="4659" w:type="pct"/>
          </w:tcPr>
          <w:p w:rsidR="00297F66" w:rsidRPr="00E56391" w:rsidRDefault="00297F66" w:rsidP="00522EA8">
            <w:pPr>
              <w:jc w:val="both"/>
              <w:cnfStyle w:val="000000000000" w:firstRow="0" w:lastRow="0" w:firstColumn="0" w:lastColumn="0" w:oddVBand="0" w:evenVBand="0" w:oddHBand="0" w:evenHBand="0" w:firstRowFirstColumn="0" w:firstRowLastColumn="0" w:lastRowFirstColumn="0" w:lastRowLastColumn="0"/>
              <w:rPr>
                <w:rFonts w:ascii="Gadugi" w:hAnsi="Gadugi"/>
                <w:sz w:val="20"/>
                <w:szCs w:val="24"/>
              </w:rPr>
            </w:pPr>
            <w:r w:rsidRPr="00E56391">
              <w:rPr>
                <w:rFonts w:ascii="Gadugi" w:hAnsi="Gadugi"/>
                <w:sz w:val="20"/>
                <w:szCs w:val="24"/>
              </w:rPr>
              <w:t xml:space="preserve">Gestión de la Arquitectura Institucional </w:t>
            </w:r>
          </w:p>
        </w:tc>
      </w:tr>
      <w:tr w:rsidR="00297F66" w:rsidRPr="00E56391" w:rsidTr="00522EA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297F66" w:rsidRPr="00E56391" w:rsidRDefault="00297F66" w:rsidP="00522EA8">
            <w:pPr>
              <w:jc w:val="both"/>
              <w:rPr>
                <w:rFonts w:ascii="Gadugi" w:hAnsi="Gadugi"/>
                <w:b w:val="0"/>
                <w:sz w:val="20"/>
                <w:szCs w:val="24"/>
              </w:rPr>
            </w:pPr>
            <w:r w:rsidRPr="00E56391">
              <w:rPr>
                <w:rFonts w:ascii="Gadugi" w:hAnsi="Gadugi"/>
                <w:b w:val="0"/>
                <w:sz w:val="20"/>
                <w:szCs w:val="24"/>
              </w:rPr>
              <w:t>4</w:t>
            </w:r>
          </w:p>
        </w:tc>
        <w:tc>
          <w:tcPr>
            <w:tcW w:w="4659" w:type="pct"/>
          </w:tcPr>
          <w:p w:rsidR="00297F66" w:rsidRPr="00E56391" w:rsidRDefault="00297F66" w:rsidP="00522EA8">
            <w:pPr>
              <w:jc w:val="both"/>
              <w:cnfStyle w:val="000000100000" w:firstRow="0" w:lastRow="0" w:firstColumn="0" w:lastColumn="0" w:oddVBand="0" w:evenVBand="0" w:oddHBand="1" w:evenHBand="0" w:firstRowFirstColumn="0" w:firstRowLastColumn="0" w:lastRowFirstColumn="0" w:lastRowLastColumn="0"/>
              <w:rPr>
                <w:rFonts w:ascii="Gadugi" w:hAnsi="Gadugi"/>
                <w:sz w:val="20"/>
                <w:szCs w:val="24"/>
              </w:rPr>
            </w:pPr>
            <w:r w:rsidRPr="00E56391">
              <w:rPr>
                <w:rFonts w:ascii="Gadugi" w:hAnsi="Gadugi"/>
                <w:sz w:val="20"/>
                <w:szCs w:val="24"/>
              </w:rPr>
              <w:t>Formulación y consolidación del Plan Anual de Contratación (PAC) de la Administración Central del MDMQ</w:t>
            </w:r>
          </w:p>
        </w:tc>
      </w:tr>
    </w:tbl>
    <w:p w:rsidR="00297F66" w:rsidRPr="00E56391" w:rsidRDefault="00297F66" w:rsidP="00297F66">
      <w:pPr>
        <w:jc w:val="both"/>
        <w:rPr>
          <w:rFonts w:ascii="Gadugi" w:hAnsi="Gadugi"/>
          <w:sz w:val="20"/>
          <w:szCs w:val="24"/>
        </w:rPr>
      </w:pPr>
    </w:p>
    <w:p w:rsidR="00297F66" w:rsidRPr="00E56391" w:rsidRDefault="00297F66" w:rsidP="00297F66">
      <w:pPr>
        <w:spacing w:line="256" w:lineRule="auto"/>
        <w:jc w:val="both"/>
        <w:rPr>
          <w:rFonts w:ascii="Gadugi" w:eastAsia="Calibri" w:hAnsi="Gadugi" w:cs="Times New Roman"/>
          <w:sz w:val="20"/>
          <w:szCs w:val="24"/>
        </w:rPr>
      </w:pPr>
      <w:r w:rsidRPr="00E56391">
        <w:rPr>
          <w:rFonts w:ascii="Gadugi" w:eastAsia="Calibri" w:hAnsi="Gadugi" w:cs="Times New Roman"/>
          <w:sz w:val="20"/>
          <w:szCs w:val="24"/>
        </w:rPr>
        <w:t xml:space="preserve">Los procesos adjetivos por solicitud expresa de la Administración del Contrato son divididos y llamados en el resto del proyecto como </w:t>
      </w:r>
      <w:r w:rsidRPr="00E56391">
        <w:rPr>
          <w:rFonts w:ascii="Gadugi" w:eastAsia="Calibri" w:hAnsi="Gadugi" w:cs="Times New Roman"/>
          <w:b/>
          <w:sz w:val="20"/>
          <w:szCs w:val="24"/>
        </w:rPr>
        <w:t>PROCESOS HABILITANTES DE APOYO Y PROCESOS HABILITANTES DE ASESORÍA</w:t>
      </w:r>
      <w:r w:rsidRPr="00E56391">
        <w:rPr>
          <w:rFonts w:ascii="Gadugi" w:eastAsia="Calibri" w:hAnsi="Gadugi" w:cs="Times New Roman"/>
          <w:sz w:val="20"/>
          <w:szCs w:val="24"/>
        </w:rPr>
        <w:t>, como se manifiesta en el Acta No. EJ-190117-JB7 con fecha 19 de enero de 2017.</w:t>
      </w:r>
    </w:p>
    <w:p w:rsidR="00297F66" w:rsidRPr="00E56391" w:rsidRDefault="00297F66" w:rsidP="00297F66">
      <w:pPr>
        <w:jc w:val="both"/>
        <w:rPr>
          <w:rFonts w:ascii="Gadugi" w:hAnsi="Gadugi"/>
          <w:sz w:val="20"/>
          <w:szCs w:val="24"/>
        </w:rPr>
      </w:pPr>
      <w:r w:rsidRPr="00E56391">
        <w:rPr>
          <w:rFonts w:ascii="Gadugi" w:hAnsi="Gadugi"/>
          <w:sz w:val="20"/>
          <w:szCs w:val="24"/>
        </w:rPr>
        <w:t>Para la elaboración del presente documento se realizó un análisis detallado de los insumos entregados por el Municipio del Distrito Metropolitano de Quito entre los cuales se encontraban:</w:t>
      </w:r>
    </w:p>
    <w:p w:rsidR="00297F66" w:rsidRPr="00E56391" w:rsidRDefault="00297F66" w:rsidP="00297F66">
      <w:pPr>
        <w:pStyle w:val="Prrafodelista"/>
        <w:numPr>
          <w:ilvl w:val="0"/>
          <w:numId w:val="7"/>
        </w:numPr>
        <w:jc w:val="both"/>
        <w:rPr>
          <w:rFonts w:ascii="Gadugi" w:hAnsi="Gadugi"/>
          <w:sz w:val="20"/>
          <w:szCs w:val="24"/>
        </w:rPr>
      </w:pPr>
      <w:r w:rsidRPr="00E56391">
        <w:rPr>
          <w:rFonts w:ascii="Gadugi" w:hAnsi="Gadugi"/>
          <w:sz w:val="20"/>
          <w:szCs w:val="24"/>
        </w:rPr>
        <w:t>Estudios referentes a Desarrollo Institucional del Municipio del Distrito Metropolitano de Quito,</w:t>
      </w:r>
    </w:p>
    <w:p w:rsidR="00297F66" w:rsidRPr="00E56391" w:rsidRDefault="00297F66" w:rsidP="00297F66">
      <w:pPr>
        <w:pStyle w:val="Prrafodelista"/>
        <w:numPr>
          <w:ilvl w:val="0"/>
          <w:numId w:val="7"/>
        </w:numPr>
        <w:jc w:val="both"/>
        <w:rPr>
          <w:rFonts w:ascii="Gadugi" w:hAnsi="Gadugi"/>
          <w:sz w:val="20"/>
          <w:szCs w:val="24"/>
        </w:rPr>
      </w:pPr>
      <w:r w:rsidRPr="00E56391">
        <w:rPr>
          <w:rFonts w:ascii="Gadugi" w:hAnsi="Gadugi"/>
          <w:sz w:val="20"/>
          <w:szCs w:val="24"/>
        </w:rPr>
        <w:t>Estructura del MDQ y sus entidades adscritas,</w:t>
      </w:r>
    </w:p>
    <w:p w:rsidR="00297F66" w:rsidRPr="00E56391" w:rsidRDefault="00297F66" w:rsidP="00297F66">
      <w:pPr>
        <w:pStyle w:val="Prrafodelista"/>
        <w:numPr>
          <w:ilvl w:val="0"/>
          <w:numId w:val="7"/>
        </w:numPr>
        <w:jc w:val="both"/>
        <w:rPr>
          <w:rFonts w:ascii="Gadugi" w:hAnsi="Gadugi"/>
          <w:sz w:val="20"/>
          <w:szCs w:val="24"/>
        </w:rPr>
      </w:pPr>
      <w:r w:rsidRPr="00E56391">
        <w:rPr>
          <w:rFonts w:ascii="Gadugi" w:hAnsi="Gadugi"/>
          <w:sz w:val="20"/>
          <w:szCs w:val="24"/>
        </w:rPr>
        <w:t>Estatuto Orgánico por Procesos del Municipio del Distrito Metropolitano de Quito,</w:t>
      </w:r>
    </w:p>
    <w:p w:rsidR="00297F66" w:rsidRPr="00E56391" w:rsidRDefault="00297F66" w:rsidP="00297F66">
      <w:pPr>
        <w:pStyle w:val="Prrafodelista"/>
        <w:numPr>
          <w:ilvl w:val="0"/>
          <w:numId w:val="7"/>
        </w:numPr>
        <w:jc w:val="both"/>
        <w:rPr>
          <w:rFonts w:ascii="Gadugi" w:hAnsi="Gadugi"/>
          <w:sz w:val="20"/>
          <w:szCs w:val="24"/>
        </w:rPr>
      </w:pPr>
      <w:r w:rsidRPr="00E56391">
        <w:rPr>
          <w:rFonts w:ascii="Gadugi" w:hAnsi="Gadugi"/>
          <w:sz w:val="20"/>
          <w:szCs w:val="24"/>
        </w:rPr>
        <w:t>Propuesta de integración de los modelos de Gestión de las Empresas Públicas Metropolitanas, Institutos, Fundaciones, Corporaciones y Unidades Especiales del MDMQ al Modelo de Gestión Municipal,</w:t>
      </w:r>
    </w:p>
    <w:p w:rsidR="00297F66" w:rsidRPr="00E56391" w:rsidRDefault="00297F66" w:rsidP="00297F66">
      <w:pPr>
        <w:pStyle w:val="Prrafodelista"/>
        <w:numPr>
          <w:ilvl w:val="0"/>
          <w:numId w:val="7"/>
        </w:numPr>
        <w:jc w:val="both"/>
        <w:rPr>
          <w:rFonts w:ascii="Gadugi" w:hAnsi="Gadugi"/>
          <w:sz w:val="20"/>
          <w:szCs w:val="24"/>
        </w:rPr>
      </w:pPr>
      <w:r w:rsidRPr="00E56391">
        <w:rPr>
          <w:rFonts w:ascii="Gadugi" w:hAnsi="Gadugi"/>
          <w:sz w:val="20"/>
          <w:szCs w:val="24"/>
        </w:rPr>
        <w:lastRenderedPageBreak/>
        <w:t>Resultados de otras consultorías ejecutadas,</w:t>
      </w:r>
    </w:p>
    <w:p w:rsidR="00297F66" w:rsidRPr="00E56391" w:rsidRDefault="00297F66" w:rsidP="00297F66">
      <w:pPr>
        <w:pStyle w:val="Prrafodelista"/>
        <w:numPr>
          <w:ilvl w:val="0"/>
          <w:numId w:val="7"/>
        </w:numPr>
        <w:jc w:val="both"/>
        <w:rPr>
          <w:rFonts w:ascii="Gadugi" w:hAnsi="Gadugi"/>
          <w:sz w:val="20"/>
          <w:szCs w:val="24"/>
        </w:rPr>
      </w:pPr>
      <w:r w:rsidRPr="00E56391">
        <w:rPr>
          <w:rFonts w:ascii="Gadugi" w:hAnsi="Gadugi"/>
          <w:sz w:val="20"/>
          <w:szCs w:val="24"/>
        </w:rPr>
        <w:t>Marco normativo que regula los servicios y procesos seleccionados.</w:t>
      </w:r>
    </w:p>
    <w:p w:rsidR="00297F66" w:rsidRPr="00E56391" w:rsidRDefault="00297F66" w:rsidP="00297F66">
      <w:pPr>
        <w:jc w:val="both"/>
        <w:rPr>
          <w:rFonts w:ascii="Gadugi" w:hAnsi="Gadugi"/>
          <w:sz w:val="20"/>
          <w:szCs w:val="24"/>
        </w:rPr>
      </w:pPr>
      <w:r w:rsidRPr="00E56391">
        <w:rPr>
          <w:rFonts w:ascii="Gadugi" w:hAnsi="Gadugi"/>
          <w:sz w:val="20"/>
          <w:szCs w:val="24"/>
        </w:rPr>
        <w:t>Además de esta documentación, se analizó también la información levantada por MRProcessi durante los talleres ejecutados con los servidores municipales.</w:t>
      </w:r>
    </w:p>
    <w:p w:rsidR="00297F66" w:rsidRPr="00E56391" w:rsidRDefault="00297F66" w:rsidP="00297F66">
      <w:pPr>
        <w:rPr>
          <w:rFonts w:ascii="Gadugi" w:hAnsi="Gadugi"/>
          <w:sz w:val="20"/>
          <w:szCs w:val="24"/>
        </w:rPr>
      </w:pPr>
    </w:p>
    <w:p w:rsidR="00344003" w:rsidRPr="00E56391" w:rsidRDefault="00344003" w:rsidP="007941B3">
      <w:pPr>
        <w:pStyle w:val="Prrafodelista"/>
        <w:numPr>
          <w:ilvl w:val="1"/>
          <w:numId w:val="3"/>
        </w:numPr>
        <w:outlineLvl w:val="1"/>
        <w:rPr>
          <w:rFonts w:ascii="Gadugi" w:hAnsi="Gadugi"/>
          <w:b/>
          <w:sz w:val="20"/>
          <w:szCs w:val="24"/>
        </w:rPr>
      </w:pPr>
      <w:bookmarkStart w:id="3" w:name="_Toc483474884"/>
      <w:r w:rsidRPr="00E56391">
        <w:rPr>
          <w:rFonts w:ascii="Gadugi" w:hAnsi="Gadugi"/>
          <w:b/>
          <w:sz w:val="20"/>
          <w:szCs w:val="24"/>
        </w:rPr>
        <w:t>Propósito del documento</w:t>
      </w:r>
      <w:bookmarkEnd w:id="3"/>
    </w:p>
    <w:p w:rsidR="00335A90" w:rsidRPr="00E56391" w:rsidRDefault="00335A90" w:rsidP="00335A90">
      <w:pPr>
        <w:jc w:val="both"/>
        <w:rPr>
          <w:rFonts w:ascii="Gadugi" w:hAnsi="Gadugi"/>
          <w:sz w:val="20"/>
          <w:szCs w:val="24"/>
        </w:rPr>
      </w:pPr>
      <w:r w:rsidRPr="00E56391">
        <w:rPr>
          <w:rFonts w:ascii="Gadugi" w:hAnsi="Gadugi"/>
          <w:sz w:val="20"/>
          <w:szCs w:val="24"/>
        </w:rPr>
        <w:t>El propósito del presente documento es presentar los resultados cuantitativos del catálogo de procesos adjetivos en base a los criterios de calificación definidos (variables) y priorizar los cuatro (4) procesos que obtengan la mayor calificación y que serán seleccionados para el mejoramiento. Cabe recalcar que una de las variables definitivas para la selección de los procesos será la necesidad institucional, por lo que la Administración del Contrato tiene la potestad para seleccionar un proceso independientemente de si se encuentra calificado como priorizado o no, de acuerdo a los resultados de las variables.</w:t>
      </w:r>
    </w:p>
    <w:p w:rsidR="009C1B56" w:rsidRPr="00E56391" w:rsidRDefault="00335A90" w:rsidP="009C1B56">
      <w:pPr>
        <w:jc w:val="both"/>
        <w:rPr>
          <w:rFonts w:ascii="Gadugi" w:hAnsi="Gadugi"/>
          <w:sz w:val="20"/>
          <w:szCs w:val="24"/>
        </w:rPr>
      </w:pPr>
      <w:r w:rsidRPr="00E56391">
        <w:rPr>
          <w:rFonts w:ascii="Gadugi" w:hAnsi="Gadugi"/>
          <w:sz w:val="20"/>
          <w:szCs w:val="24"/>
        </w:rPr>
        <w:t xml:space="preserve">Los procesos adjetivos podrán ser priorizados por requerimiento institucional </w:t>
      </w:r>
      <w:r w:rsidR="00143542" w:rsidRPr="00E56391">
        <w:rPr>
          <w:rFonts w:ascii="Gadugi" w:hAnsi="Gadugi"/>
          <w:sz w:val="20"/>
          <w:szCs w:val="24"/>
        </w:rPr>
        <w:t xml:space="preserve">o decisión política </w:t>
      </w:r>
      <w:r w:rsidRPr="00E56391">
        <w:rPr>
          <w:rFonts w:ascii="Gadugi" w:hAnsi="Gadugi"/>
          <w:sz w:val="20"/>
          <w:szCs w:val="24"/>
        </w:rPr>
        <w:t>sin importar su calificación final.</w:t>
      </w:r>
    </w:p>
    <w:p w:rsidR="00522EA8" w:rsidRPr="00E56391" w:rsidRDefault="00522EA8" w:rsidP="00297F66">
      <w:pPr>
        <w:jc w:val="both"/>
        <w:rPr>
          <w:rFonts w:ascii="Gadugi" w:hAnsi="Gadugi"/>
          <w:sz w:val="20"/>
          <w:szCs w:val="24"/>
        </w:rPr>
      </w:pPr>
    </w:p>
    <w:p w:rsidR="00344003" w:rsidRPr="00E56391" w:rsidRDefault="00DC5A67" w:rsidP="00D76BB9">
      <w:pPr>
        <w:pStyle w:val="Prrafodelista"/>
        <w:numPr>
          <w:ilvl w:val="0"/>
          <w:numId w:val="6"/>
        </w:numPr>
        <w:jc w:val="both"/>
        <w:outlineLvl w:val="0"/>
        <w:rPr>
          <w:rFonts w:ascii="Gadugi" w:hAnsi="Gadugi"/>
          <w:b/>
          <w:sz w:val="20"/>
          <w:szCs w:val="24"/>
        </w:rPr>
      </w:pPr>
      <w:bookmarkStart w:id="4" w:name="_Toc483474885"/>
      <w:r w:rsidRPr="00E56391">
        <w:rPr>
          <w:rFonts w:ascii="Gadugi" w:hAnsi="Gadugi"/>
          <w:b/>
          <w:sz w:val="20"/>
          <w:szCs w:val="24"/>
        </w:rPr>
        <w:t>MATRIZ DE PRIORIZACIÓN</w:t>
      </w:r>
      <w:r w:rsidR="00DA71C0" w:rsidRPr="00E56391">
        <w:rPr>
          <w:rFonts w:ascii="Gadugi" w:hAnsi="Gadugi"/>
          <w:b/>
          <w:sz w:val="20"/>
          <w:szCs w:val="24"/>
        </w:rPr>
        <w:t xml:space="preserve"> DE PROCESOS</w:t>
      </w:r>
      <w:r w:rsidR="00391D24" w:rsidRPr="00E56391">
        <w:rPr>
          <w:rFonts w:ascii="Gadugi" w:hAnsi="Gadugi"/>
          <w:b/>
          <w:sz w:val="20"/>
          <w:szCs w:val="24"/>
        </w:rPr>
        <w:t xml:space="preserve"> ADJETIVOS</w:t>
      </w:r>
      <w:bookmarkEnd w:id="4"/>
    </w:p>
    <w:p w:rsidR="009C1B56" w:rsidRPr="00E56391" w:rsidRDefault="00D76BB9" w:rsidP="00D76BB9">
      <w:pPr>
        <w:widowControl w:val="0"/>
        <w:tabs>
          <w:tab w:val="left" w:pos="709"/>
        </w:tabs>
        <w:suppressAutoHyphens/>
        <w:spacing w:after="0" w:line="240" w:lineRule="auto"/>
        <w:jc w:val="both"/>
        <w:rPr>
          <w:rFonts w:ascii="Gadugi" w:hAnsi="Gadugi"/>
          <w:sz w:val="20"/>
          <w:szCs w:val="24"/>
        </w:rPr>
      </w:pPr>
      <w:r w:rsidRPr="00E56391">
        <w:rPr>
          <w:rFonts w:ascii="Gadugi" w:hAnsi="Gadugi"/>
          <w:sz w:val="20"/>
          <w:szCs w:val="24"/>
        </w:rPr>
        <w:t>Con la finalidad de realizar la priorización de los procesos adjetivos, se han considerado como muestra de levantamiento un conjunto de Secretarías, Empresas Públicas, Administraciones Zonales, Agencias, Institutos y demás dependencias incluyendo unidades especiales;</w:t>
      </w:r>
      <w:r w:rsidR="009C1B56" w:rsidRPr="00E56391">
        <w:rPr>
          <w:rFonts w:ascii="Gadugi" w:hAnsi="Gadugi"/>
          <w:sz w:val="20"/>
          <w:szCs w:val="24"/>
        </w:rPr>
        <w:t xml:space="preserve"> y </w:t>
      </w:r>
      <w:r w:rsidRPr="00E56391">
        <w:rPr>
          <w:rFonts w:ascii="Gadugi" w:hAnsi="Gadugi"/>
          <w:sz w:val="20"/>
          <w:szCs w:val="24"/>
        </w:rPr>
        <w:t xml:space="preserve">el </w:t>
      </w:r>
      <w:r w:rsidR="009C1B56" w:rsidRPr="00E56391">
        <w:rPr>
          <w:rFonts w:ascii="Gadugi" w:hAnsi="Gadugi"/>
          <w:sz w:val="20"/>
          <w:szCs w:val="24"/>
        </w:rPr>
        <w:t>sector</w:t>
      </w:r>
      <w:r w:rsidRPr="00E56391">
        <w:rPr>
          <w:rFonts w:ascii="Gadugi" w:hAnsi="Gadugi"/>
          <w:sz w:val="20"/>
          <w:szCs w:val="24"/>
        </w:rPr>
        <w:t>. En función de esto se han definido las variables propuestas por la empresa Consultora MRProcessi Cía. Ltd</w:t>
      </w:r>
      <w:r w:rsidR="00854EC0" w:rsidRPr="00E56391">
        <w:rPr>
          <w:rFonts w:ascii="Gadugi" w:hAnsi="Gadugi"/>
          <w:sz w:val="20"/>
          <w:szCs w:val="24"/>
        </w:rPr>
        <w:t>a. A continuación se muestran las unidades consideradas como parte de la muestra:</w:t>
      </w:r>
    </w:p>
    <w:p w:rsidR="00522EA8" w:rsidRPr="00E56391" w:rsidRDefault="00522EA8" w:rsidP="00D76BB9">
      <w:pPr>
        <w:widowControl w:val="0"/>
        <w:tabs>
          <w:tab w:val="left" w:pos="709"/>
        </w:tabs>
        <w:suppressAutoHyphens/>
        <w:spacing w:after="0" w:line="240" w:lineRule="auto"/>
        <w:jc w:val="both"/>
        <w:rPr>
          <w:rFonts w:ascii="Gadugi" w:hAnsi="Gadugi"/>
          <w:sz w:val="20"/>
          <w:szCs w:val="24"/>
        </w:rPr>
      </w:pPr>
    </w:p>
    <w:p w:rsidR="00D76BB9" w:rsidRPr="00E56391" w:rsidRDefault="00D76BB9" w:rsidP="00D76BB9">
      <w:pPr>
        <w:widowControl w:val="0"/>
        <w:tabs>
          <w:tab w:val="left" w:pos="709"/>
        </w:tabs>
        <w:suppressAutoHyphens/>
        <w:spacing w:after="0" w:line="240" w:lineRule="auto"/>
        <w:jc w:val="both"/>
        <w:rPr>
          <w:rFonts w:ascii="Gadugi" w:hAnsi="Gadugi"/>
          <w:sz w:val="20"/>
          <w:szCs w:val="24"/>
        </w:rPr>
      </w:pPr>
    </w:p>
    <w:p w:rsidR="00AE77C6" w:rsidRPr="00E56391" w:rsidRDefault="00AE77C6" w:rsidP="007941B3">
      <w:pPr>
        <w:pStyle w:val="Prrafodelista"/>
        <w:widowControl w:val="0"/>
        <w:numPr>
          <w:ilvl w:val="1"/>
          <w:numId w:val="6"/>
        </w:numPr>
        <w:tabs>
          <w:tab w:val="left" w:pos="709"/>
        </w:tabs>
        <w:suppressAutoHyphens/>
        <w:spacing w:after="0" w:line="240" w:lineRule="auto"/>
        <w:jc w:val="both"/>
        <w:outlineLvl w:val="1"/>
        <w:rPr>
          <w:rFonts w:ascii="Gadugi" w:hAnsi="Gadugi"/>
          <w:b/>
          <w:sz w:val="20"/>
          <w:szCs w:val="24"/>
        </w:rPr>
      </w:pPr>
      <w:bookmarkStart w:id="5" w:name="_Toc483474886"/>
      <w:r w:rsidRPr="00E56391">
        <w:rPr>
          <w:rFonts w:ascii="Gadugi" w:hAnsi="Gadugi"/>
          <w:b/>
          <w:sz w:val="20"/>
          <w:szCs w:val="24"/>
        </w:rPr>
        <w:t>Muestreo de unidades para definición de variables de priorización</w:t>
      </w:r>
      <w:bookmarkEnd w:id="5"/>
    </w:p>
    <w:p w:rsidR="00D76BB9" w:rsidRPr="00C1652B" w:rsidRDefault="00D76BB9" w:rsidP="00D76BB9">
      <w:pPr>
        <w:widowControl w:val="0"/>
        <w:tabs>
          <w:tab w:val="left" w:pos="709"/>
        </w:tabs>
        <w:suppressAutoHyphens/>
        <w:spacing w:after="0" w:line="240" w:lineRule="auto"/>
        <w:jc w:val="both"/>
        <w:rPr>
          <w:rFonts w:ascii="Gadugi" w:hAnsi="Gadugi"/>
        </w:rPr>
      </w:pPr>
    </w:p>
    <w:tbl>
      <w:tblPr>
        <w:tblStyle w:val="Tablaconcuadrcula"/>
        <w:tblW w:w="0" w:type="auto"/>
        <w:jc w:val="center"/>
        <w:tblLook w:val="04A0" w:firstRow="1" w:lastRow="0" w:firstColumn="1" w:lastColumn="0" w:noHBand="0" w:noVBand="1"/>
      </w:tblPr>
      <w:tblGrid>
        <w:gridCol w:w="1188"/>
        <w:gridCol w:w="1431"/>
        <w:gridCol w:w="1733"/>
        <w:gridCol w:w="1380"/>
        <w:gridCol w:w="1416"/>
        <w:gridCol w:w="1234"/>
        <w:gridCol w:w="1472"/>
      </w:tblGrid>
      <w:tr w:rsidR="00E47D27" w:rsidRPr="00E56391" w:rsidTr="00177AD2">
        <w:trPr>
          <w:jc w:val="center"/>
        </w:trPr>
        <w:tc>
          <w:tcPr>
            <w:tcW w:w="0" w:type="auto"/>
            <w:gridSpan w:val="7"/>
            <w:shd w:val="clear" w:color="auto" w:fill="222A35" w:themeFill="text2" w:themeFillShade="80"/>
          </w:tcPr>
          <w:p w:rsidR="00E47D27" w:rsidRPr="00E56391" w:rsidRDefault="00E47D27" w:rsidP="00E47D27">
            <w:pPr>
              <w:widowControl w:val="0"/>
              <w:tabs>
                <w:tab w:val="left" w:pos="709"/>
              </w:tabs>
              <w:suppressAutoHyphens/>
              <w:jc w:val="center"/>
              <w:rPr>
                <w:rFonts w:ascii="Gadugi" w:hAnsi="Gadugi"/>
                <w:b/>
                <w:sz w:val="18"/>
              </w:rPr>
            </w:pPr>
            <w:r w:rsidRPr="00E56391">
              <w:rPr>
                <w:rFonts w:ascii="Gadugi" w:hAnsi="Gadugi"/>
                <w:b/>
                <w:sz w:val="18"/>
              </w:rPr>
              <w:t>Muestra de unidades analizadas para definición de las variables de priorización y la matriz correspondiente</w:t>
            </w:r>
          </w:p>
        </w:tc>
      </w:tr>
      <w:tr w:rsidR="00A2290E" w:rsidRPr="00E56391" w:rsidTr="00177AD2">
        <w:trPr>
          <w:jc w:val="center"/>
        </w:trPr>
        <w:tc>
          <w:tcPr>
            <w:tcW w:w="0" w:type="auto"/>
            <w:shd w:val="clear" w:color="auto" w:fill="222A35" w:themeFill="text2" w:themeFillShade="80"/>
          </w:tcPr>
          <w:p w:rsidR="00D76BB9" w:rsidRPr="00E56391" w:rsidRDefault="00E47D27" w:rsidP="00E47D27">
            <w:pPr>
              <w:widowControl w:val="0"/>
              <w:tabs>
                <w:tab w:val="left" w:pos="709"/>
              </w:tabs>
              <w:suppressAutoHyphens/>
              <w:jc w:val="center"/>
              <w:rPr>
                <w:rFonts w:ascii="Gadugi" w:hAnsi="Gadugi"/>
                <w:b/>
                <w:sz w:val="18"/>
              </w:rPr>
            </w:pPr>
            <w:r w:rsidRPr="00E56391">
              <w:rPr>
                <w:rFonts w:ascii="Gadugi" w:hAnsi="Gadugi"/>
                <w:b/>
                <w:sz w:val="18"/>
              </w:rPr>
              <w:t>Secretarías</w:t>
            </w:r>
          </w:p>
        </w:tc>
        <w:tc>
          <w:tcPr>
            <w:tcW w:w="0" w:type="auto"/>
            <w:shd w:val="clear" w:color="auto" w:fill="222A35" w:themeFill="text2" w:themeFillShade="80"/>
          </w:tcPr>
          <w:p w:rsidR="00D76BB9" w:rsidRPr="00E56391" w:rsidRDefault="00E47D27" w:rsidP="00E47D27">
            <w:pPr>
              <w:widowControl w:val="0"/>
              <w:tabs>
                <w:tab w:val="left" w:pos="709"/>
              </w:tabs>
              <w:suppressAutoHyphens/>
              <w:jc w:val="center"/>
              <w:rPr>
                <w:rFonts w:ascii="Gadugi" w:hAnsi="Gadugi"/>
                <w:b/>
                <w:sz w:val="18"/>
              </w:rPr>
            </w:pPr>
            <w:r w:rsidRPr="00E56391">
              <w:rPr>
                <w:rFonts w:ascii="Gadugi" w:hAnsi="Gadugi"/>
                <w:b/>
                <w:sz w:val="18"/>
              </w:rPr>
              <w:t>Empresas Públicas</w:t>
            </w:r>
          </w:p>
        </w:tc>
        <w:tc>
          <w:tcPr>
            <w:tcW w:w="0" w:type="auto"/>
            <w:shd w:val="clear" w:color="auto" w:fill="222A35" w:themeFill="text2" w:themeFillShade="80"/>
          </w:tcPr>
          <w:p w:rsidR="00D76BB9" w:rsidRPr="00E56391" w:rsidRDefault="00E47D27" w:rsidP="00E47D27">
            <w:pPr>
              <w:widowControl w:val="0"/>
              <w:tabs>
                <w:tab w:val="left" w:pos="709"/>
              </w:tabs>
              <w:suppressAutoHyphens/>
              <w:jc w:val="center"/>
              <w:rPr>
                <w:rFonts w:ascii="Gadugi" w:hAnsi="Gadugi"/>
                <w:b/>
                <w:sz w:val="18"/>
              </w:rPr>
            </w:pPr>
            <w:r w:rsidRPr="00E56391">
              <w:rPr>
                <w:rFonts w:ascii="Gadugi" w:hAnsi="Gadugi"/>
                <w:b/>
                <w:sz w:val="18"/>
              </w:rPr>
              <w:t>Administraciones Zonales</w:t>
            </w:r>
          </w:p>
        </w:tc>
        <w:tc>
          <w:tcPr>
            <w:tcW w:w="0" w:type="auto"/>
            <w:shd w:val="clear" w:color="auto" w:fill="222A35" w:themeFill="text2" w:themeFillShade="80"/>
          </w:tcPr>
          <w:p w:rsidR="00D76BB9" w:rsidRPr="00E56391" w:rsidRDefault="00E47D27" w:rsidP="00E47D27">
            <w:pPr>
              <w:widowControl w:val="0"/>
              <w:tabs>
                <w:tab w:val="left" w:pos="709"/>
              </w:tabs>
              <w:suppressAutoHyphens/>
              <w:jc w:val="center"/>
              <w:rPr>
                <w:rFonts w:ascii="Gadugi" w:hAnsi="Gadugi"/>
                <w:b/>
                <w:sz w:val="18"/>
              </w:rPr>
            </w:pPr>
            <w:r w:rsidRPr="00E56391">
              <w:rPr>
                <w:rFonts w:ascii="Gadugi" w:hAnsi="Gadugi"/>
                <w:b/>
                <w:sz w:val="18"/>
              </w:rPr>
              <w:t>Agencias</w:t>
            </w:r>
          </w:p>
        </w:tc>
        <w:tc>
          <w:tcPr>
            <w:tcW w:w="0" w:type="auto"/>
            <w:shd w:val="clear" w:color="auto" w:fill="222A35" w:themeFill="text2" w:themeFillShade="80"/>
          </w:tcPr>
          <w:p w:rsidR="00D76BB9" w:rsidRPr="00E56391" w:rsidRDefault="00E47D27" w:rsidP="00E47D27">
            <w:pPr>
              <w:widowControl w:val="0"/>
              <w:tabs>
                <w:tab w:val="left" w:pos="709"/>
              </w:tabs>
              <w:suppressAutoHyphens/>
              <w:jc w:val="center"/>
              <w:rPr>
                <w:rFonts w:ascii="Gadugi" w:hAnsi="Gadugi"/>
                <w:b/>
                <w:sz w:val="18"/>
              </w:rPr>
            </w:pPr>
            <w:r w:rsidRPr="00E56391">
              <w:rPr>
                <w:rFonts w:ascii="Gadugi" w:hAnsi="Gadugi"/>
                <w:b/>
                <w:sz w:val="18"/>
              </w:rPr>
              <w:t>Institutos</w:t>
            </w:r>
          </w:p>
        </w:tc>
        <w:tc>
          <w:tcPr>
            <w:tcW w:w="0" w:type="auto"/>
            <w:shd w:val="clear" w:color="auto" w:fill="222A35" w:themeFill="text2" w:themeFillShade="80"/>
          </w:tcPr>
          <w:p w:rsidR="00D76BB9" w:rsidRPr="00E56391" w:rsidRDefault="00E47D27" w:rsidP="00E47D27">
            <w:pPr>
              <w:widowControl w:val="0"/>
              <w:tabs>
                <w:tab w:val="left" w:pos="709"/>
              </w:tabs>
              <w:suppressAutoHyphens/>
              <w:jc w:val="center"/>
              <w:rPr>
                <w:rFonts w:ascii="Gadugi" w:hAnsi="Gadugi"/>
                <w:b/>
                <w:sz w:val="18"/>
              </w:rPr>
            </w:pPr>
            <w:r w:rsidRPr="00E56391">
              <w:rPr>
                <w:rFonts w:ascii="Gadugi" w:hAnsi="Gadugi"/>
                <w:b/>
                <w:sz w:val="18"/>
              </w:rPr>
              <w:t>Unidades especiales</w:t>
            </w:r>
          </w:p>
        </w:tc>
        <w:tc>
          <w:tcPr>
            <w:tcW w:w="0" w:type="auto"/>
            <w:shd w:val="clear" w:color="auto" w:fill="222A35" w:themeFill="text2" w:themeFillShade="80"/>
          </w:tcPr>
          <w:p w:rsidR="00D76BB9" w:rsidRPr="00E56391" w:rsidRDefault="00E47D27" w:rsidP="00E47D27">
            <w:pPr>
              <w:widowControl w:val="0"/>
              <w:tabs>
                <w:tab w:val="left" w:pos="709"/>
              </w:tabs>
              <w:suppressAutoHyphens/>
              <w:jc w:val="center"/>
              <w:rPr>
                <w:rFonts w:ascii="Gadugi" w:hAnsi="Gadugi"/>
                <w:b/>
                <w:sz w:val="18"/>
              </w:rPr>
            </w:pPr>
            <w:r w:rsidRPr="00E56391">
              <w:rPr>
                <w:rFonts w:ascii="Gadugi" w:hAnsi="Gadugi"/>
                <w:b/>
                <w:sz w:val="18"/>
              </w:rPr>
              <w:t>Sector*</w:t>
            </w:r>
          </w:p>
        </w:tc>
      </w:tr>
      <w:tr w:rsidR="00A2290E" w:rsidRPr="00E56391" w:rsidTr="00E56391">
        <w:trPr>
          <w:jc w:val="center"/>
        </w:trPr>
        <w:tc>
          <w:tcPr>
            <w:tcW w:w="0" w:type="auto"/>
            <w:vAlign w:val="center"/>
          </w:tcPr>
          <w:p w:rsidR="00A2290E" w:rsidRPr="00E56391" w:rsidRDefault="00A2290E" w:rsidP="00E56391">
            <w:pPr>
              <w:widowControl w:val="0"/>
              <w:tabs>
                <w:tab w:val="left" w:pos="709"/>
              </w:tabs>
              <w:suppressAutoHyphens/>
              <w:jc w:val="center"/>
              <w:rPr>
                <w:rFonts w:ascii="Gadugi" w:hAnsi="Gadugi"/>
                <w:sz w:val="18"/>
              </w:rPr>
            </w:pPr>
            <w:r w:rsidRPr="00E56391">
              <w:rPr>
                <w:rFonts w:ascii="Gadugi" w:hAnsi="Gadugi"/>
                <w:sz w:val="18"/>
              </w:rPr>
              <w:t>Secretaría de Ambiente</w:t>
            </w:r>
          </w:p>
        </w:tc>
        <w:tc>
          <w:tcPr>
            <w:tcW w:w="0" w:type="auto"/>
            <w:vAlign w:val="center"/>
          </w:tcPr>
          <w:p w:rsidR="00A2290E" w:rsidRPr="00E56391" w:rsidRDefault="00A2290E" w:rsidP="00D76BB9">
            <w:pPr>
              <w:widowControl w:val="0"/>
              <w:tabs>
                <w:tab w:val="left" w:pos="709"/>
              </w:tabs>
              <w:suppressAutoHyphens/>
              <w:jc w:val="both"/>
              <w:rPr>
                <w:rFonts w:ascii="Gadugi" w:hAnsi="Gadugi"/>
                <w:sz w:val="18"/>
              </w:rPr>
            </w:pPr>
            <w:r w:rsidRPr="00E56391">
              <w:rPr>
                <w:rFonts w:ascii="Gadugi" w:hAnsi="Gadugi"/>
                <w:sz w:val="18"/>
              </w:rPr>
              <w:t>Empresa Metropolitana de Aseo</w:t>
            </w:r>
          </w:p>
        </w:tc>
        <w:tc>
          <w:tcPr>
            <w:tcW w:w="0" w:type="auto"/>
            <w:vMerge w:val="restart"/>
            <w:vAlign w:val="center"/>
          </w:tcPr>
          <w:p w:rsidR="00A2290E" w:rsidRPr="00E56391" w:rsidRDefault="00A2290E" w:rsidP="00A2290E">
            <w:pPr>
              <w:widowControl w:val="0"/>
              <w:tabs>
                <w:tab w:val="left" w:pos="709"/>
              </w:tabs>
              <w:suppressAutoHyphens/>
              <w:jc w:val="center"/>
              <w:rPr>
                <w:rFonts w:ascii="Gadugi" w:hAnsi="Gadugi"/>
                <w:sz w:val="18"/>
              </w:rPr>
            </w:pPr>
            <w:r w:rsidRPr="00E56391">
              <w:rPr>
                <w:rFonts w:ascii="Gadugi" w:hAnsi="Gadugi"/>
                <w:sz w:val="18"/>
              </w:rPr>
              <w:t>Se analizaron todas las Administraciones Zonales</w:t>
            </w:r>
          </w:p>
        </w:tc>
        <w:tc>
          <w:tcPr>
            <w:tcW w:w="0" w:type="auto"/>
            <w:vAlign w:val="center"/>
          </w:tcPr>
          <w:p w:rsidR="00A2290E" w:rsidRPr="00E56391" w:rsidRDefault="00A2290E" w:rsidP="00E56391">
            <w:pPr>
              <w:widowControl w:val="0"/>
              <w:tabs>
                <w:tab w:val="left" w:pos="709"/>
              </w:tabs>
              <w:suppressAutoHyphens/>
              <w:jc w:val="center"/>
              <w:rPr>
                <w:rFonts w:ascii="Gadugi" w:hAnsi="Gadugi"/>
                <w:sz w:val="18"/>
              </w:rPr>
            </w:pPr>
            <w:r w:rsidRPr="00E56391">
              <w:rPr>
                <w:rFonts w:ascii="Gadugi" w:hAnsi="Gadugi"/>
                <w:sz w:val="18"/>
              </w:rPr>
              <w:t>Agencia Metropolitana de Control</w:t>
            </w:r>
          </w:p>
        </w:tc>
        <w:tc>
          <w:tcPr>
            <w:tcW w:w="0" w:type="auto"/>
            <w:vAlign w:val="center"/>
          </w:tcPr>
          <w:p w:rsidR="00A2290E" w:rsidRPr="00E56391" w:rsidRDefault="00A2290E" w:rsidP="00E56391">
            <w:pPr>
              <w:widowControl w:val="0"/>
              <w:tabs>
                <w:tab w:val="left" w:pos="709"/>
              </w:tabs>
              <w:suppressAutoHyphens/>
              <w:jc w:val="center"/>
              <w:rPr>
                <w:rFonts w:ascii="Gadugi" w:hAnsi="Gadugi"/>
                <w:sz w:val="18"/>
              </w:rPr>
            </w:pPr>
            <w:r w:rsidRPr="00E56391">
              <w:rPr>
                <w:rFonts w:ascii="Gadugi" w:hAnsi="Gadugi"/>
                <w:sz w:val="18"/>
              </w:rPr>
              <w:t>Instituto Metropolitano de Planificación Urbana</w:t>
            </w:r>
          </w:p>
        </w:tc>
        <w:tc>
          <w:tcPr>
            <w:tcW w:w="0" w:type="auto"/>
            <w:vAlign w:val="center"/>
          </w:tcPr>
          <w:p w:rsidR="00A2290E" w:rsidRPr="00E56391" w:rsidRDefault="00A2290E" w:rsidP="00E56391">
            <w:pPr>
              <w:widowControl w:val="0"/>
              <w:tabs>
                <w:tab w:val="left" w:pos="709"/>
              </w:tabs>
              <w:suppressAutoHyphens/>
              <w:jc w:val="center"/>
              <w:rPr>
                <w:rFonts w:ascii="Gadugi" w:hAnsi="Gadugi"/>
                <w:sz w:val="18"/>
              </w:rPr>
            </w:pPr>
            <w:r w:rsidRPr="00E56391">
              <w:rPr>
                <w:rFonts w:ascii="Gadugi" w:hAnsi="Gadugi"/>
                <w:sz w:val="18"/>
              </w:rPr>
              <w:t>Patronato San José</w:t>
            </w:r>
          </w:p>
        </w:tc>
        <w:tc>
          <w:tcPr>
            <w:tcW w:w="0" w:type="auto"/>
            <w:vAlign w:val="center"/>
          </w:tcPr>
          <w:p w:rsidR="00A2290E" w:rsidRPr="00E56391" w:rsidRDefault="00A2290E" w:rsidP="00E56391">
            <w:pPr>
              <w:widowControl w:val="0"/>
              <w:tabs>
                <w:tab w:val="left" w:pos="709"/>
              </w:tabs>
              <w:suppressAutoHyphens/>
              <w:jc w:val="center"/>
              <w:rPr>
                <w:rFonts w:ascii="Gadugi" w:hAnsi="Gadugi"/>
                <w:sz w:val="18"/>
              </w:rPr>
            </w:pPr>
            <w:r w:rsidRPr="00E56391">
              <w:rPr>
                <w:rFonts w:ascii="Gadugi" w:hAnsi="Gadugi"/>
                <w:sz w:val="18"/>
              </w:rPr>
              <w:t>Territorio, Hábitat y Vivienda</w:t>
            </w:r>
          </w:p>
        </w:tc>
      </w:tr>
      <w:tr w:rsidR="00A2290E" w:rsidRPr="00E56391" w:rsidTr="00E56391">
        <w:trPr>
          <w:jc w:val="center"/>
        </w:trPr>
        <w:tc>
          <w:tcPr>
            <w:tcW w:w="0" w:type="auto"/>
            <w:vAlign w:val="center"/>
          </w:tcPr>
          <w:p w:rsidR="00A2290E" w:rsidRPr="00E56391" w:rsidRDefault="00A2290E" w:rsidP="00E56391">
            <w:pPr>
              <w:widowControl w:val="0"/>
              <w:tabs>
                <w:tab w:val="left" w:pos="709"/>
              </w:tabs>
              <w:suppressAutoHyphens/>
              <w:jc w:val="center"/>
              <w:rPr>
                <w:rFonts w:ascii="Gadugi" w:hAnsi="Gadugi"/>
                <w:sz w:val="18"/>
              </w:rPr>
            </w:pPr>
            <w:r w:rsidRPr="00E56391">
              <w:rPr>
                <w:rFonts w:ascii="Gadugi" w:hAnsi="Gadugi"/>
                <w:sz w:val="18"/>
              </w:rPr>
              <w:t>Secretaría de Territorio, Hábitat y Vivienda</w:t>
            </w:r>
          </w:p>
        </w:tc>
        <w:tc>
          <w:tcPr>
            <w:tcW w:w="0" w:type="auto"/>
            <w:vAlign w:val="center"/>
          </w:tcPr>
          <w:p w:rsidR="00A2290E" w:rsidRPr="00E56391" w:rsidRDefault="00A2290E" w:rsidP="00D76BB9">
            <w:pPr>
              <w:widowControl w:val="0"/>
              <w:tabs>
                <w:tab w:val="left" w:pos="709"/>
              </w:tabs>
              <w:suppressAutoHyphens/>
              <w:jc w:val="both"/>
              <w:rPr>
                <w:rFonts w:ascii="Gadugi" w:hAnsi="Gadugi"/>
                <w:sz w:val="18"/>
              </w:rPr>
            </w:pPr>
            <w:r w:rsidRPr="00E56391">
              <w:rPr>
                <w:rFonts w:ascii="Gadugi" w:hAnsi="Gadugi"/>
                <w:sz w:val="18"/>
              </w:rPr>
              <w:t>Empresa Pública Metropolitana de Agua Potable y Saneamiento</w:t>
            </w:r>
          </w:p>
        </w:tc>
        <w:tc>
          <w:tcPr>
            <w:tcW w:w="0" w:type="auto"/>
            <w:vMerge/>
          </w:tcPr>
          <w:p w:rsidR="00A2290E" w:rsidRPr="00E56391" w:rsidRDefault="00A2290E" w:rsidP="00D76BB9">
            <w:pPr>
              <w:widowControl w:val="0"/>
              <w:tabs>
                <w:tab w:val="left" w:pos="709"/>
              </w:tabs>
              <w:suppressAutoHyphens/>
              <w:jc w:val="both"/>
              <w:rPr>
                <w:rFonts w:ascii="Gadugi" w:hAnsi="Gadugi"/>
                <w:sz w:val="18"/>
              </w:rPr>
            </w:pPr>
          </w:p>
        </w:tc>
        <w:tc>
          <w:tcPr>
            <w:tcW w:w="0" w:type="auto"/>
            <w:vAlign w:val="center"/>
          </w:tcPr>
          <w:p w:rsidR="00A2290E" w:rsidRPr="00E56391" w:rsidRDefault="00A2290E" w:rsidP="00E56391">
            <w:pPr>
              <w:widowControl w:val="0"/>
              <w:tabs>
                <w:tab w:val="left" w:pos="709"/>
              </w:tabs>
              <w:suppressAutoHyphens/>
              <w:jc w:val="center"/>
              <w:rPr>
                <w:rFonts w:ascii="Gadugi" w:hAnsi="Gadugi"/>
                <w:sz w:val="18"/>
              </w:rPr>
            </w:pPr>
            <w:r w:rsidRPr="00E56391">
              <w:rPr>
                <w:rFonts w:ascii="Gadugi" w:hAnsi="Gadugi"/>
                <w:sz w:val="18"/>
              </w:rPr>
              <w:t>Agencia Metropolitana de tránsito</w:t>
            </w:r>
          </w:p>
        </w:tc>
        <w:tc>
          <w:tcPr>
            <w:tcW w:w="0" w:type="auto"/>
            <w:vAlign w:val="center"/>
          </w:tcPr>
          <w:p w:rsidR="00A2290E" w:rsidRPr="00E56391" w:rsidRDefault="00854EC0" w:rsidP="00E56391">
            <w:pPr>
              <w:widowControl w:val="0"/>
              <w:tabs>
                <w:tab w:val="left" w:pos="709"/>
              </w:tabs>
              <w:suppressAutoHyphens/>
              <w:jc w:val="center"/>
              <w:rPr>
                <w:rFonts w:ascii="Gadugi" w:hAnsi="Gadugi"/>
                <w:sz w:val="18"/>
              </w:rPr>
            </w:pPr>
            <w:r w:rsidRPr="00E56391">
              <w:rPr>
                <w:rFonts w:ascii="Gadugi" w:hAnsi="Gadugi"/>
                <w:sz w:val="18"/>
              </w:rPr>
              <w:t>Instituto Metropolitano de Patrimonio</w:t>
            </w:r>
          </w:p>
        </w:tc>
        <w:tc>
          <w:tcPr>
            <w:tcW w:w="0" w:type="auto"/>
            <w:vAlign w:val="center"/>
          </w:tcPr>
          <w:p w:rsidR="00A2290E" w:rsidRPr="00E56391" w:rsidRDefault="00A2290E" w:rsidP="00E56391">
            <w:pPr>
              <w:widowControl w:val="0"/>
              <w:tabs>
                <w:tab w:val="left" w:pos="709"/>
              </w:tabs>
              <w:suppressAutoHyphens/>
              <w:jc w:val="center"/>
              <w:rPr>
                <w:rFonts w:ascii="Gadugi" w:hAnsi="Gadugi"/>
                <w:sz w:val="18"/>
              </w:rPr>
            </w:pPr>
            <w:r w:rsidRPr="00E56391">
              <w:rPr>
                <w:rFonts w:ascii="Gadugi" w:hAnsi="Gadugi"/>
                <w:sz w:val="18"/>
              </w:rPr>
              <w:t>Quito Honesto</w:t>
            </w:r>
          </w:p>
        </w:tc>
        <w:tc>
          <w:tcPr>
            <w:tcW w:w="0" w:type="auto"/>
            <w:vAlign w:val="center"/>
          </w:tcPr>
          <w:p w:rsidR="00A2290E" w:rsidRPr="00E56391" w:rsidRDefault="00A2290E" w:rsidP="00E56391">
            <w:pPr>
              <w:widowControl w:val="0"/>
              <w:tabs>
                <w:tab w:val="left" w:pos="709"/>
              </w:tabs>
              <w:suppressAutoHyphens/>
              <w:jc w:val="center"/>
              <w:rPr>
                <w:rFonts w:ascii="Gadugi" w:hAnsi="Gadugi"/>
                <w:sz w:val="18"/>
              </w:rPr>
            </w:pPr>
            <w:r w:rsidRPr="00E56391">
              <w:rPr>
                <w:rFonts w:ascii="Gadugi" w:hAnsi="Gadugi"/>
                <w:sz w:val="18"/>
              </w:rPr>
              <w:t>Desarrollo Productivo y Competitividad</w:t>
            </w:r>
          </w:p>
        </w:tc>
      </w:tr>
      <w:tr w:rsidR="00A2290E" w:rsidRPr="00E56391" w:rsidTr="00E56391">
        <w:trPr>
          <w:jc w:val="center"/>
        </w:trPr>
        <w:tc>
          <w:tcPr>
            <w:tcW w:w="0" w:type="auto"/>
            <w:vAlign w:val="center"/>
          </w:tcPr>
          <w:p w:rsidR="00A2290E" w:rsidRPr="00E56391" w:rsidRDefault="00A2290E" w:rsidP="00E56391">
            <w:pPr>
              <w:widowControl w:val="0"/>
              <w:tabs>
                <w:tab w:val="left" w:pos="709"/>
              </w:tabs>
              <w:suppressAutoHyphens/>
              <w:jc w:val="center"/>
              <w:rPr>
                <w:rFonts w:ascii="Gadugi" w:hAnsi="Gadugi"/>
                <w:sz w:val="18"/>
              </w:rPr>
            </w:pPr>
            <w:r w:rsidRPr="00E56391">
              <w:rPr>
                <w:rFonts w:ascii="Gadugi" w:hAnsi="Gadugi"/>
                <w:sz w:val="18"/>
              </w:rPr>
              <w:t>Secretaría de Movilidad</w:t>
            </w:r>
          </w:p>
        </w:tc>
        <w:tc>
          <w:tcPr>
            <w:tcW w:w="0" w:type="auto"/>
            <w:vAlign w:val="center"/>
          </w:tcPr>
          <w:p w:rsidR="00A2290E" w:rsidRPr="00E56391" w:rsidRDefault="00A2290E" w:rsidP="00D76BB9">
            <w:pPr>
              <w:widowControl w:val="0"/>
              <w:tabs>
                <w:tab w:val="left" w:pos="709"/>
              </w:tabs>
              <w:suppressAutoHyphens/>
              <w:jc w:val="both"/>
              <w:rPr>
                <w:rFonts w:ascii="Gadugi" w:hAnsi="Gadugi"/>
                <w:sz w:val="18"/>
              </w:rPr>
            </w:pPr>
            <w:r w:rsidRPr="00E56391">
              <w:rPr>
                <w:rFonts w:ascii="Gadugi" w:hAnsi="Gadugi"/>
                <w:sz w:val="18"/>
              </w:rPr>
              <w:t xml:space="preserve">Empresa Pública Metropolitana de Movilidad y </w:t>
            </w:r>
            <w:r w:rsidRPr="00E56391">
              <w:rPr>
                <w:rFonts w:ascii="Gadugi" w:hAnsi="Gadugi"/>
                <w:sz w:val="18"/>
              </w:rPr>
              <w:lastRenderedPageBreak/>
              <w:t>Obras Públicas</w:t>
            </w:r>
          </w:p>
        </w:tc>
        <w:tc>
          <w:tcPr>
            <w:tcW w:w="0" w:type="auto"/>
            <w:vMerge/>
          </w:tcPr>
          <w:p w:rsidR="00A2290E" w:rsidRPr="00E56391" w:rsidRDefault="00A2290E" w:rsidP="00D76BB9">
            <w:pPr>
              <w:widowControl w:val="0"/>
              <w:tabs>
                <w:tab w:val="left" w:pos="709"/>
              </w:tabs>
              <w:suppressAutoHyphens/>
              <w:jc w:val="both"/>
              <w:rPr>
                <w:rFonts w:ascii="Gadugi" w:hAnsi="Gadugi"/>
                <w:sz w:val="18"/>
              </w:rPr>
            </w:pPr>
          </w:p>
        </w:tc>
        <w:tc>
          <w:tcPr>
            <w:tcW w:w="0" w:type="auto"/>
            <w:vAlign w:val="center"/>
          </w:tcPr>
          <w:p w:rsidR="00A2290E" w:rsidRPr="00E56391" w:rsidRDefault="00A2290E" w:rsidP="00D76BB9">
            <w:pPr>
              <w:widowControl w:val="0"/>
              <w:tabs>
                <w:tab w:val="left" w:pos="709"/>
              </w:tabs>
              <w:suppressAutoHyphens/>
              <w:jc w:val="both"/>
              <w:rPr>
                <w:rFonts w:ascii="Gadugi" w:hAnsi="Gadugi"/>
                <w:sz w:val="18"/>
              </w:rPr>
            </w:pPr>
          </w:p>
        </w:tc>
        <w:tc>
          <w:tcPr>
            <w:tcW w:w="0" w:type="auto"/>
            <w:vAlign w:val="center"/>
          </w:tcPr>
          <w:p w:rsidR="00A2290E" w:rsidRPr="00E56391" w:rsidRDefault="00854EC0" w:rsidP="00E56391">
            <w:pPr>
              <w:widowControl w:val="0"/>
              <w:tabs>
                <w:tab w:val="left" w:pos="709"/>
              </w:tabs>
              <w:suppressAutoHyphens/>
              <w:jc w:val="center"/>
              <w:rPr>
                <w:rFonts w:ascii="Gadugi" w:hAnsi="Gadugi"/>
                <w:sz w:val="18"/>
              </w:rPr>
            </w:pPr>
            <w:r w:rsidRPr="00E56391">
              <w:rPr>
                <w:rFonts w:ascii="Gadugi" w:hAnsi="Gadugi"/>
                <w:sz w:val="18"/>
              </w:rPr>
              <w:t>Instituto Metropolitano de Capacitación</w:t>
            </w:r>
          </w:p>
        </w:tc>
        <w:tc>
          <w:tcPr>
            <w:tcW w:w="0" w:type="auto"/>
            <w:vAlign w:val="center"/>
          </w:tcPr>
          <w:p w:rsidR="00A2290E" w:rsidRPr="00E56391" w:rsidRDefault="00A2290E" w:rsidP="00E56391">
            <w:pPr>
              <w:widowControl w:val="0"/>
              <w:tabs>
                <w:tab w:val="left" w:pos="709"/>
              </w:tabs>
              <w:suppressAutoHyphens/>
              <w:jc w:val="center"/>
              <w:rPr>
                <w:rFonts w:ascii="Gadugi" w:hAnsi="Gadugi"/>
                <w:sz w:val="18"/>
              </w:rPr>
            </w:pPr>
            <w:r w:rsidRPr="00E56391">
              <w:rPr>
                <w:rFonts w:ascii="Gadugi" w:hAnsi="Gadugi"/>
                <w:sz w:val="18"/>
              </w:rPr>
              <w:t>Corporación Instituto de la Ciudad</w:t>
            </w:r>
          </w:p>
        </w:tc>
        <w:tc>
          <w:tcPr>
            <w:tcW w:w="0" w:type="auto"/>
            <w:vAlign w:val="center"/>
          </w:tcPr>
          <w:p w:rsidR="00A2290E" w:rsidRPr="00E56391" w:rsidRDefault="00A2290E" w:rsidP="00E56391">
            <w:pPr>
              <w:widowControl w:val="0"/>
              <w:tabs>
                <w:tab w:val="left" w:pos="709"/>
              </w:tabs>
              <w:suppressAutoHyphens/>
              <w:jc w:val="center"/>
              <w:rPr>
                <w:rFonts w:ascii="Gadugi" w:hAnsi="Gadugi"/>
                <w:sz w:val="18"/>
              </w:rPr>
            </w:pPr>
            <w:r w:rsidRPr="00E56391">
              <w:rPr>
                <w:rFonts w:ascii="Gadugi" w:hAnsi="Gadugi"/>
                <w:sz w:val="18"/>
              </w:rPr>
              <w:t>Ambiental</w:t>
            </w:r>
          </w:p>
        </w:tc>
      </w:tr>
      <w:tr w:rsidR="00A2290E" w:rsidRPr="00E56391" w:rsidTr="00E56391">
        <w:trPr>
          <w:jc w:val="center"/>
        </w:trPr>
        <w:tc>
          <w:tcPr>
            <w:tcW w:w="0" w:type="auto"/>
          </w:tcPr>
          <w:p w:rsidR="00A2290E" w:rsidRPr="00E56391" w:rsidRDefault="00A2290E" w:rsidP="00D76BB9">
            <w:pPr>
              <w:widowControl w:val="0"/>
              <w:tabs>
                <w:tab w:val="left" w:pos="709"/>
              </w:tabs>
              <w:suppressAutoHyphens/>
              <w:jc w:val="both"/>
              <w:rPr>
                <w:rFonts w:ascii="Gadugi" w:hAnsi="Gadugi"/>
                <w:sz w:val="18"/>
              </w:rPr>
            </w:pPr>
          </w:p>
        </w:tc>
        <w:tc>
          <w:tcPr>
            <w:tcW w:w="0" w:type="auto"/>
            <w:vAlign w:val="center"/>
          </w:tcPr>
          <w:p w:rsidR="00A2290E" w:rsidRPr="00E56391" w:rsidRDefault="00A2290E" w:rsidP="00D76BB9">
            <w:pPr>
              <w:widowControl w:val="0"/>
              <w:tabs>
                <w:tab w:val="left" w:pos="709"/>
              </w:tabs>
              <w:suppressAutoHyphens/>
              <w:jc w:val="both"/>
              <w:rPr>
                <w:rFonts w:ascii="Gadugi" w:hAnsi="Gadugi"/>
                <w:sz w:val="18"/>
              </w:rPr>
            </w:pPr>
            <w:r w:rsidRPr="00E56391">
              <w:rPr>
                <w:rFonts w:ascii="Gadugi" w:hAnsi="Gadugi"/>
                <w:sz w:val="18"/>
              </w:rPr>
              <w:t>Empresa Pública Metropolitana de Rastro Quito</w:t>
            </w:r>
          </w:p>
        </w:tc>
        <w:tc>
          <w:tcPr>
            <w:tcW w:w="0" w:type="auto"/>
            <w:vMerge/>
          </w:tcPr>
          <w:p w:rsidR="00A2290E" w:rsidRPr="00E56391" w:rsidRDefault="00A2290E" w:rsidP="00D76BB9">
            <w:pPr>
              <w:widowControl w:val="0"/>
              <w:tabs>
                <w:tab w:val="left" w:pos="709"/>
              </w:tabs>
              <w:suppressAutoHyphens/>
              <w:jc w:val="both"/>
              <w:rPr>
                <w:rFonts w:ascii="Gadugi" w:hAnsi="Gadugi"/>
                <w:sz w:val="18"/>
              </w:rPr>
            </w:pPr>
          </w:p>
        </w:tc>
        <w:tc>
          <w:tcPr>
            <w:tcW w:w="0" w:type="auto"/>
            <w:vAlign w:val="center"/>
          </w:tcPr>
          <w:p w:rsidR="00A2290E" w:rsidRPr="00E56391" w:rsidRDefault="00A2290E" w:rsidP="00D76BB9">
            <w:pPr>
              <w:widowControl w:val="0"/>
              <w:tabs>
                <w:tab w:val="left" w:pos="709"/>
              </w:tabs>
              <w:suppressAutoHyphens/>
              <w:jc w:val="both"/>
              <w:rPr>
                <w:rFonts w:ascii="Gadugi" w:hAnsi="Gadugi"/>
                <w:sz w:val="18"/>
              </w:rPr>
            </w:pPr>
          </w:p>
        </w:tc>
        <w:tc>
          <w:tcPr>
            <w:tcW w:w="0" w:type="auto"/>
            <w:vAlign w:val="center"/>
          </w:tcPr>
          <w:p w:rsidR="00A2290E" w:rsidRPr="00E56391" w:rsidRDefault="00A2290E" w:rsidP="00D76BB9">
            <w:pPr>
              <w:widowControl w:val="0"/>
              <w:tabs>
                <w:tab w:val="left" w:pos="709"/>
              </w:tabs>
              <w:suppressAutoHyphens/>
              <w:jc w:val="both"/>
              <w:rPr>
                <w:rFonts w:ascii="Gadugi" w:hAnsi="Gadugi"/>
                <w:sz w:val="18"/>
              </w:rPr>
            </w:pPr>
          </w:p>
        </w:tc>
        <w:tc>
          <w:tcPr>
            <w:tcW w:w="0" w:type="auto"/>
            <w:vAlign w:val="center"/>
          </w:tcPr>
          <w:p w:rsidR="00A2290E" w:rsidRPr="00E56391" w:rsidRDefault="00A2290E" w:rsidP="00E56391">
            <w:pPr>
              <w:widowControl w:val="0"/>
              <w:tabs>
                <w:tab w:val="left" w:pos="709"/>
              </w:tabs>
              <w:suppressAutoHyphens/>
              <w:jc w:val="center"/>
              <w:rPr>
                <w:rFonts w:ascii="Gadugi" w:hAnsi="Gadugi"/>
                <w:sz w:val="18"/>
              </w:rPr>
            </w:pPr>
          </w:p>
        </w:tc>
        <w:tc>
          <w:tcPr>
            <w:tcW w:w="0" w:type="auto"/>
            <w:vAlign w:val="center"/>
          </w:tcPr>
          <w:p w:rsidR="00A2290E" w:rsidRPr="00E56391" w:rsidRDefault="00A2290E" w:rsidP="00E56391">
            <w:pPr>
              <w:widowControl w:val="0"/>
              <w:tabs>
                <w:tab w:val="left" w:pos="709"/>
              </w:tabs>
              <w:suppressAutoHyphens/>
              <w:jc w:val="center"/>
              <w:rPr>
                <w:rFonts w:ascii="Gadugi" w:hAnsi="Gadugi"/>
                <w:sz w:val="18"/>
              </w:rPr>
            </w:pPr>
            <w:r w:rsidRPr="00E56391">
              <w:rPr>
                <w:rFonts w:ascii="Gadugi" w:hAnsi="Gadugi"/>
                <w:sz w:val="18"/>
              </w:rPr>
              <w:t>Inclusión Social</w:t>
            </w:r>
          </w:p>
        </w:tc>
      </w:tr>
      <w:tr w:rsidR="00A2290E" w:rsidRPr="00E56391" w:rsidTr="00E56391">
        <w:trPr>
          <w:jc w:val="center"/>
        </w:trPr>
        <w:tc>
          <w:tcPr>
            <w:tcW w:w="0" w:type="auto"/>
          </w:tcPr>
          <w:p w:rsidR="00A2290E" w:rsidRPr="00E56391" w:rsidRDefault="00A2290E" w:rsidP="00D76BB9">
            <w:pPr>
              <w:widowControl w:val="0"/>
              <w:tabs>
                <w:tab w:val="left" w:pos="709"/>
              </w:tabs>
              <w:suppressAutoHyphens/>
              <w:jc w:val="both"/>
              <w:rPr>
                <w:rFonts w:ascii="Gadugi" w:hAnsi="Gadugi"/>
                <w:sz w:val="18"/>
              </w:rPr>
            </w:pPr>
          </w:p>
        </w:tc>
        <w:tc>
          <w:tcPr>
            <w:tcW w:w="0" w:type="auto"/>
            <w:vAlign w:val="center"/>
          </w:tcPr>
          <w:p w:rsidR="00A2290E" w:rsidRPr="00E56391" w:rsidRDefault="00A2290E" w:rsidP="00D76BB9">
            <w:pPr>
              <w:widowControl w:val="0"/>
              <w:tabs>
                <w:tab w:val="left" w:pos="709"/>
              </w:tabs>
              <w:suppressAutoHyphens/>
              <w:jc w:val="both"/>
              <w:rPr>
                <w:rFonts w:ascii="Gadugi" w:hAnsi="Gadugi"/>
                <w:sz w:val="18"/>
              </w:rPr>
            </w:pPr>
            <w:r w:rsidRPr="00E56391">
              <w:rPr>
                <w:rFonts w:ascii="Gadugi" w:hAnsi="Gadugi"/>
                <w:sz w:val="18"/>
              </w:rPr>
              <w:t>Empresa Pública Metropolitana de Logística para la Seguridad</w:t>
            </w:r>
          </w:p>
        </w:tc>
        <w:tc>
          <w:tcPr>
            <w:tcW w:w="0" w:type="auto"/>
            <w:vMerge/>
          </w:tcPr>
          <w:p w:rsidR="00A2290E" w:rsidRPr="00E56391" w:rsidRDefault="00A2290E" w:rsidP="00D76BB9">
            <w:pPr>
              <w:widowControl w:val="0"/>
              <w:tabs>
                <w:tab w:val="left" w:pos="709"/>
              </w:tabs>
              <w:suppressAutoHyphens/>
              <w:jc w:val="both"/>
              <w:rPr>
                <w:rFonts w:ascii="Gadugi" w:hAnsi="Gadugi"/>
                <w:sz w:val="18"/>
              </w:rPr>
            </w:pPr>
          </w:p>
        </w:tc>
        <w:tc>
          <w:tcPr>
            <w:tcW w:w="0" w:type="auto"/>
            <w:vAlign w:val="center"/>
          </w:tcPr>
          <w:p w:rsidR="00A2290E" w:rsidRPr="00E56391" w:rsidRDefault="00A2290E" w:rsidP="00D76BB9">
            <w:pPr>
              <w:widowControl w:val="0"/>
              <w:tabs>
                <w:tab w:val="left" w:pos="709"/>
              </w:tabs>
              <w:suppressAutoHyphens/>
              <w:jc w:val="both"/>
              <w:rPr>
                <w:rFonts w:ascii="Gadugi" w:hAnsi="Gadugi"/>
                <w:sz w:val="18"/>
              </w:rPr>
            </w:pPr>
          </w:p>
        </w:tc>
        <w:tc>
          <w:tcPr>
            <w:tcW w:w="0" w:type="auto"/>
            <w:vAlign w:val="center"/>
          </w:tcPr>
          <w:p w:rsidR="00A2290E" w:rsidRPr="00E56391" w:rsidRDefault="00A2290E" w:rsidP="00D76BB9">
            <w:pPr>
              <w:widowControl w:val="0"/>
              <w:tabs>
                <w:tab w:val="left" w:pos="709"/>
              </w:tabs>
              <w:suppressAutoHyphens/>
              <w:jc w:val="both"/>
              <w:rPr>
                <w:rFonts w:ascii="Gadugi" w:hAnsi="Gadugi"/>
                <w:sz w:val="18"/>
              </w:rPr>
            </w:pPr>
          </w:p>
        </w:tc>
        <w:tc>
          <w:tcPr>
            <w:tcW w:w="0" w:type="auto"/>
            <w:vAlign w:val="center"/>
          </w:tcPr>
          <w:p w:rsidR="00A2290E" w:rsidRPr="00E56391" w:rsidRDefault="00A2290E" w:rsidP="00E56391">
            <w:pPr>
              <w:widowControl w:val="0"/>
              <w:tabs>
                <w:tab w:val="left" w:pos="709"/>
              </w:tabs>
              <w:suppressAutoHyphens/>
              <w:jc w:val="center"/>
              <w:rPr>
                <w:rFonts w:ascii="Gadugi" w:hAnsi="Gadugi"/>
                <w:sz w:val="18"/>
              </w:rPr>
            </w:pPr>
          </w:p>
        </w:tc>
        <w:tc>
          <w:tcPr>
            <w:tcW w:w="0" w:type="auto"/>
            <w:vAlign w:val="center"/>
          </w:tcPr>
          <w:p w:rsidR="00A2290E" w:rsidRPr="00E56391" w:rsidRDefault="00A2290E" w:rsidP="00E56391">
            <w:pPr>
              <w:widowControl w:val="0"/>
              <w:tabs>
                <w:tab w:val="left" w:pos="709"/>
              </w:tabs>
              <w:suppressAutoHyphens/>
              <w:jc w:val="center"/>
              <w:rPr>
                <w:rFonts w:ascii="Gadugi" w:hAnsi="Gadugi"/>
                <w:sz w:val="18"/>
              </w:rPr>
            </w:pPr>
            <w:r w:rsidRPr="00E56391">
              <w:rPr>
                <w:rFonts w:ascii="Gadugi" w:hAnsi="Gadugi"/>
                <w:sz w:val="18"/>
              </w:rPr>
              <w:t>Seguridad</w:t>
            </w:r>
          </w:p>
        </w:tc>
      </w:tr>
      <w:tr w:rsidR="00A2290E" w:rsidRPr="00E56391" w:rsidTr="00E56391">
        <w:trPr>
          <w:jc w:val="center"/>
        </w:trPr>
        <w:tc>
          <w:tcPr>
            <w:tcW w:w="0" w:type="auto"/>
          </w:tcPr>
          <w:p w:rsidR="00A2290E" w:rsidRPr="00E56391" w:rsidRDefault="00A2290E" w:rsidP="00D76BB9">
            <w:pPr>
              <w:widowControl w:val="0"/>
              <w:tabs>
                <w:tab w:val="left" w:pos="709"/>
              </w:tabs>
              <w:suppressAutoHyphens/>
              <w:jc w:val="both"/>
              <w:rPr>
                <w:rFonts w:ascii="Gadugi" w:hAnsi="Gadugi"/>
                <w:sz w:val="18"/>
              </w:rPr>
            </w:pPr>
          </w:p>
        </w:tc>
        <w:tc>
          <w:tcPr>
            <w:tcW w:w="0" w:type="auto"/>
          </w:tcPr>
          <w:p w:rsidR="00A2290E" w:rsidRPr="00E56391" w:rsidRDefault="00A2290E" w:rsidP="00D76BB9">
            <w:pPr>
              <w:widowControl w:val="0"/>
              <w:tabs>
                <w:tab w:val="left" w:pos="709"/>
              </w:tabs>
              <w:suppressAutoHyphens/>
              <w:jc w:val="both"/>
              <w:rPr>
                <w:rFonts w:ascii="Gadugi" w:hAnsi="Gadugi"/>
                <w:sz w:val="18"/>
              </w:rPr>
            </w:pPr>
          </w:p>
        </w:tc>
        <w:tc>
          <w:tcPr>
            <w:tcW w:w="0" w:type="auto"/>
            <w:vMerge/>
          </w:tcPr>
          <w:p w:rsidR="00A2290E" w:rsidRPr="00E56391" w:rsidRDefault="00A2290E" w:rsidP="00D76BB9">
            <w:pPr>
              <w:widowControl w:val="0"/>
              <w:tabs>
                <w:tab w:val="left" w:pos="709"/>
              </w:tabs>
              <w:suppressAutoHyphens/>
              <w:jc w:val="both"/>
              <w:rPr>
                <w:rFonts w:ascii="Gadugi" w:hAnsi="Gadugi"/>
                <w:sz w:val="18"/>
              </w:rPr>
            </w:pPr>
          </w:p>
        </w:tc>
        <w:tc>
          <w:tcPr>
            <w:tcW w:w="0" w:type="auto"/>
            <w:vAlign w:val="center"/>
          </w:tcPr>
          <w:p w:rsidR="00A2290E" w:rsidRPr="00E56391" w:rsidRDefault="00A2290E" w:rsidP="00D76BB9">
            <w:pPr>
              <w:widowControl w:val="0"/>
              <w:tabs>
                <w:tab w:val="left" w:pos="709"/>
              </w:tabs>
              <w:suppressAutoHyphens/>
              <w:jc w:val="both"/>
              <w:rPr>
                <w:rFonts w:ascii="Gadugi" w:hAnsi="Gadugi"/>
                <w:sz w:val="18"/>
              </w:rPr>
            </w:pPr>
          </w:p>
        </w:tc>
        <w:tc>
          <w:tcPr>
            <w:tcW w:w="0" w:type="auto"/>
            <w:vAlign w:val="center"/>
          </w:tcPr>
          <w:p w:rsidR="00A2290E" w:rsidRPr="00E56391" w:rsidRDefault="00A2290E" w:rsidP="00D76BB9">
            <w:pPr>
              <w:widowControl w:val="0"/>
              <w:tabs>
                <w:tab w:val="left" w:pos="709"/>
              </w:tabs>
              <w:suppressAutoHyphens/>
              <w:jc w:val="both"/>
              <w:rPr>
                <w:rFonts w:ascii="Gadugi" w:hAnsi="Gadugi"/>
                <w:sz w:val="18"/>
              </w:rPr>
            </w:pPr>
          </w:p>
        </w:tc>
        <w:tc>
          <w:tcPr>
            <w:tcW w:w="0" w:type="auto"/>
            <w:vAlign w:val="center"/>
          </w:tcPr>
          <w:p w:rsidR="00A2290E" w:rsidRPr="00E56391" w:rsidRDefault="00A2290E" w:rsidP="00D76BB9">
            <w:pPr>
              <w:widowControl w:val="0"/>
              <w:tabs>
                <w:tab w:val="left" w:pos="709"/>
              </w:tabs>
              <w:suppressAutoHyphens/>
              <w:jc w:val="both"/>
              <w:rPr>
                <w:rFonts w:ascii="Gadugi" w:hAnsi="Gadugi"/>
                <w:sz w:val="18"/>
              </w:rPr>
            </w:pPr>
          </w:p>
        </w:tc>
        <w:tc>
          <w:tcPr>
            <w:tcW w:w="0" w:type="auto"/>
            <w:vAlign w:val="center"/>
          </w:tcPr>
          <w:p w:rsidR="00A2290E" w:rsidRPr="00E56391" w:rsidRDefault="00A2290E" w:rsidP="00E56391">
            <w:pPr>
              <w:widowControl w:val="0"/>
              <w:tabs>
                <w:tab w:val="left" w:pos="709"/>
              </w:tabs>
              <w:suppressAutoHyphens/>
              <w:jc w:val="center"/>
              <w:rPr>
                <w:rFonts w:ascii="Gadugi" w:hAnsi="Gadugi"/>
                <w:sz w:val="18"/>
              </w:rPr>
            </w:pPr>
            <w:r w:rsidRPr="00E56391">
              <w:rPr>
                <w:rFonts w:ascii="Gadugi" w:hAnsi="Gadugi"/>
                <w:sz w:val="18"/>
              </w:rPr>
              <w:t>Transparencia</w:t>
            </w:r>
          </w:p>
        </w:tc>
      </w:tr>
      <w:tr w:rsidR="00A2290E" w:rsidRPr="00E56391" w:rsidTr="00E56391">
        <w:trPr>
          <w:jc w:val="center"/>
        </w:trPr>
        <w:tc>
          <w:tcPr>
            <w:tcW w:w="0" w:type="auto"/>
          </w:tcPr>
          <w:p w:rsidR="00A2290E" w:rsidRPr="00E56391" w:rsidRDefault="00A2290E" w:rsidP="00D76BB9">
            <w:pPr>
              <w:widowControl w:val="0"/>
              <w:tabs>
                <w:tab w:val="left" w:pos="709"/>
              </w:tabs>
              <w:suppressAutoHyphens/>
              <w:jc w:val="both"/>
              <w:rPr>
                <w:rFonts w:ascii="Gadugi" w:hAnsi="Gadugi"/>
                <w:sz w:val="18"/>
              </w:rPr>
            </w:pPr>
          </w:p>
        </w:tc>
        <w:tc>
          <w:tcPr>
            <w:tcW w:w="0" w:type="auto"/>
          </w:tcPr>
          <w:p w:rsidR="00A2290E" w:rsidRPr="00E56391" w:rsidRDefault="00A2290E" w:rsidP="00D76BB9">
            <w:pPr>
              <w:widowControl w:val="0"/>
              <w:tabs>
                <w:tab w:val="left" w:pos="709"/>
              </w:tabs>
              <w:suppressAutoHyphens/>
              <w:jc w:val="both"/>
              <w:rPr>
                <w:rFonts w:ascii="Gadugi" w:hAnsi="Gadugi"/>
                <w:sz w:val="18"/>
              </w:rPr>
            </w:pPr>
          </w:p>
        </w:tc>
        <w:tc>
          <w:tcPr>
            <w:tcW w:w="0" w:type="auto"/>
            <w:vMerge/>
          </w:tcPr>
          <w:p w:rsidR="00A2290E" w:rsidRPr="00E56391" w:rsidRDefault="00A2290E" w:rsidP="00D76BB9">
            <w:pPr>
              <w:widowControl w:val="0"/>
              <w:tabs>
                <w:tab w:val="left" w:pos="709"/>
              </w:tabs>
              <w:suppressAutoHyphens/>
              <w:jc w:val="both"/>
              <w:rPr>
                <w:rFonts w:ascii="Gadugi" w:hAnsi="Gadugi"/>
                <w:sz w:val="18"/>
              </w:rPr>
            </w:pPr>
          </w:p>
        </w:tc>
        <w:tc>
          <w:tcPr>
            <w:tcW w:w="0" w:type="auto"/>
            <w:vAlign w:val="center"/>
          </w:tcPr>
          <w:p w:rsidR="00A2290E" w:rsidRPr="00E56391" w:rsidRDefault="00A2290E" w:rsidP="00D76BB9">
            <w:pPr>
              <w:widowControl w:val="0"/>
              <w:tabs>
                <w:tab w:val="left" w:pos="709"/>
              </w:tabs>
              <w:suppressAutoHyphens/>
              <w:jc w:val="both"/>
              <w:rPr>
                <w:rFonts w:ascii="Gadugi" w:hAnsi="Gadugi"/>
                <w:sz w:val="18"/>
              </w:rPr>
            </w:pPr>
          </w:p>
        </w:tc>
        <w:tc>
          <w:tcPr>
            <w:tcW w:w="0" w:type="auto"/>
            <w:vAlign w:val="center"/>
          </w:tcPr>
          <w:p w:rsidR="00A2290E" w:rsidRPr="00E56391" w:rsidRDefault="00A2290E" w:rsidP="00D76BB9">
            <w:pPr>
              <w:widowControl w:val="0"/>
              <w:tabs>
                <w:tab w:val="left" w:pos="709"/>
              </w:tabs>
              <w:suppressAutoHyphens/>
              <w:jc w:val="both"/>
              <w:rPr>
                <w:rFonts w:ascii="Gadugi" w:hAnsi="Gadugi"/>
                <w:sz w:val="18"/>
              </w:rPr>
            </w:pPr>
          </w:p>
        </w:tc>
        <w:tc>
          <w:tcPr>
            <w:tcW w:w="0" w:type="auto"/>
            <w:vAlign w:val="center"/>
          </w:tcPr>
          <w:p w:rsidR="00A2290E" w:rsidRPr="00E56391" w:rsidRDefault="00A2290E" w:rsidP="00D76BB9">
            <w:pPr>
              <w:widowControl w:val="0"/>
              <w:tabs>
                <w:tab w:val="left" w:pos="709"/>
              </w:tabs>
              <w:suppressAutoHyphens/>
              <w:jc w:val="both"/>
              <w:rPr>
                <w:rFonts w:ascii="Gadugi" w:hAnsi="Gadugi"/>
                <w:sz w:val="18"/>
              </w:rPr>
            </w:pPr>
          </w:p>
        </w:tc>
        <w:tc>
          <w:tcPr>
            <w:tcW w:w="0" w:type="auto"/>
            <w:vAlign w:val="center"/>
          </w:tcPr>
          <w:p w:rsidR="00A2290E" w:rsidRPr="00E56391" w:rsidRDefault="00A2290E" w:rsidP="00E56391">
            <w:pPr>
              <w:widowControl w:val="0"/>
              <w:tabs>
                <w:tab w:val="left" w:pos="709"/>
              </w:tabs>
              <w:suppressAutoHyphens/>
              <w:jc w:val="center"/>
              <w:rPr>
                <w:rFonts w:ascii="Gadugi" w:hAnsi="Gadugi"/>
                <w:sz w:val="18"/>
              </w:rPr>
            </w:pPr>
            <w:r w:rsidRPr="00E56391">
              <w:rPr>
                <w:rFonts w:ascii="Gadugi" w:hAnsi="Gadugi"/>
                <w:sz w:val="18"/>
              </w:rPr>
              <w:t>Movilidad</w:t>
            </w:r>
          </w:p>
        </w:tc>
      </w:tr>
    </w:tbl>
    <w:p w:rsidR="00D76BB9" w:rsidRPr="00C1652B" w:rsidRDefault="00E47D27" w:rsidP="00D76BB9">
      <w:pPr>
        <w:widowControl w:val="0"/>
        <w:tabs>
          <w:tab w:val="left" w:pos="709"/>
        </w:tabs>
        <w:suppressAutoHyphens/>
        <w:spacing w:after="0" w:line="240" w:lineRule="auto"/>
        <w:jc w:val="both"/>
        <w:rPr>
          <w:rFonts w:ascii="Gadugi" w:hAnsi="Gadugi"/>
          <w:sz w:val="20"/>
        </w:rPr>
      </w:pPr>
      <w:r w:rsidRPr="00C1652B">
        <w:rPr>
          <w:rFonts w:ascii="Gadugi" w:hAnsi="Gadugi"/>
          <w:b/>
          <w:sz w:val="20"/>
        </w:rPr>
        <w:t xml:space="preserve">*Nota: </w:t>
      </w:r>
      <w:r w:rsidRPr="00C1652B">
        <w:rPr>
          <w:rFonts w:ascii="Gadugi" w:hAnsi="Gadugi"/>
          <w:sz w:val="20"/>
        </w:rPr>
        <w:t>El sector fue definido en función del “Ámbito” definido dentro del Modelo de Prestación de Servicios y Administración por Procesos correspondientes a la FASE 2 del presente proyecto.</w:t>
      </w:r>
    </w:p>
    <w:p w:rsidR="00E56391" w:rsidRPr="00C1652B" w:rsidRDefault="00E56391" w:rsidP="00177AD2">
      <w:pPr>
        <w:pStyle w:val="Sinespaciado"/>
      </w:pPr>
    </w:p>
    <w:p w:rsidR="009C1B56" w:rsidRDefault="00854EC0" w:rsidP="009C1B56">
      <w:pPr>
        <w:jc w:val="both"/>
        <w:rPr>
          <w:rFonts w:ascii="Gadugi" w:hAnsi="Gadugi"/>
          <w:sz w:val="20"/>
          <w:szCs w:val="24"/>
        </w:rPr>
      </w:pPr>
      <w:r w:rsidRPr="00E56391">
        <w:rPr>
          <w:rFonts w:ascii="Gadugi" w:hAnsi="Gadugi"/>
          <w:sz w:val="20"/>
          <w:szCs w:val="24"/>
        </w:rPr>
        <w:t>Una vez analizada la información de las entidades que formaron parte de la muestra, se definieron las variables para realizar la priorización de procesos y también la matriz correspondiente, conforme se muestra a continuación:</w:t>
      </w:r>
    </w:p>
    <w:p w:rsidR="00E56391" w:rsidRPr="00E56391" w:rsidRDefault="00E56391" w:rsidP="00E56391">
      <w:pPr>
        <w:pStyle w:val="Sinespaciado"/>
        <w:rPr>
          <w:sz w:val="18"/>
        </w:rPr>
      </w:pPr>
    </w:p>
    <w:p w:rsidR="00854EC0" w:rsidRPr="00E56391" w:rsidRDefault="00143542" w:rsidP="007941B3">
      <w:pPr>
        <w:pStyle w:val="Prrafodelista"/>
        <w:numPr>
          <w:ilvl w:val="1"/>
          <w:numId w:val="6"/>
        </w:numPr>
        <w:jc w:val="both"/>
        <w:outlineLvl w:val="1"/>
        <w:rPr>
          <w:rFonts w:ascii="Gadugi" w:hAnsi="Gadugi"/>
          <w:b/>
          <w:sz w:val="20"/>
          <w:szCs w:val="24"/>
        </w:rPr>
      </w:pPr>
      <w:bookmarkStart w:id="6" w:name="_Toc483474887"/>
      <w:r w:rsidRPr="00E56391">
        <w:rPr>
          <w:rFonts w:ascii="Gadugi" w:hAnsi="Gadugi"/>
          <w:b/>
          <w:sz w:val="20"/>
          <w:szCs w:val="24"/>
        </w:rPr>
        <w:t>Criterios (variables) iniciales propuestos</w:t>
      </w:r>
      <w:bookmarkEnd w:id="6"/>
    </w:p>
    <w:tbl>
      <w:tblPr>
        <w:tblW w:w="0" w:type="auto"/>
        <w:tblCellMar>
          <w:left w:w="70" w:type="dxa"/>
          <w:right w:w="70" w:type="dxa"/>
        </w:tblCellMar>
        <w:tblLook w:val="04A0" w:firstRow="1" w:lastRow="0" w:firstColumn="1" w:lastColumn="0" w:noHBand="0" w:noVBand="1"/>
      </w:tblPr>
      <w:tblGrid>
        <w:gridCol w:w="3752"/>
        <w:gridCol w:w="6026"/>
      </w:tblGrid>
      <w:tr w:rsidR="00143542" w:rsidRPr="00C1652B" w:rsidTr="00177AD2">
        <w:trPr>
          <w:cantSplit/>
          <w:trHeight w:val="255"/>
          <w:tblHeader/>
        </w:trPr>
        <w:tc>
          <w:tcPr>
            <w:tcW w:w="0" w:type="auto"/>
            <w:tcBorders>
              <w:top w:val="single" w:sz="4" w:space="0" w:color="auto"/>
              <w:left w:val="single" w:sz="4" w:space="0" w:color="auto"/>
              <w:bottom w:val="single" w:sz="4" w:space="0" w:color="auto"/>
              <w:right w:val="single" w:sz="4" w:space="0" w:color="auto"/>
            </w:tcBorders>
            <w:shd w:val="clear" w:color="auto" w:fill="222A35" w:themeFill="text2" w:themeFillShade="80"/>
            <w:noWrap/>
            <w:vAlign w:val="center"/>
          </w:tcPr>
          <w:p w:rsidR="00143542" w:rsidRPr="00C1652B" w:rsidRDefault="00143542" w:rsidP="00143542">
            <w:pPr>
              <w:widowControl w:val="0"/>
              <w:tabs>
                <w:tab w:val="left" w:pos="709"/>
              </w:tabs>
              <w:suppressAutoHyphens/>
              <w:spacing w:after="0" w:line="240" w:lineRule="auto"/>
              <w:jc w:val="center"/>
              <w:rPr>
                <w:rFonts w:ascii="Gadugi" w:hAnsi="Gadugi"/>
                <w:b/>
                <w:sz w:val="18"/>
              </w:rPr>
            </w:pPr>
            <w:r w:rsidRPr="00C1652B">
              <w:rPr>
                <w:rFonts w:ascii="Gadugi" w:hAnsi="Gadugi"/>
                <w:b/>
                <w:sz w:val="18"/>
              </w:rPr>
              <w:t>Criterio</w:t>
            </w:r>
          </w:p>
        </w:tc>
        <w:tc>
          <w:tcPr>
            <w:tcW w:w="0" w:type="auto"/>
            <w:tcBorders>
              <w:top w:val="single" w:sz="4" w:space="0" w:color="auto"/>
              <w:left w:val="nil"/>
              <w:bottom w:val="single" w:sz="4" w:space="0" w:color="auto"/>
              <w:right w:val="single" w:sz="4" w:space="0" w:color="auto"/>
            </w:tcBorders>
            <w:shd w:val="clear" w:color="auto" w:fill="222A35" w:themeFill="text2" w:themeFillShade="80"/>
            <w:noWrap/>
            <w:vAlign w:val="center"/>
          </w:tcPr>
          <w:p w:rsidR="00143542" w:rsidRPr="00C1652B" w:rsidRDefault="00143542" w:rsidP="00143542">
            <w:pPr>
              <w:widowControl w:val="0"/>
              <w:tabs>
                <w:tab w:val="left" w:pos="709"/>
              </w:tabs>
              <w:suppressAutoHyphens/>
              <w:spacing w:after="0" w:line="240" w:lineRule="auto"/>
              <w:jc w:val="center"/>
              <w:rPr>
                <w:rFonts w:ascii="Gadugi" w:hAnsi="Gadugi"/>
                <w:b/>
                <w:sz w:val="18"/>
              </w:rPr>
            </w:pPr>
            <w:r w:rsidRPr="00C1652B">
              <w:rPr>
                <w:rFonts w:ascii="Gadugi" w:hAnsi="Gadugi"/>
                <w:b/>
                <w:sz w:val="18"/>
              </w:rPr>
              <w:t>Descripción</w:t>
            </w:r>
          </w:p>
        </w:tc>
      </w:tr>
      <w:tr w:rsidR="00143542" w:rsidRPr="00C1652B" w:rsidTr="00143542">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Satisfacción del cliente interno (servidor municipal)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Medida en que los procesos empresariales brindados cumplen o rebasan las expectativas del servidor municipal</w:t>
            </w:r>
          </w:p>
        </w:tc>
      </w:tr>
      <w:tr w:rsidR="00143542" w:rsidRPr="00C1652B" w:rsidTr="0014354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Cultura organizativa orientada a la administración por procesos</w:t>
            </w:r>
          </w:p>
        </w:tc>
        <w:tc>
          <w:tcPr>
            <w:tcW w:w="0" w:type="auto"/>
            <w:tcBorders>
              <w:top w:val="nil"/>
              <w:left w:val="nil"/>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Modelo de comportamiento de la entidad</w:t>
            </w:r>
          </w:p>
        </w:tc>
      </w:tr>
      <w:tr w:rsidR="00143542" w:rsidRPr="00C1652B" w:rsidTr="0014354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Número de unidades internas involucradas en el proceso</w:t>
            </w:r>
          </w:p>
        </w:tc>
        <w:tc>
          <w:tcPr>
            <w:tcW w:w="0" w:type="auto"/>
            <w:tcBorders>
              <w:top w:val="nil"/>
              <w:left w:val="nil"/>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Cantidad de departamentos que interactúan en los distintos puntos del proceso</w:t>
            </w:r>
          </w:p>
        </w:tc>
      </w:tr>
      <w:tr w:rsidR="00143542" w:rsidRPr="00C1652B" w:rsidTr="0014354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Número de servidores municipales involucrados en el proceso</w:t>
            </w:r>
          </w:p>
        </w:tc>
        <w:tc>
          <w:tcPr>
            <w:tcW w:w="0" w:type="auto"/>
            <w:tcBorders>
              <w:top w:val="nil"/>
              <w:left w:val="nil"/>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Cantidad de servidores municipales  que interactúan en los distintos puntos del proceso</w:t>
            </w:r>
          </w:p>
        </w:tc>
      </w:tr>
      <w:tr w:rsidR="00143542" w:rsidRPr="00C1652B" w:rsidTr="0014354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Desempeño del dueño del proceso (capacidad de gestión y empoderamiento)</w:t>
            </w:r>
          </w:p>
        </w:tc>
        <w:tc>
          <w:tcPr>
            <w:tcW w:w="0" w:type="auto"/>
            <w:tcBorders>
              <w:top w:val="nil"/>
              <w:left w:val="nil"/>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Grado de desenvolvimiento, conocimiento y experticia del dueño del proceso</w:t>
            </w:r>
          </w:p>
        </w:tc>
      </w:tr>
      <w:tr w:rsidR="00143542" w:rsidRPr="00C1652B" w:rsidTr="0014354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Desempeño de la persona que es responsable de la entrega del proceso (capacidad de gestión y empoderamiento)</w:t>
            </w:r>
          </w:p>
        </w:tc>
        <w:tc>
          <w:tcPr>
            <w:tcW w:w="0" w:type="auto"/>
            <w:tcBorders>
              <w:top w:val="nil"/>
              <w:left w:val="nil"/>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Grado de desenvolvimiento, conocimiento y experticia del responsable</w:t>
            </w:r>
          </w:p>
        </w:tc>
      </w:tr>
      <w:tr w:rsidR="00143542" w:rsidRPr="00C1652B" w:rsidTr="0014354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Nivel de documentación del proceso</w:t>
            </w:r>
          </w:p>
        </w:tc>
        <w:tc>
          <w:tcPr>
            <w:tcW w:w="0" w:type="auto"/>
            <w:tcBorders>
              <w:top w:val="nil"/>
              <w:left w:val="nil"/>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Cantidad de documentación física y digital que demanda la ejecución del proceso</w:t>
            </w:r>
          </w:p>
        </w:tc>
      </w:tr>
      <w:tr w:rsidR="00143542" w:rsidRPr="00C1652B" w:rsidTr="0014354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Grado de complejidad de la ejecución del proceso</w:t>
            </w:r>
          </w:p>
        </w:tc>
        <w:tc>
          <w:tcPr>
            <w:tcW w:w="0" w:type="auto"/>
            <w:tcBorders>
              <w:top w:val="nil"/>
              <w:left w:val="nil"/>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Conjunto de características de los elementos que conforman un proceso</w:t>
            </w:r>
          </w:p>
        </w:tc>
      </w:tr>
      <w:tr w:rsidR="00143542" w:rsidRPr="00C1652B" w:rsidTr="0014354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Grado de complejidad de automatización</w:t>
            </w:r>
          </w:p>
        </w:tc>
        <w:tc>
          <w:tcPr>
            <w:tcW w:w="0" w:type="auto"/>
            <w:tcBorders>
              <w:top w:val="nil"/>
              <w:left w:val="nil"/>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Grado en que los recursos permiten la automatización de un proceso</w:t>
            </w:r>
          </w:p>
        </w:tc>
      </w:tr>
      <w:tr w:rsidR="00143542" w:rsidRPr="00C1652B" w:rsidTr="0014354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Grado de generación de valor para el ciudadano</w:t>
            </w:r>
          </w:p>
        </w:tc>
        <w:tc>
          <w:tcPr>
            <w:tcW w:w="0" w:type="auto"/>
            <w:tcBorders>
              <w:top w:val="nil"/>
              <w:left w:val="nil"/>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 xml:space="preserve">Grado en que el proceso genera una diferenciación en el servicio que realiza el ciudadano </w:t>
            </w:r>
          </w:p>
        </w:tc>
      </w:tr>
      <w:tr w:rsidR="00143542" w:rsidRPr="00C1652B" w:rsidTr="0014354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 xml:space="preserve">Orientación al cumplimiento de los </w:t>
            </w:r>
            <w:r w:rsidRPr="00C1652B">
              <w:rPr>
                <w:rFonts w:ascii="Gadugi" w:eastAsia="Times New Roman" w:hAnsi="Gadugi" w:cs="Calibri"/>
                <w:sz w:val="20"/>
                <w:szCs w:val="20"/>
                <w:lang w:val="es-EC" w:eastAsia="es-EC"/>
              </w:rPr>
              <w:lastRenderedPageBreak/>
              <w:t xml:space="preserve">objetivos estratégicos </w:t>
            </w:r>
          </w:p>
        </w:tc>
        <w:tc>
          <w:tcPr>
            <w:tcW w:w="0" w:type="auto"/>
            <w:tcBorders>
              <w:top w:val="nil"/>
              <w:left w:val="nil"/>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lastRenderedPageBreak/>
              <w:t xml:space="preserve">Está enfocado al cumplimiento de metas y a los resultados que la </w:t>
            </w:r>
            <w:r w:rsidRPr="00C1652B">
              <w:rPr>
                <w:rFonts w:ascii="Gadugi" w:eastAsia="Times New Roman" w:hAnsi="Gadugi" w:cs="Calibri"/>
                <w:sz w:val="20"/>
                <w:szCs w:val="20"/>
                <w:lang w:val="es-EC" w:eastAsia="es-EC"/>
              </w:rPr>
              <w:lastRenderedPageBreak/>
              <w:t>empresa pretende alcanzar</w:t>
            </w:r>
            <w:proofErr w:type="gramStart"/>
            <w:r w:rsidRPr="00C1652B">
              <w:rPr>
                <w:rFonts w:ascii="Gadugi" w:eastAsia="Times New Roman" w:hAnsi="Gadugi" w:cs="Calibri"/>
                <w:sz w:val="20"/>
                <w:szCs w:val="20"/>
                <w:lang w:val="es-EC" w:eastAsia="es-EC"/>
              </w:rPr>
              <w:t>?</w:t>
            </w:r>
            <w:proofErr w:type="gramEnd"/>
          </w:p>
        </w:tc>
      </w:tr>
      <w:tr w:rsidR="00143542" w:rsidRPr="00C1652B" w:rsidTr="0014354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lastRenderedPageBreak/>
              <w:t xml:space="preserve">Tiempo de ciclo </w:t>
            </w:r>
          </w:p>
        </w:tc>
        <w:tc>
          <w:tcPr>
            <w:tcW w:w="0" w:type="auto"/>
            <w:tcBorders>
              <w:top w:val="nil"/>
              <w:left w:val="nil"/>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Describe cuánto tiempo toma completar una tarea específica desde el comienzo hasta el final</w:t>
            </w:r>
          </w:p>
        </w:tc>
      </w:tr>
      <w:tr w:rsidR="00143542" w:rsidRPr="00C1652B" w:rsidTr="0014354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Asignación presupuestaria</w:t>
            </w:r>
          </w:p>
        </w:tc>
        <w:tc>
          <w:tcPr>
            <w:tcW w:w="0" w:type="auto"/>
            <w:tcBorders>
              <w:top w:val="nil"/>
              <w:left w:val="nil"/>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Capacidad de una institución para generar y movilizar adecuadamente los recursos financieros en el marco de sus objetivos.</w:t>
            </w:r>
          </w:p>
        </w:tc>
      </w:tr>
      <w:tr w:rsidR="00143542" w:rsidRPr="00C1652B" w:rsidTr="00143542">
        <w:trPr>
          <w:trHeight w:val="255"/>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Comunicación e información al servidor municipal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Grado de interacción del ciudadano con el funcionario municipal para recibir o proveer información (aplica comunicación por email, presencial, telefónica o cualquier tipo)</w:t>
            </w:r>
          </w:p>
        </w:tc>
      </w:tr>
      <w:tr w:rsidR="00143542" w:rsidRPr="00C1652B" w:rsidTr="00143542">
        <w:trPr>
          <w:trHeight w:val="255"/>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Grado de soporte de tecnología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 La ejecución del servicio se encuentra soportada por tecnologías de la información</w:t>
            </w:r>
            <w:proofErr w:type="gramStart"/>
            <w:r w:rsidRPr="00C1652B">
              <w:rPr>
                <w:rFonts w:ascii="Gadugi" w:eastAsia="Times New Roman" w:hAnsi="Gadugi" w:cs="Calibri"/>
                <w:sz w:val="20"/>
                <w:szCs w:val="20"/>
                <w:lang w:val="es-EC" w:eastAsia="es-EC"/>
              </w:rPr>
              <w:t>?</w:t>
            </w:r>
            <w:proofErr w:type="gramEnd"/>
            <w:r w:rsidRPr="00C1652B">
              <w:rPr>
                <w:rFonts w:ascii="Gadugi" w:eastAsia="Times New Roman" w:hAnsi="Gadugi" w:cs="Calibri"/>
                <w:sz w:val="20"/>
                <w:szCs w:val="20"/>
                <w:lang w:val="es-EC" w:eastAsia="es-EC"/>
              </w:rPr>
              <w:t xml:space="preserve"> En </w:t>
            </w:r>
            <w:r w:rsidR="00177AD2" w:rsidRPr="00C1652B">
              <w:rPr>
                <w:rFonts w:ascii="Gadugi" w:eastAsia="Times New Roman" w:hAnsi="Gadugi" w:cs="Calibri"/>
                <w:sz w:val="20"/>
                <w:szCs w:val="20"/>
                <w:lang w:val="es-EC" w:eastAsia="es-EC"/>
              </w:rPr>
              <w:t>qué</w:t>
            </w:r>
            <w:r w:rsidRPr="00C1652B">
              <w:rPr>
                <w:rFonts w:ascii="Gadugi" w:eastAsia="Times New Roman" w:hAnsi="Gadugi" w:cs="Calibri"/>
                <w:sz w:val="20"/>
                <w:szCs w:val="20"/>
                <w:lang w:val="es-EC" w:eastAsia="es-EC"/>
              </w:rPr>
              <w:t xml:space="preserve"> grado</w:t>
            </w:r>
            <w:proofErr w:type="gramStart"/>
            <w:r w:rsidRPr="00C1652B">
              <w:rPr>
                <w:rFonts w:ascii="Gadugi" w:eastAsia="Times New Roman" w:hAnsi="Gadugi" w:cs="Calibri"/>
                <w:sz w:val="20"/>
                <w:szCs w:val="20"/>
                <w:lang w:val="es-EC" w:eastAsia="es-EC"/>
              </w:rPr>
              <w:t>?</w:t>
            </w:r>
            <w:proofErr w:type="gramEnd"/>
            <w:r w:rsidRPr="00C1652B">
              <w:rPr>
                <w:rFonts w:ascii="Gadugi" w:eastAsia="Times New Roman" w:hAnsi="Gadugi" w:cs="Calibri"/>
                <w:sz w:val="20"/>
                <w:szCs w:val="20"/>
                <w:lang w:val="es-EC" w:eastAsia="es-EC"/>
              </w:rPr>
              <w:t xml:space="preserve"> Está automatizado semiautomatizado o no esta automatizado y es enteramente manual</w:t>
            </w:r>
          </w:p>
        </w:tc>
      </w:tr>
      <w:tr w:rsidR="00143542" w:rsidRPr="00C1652B" w:rsidTr="00143542">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Costo de ejecución del proceso</w:t>
            </w:r>
          </w:p>
        </w:tc>
        <w:tc>
          <w:tcPr>
            <w:tcW w:w="0" w:type="auto"/>
            <w:tcBorders>
              <w:top w:val="nil"/>
              <w:left w:val="nil"/>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Cantidad de recursos monetarios que demanda las distintas actividades de un proceso</w:t>
            </w:r>
          </w:p>
        </w:tc>
      </w:tr>
      <w:tr w:rsidR="00143542" w:rsidRPr="00C1652B" w:rsidTr="0014354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Número de entidades involucradas en el proceso</w:t>
            </w:r>
          </w:p>
        </w:tc>
        <w:tc>
          <w:tcPr>
            <w:tcW w:w="0" w:type="auto"/>
            <w:tcBorders>
              <w:top w:val="nil"/>
              <w:left w:val="nil"/>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Cantidad de instituciones que interactúan en los distintos puntos con el proceso</w:t>
            </w:r>
          </w:p>
        </w:tc>
      </w:tr>
      <w:tr w:rsidR="00143542" w:rsidRPr="00C1652B" w:rsidTr="0014354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 xml:space="preserve">Grado (tecnológico)de cooperación e integración con otras instituciones </w:t>
            </w:r>
          </w:p>
        </w:tc>
        <w:tc>
          <w:tcPr>
            <w:tcW w:w="0" w:type="auto"/>
            <w:tcBorders>
              <w:top w:val="nil"/>
              <w:left w:val="nil"/>
              <w:bottom w:val="single" w:sz="4" w:space="0" w:color="auto"/>
              <w:right w:val="single" w:sz="4" w:space="0" w:color="auto"/>
            </w:tcBorders>
            <w:shd w:val="clear" w:color="auto" w:fill="auto"/>
            <w:noWrap/>
            <w:vAlign w:val="center"/>
            <w:hideMark/>
          </w:tcPr>
          <w:p w:rsidR="00143542" w:rsidRPr="00C1652B" w:rsidRDefault="00143542" w:rsidP="00143542">
            <w:pPr>
              <w:spacing w:after="0" w:line="240" w:lineRule="auto"/>
              <w:rPr>
                <w:rFonts w:ascii="Gadugi" w:eastAsia="Times New Roman" w:hAnsi="Gadugi" w:cs="Calibri"/>
                <w:sz w:val="20"/>
                <w:szCs w:val="20"/>
                <w:lang w:val="es-EC" w:eastAsia="es-EC"/>
              </w:rPr>
            </w:pPr>
            <w:r w:rsidRPr="00C1652B">
              <w:rPr>
                <w:rFonts w:ascii="Gadugi" w:eastAsia="Times New Roman" w:hAnsi="Gadugi" w:cs="Calibri"/>
                <w:sz w:val="20"/>
                <w:szCs w:val="20"/>
                <w:lang w:val="es-EC" w:eastAsia="es-EC"/>
              </w:rPr>
              <w:t>Grado de interacción entre y relación con otras entidades y apoyo por medio de TIC´s</w:t>
            </w:r>
          </w:p>
        </w:tc>
      </w:tr>
    </w:tbl>
    <w:p w:rsidR="00143542" w:rsidRPr="00C1652B" w:rsidRDefault="00143542" w:rsidP="00504B7C">
      <w:pPr>
        <w:pStyle w:val="Sinespaciado"/>
      </w:pPr>
    </w:p>
    <w:p w:rsidR="00522EA8" w:rsidRPr="00C1652B" w:rsidRDefault="00522EA8" w:rsidP="00E56391">
      <w:pPr>
        <w:pStyle w:val="Sinespaciado"/>
      </w:pPr>
    </w:p>
    <w:p w:rsidR="00143542" w:rsidRPr="00E56391" w:rsidRDefault="00143542" w:rsidP="007941B3">
      <w:pPr>
        <w:pStyle w:val="Prrafodelista"/>
        <w:numPr>
          <w:ilvl w:val="1"/>
          <w:numId w:val="6"/>
        </w:numPr>
        <w:jc w:val="both"/>
        <w:outlineLvl w:val="1"/>
        <w:rPr>
          <w:rFonts w:ascii="Gadugi" w:hAnsi="Gadugi"/>
          <w:b/>
          <w:sz w:val="20"/>
          <w:szCs w:val="24"/>
        </w:rPr>
      </w:pPr>
      <w:bookmarkStart w:id="7" w:name="_Toc483474888"/>
      <w:r w:rsidRPr="00E56391">
        <w:rPr>
          <w:rFonts w:ascii="Gadugi" w:hAnsi="Gadugi"/>
          <w:b/>
          <w:sz w:val="20"/>
          <w:szCs w:val="24"/>
        </w:rPr>
        <w:t>Criterios (variables) pre-seleccionados entre las partes y criterios de ponderación</w:t>
      </w:r>
      <w:bookmarkEnd w:id="7"/>
    </w:p>
    <w:p w:rsidR="00143542" w:rsidRPr="00E56391" w:rsidRDefault="00143542" w:rsidP="009C1B56">
      <w:pPr>
        <w:jc w:val="both"/>
        <w:rPr>
          <w:rFonts w:ascii="Gadugi" w:hAnsi="Gadugi"/>
          <w:sz w:val="20"/>
          <w:szCs w:val="24"/>
        </w:rPr>
      </w:pPr>
      <w:r w:rsidRPr="00E56391">
        <w:rPr>
          <w:rFonts w:ascii="Gadugi" w:hAnsi="Gadugi"/>
          <w:sz w:val="20"/>
          <w:szCs w:val="24"/>
        </w:rPr>
        <w:t>En los acercamientos preliminares entre la Administración del Contrato y la Empresa Consultora, se definieron como variables probables a ser utilizadas las siguientes:</w:t>
      </w:r>
    </w:p>
    <w:tbl>
      <w:tblPr>
        <w:tblW w:w="0" w:type="auto"/>
        <w:tblCellMar>
          <w:left w:w="70" w:type="dxa"/>
          <w:right w:w="70" w:type="dxa"/>
        </w:tblCellMar>
        <w:tblLook w:val="04A0" w:firstRow="1" w:lastRow="0" w:firstColumn="1" w:lastColumn="0" w:noHBand="0" w:noVBand="1"/>
      </w:tblPr>
      <w:tblGrid>
        <w:gridCol w:w="2067"/>
        <w:gridCol w:w="3620"/>
        <w:gridCol w:w="4091"/>
      </w:tblGrid>
      <w:tr w:rsidR="00143542" w:rsidRPr="00C1652B" w:rsidTr="00177AD2">
        <w:trPr>
          <w:trHeight w:val="319"/>
        </w:trPr>
        <w:tc>
          <w:tcPr>
            <w:tcW w:w="0" w:type="auto"/>
            <w:gridSpan w:val="3"/>
            <w:vMerge w:val="restart"/>
            <w:tcBorders>
              <w:top w:val="single" w:sz="8" w:space="0" w:color="auto"/>
              <w:left w:val="single" w:sz="8" w:space="0" w:color="auto"/>
              <w:bottom w:val="single" w:sz="8" w:space="0" w:color="000000"/>
              <w:right w:val="single" w:sz="8" w:space="0" w:color="000000"/>
            </w:tcBorders>
            <w:shd w:val="clear" w:color="auto" w:fill="222A35" w:themeFill="text2" w:themeFillShade="80"/>
            <w:noWrap/>
            <w:vAlign w:val="center"/>
            <w:hideMark/>
          </w:tcPr>
          <w:p w:rsidR="00143542" w:rsidRPr="00C1652B" w:rsidRDefault="00143542" w:rsidP="00143542">
            <w:pPr>
              <w:spacing w:after="0" w:line="240" w:lineRule="auto"/>
              <w:jc w:val="center"/>
              <w:rPr>
                <w:rFonts w:ascii="Gadugi" w:eastAsia="Times New Roman" w:hAnsi="Gadugi" w:cstheme="majorHAnsi"/>
                <w:b/>
                <w:bCs/>
                <w:color w:val="FFFFFF"/>
                <w:sz w:val="20"/>
                <w:szCs w:val="20"/>
                <w:lang w:val="es-EC" w:eastAsia="es-EC"/>
              </w:rPr>
            </w:pPr>
            <w:r w:rsidRPr="00C1652B">
              <w:rPr>
                <w:rFonts w:ascii="Gadugi" w:eastAsia="Times New Roman" w:hAnsi="Gadugi" w:cstheme="majorHAnsi"/>
                <w:b/>
                <w:bCs/>
                <w:color w:val="FFFFFF"/>
                <w:sz w:val="20"/>
                <w:szCs w:val="20"/>
                <w:lang w:val="es-EC" w:eastAsia="es-EC"/>
              </w:rPr>
              <w:t>VARIABLES DE PRIORIZACIÓN PROCESOS</w:t>
            </w:r>
          </w:p>
        </w:tc>
      </w:tr>
      <w:tr w:rsidR="00143542" w:rsidRPr="00C1652B" w:rsidTr="00177AD2">
        <w:trPr>
          <w:trHeight w:val="319"/>
        </w:trPr>
        <w:tc>
          <w:tcPr>
            <w:tcW w:w="0" w:type="auto"/>
            <w:gridSpan w:val="3"/>
            <w:vMerge/>
            <w:tcBorders>
              <w:top w:val="single" w:sz="8" w:space="0" w:color="auto"/>
              <w:left w:val="single" w:sz="8" w:space="0" w:color="auto"/>
              <w:bottom w:val="single" w:sz="8" w:space="0" w:color="000000"/>
              <w:right w:val="single" w:sz="8" w:space="0" w:color="000000"/>
            </w:tcBorders>
            <w:shd w:val="clear" w:color="auto" w:fill="222A35" w:themeFill="text2" w:themeFillShade="80"/>
            <w:vAlign w:val="center"/>
            <w:hideMark/>
          </w:tcPr>
          <w:p w:rsidR="00143542" w:rsidRPr="00C1652B" w:rsidRDefault="00143542" w:rsidP="00143542">
            <w:pPr>
              <w:spacing w:after="0" w:line="240" w:lineRule="auto"/>
              <w:rPr>
                <w:rFonts w:ascii="Gadugi" w:eastAsia="Times New Roman" w:hAnsi="Gadugi" w:cstheme="majorHAnsi"/>
                <w:b/>
                <w:bCs/>
                <w:color w:val="FFFFFF"/>
                <w:sz w:val="20"/>
                <w:szCs w:val="20"/>
                <w:lang w:val="es-EC" w:eastAsia="es-EC"/>
              </w:rPr>
            </w:pPr>
          </w:p>
        </w:tc>
      </w:tr>
      <w:tr w:rsidR="00143542" w:rsidRPr="00C1652B" w:rsidTr="00177AD2">
        <w:trPr>
          <w:trHeight w:val="330"/>
        </w:trPr>
        <w:tc>
          <w:tcPr>
            <w:tcW w:w="0" w:type="auto"/>
            <w:tcBorders>
              <w:top w:val="nil"/>
              <w:left w:val="single" w:sz="8" w:space="0" w:color="auto"/>
              <w:bottom w:val="single" w:sz="8" w:space="0" w:color="auto"/>
              <w:right w:val="single" w:sz="8" w:space="0" w:color="auto"/>
            </w:tcBorders>
            <w:shd w:val="clear" w:color="auto" w:fill="222A35" w:themeFill="text2" w:themeFillShade="80"/>
            <w:vAlign w:val="center"/>
            <w:hideMark/>
          </w:tcPr>
          <w:p w:rsidR="00143542" w:rsidRPr="00C1652B" w:rsidRDefault="00143542" w:rsidP="00143542">
            <w:pPr>
              <w:spacing w:after="0" w:line="240" w:lineRule="auto"/>
              <w:jc w:val="center"/>
              <w:rPr>
                <w:rFonts w:ascii="Gadugi" w:eastAsia="Times New Roman" w:hAnsi="Gadugi" w:cstheme="majorHAnsi"/>
                <w:b/>
                <w:bCs/>
                <w:color w:val="FFFFFF"/>
                <w:sz w:val="20"/>
                <w:szCs w:val="20"/>
                <w:lang w:val="es-EC" w:eastAsia="es-EC"/>
              </w:rPr>
            </w:pPr>
            <w:r w:rsidRPr="00C1652B">
              <w:rPr>
                <w:rFonts w:ascii="Gadugi" w:eastAsia="Times New Roman" w:hAnsi="Gadugi" w:cstheme="majorHAnsi"/>
                <w:b/>
                <w:bCs/>
                <w:color w:val="FFFFFF"/>
                <w:sz w:val="20"/>
                <w:szCs w:val="20"/>
                <w:lang w:val="es-EC" w:eastAsia="es-EC"/>
              </w:rPr>
              <w:t xml:space="preserve">VARIABLE </w:t>
            </w:r>
          </w:p>
        </w:tc>
        <w:tc>
          <w:tcPr>
            <w:tcW w:w="0" w:type="auto"/>
            <w:tcBorders>
              <w:top w:val="nil"/>
              <w:left w:val="nil"/>
              <w:bottom w:val="single" w:sz="8" w:space="0" w:color="auto"/>
              <w:right w:val="single" w:sz="4" w:space="0" w:color="auto"/>
            </w:tcBorders>
            <w:shd w:val="clear" w:color="auto" w:fill="222A35" w:themeFill="text2" w:themeFillShade="80"/>
            <w:noWrap/>
            <w:vAlign w:val="center"/>
            <w:hideMark/>
          </w:tcPr>
          <w:p w:rsidR="00143542" w:rsidRPr="00C1652B" w:rsidRDefault="00143542" w:rsidP="00143542">
            <w:pPr>
              <w:spacing w:after="0" w:line="240" w:lineRule="auto"/>
              <w:jc w:val="center"/>
              <w:rPr>
                <w:rFonts w:ascii="Gadugi" w:eastAsia="Times New Roman" w:hAnsi="Gadugi" w:cstheme="majorHAnsi"/>
                <w:b/>
                <w:bCs/>
                <w:color w:val="FFFFFF"/>
                <w:sz w:val="20"/>
                <w:szCs w:val="20"/>
                <w:lang w:val="es-EC" w:eastAsia="es-EC"/>
              </w:rPr>
            </w:pPr>
            <w:r w:rsidRPr="00C1652B">
              <w:rPr>
                <w:rFonts w:ascii="Gadugi" w:eastAsia="Times New Roman" w:hAnsi="Gadugi" w:cstheme="majorHAnsi"/>
                <w:b/>
                <w:bCs/>
                <w:color w:val="FFFFFF"/>
                <w:sz w:val="20"/>
                <w:szCs w:val="20"/>
                <w:lang w:val="es-EC" w:eastAsia="es-EC"/>
              </w:rPr>
              <w:t>DESCRIPCIÓN</w:t>
            </w:r>
          </w:p>
        </w:tc>
        <w:tc>
          <w:tcPr>
            <w:tcW w:w="0" w:type="auto"/>
            <w:tcBorders>
              <w:top w:val="nil"/>
              <w:left w:val="nil"/>
              <w:bottom w:val="single" w:sz="8" w:space="0" w:color="auto"/>
              <w:right w:val="single" w:sz="8" w:space="0" w:color="auto"/>
            </w:tcBorders>
            <w:shd w:val="clear" w:color="auto" w:fill="222A35" w:themeFill="text2" w:themeFillShade="80"/>
            <w:noWrap/>
            <w:vAlign w:val="center"/>
            <w:hideMark/>
          </w:tcPr>
          <w:p w:rsidR="00143542" w:rsidRPr="00C1652B" w:rsidRDefault="00143542" w:rsidP="00143542">
            <w:pPr>
              <w:spacing w:after="0" w:line="240" w:lineRule="auto"/>
              <w:jc w:val="center"/>
              <w:rPr>
                <w:rFonts w:ascii="Gadugi" w:eastAsia="Times New Roman" w:hAnsi="Gadugi" w:cstheme="majorHAnsi"/>
                <w:b/>
                <w:bCs/>
                <w:color w:val="FFFFFF"/>
                <w:sz w:val="20"/>
                <w:szCs w:val="20"/>
                <w:lang w:val="es-EC" w:eastAsia="es-EC"/>
              </w:rPr>
            </w:pPr>
            <w:r w:rsidRPr="00C1652B">
              <w:rPr>
                <w:rFonts w:ascii="Gadugi" w:eastAsia="Times New Roman" w:hAnsi="Gadugi" w:cstheme="majorHAnsi"/>
                <w:b/>
                <w:bCs/>
                <w:color w:val="FFFFFF"/>
                <w:sz w:val="20"/>
                <w:szCs w:val="20"/>
                <w:lang w:val="es-EC" w:eastAsia="es-EC"/>
              </w:rPr>
              <w:t>CRITERIO DE PONDERACIÓN</w:t>
            </w:r>
          </w:p>
        </w:tc>
      </w:tr>
      <w:tr w:rsidR="00143542" w:rsidRPr="00C1652B" w:rsidTr="00177AD2">
        <w:trPr>
          <w:trHeight w:val="900"/>
        </w:trPr>
        <w:tc>
          <w:tcPr>
            <w:tcW w:w="0" w:type="auto"/>
            <w:tcBorders>
              <w:top w:val="nil"/>
              <w:left w:val="single" w:sz="8" w:space="0" w:color="auto"/>
              <w:bottom w:val="single" w:sz="4" w:space="0" w:color="auto"/>
              <w:right w:val="single" w:sz="8" w:space="0" w:color="auto"/>
            </w:tcBorders>
            <w:shd w:val="clear" w:color="auto" w:fill="222A35" w:themeFill="text2" w:themeFillShade="80"/>
            <w:vAlign w:val="center"/>
            <w:hideMark/>
          </w:tcPr>
          <w:p w:rsidR="00143542" w:rsidRPr="00C1652B" w:rsidRDefault="00143542" w:rsidP="00143542">
            <w:pPr>
              <w:spacing w:after="0" w:line="240" w:lineRule="auto"/>
              <w:rPr>
                <w:rFonts w:ascii="Gadugi" w:eastAsia="Times New Roman" w:hAnsi="Gadugi" w:cstheme="majorHAnsi"/>
                <w:b/>
                <w:bCs/>
                <w:color w:val="FFFFFF"/>
                <w:sz w:val="20"/>
                <w:szCs w:val="20"/>
                <w:lang w:val="es-EC" w:eastAsia="es-EC"/>
              </w:rPr>
            </w:pPr>
            <w:r w:rsidRPr="00C1652B">
              <w:rPr>
                <w:rFonts w:ascii="Gadugi" w:eastAsia="Times New Roman" w:hAnsi="Gadugi" w:cstheme="majorHAnsi"/>
                <w:b/>
                <w:bCs/>
                <w:color w:val="FFFFFF"/>
                <w:sz w:val="20"/>
                <w:szCs w:val="20"/>
                <w:lang w:val="es-EC" w:eastAsia="es-EC"/>
              </w:rPr>
              <w:t>Satisfacción del cliente interno (Servidor Municipal)</w:t>
            </w:r>
          </w:p>
        </w:tc>
        <w:tc>
          <w:tcPr>
            <w:tcW w:w="0" w:type="auto"/>
            <w:tcBorders>
              <w:top w:val="nil"/>
              <w:left w:val="nil"/>
              <w:bottom w:val="single" w:sz="4" w:space="0" w:color="auto"/>
              <w:right w:val="single" w:sz="4" w:space="0" w:color="auto"/>
            </w:tcBorders>
            <w:shd w:val="clear" w:color="auto" w:fill="auto"/>
            <w:vAlign w:val="center"/>
            <w:hideMark/>
          </w:tcPr>
          <w:p w:rsidR="00143542" w:rsidRPr="00C1652B" w:rsidRDefault="00143542" w:rsidP="00143542">
            <w:pPr>
              <w:spacing w:after="0" w:line="240" w:lineRule="auto"/>
              <w:rPr>
                <w:rFonts w:ascii="Gadugi" w:eastAsia="Times New Roman" w:hAnsi="Gadugi" w:cstheme="majorHAnsi"/>
                <w:color w:val="000000"/>
                <w:sz w:val="20"/>
                <w:szCs w:val="20"/>
                <w:lang w:val="es-EC" w:eastAsia="es-EC"/>
              </w:rPr>
            </w:pPr>
            <w:r w:rsidRPr="00C1652B">
              <w:rPr>
                <w:rFonts w:ascii="Gadugi" w:eastAsia="Times New Roman" w:hAnsi="Gadugi" w:cstheme="majorHAnsi"/>
                <w:color w:val="000000"/>
                <w:sz w:val="20"/>
                <w:szCs w:val="20"/>
                <w:lang w:val="es-EC" w:eastAsia="es-EC"/>
              </w:rPr>
              <w:t>Medida en la que un proceso interno del Municipio del Distrito Metropolitano de Quito satisface o rebaza las expectativas del servidor municipal que recibe el producto del mismo.</w:t>
            </w:r>
          </w:p>
        </w:tc>
        <w:tc>
          <w:tcPr>
            <w:tcW w:w="0" w:type="auto"/>
            <w:tcBorders>
              <w:top w:val="nil"/>
              <w:left w:val="nil"/>
              <w:bottom w:val="single" w:sz="4" w:space="0" w:color="auto"/>
              <w:right w:val="single" w:sz="8" w:space="0" w:color="auto"/>
            </w:tcBorders>
            <w:shd w:val="clear" w:color="auto" w:fill="auto"/>
            <w:vAlign w:val="center"/>
            <w:hideMark/>
          </w:tcPr>
          <w:p w:rsidR="00143542" w:rsidRPr="00C1652B" w:rsidRDefault="00143542" w:rsidP="00143542">
            <w:pPr>
              <w:spacing w:after="0" w:line="240" w:lineRule="auto"/>
              <w:rPr>
                <w:rFonts w:ascii="Gadugi" w:eastAsia="Times New Roman" w:hAnsi="Gadugi" w:cstheme="majorHAnsi"/>
                <w:color w:val="000000"/>
                <w:sz w:val="20"/>
                <w:szCs w:val="20"/>
                <w:lang w:val="es-EC" w:eastAsia="es-EC"/>
              </w:rPr>
            </w:pPr>
            <w:r w:rsidRPr="00C1652B">
              <w:rPr>
                <w:rFonts w:ascii="Gadugi" w:eastAsia="Times New Roman" w:hAnsi="Gadugi" w:cstheme="majorHAnsi"/>
                <w:color w:val="000000"/>
                <w:sz w:val="20"/>
                <w:szCs w:val="20"/>
                <w:lang w:val="es-EC" w:eastAsia="es-EC"/>
              </w:rPr>
              <w:t>Descendente</w:t>
            </w:r>
            <w:r w:rsidRPr="00C1652B">
              <w:rPr>
                <w:rFonts w:ascii="Gadugi" w:eastAsia="Times New Roman" w:hAnsi="Gadugi" w:cstheme="majorHAnsi"/>
                <w:color w:val="000000"/>
                <w:sz w:val="20"/>
                <w:szCs w:val="20"/>
                <w:lang w:val="es-EC" w:eastAsia="es-EC"/>
              </w:rPr>
              <w:br/>
              <w:t>(10 si está insatisfecho, hasta 1 si está muy satisfecho)</w:t>
            </w:r>
          </w:p>
        </w:tc>
      </w:tr>
      <w:tr w:rsidR="00143542" w:rsidRPr="00C1652B" w:rsidTr="00177AD2">
        <w:trPr>
          <w:trHeight w:val="900"/>
        </w:trPr>
        <w:tc>
          <w:tcPr>
            <w:tcW w:w="0" w:type="auto"/>
            <w:tcBorders>
              <w:top w:val="nil"/>
              <w:left w:val="single" w:sz="8" w:space="0" w:color="auto"/>
              <w:bottom w:val="single" w:sz="4" w:space="0" w:color="auto"/>
              <w:right w:val="single" w:sz="8" w:space="0" w:color="auto"/>
            </w:tcBorders>
            <w:shd w:val="clear" w:color="auto" w:fill="222A35" w:themeFill="text2" w:themeFillShade="80"/>
            <w:vAlign w:val="center"/>
            <w:hideMark/>
          </w:tcPr>
          <w:p w:rsidR="00143542" w:rsidRPr="00C1652B" w:rsidRDefault="00143542" w:rsidP="00143542">
            <w:pPr>
              <w:spacing w:after="0" w:line="240" w:lineRule="auto"/>
              <w:rPr>
                <w:rFonts w:ascii="Gadugi" w:eastAsia="Times New Roman" w:hAnsi="Gadugi" w:cstheme="majorHAnsi"/>
                <w:b/>
                <w:bCs/>
                <w:color w:val="FFFFFF"/>
                <w:sz w:val="20"/>
                <w:szCs w:val="20"/>
                <w:lang w:val="es-EC" w:eastAsia="es-EC"/>
              </w:rPr>
            </w:pPr>
            <w:r w:rsidRPr="00C1652B">
              <w:rPr>
                <w:rFonts w:ascii="Gadugi" w:eastAsia="Times New Roman" w:hAnsi="Gadugi" w:cstheme="majorHAnsi"/>
                <w:b/>
                <w:bCs/>
                <w:color w:val="FFFFFF"/>
                <w:sz w:val="20"/>
                <w:szCs w:val="20"/>
                <w:lang w:val="es-EC" w:eastAsia="es-EC"/>
              </w:rPr>
              <w:t>Cultura organizativa orientada a la administración por procesos</w:t>
            </w:r>
          </w:p>
        </w:tc>
        <w:tc>
          <w:tcPr>
            <w:tcW w:w="0" w:type="auto"/>
            <w:tcBorders>
              <w:top w:val="nil"/>
              <w:left w:val="nil"/>
              <w:bottom w:val="single" w:sz="4" w:space="0" w:color="auto"/>
              <w:right w:val="single" w:sz="4" w:space="0" w:color="auto"/>
            </w:tcBorders>
            <w:shd w:val="clear" w:color="auto" w:fill="auto"/>
            <w:vAlign w:val="center"/>
            <w:hideMark/>
          </w:tcPr>
          <w:p w:rsidR="00143542" w:rsidRPr="00C1652B" w:rsidRDefault="00143542" w:rsidP="00143542">
            <w:pPr>
              <w:spacing w:after="0" w:line="240" w:lineRule="auto"/>
              <w:rPr>
                <w:rFonts w:ascii="Gadugi" w:eastAsia="Times New Roman" w:hAnsi="Gadugi" w:cstheme="majorHAnsi"/>
                <w:color w:val="000000"/>
                <w:sz w:val="20"/>
                <w:szCs w:val="20"/>
                <w:lang w:val="es-EC" w:eastAsia="es-EC"/>
              </w:rPr>
            </w:pPr>
            <w:r w:rsidRPr="00C1652B">
              <w:rPr>
                <w:rFonts w:ascii="Gadugi" w:eastAsia="Times New Roman" w:hAnsi="Gadugi" w:cstheme="majorHAnsi"/>
                <w:color w:val="000000"/>
                <w:sz w:val="20"/>
                <w:szCs w:val="20"/>
                <w:lang w:val="es-EC" w:eastAsia="es-EC"/>
              </w:rPr>
              <w:t>Nivel de entendimiento, contribución y compromiso con la administración por procesos.</w:t>
            </w:r>
          </w:p>
        </w:tc>
        <w:tc>
          <w:tcPr>
            <w:tcW w:w="0" w:type="auto"/>
            <w:tcBorders>
              <w:top w:val="nil"/>
              <w:left w:val="nil"/>
              <w:bottom w:val="single" w:sz="4" w:space="0" w:color="auto"/>
              <w:right w:val="single" w:sz="8" w:space="0" w:color="auto"/>
            </w:tcBorders>
            <w:shd w:val="clear" w:color="auto" w:fill="auto"/>
            <w:vAlign w:val="center"/>
            <w:hideMark/>
          </w:tcPr>
          <w:p w:rsidR="00143542" w:rsidRPr="00C1652B" w:rsidRDefault="00143542" w:rsidP="00143542">
            <w:pPr>
              <w:spacing w:after="0" w:line="240" w:lineRule="auto"/>
              <w:rPr>
                <w:rFonts w:ascii="Gadugi" w:eastAsia="Times New Roman" w:hAnsi="Gadugi" w:cstheme="majorHAnsi"/>
                <w:color w:val="000000"/>
                <w:sz w:val="20"/>
                <w:szCs w:val="20"/>
                <w:lang w:val="es-EC" w:eastAsia="es-EC"/>
              </w:rPr>
            </w:pPr>
            <w:r w:rsidRPr="00C1652B">
              <w:rPr>
                <w:rFonts w:ascii="Gadugi" w:eastAsia="Times New Roman" w:hAnsi="Gadugi" w:cstheme="majorHAnsi"/>
                <w:color w:val="000000"/>
                <w:sz w:val="20"/>
                <w:szCs w:val="20"/>
                <w:lang w:val="es-EC" w:eastAsia="es-EC"/>
              </w:rPr>
              <w:t>Ascendente</w:t>
            </w:r>
            <w:r w:rsidRPr="00C1652B">
              <w:rPr>
                <w:rFonts w:ascii="Gadugi" w:eastAsia="Times New Roman" w:hAnsi="Gadugi" w:cstheme="majorHAnsi"/>
                <w:color w:val="000000"/>
                <w:sz w:val="20"/>
                <w:szCs w:val="20"/>
                <w:lang w:val="es-EC" w:eastAsia="es-EC"/>
              </w:rPr>
              <w:br/>
              <w:t>(1 si no existe cultura, hasta 10 si existe cultura)</w:t>
            </w:r>
          </w:p>
        </w:tc>
      </w:tr>
      <w:tr w:rsidR="00143542" w:rsidRPr="00C1652B" w:rsidTr="00177AD2">
        <w:trPr>
          <w:trHeight w:val="1200"/>
        </w:trPr>
        <w:tc>
          <w:tcPr>
            <w:tcW w:w="0" w:type="auto"/>
            <w:tcBorders>
              <w:top w:val="nil"/>
              <w:left w:val="single" w:sz="8" w:space="0" w:color="auto"/>
              <w:bottom w:val="single" w:sz="4" w:space="0" w:color="auto"/>
              <w:right w:val="single" w:sz="8" w:space="0" w:color="auto"/>
            </w:tcBorders>
            <w:shd w:val="clear" w:color="auto" w:fill="222A35" w:themeFill="text2" w:themeFillShade="80"/>
            <w:vAlign w:val="center"/>
            <w:hideMark/>
          </w:tcPr>
          <w:p w:rsidR="00143542" w:rsidRPr="00C1652B" w:rsidRDefault="00143542" w:rsidP="00143542">
            <w:pPr>
              <w:spacing w:after="0" w:line="240" w:lineRule="auto"/>
              <w:rPr>
                <w:rFonts w:ascii="Gadugi" w:eastAsia="Times New Roman" w:hAnsi="Gadugi" w:cstheme="majorHAnsi"/>
                <w:b/>
                <w:bCs/>
                <w:color w:val="FFFFFF"/>
                <w:sz w:val="20"/>
                <w:szCs w:val="20"/>
                <w:lang w:val="es-EC" w:eastAsia="es-EC"/>
              </w:rPr>
            </w:pPr>
            <w:r w:rsidRPr="00C1652B">
              <w:rPr>
                <w:rFonts w:ascii="Gadugi" w:eastAsia="Times New Roman" w:hAnsi="Gadugi" w:cstheme="majorHAnsi"/>
                <w:b/>
                <w:bCs/>
                <w:color w:val="FFFFFF"/>
                <w:sz w:val="20"/>
                <w:szCs w:val="20"/>
                <w:lang w:val="es-EC" w:eastAsia="es-EC"/>
              </w:rPr>
              <w:t>Nivel de documentación del proceso</w:t>
            </w:r>
          </w:p>
        </w:tc>
        <w:tc>
          <w:tcPr>
            <w:tcW w:w="0" w:type="auto"/>
            <w:tcBorders>
              <w:top w:val="nil"/>
              <w:left w:val="nil"/>
              <w:bottom w:val="single" w:sz="4" w:space="0" w:color="auto"/>
              <w:right w:val="single" w:sz="4" w:space="0" w:color="auto"/>
            </w:tcBorders>
            <w:shd w:val="clear" w:color="auto" w:fill="auto"/>
            <w:vAlign w:val="center"/>
            <w:hideMark/>
          </w:tcPr>
          <w:p w:rsidR="00143542" w:rsidRPr="00C1652B" w:rsidRDefault="00143542" w:rsidP="00143542">
            <w:pPr>
              <w:spacing w:after="0" w:line="240" w:lineRule="auto"/>
              <w:rPr>
                <w:rFonts w:ascii="Gadugi" w:eastAsia="Times New Roman" w:hAnsi="Gadugi" w:cstheme="majorHAnsi"/>
                <w:color w:val="000000"/>
                <w:sz w:val="20"/>
                <w:szCs w:val="20"/>
                <w:lang w:val="es-EC" w:eastAsia="es-EC"/>
              </w:rPr>
            </w:pPr>
            <w:r w:rsidRPr="00C1652B">
              <w:rPr>
                <w:rFonts w:ascii="Gadugi" w:eastAsia="Times New Roman" w:hAnsi="Gadugi" w:cstheme="majorHAnsi"/>
                <w:color w:val="000000"/>
                <w:sz w:val="20"/>
                <w:szCs w:val="20"/>
                <w:lang w:val="es-EC" w:eastAsia="es-EC"/>
              </w:rPr>
              <w:t>Cantidad de documentación física y digital con la que cuenta el Municipio del Distrito Metropolitano de Quito respecto al proceso.</w:t>
            </w:r>
          </w:p>
        </w:tc>
        <w:tc>
          <w:tcPr>
            <w:tcW w:w="0" w:type="auto"/>
            <w:tcBorders>
              <w:top w:val="nil"/>
              <w:left w:val="nil"/>
              <w:bottom w:val="single" w:sz="4" w:space="0" w:color="auto"/>
              <w:right w:val="single" w:sz="8" w:space="0" w:color="auto"/>
            </w:tcBorders>
            <w:shd w:val="clear" w:color="auto" w:fill="auto"/>
            <w:vAlign w:val="center"/>
            <w:hideMark/>
          </w:tcPr>
          <w:p w:rsidR="00143542" w:rsidRPr="00C1652B" w:rsidRDefault="00143542" w:rsidP="00143542">
            <w:pPr>
              <w:spacing w:after="0" w:line="240" w:lineRule="auto"/>
              <w:rPr>
                <w:rFonts w:ascii="Gadugi" w:eastAsia="Times New Roman" w:hAnsi="Gadugi" w:cstheme="majorHAnsi"/>
                <w:color w:val="000000"/>
                <w:sz w:val="20"/>
                <w:szCs w:val="20"/>
                <w:lang w:val="es-EC" w:eastAsia="es-EC"/>
              </w:rPr>
            </w:pPr>
            <w:r w:rsidRPr="00C1652B">
              <w:rPr>
                <w:rFonts w:ascii="Gadugi" w:eastAsia="Times New Roman" w:hAnsi="Gadugi" w:cstheme="majorHAnsi"/>
                <w:color w:val="000000"/>
                <w:sz w:val="20"/>
                <w:szCs w:val="20"/>
                <w:lang w:val="es-EC" w:eastAsia="es-EC"/>
              </w:rPr>
              <w:t>Ascendente</w:t>
            </w:r>
            <w:r w:rsidRPr="00C1652B">
              <w:rPr>
                <w:rFonts w:ascii="Gadugi" w:eastAsia="Times New Roman" w:hAnsi="Gadugi" w:cstheme="majorHAnsi"/>
                <w:color w:val="000000"/>
                <w:sz w:val="20"/>
                <w:szCs w:val="20"/>
                <w:lang w:val="es-EC" w:eastAsia="es-EC"/>
              </w:rPr>
              <w:br/>
              <w:t>(1 si no existe documentación, hasta 10 si está completamente documentado)</w:t>
            </w:r>
          </w:p>
        </w:tc>
      </w:tr>
      <w:tr w:rsidR="00143542" w:rsidRPr="00C1652B" w:rsidTr="00177AD2">
        <w:trPr>
          <w:trHeight w:val="600"/>
        </w:trPr>
        <w:tc>
          <w:tcPr>
            <w:tcW w:w="0" w:type="auto"/>
            <w:tcBorders>
              <w:top w:val="nil"/>
              <w:left w:val="single" w:sz="8" w:space="0" w:color="auto"/>
              <w:bottom w:val="single" w:sz="4" w:space="0" w:color="auto"/>
              <w:right w:val="single" w:sz="8" w:space="0" w:color="auto"/>
            </w:tcBorders>
            <w:shd w:val="clear" w:color="auto" w:fill="222A35" w:themeFill="text2" w:themeFillShade="80"/>
            <w:vAlign w:val="center"/>
            <w:hideMark/>
          </w:tcPr>
          <w:p w:rsidR="00143542" w:rsidRPr="00C1652B" w:rsidRDefault="00143542" w:rsidP="00143542">
            <w:pPr>
              <w:spacing w:after="0" w:line="240" w:lineRule="auto"/>
              <w:rPr>
                <w:rFonts w:ascii="Gadugi" w:eastAsia="Times New Roman" w:hAnsi="Gadugi" w:cstheme="majorHAnsi"/>
                <w:b/>
                <w:bCs/>
                <w:color w:val="FFFFFF"/>
                <w:sz w:val="20"/>
                <w:szCs w:val="20"/>
                <w:lang w:val="es-EC" w:eastAsia="es-EC"/>
              </w:rPr>
            </w:pPr>
            <w:r w:rsidRPr="00C1652B">
              <w:rPr>
                <w:rFonts w:ascii="Gadugi" w:eastAsia="Times New Roman" w:hAnsi="Gadugi" w:cstheme="majorHAnsi"/>
                <w:b/>
                <w:bCs/>
                <w:color w:val="FFFFFF"/>
                <w:sz w:val="20"/>
                <w:szCs w:val="20"/>
                <w:lang w:val="es-EC" w:eastAsia="es-EC"/>
              </w:rPr>
              <w:t xml:space="preserve">Tiempo de ciclo </w:t>
            </w:r>
          </w:p>
        </w:tc>
        <w:tc>
          <w:tcPr>
            <w:tcW w:w="0" w:type="auto"/>
            <w:tcBorders>
              <w:top w:val="nil"/>
              <w:left w:val="nil"/>
              <w:bottom w:val="single" w:sz="4" w:space="0" w:color="auto"/>
              <w:right w:val="single" w:sz="4" w:space="0" w:color="auto"/>
            </w:tcBorders>
            <w:shd w:val="clear" w:color="auto" w:fill="auto"/>
            <w:vAlign w:val="center"/>
            <w:hideMark/>
          </w:tcPr>
          <w:p w:rsidR="00143542" w:rsidRPr="00C1652B" w:rsidRDefault="00143542" w:rsidP="00143542">
            <w:pPr>
              <w:spacing w:after="0" w:line="240" w:lineRule="auto"/>
              <w:rPr>
                <w:rFonts w:ascii="Gadugi" w:eastAsia="Times New Roman" w:hAnsi="Gadugi" w:cstheme="majorHAnsi"/>
                <w:color w:val="000000"/>
                <w:sz w:val="20"/>
                <w:szCs w:val="20"/>
                <w:lang w:val="es-EC" w:eastAsia="es-EC"/>
              </w:rPr>
            </w:pPr>
            <w:r w:rsidRPr="00C1652B">
              <w:rPr>
                <w:rFonts w:ascii="Gadugi" w:eastAsia="Times New Roman" w:hAnsi="Gadugi" w:cstheme="majorHAnsi"/>
                <w:color w:val="000000"/>
                <w:sz w:val="20"/>
                <w:szCs w:val="20"/>
                <w:lang w:val="es-EC" w:eastAsia="es-EC"/>
              </w:rPr>
              <w:t xml:space="preserve">Tiempo que toma la ejecución del proceso a partir de la activación del </w:t>
            </w:r>
            <w:r w:rsidRPr="00C1652B">
              <w:rPr>
                <w:rFonts w:ascii="Gadugi" w:eastAsia="Times New Roman" w:hAnsi="Gadugi" w:cstheme="majorHAnsi"/>
                <w:color w:val="000000"/>
                <w:sz w:val="20"/>
                <w:szCs w:val="20"/>
                <w:lang w:val="es-EC" w:eastAsia="es-EC"/>
              </w:rPr>
              <w:lastRenderedPageBreak/>
              <w:t>mismo hasta la entrega del producto.</w:t>
            </w:r>
          </w:p>
        </w:tc>
        <w:tc>
          <w:tcPr>
            <w:tcW w:w="0" w:type="auto"/>
            <w:tcBorders>
              <w:top w:val="nil"/>
              <w:left w:val="nil"/>
              <w:bottom w:val="single" w:sz="4" w:space="0" w:color="auto"/>
              <w:right w:val="single" w:sz="8" w:space="0" w:color="auto"/>
            </w:tcBorders>
            <w:shd w:val="clear" w:color="auto" w:fill="auto"/>
            <w:vAlign w:val="center"/>
            <w:hideMark/>
          </w:tcPr>
          <w:p w:rsidR="00143542" w:rsidRPr="00C1652B" w:rsidRDefault="00143542" w:rsidP="00143542">
            <w:pPr>
              <w:spacing w:after="0" w:line="240" w:lineRule="auto"/>
              <w:rPr>
                <w:rFonts w:ascii="Gadugi" w:eastAsia="Times New Roman" w:hAnsi="Gadugi" w:cstheme="majorHAnsi"/>
                <w:color w:val="000000"/>
                <w:sz w:val="20"/>
                <w:szCs w:val="20"/>
                <w:lang w:val="es-EC" w:eastAsia="es-EC"/>
              </w:rPr>
            </w:pPr>
            <w:r w:rsidRPr="00C1652B">
              <w:rPr>
                <w:rFonts w:ascii="Gadugi" w:eastAsia="Times New Roman" w:hAnsi="Gadugi" w:cstheme="majorHAnsi"/>
                <w:color w:val="000000"/>
                <w:sz w:val="20"/>
                <w:szCs w:val="20"/>
                <w:lang w:val="es-EC" w:eastAsia="es-EC"/>
              </w:rPr>
              <w:lastRenderedPageBreak/>
              <w:t xml:space="preserve">Ascendente </w:t>
            </w:r>
            <w:r w:rsidRPr="00C1652B">
              <w:rPr>
                <w:rFonts w:ascii="Gadugi" w:eastAsia="Times New Roman" w:hAnsi="Gadugi" w:cstheme="majorHAnsi"/>
                <w:color w:val="000000"/>
                <w:sz w:val="20"/>
                <w:szCs w:val="20"/>
                <w:lang w:val="es-EC" w:eastAsia="es-EC"/>
              </w:rPr>
              <w:br/>
              <w:t>(1 si es bajo, hasta 10 si es alto)</w:t>
            </w:r>
          </w:p>
        </w:tc>
      </w:tr>
      <w:tr w:rsidR="00143542" w:rsidRPr="00C1652B" w:rsidTr="00177AD2">
        <w:trPr>
          <w:trHeight w:val="915"/>
        </w:trPr>
        <w:tc>
          <w:tcPr>
            <w:tcW w:w="0" w:type="auto"/>
            <w:tcBorders>
              <w:top w:val="nil"/>
              <w:left w:val="single" w:sz="8" w:space="0" w:color="auto"/>
              <w:bottom w:val="single" w:sz="8" w:space="0" w:color="auto"/>
              <w:right w:val="single" w:sz="8" w:space="0" w:color="auto"/>
            </w:tcBorders>
            <w:shd w:val="clear" w:color="auto" w:fill="222A35" w:themeFill="text2" w:themeFillShade="80"/>
            <w:vAlign w:val="center"/>
            <w:hideMark/>
          </w:tcPr>
          <w:p w:rsidR="00143542" w:rsidRPr="00C1652B" w:rsidRDefault="00143542" w:rsidP="00143542">
            <w:pPr>
              <w:spacing w:after="0" w:line="240" w:lineRule="auto"/>
              <w:rPr>
                <w:rFonts w:ascii="Gadugi" w:eastAsia="Times New Roman" w:hAnsi="Gadugi" w:cstheme="majorHAnsi"/>
                <w:b/>
                <w:bCs/>
                <w:color w:val="FFFFFF"/>
                <w:sz w:val="20"/>
                <w:szCs w:val="20"/>
                <w:lang w:val="es-EC" w:eastAsia="es-EC"/>
              </w:rPr>
            </w:pPr>
            <w:r w:rsidRPr="00C1652B">
              <w:rPr>
                <w:rFonts w:ascii="Gadugi" w:eastAsia="Times New Roman" w:hAnsi="Gadugi" w:cstheme="majorHAnsi"/>
                <w:b/>
                <w:bCs/>
                <w:color w:val="FFFFFF"/>
                <w:sz w:val="20"/>
                <w:szCs w:val="20"/>
                <w:lang w:val="es-EC" w:eastAsia="es-EC"/>
              </w:rPr>
              <w:lastRenderedPageBreak/>
              <w:t>Grado de soporte tecnológico</w:t>
            </w:r>
          </w:p>
        </w:tc>
        <w:tc>
          <w:tcPr>
            <w:tcW w:w="0" w:type="auto"/>
            <w:tcBorders>
              <w:top w:val="nil"/>
              <w:left w:val="nil"/>
              <w:bottom w:val="single" w:sz="8" w:space="0" w:color="auto"/>
              <w:right w:val="single" w:sz="4" w:space="0" w:color="auto"/>
            </w:tcBorders>
            <w:shd w:val="clear" w:color="auto" w:fill="auto"/>
            <w:vAlign w:val="center"/>
            <w:hideMark/>
          </w:tcPr>
          <w:p w:rsidR="00143542" w:rsidRPr="00C1652B" w:rsidRDefault="00143542" w:rsidP="00143542">
            <w:pPr>
              <w:spacing w:after="0" w:line="240" w:lineRule="auto"/>
              <w:rPr>
                <w:rFonts w:ascii="Gadugi" w:eastAsia="Times New Roman" w:hAnsi="Gadugi" w:cstheme="majorHAnsi"/>
                <w:color w:val="000000"/>
                <w:sz w:val="20"/>
                <w:szCs w:val="20"/>
                <w:lang w:val="es-EC" w:eastAsia="es-EC"/>
              </w:rPr>
            </w:pPr>
            <w:r w:rsidRPr="00C1652B">
              <w:rPr>
                <w:rFonts w:ascii="Gadugi" w:eastAsia="Times New Roman" w:hAnsi="Gadugi" w:cstheme="majorHAnsi"/>
                <w:color w:val="000000"/>
                <w:sz w:val="20"/>
                <w:szCs w:val="20"/>
                <w:lang w:val="es-EC" w:eastAsia="es-EC"/>
              </w:rPr>
              <w:t xml:space="preserve">La ejecución del proceso se encuentra soportado por tecnologías de la información, existen bases de datos, sistemas, automatizaciones o </w:t>
            </w:r>
            <w:proofErr w:type="spellStart"/>
            <w:r w:rsidRPr="00C1652B">
              <w:rPr>
                <w:rFonts w:ascii="Gadugi" w:eastAsia="Times New Roman" w:hAnsi="Gadugi" w:cstheme="majorHAnsi"/>
                <w:color w:val="000000"/>
                <w:sz w:val="20"/>
                <w:szCs w:val="20"/>
                <w:lang w:val="es-EC" w:eastAsia="es-EC"/>
              </w:rPr>
              <w:t>semiautomatizaciones</w:t>
            </w:r>
            <w:proofErr w:type="spellEnd"/>
            <w:r w:rsidRPr="00C1652B">
              <w:rPr>
                <w:rFonts w:ascii="Gadugi" w:eastAsia="Times New Roman" w:hAnsi="Gadugi" w:cstheme="majorHAnsi"/>
                <w:color w:val="000000"/>
                <w:sz w:val="20"/>
                <w:szCs w:val="20"/>
                <w:lang w:val="es-EC" w:eastAsia="es-EC"/>
              </w:rPr>
              <w:t xml:space="preserve"> particulares para el proceso.</w:t>
            </w:r>
          </w:p>
        </w:tc>
        <w:tc>
          <w:tcPr>
            <w:tcW w:w="0" w:type="auto"/>
            <w:tcBorders>
              <w:top w:val="nil"/>
              <w:left w:val="nil"/>
              <w:bottom w:val="single" w:sz="8" w:space="0" w:color="auto"/>
              <w:right w:val="single" w:sz="8" w:space="0" w:color="auto"/>
            </w:tcBorders>
            <w:shd w:val="clear" w:color="auto" w:fill="auto"/>
            <w:vAlign w:val="center"/>
            <w:hideMark/>
          </w:tcPr>
          <w:p w:rsidR="00143542" w:rsidRPr="00C1652B" w:rsidRDefault="00143542" w:rsidP="00143542">
            <w:pPr>
              <w:spacing w:after="0" w:line="240" w:lineRule="auto"/>
              <w:rPr>
                <w:rFonts w:ascii="Gadugi" w:eastAsia="Times New Roman" w:hAnsi="Gadugi" w:cstheme="majorHAnsi"/>
                <w:color w:val="000000"/>
                <w:sz w:val="20"/>
                <w:szCs w:val="20"/>
                <w:lang w:val="es-EC" w:eastAsia="es-EC"/>
              </w:rPr>
            </w:pPr>
            <w:r w:rsidRPr="00C1652B">
              <w:rPr>
                <w:rFonts w:ascii="Gadugi" w:eastAsia="Times New Roman" w:hAnsi="Gadugi" w:cstheme="majorHAnsi"/>
                <w:color w:val="000000"/>
                <w:sz w:val="20"/>
                <w:szCs w:val="20"/>
                <w:lang w:val="es-EC" w:eastAsia="es-EC"/>
              </w:rPr>
              <w:t xml:space="preserve">Ascendente </w:t>
            </w:r>
            <w:r w:rsidRPr="00C1652B">
              <w:rPr>
                <w:rFonts w:ascii="Gadugi" w:eastAsia="Times New Roman" w:hAnsi="Gadugi" w:cstheme="majorHAnsi"/>
                <w:color w:val="000000"/>
                <w:sz w:val="20"/>
                <w:szCs w:val="20"/>
                <w:lang w:val="es-EC" w:eastAsia="es-EC"/>
              </w:rPr>
              <w:br/>
              <w:t>(1 si es bajo, hasta 10 si es alto)</w:t>
            </w:r>
          </w:p>
        </w:tc>
      </w:tr>
      <w:tr w:rsidR="00143542" w:rsidRPr="00C1652B" w:rsidTr="00177AD2">
        <w:trPr>
          <w:trHeight w:val="1381"/>
        </w:trPr>
        <w:tc>
          <w:tcPr>
            <w:tcW w:w="0" w:type="auto"/>
            <w:tcBorders>
              <w:top w:val="single" w:sz="4" w:space="0" w:color="auto"/>
              <w:left w:val="single" w:sz="8" w:space="0" w:color="auto"/>
              <w:bottom w:val="single" w:sz="8" w:space="0" w:color="auto"/>
              <w:right w:val="single" w:sz="8" w:space="0" w:color="auto"/>
            </w:tcBorders>
            <w:shd w:val="clear" w:color="auto" w:fill="222A35" w:themeFill="text2" w:themeFillShade="80"/>
            <w:vAlign w:val="center"/>
            <w:hideMark/>
          </w:tcPr>
          <w:p w:rsidR="00143542" w:rsidRPr="00C1652B" w:rsidRDefault="00143542" w:rsidP="00143542">
            <w:pPr>
              <w:spacing w:after="0" w:line="240" w:lineRule="auto"/>
              <w:rPr>
                <w:rFonts w:ascii="Gadugi" w:eastAsia="Times New Roman" w:hAnsi="Gadugi" w:cstheme="majorHAnsi"/>
                <w:b/>
                <w:bCs/>
                <w:color w:val="FFFFFF"/>
                <w:sz w:val="20"/>
                <w:szCs w:val="20"/>
                <w:lang w:val="es-EC" w:eastAsia="es-EC"/>
              </w:rPr>
            </w:pPr>
            <w:r w:rsidRPr="00C1652B">
              <w:rPr>
                <w:rFonts w:ascii="Gadugi" w:eastAsia="Times New Roman" w:hAnsi="Gadugi" w:cstheme="majorHAnsi"/>
                <w:b/>
                <w:bCs/>
                <w:color w:val="FFFFFF"/>
                <w:sz w:val="20"/>
                <w:szCs w:val="20"/>
                <w:lang w:val="es-EC" w:eastAsia="es-EC"/>
              </w:rPr>
              <w:t>Grado de automatización</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143542" w:rsidRPr="00C1652B" w:rsidRDefault="00143542" w:rsidP="00143542">
            <w:pPr>
              <w:spacing w:after="0" w:line="240" w:lineRule="auto"/>
              <w:rPr>
                <w:rFonts w:ascii="Gadugi" w:eastAsia="Times New Roman" w:hAnsi="Gadugi" w:cstheme="majorHAnsi"/>
                <w:color w:val="000000"/>
                <w:sz w:val="20"/>
                <w:szCs w:val="20"/>
                <w:lang w:val="es-EC" w:eastAsia="es-EC"/>
              </w:rPr>
            </w:pPr>
            <w:r w:rsidRPr="00C1652B">
              <w:rPr>
                <w:rFonts w:ascii="Gadugi" w:eastAsia="Times New Roman" w:hAnsi="Gadugi" w:cstheme="majorHAnsi"/>
                <w:color w:val="000000"/>
                <w:sz w:val="20"/>
                <w:szCs w:val="20"/>
                <w:lang w:val="es-EC" w:eastAsia="es-EC"/>
              </w:rPr>
              <w:t>Nivel de automatización del proceso, se define en función del grado en el que se encuentra soportado el servicio por sistemas de la información.</w:t>
            </w:r>
          </w:p>
        </w:tc>
        <w:tc>
          <w:tcPr>
            <w:tcW w:w="0" w:type="auto"/>
            <w:tcBorders>
              <w:top w:val="nil"/>
              <w:left w:val="nil"/>
              <w:bottom w:val="single" w:sz="8" w:space="0" w:color="auto"/>
              <w:right w:val="single" w:sz="8" w:space="0" w:color="auto"/>
            </w:tcBorders>
            <w:shd w:val="clear" w:color="auto" w:fill="auto"/>
            <w:vAlign w:val="center"/>
            <w:hideMark/>
          </w:tcPr>
          <w:p w:rsidR="00143542" w:rsidRPr="00C1652B" w:rsidRDefault="00143542" w:rsidP="00143542">
            <w:pPr>
              <w:spacing w:after="0" w:line="240" w:lineRule="auto"/>
              <w:rPr>
                <w:rFonts w:ascii="Gadugi" w:eastAsia="Times New Roman" w:hAnsi="Gadugi" w:cstheme="majorHAnsi"/>
                <w:color w:val="000000"/>
                <w:sz w:val="20"/>
                <w:szCs w:val="20"/>
                <w:lang w:val="es-EC" w:eastAsia="es-EC"/>
              </w:rPr>
            </w:pPr>
            <w:r w:rsidRPr="00C1652B">
              <w:rPr>
                <w:rFonts w:ascii="Gadugi" w:eastAsia="Times New Roman" w:hAnsi="Gadugi" w:cstheme="majorHAnsi"/>
                <w:color w:val="000000"/>
                <w:sz w:val="20"/>
                <w:szCs w:val="20"/>
                <w:lang w:val="es-EC" w:eastAsia="es-EC"/>
              </w:rPr>
              <w:t>Descendente</w:t>
            </w:r>
            <w:r w:rsidRPr="00C1652B">
              <w:rPr>
                <w:rFonts w:ascii="Gadugi" w:eastAsia="Times New Roman" w:hAnsi="Gadugi" w:cstheme="majorHAnsi"/>
                <w:color w:val="000000"/>
                <w:sz w:val="20"/>
                <w:szCs w:val="20"/>
                <w:lang w:val="es-EC" w:eastAsia="es-EC"/>
              </w:rPr>
              <w:br/>
              <w:t>(10 si se encuentra ejecutado de forma completamente manual, 5 si está automatizado de forma parcial o semi-automatizado, 1 si está completamente automatizado)</w:t>
            </w:r>
          </w:p>
        </w:tc>
      </w:tr>
    </w:tbl>
    <w:p w:rsidR="00522EA8" w:rsidRPr="00C1652B" w:rsidRDefault="00522EA8" w:rsidP="009C1B56">
      <w:pPr>
        <w:jc w:val="both"/>
        <w:rPr>
          <w:rFonts w:ascii="Gadugi" w:hAnsi="Gadugi"/>
        </w:rPr>
      </w:pPr>
    </w:p>
    <w:p w:rsidR="00143542" w:rsidRDefault="00143542" w:rsidP="007941B3">
      <w:pPr>
        <w:pStyle w:val="Prrafodelista"/>
        <w:numPr>
          <w:ilvl w:val="1"/>
          <w:numId w:val="6"/>
        </w:numPr>
        <w:jc w:val="both"/>
        <w:outlineLvl w:val="1"/>
        <w:rPr>
          <w:rFonts w:ascii="Gadugi" w:hAnsi="Gadugi"/>
          <w:b/>
          <w:sz w:val="20"/>
          <w:szCs w:val="24"/>
        </w:rPr>
      </w:pPr>
      <w:bookmarkStart w:id="8" w:name="_Toc483474889"/>
      <w:r w:rsidRPr="00E56391">
        <w:rPr>
          <w:rFonts w:ascii="Gadugi" w:hAnsi="Gadugi"/>
          <w:b/>
          <w:sz w:val="20"/>
          <w:szCs w:val="24"/>
        </w:rPr>
        <w:t>Matriz de Priorización final Propuesta</w:t>
      </w:r>
      <w:bookmarkEnd w:id="8"/>
    </w:p>
    <w:p w:rsidR="00E56391" w:rsidRPr="00E56391" w:rsidRDefault="00E56391" w:rsidP="00E56391">
      <w:pPr>
        <w:pStyle w:val="Prrafodelista"/>
        <w:jc w:val="both"/>
        <w:outlineLvl w:val="1"/>
        <w:rPr>
          <w:rFonts w:ascii="Gadugi" w:hAnsi="Gadugi"/>
          <w:b/>
          <w:sz w:val="20"/>
          <w:szCs w:val="24"/>
        </w:rPr>
      </w:pPr>
    </w:p>
    <w:tbl>
      <w:tblPr>
        <w:tblW w:w="9783" w:type="dxa"/>
        <w:tblInd w:w="190" w:type="dxa"/>
        <w:tblLayout w:type="fixed"/>
        <w:tblCellMar>
          <w:left w:w="70" w:type="dxa"/>
          <w:right w:w="70" w:type="dxa"/>
        </w:tblCellMar>
        <w:tblLook w:val="04A0" w:firstRow="1" w:lastRow="0" w:firstColumn="1" w:lastColumn="0" w:noHBand="0" w:noVBand="1"/>
      </w:tblPr>
      <w:tblGrid>
        <w:gridCol w:w="963"/>
        <w:gridCol w:w="1265"/>
        <w:gridCol w:w="1398"/>
        <w:gridCol w:w="1519"/>
        <w:gridCol w:w="841"/>
        <w:gridCol w:w="1114"/>
        <w:gridCol w:w="668"/>
        <w:gridCol w:w="773"/>
        <w:gridCol w:w="58"/>
        <w:gridCol w:w="1144"/>
        <w:gridCol w:w="40"/>
      </w:tblGrid>
      <w:tr w:rsidR="00143542" w:rsidRPr="00E56391" w:rsidTr="00177AD2">
        <w:trPr>
          <w:gridAfter w:val="1"/>
          <w:wAfter w:w="40" w:type="dxa"/>
          <w:trHeight w:val="315"/>
        </w:trPr>
        <w:tc>
          <w:tcPr>
            <w:tcW w:w="963" w:type="dxa"/>
            <w:tcBorders>
              <w:top w:val="nil"/>
              <w:left w:val="nil"/>
              <w:bottom w:val="nil"/>
              <w:right w:val="nil"/>
            </w:tcBorders>
            <w:shd w:val="clear" w:color="auto" w:fill="auto"/>
            <w:noWrap/>
            <w:vAlign w:val="bottom"/>
            <w:hideMark/>
          </w:tcPr>
          <w:p w:rsidR="00143542" w:rsidRPr="00E56391" w:rsidRDefault="00143542" w:rsidP="00143542">
            <w:pPr>
              <w:spacing w:after="0" w:line="240" w:lineRule="auto"/>
              <w:rPr>
                <w:rFonts w:ascii="Gadugi" w:eastAsia="Times New Roman" w:hAnsi="Gadugi" w:cstheme="minorHAnsi"/>
                <w:sz w:val="18"/>
                <w:szCs w:val="20"/>
                <w:lang w:val="es-EC" w:eastAsia="es-EC"/>
              </w:rPr>
            </w:pPr>
          </w:p>
        </w:tc>
        <w:tc>
          <w:tcPr>
            <w:tcW w:w="6137" w:type="dxa"/>
            <w:gridSpan w:val="5"/>
            <w:tcBorders>
              <w:top w:val="single" w:sz="8" w:space="0" w:color="auto"/>
              <w:left w:val="single" w:sz="8" w:space="0" w:color="auto"/>
              <w:bottom w:val="nil"/>
              <w:right w:val="single" w:sz="8" w:space="0" w:color="000000"/>
            </w:tcBorders>
            <w:shd w:val="clear" w:color="auto" w:fill="222A35" w:themeFill="text2" w:themeFillShade="80"/>
            <w:noWrap/>
            <w:vAlign w:val="bottom"/>
            <w:hideMark/>
          </w:tcPr>
          <w:p w:rsidR="00143542" w:rsidRPr="00E56391" w:rsidRDefault="00143542" w:rsidP="00143542">
            <w:pPr>
              <w:spacing w:after="0" w:line="240" w:lineRule="auto"/>
              <w:jc w:val="center"/>
              <w:rPr>
                <w:rFonts w:ascii="Gadugi" w:eastAsia="Times New Roman" w:hAnsi="Gadugi" w:cstheme="minorHAnsi"/>
                <w:b/>
                <w:bCs/>
                <w:color w:val="FFFFFF"/>
                <w:sz w:val="18"/>
                <w:szCs w:val="20"/>
                <w:lang w:val="es-EC" w:eastAsia="es-EC"/>
              </w:rPr>
            </w:pPr>
            <w:r w:rsidRPr="00E56391">
              <w:rPr>
                <w:rFonts w:ascii="Gadugi" w:eastAsia="Times New Roman" w:hAnsi="Gadugi" w:cstheme="minorHAnsi"/>
                <w:b/>
                <w:bCs/>
                <w:color w:val="FFFFFF"/>
                <w:sz w:val="18"/>
                <w:szCs w:val="20"/>
                <w:lang w:val="es-EC" w:eastAsia="es-EC"/>
              </w:rPr>
              <w:t>Variables</w:t>
            </w:r>
          </w:p>
        </w:tc>
        <w:tc>
          <w:tcPr>
            <w:tcW w:w="668" w:type="dxa"/>
            <w:tcBorders>
              <w:top w:val="nil"/>
              <w:left w:val="nil"/>
              <w:bottom w:val="nil"/>
              <w:right w:val="nil"/>
            </w:tcBorders>
            <w:shd w:val="clear" w:color="auto" w:fill="auto"/>
            <w:noWrap/>
            <w:vAlign w:val="bottom"/>
            <w:hideMark/>
          </w:tcPr>
          <w:p w:rsidR="00143542" w:rsidRPr="00E56391" w:rsidRDefault="00143542" w:rsidP="00143542">
            <w:pPr>
              <w:spacing w:after="0" w:line="240" w:lineRule="auto"/>
              <w:jc w:val="center"/>
              <w:rPr>
                <w:rFonts w:ascii="Gadugi" w:eastAsia="Times New Roman" w:hAnsi="Gadugi" w:cstheme="minorHAnsi"/>
                <w:b/>
                <w:bCs/>
                <w:color w:val="FFFFFF"/>
                <w:sz w:val="18"/>
                <w:szCs w:val="20"/>
                <w:lang w:val="es-EC" w:eastAsia="es-EC"/>
              </w:rPr>
            </w:pPr>
          </w:p>
        </w:tc>
        <w:tc>
          <w:tcPr>
            <w:tcW w:w="831" w:type="dxa"/>
            <w:gridSpan w:val="2"/>
            <w:tcBorders>
              <w:top w:val="nil"/>
              <w:left w:val="nil"/>
              <w:bottom w:val="nil"/>
              <w:right w:val="nil"/>
            </w:tcBorders>
            <w:shd w:val="clear" w:color="auto" w:fill="auto"/>
            <w:noWrap/>
            <w:vAlign w:val="bottom"/>
            <w:hideMark/>
          </w:tcPr>
          <w:p w:rsidR="00143542" w:rsidRPr="00E56391" w:rsidRDefault="00143542" w:rsidP="00143542">
            <w:pPr>
              <w:spacing w:after="0" w:line="240" w:lineRule="auto"/>
              <w:jc w:val="center"/>
              <w:rPr>
                <w:rFonts w:ascii="Gadugi" w:eastAsia="Times New Roman" w:hAnsi="Gadugi" w:cstheme="minorHAnsi"/>
                <w:sz w:val="18"/>
                <w:szCs w:val="20"/>
                <w:lang w:val="es-EC" w:eastAsia="es-EC"/>
              </w:rPr>
            </w:pPr>
          </w:p>
        </w:tc>
        <w:tc>
          <w:tcPr>
            <w:tcW w:w="1144" w:type="dxa"/>
            <w:tcBorders>
              <w:top w:val="nil"/>
              <w:left w:val="nil"/>
              <w:bottom w:val="nil"/>
              <w:right w:val="nil"/>
            </w:tcBorders>
            <w:shd w:val="clear" w:color="auto" w:fill="auto"/>
            <w:noWrap/>
            <w:vAlign w:val="bottom"/>
            <w:hideMark/>
          </w:tcPr>
          <w:p w:rsidR="00143542" w:rsidRPr="00E56391" w:rsidRDefault="00143542" w:rsidP="00143542">
            <w:pPr>
              <w:spacing w:after="0" w:line="240" w:lineRule="auto"/>
              <w:rPr>
                <w:rFonts w:ascii="Gadugi" w:eastAsia="Times New Roman" w:hAnsi="Gadugi" w:cstheme="minorHAnsi"/>
                <w:sz w:val="18"/>
                <w:szCs w:val="20"/>
                <w:lang w:val="es-EC" w:eastAsia="es-EC"/>
              </w:rPr>
            </w:pPr>
          </w:p>
        </w:tc>
      </w:tr>
      <w:tr w:rsidR="00240875" w:rsidRPr="00E56391" w:rsidTr="00177AD2">
        <w:trPr>
          <w:trHeight w:val="1275"/>
        </w:trPr>
        <w:tc>
          <w:tcPr>
            <w:tcW w:w="963" w:type="dxa"/>
            <w:tcBorders>
              <w:top w:val="single" w:sz="8" w:space="0" w:color="auto"/>
              <w:left w:val="single" w:sz="8" w:space="0" w:color="auto"/>
              <w:bottom w:val="single" w:sz="8" w:space="0" w:color="auto"/>
              <w:right w:val="single" w:sz="8" w:space="0" w:color="auto"/>
            </w:tcBorders>
            <w:shd w:val="clear" w:color="auto" w:fill="222A35" w:themeFill="text2" w:themeFillShade="80"/>
            <w:vAlign w:val="center"/>
            <w:hideMark/>
          </w:tcPr>
          <w:p w:rsidR="00143542" w:rsidRPr="00E56391" w:rsidRDefault="00143542" w:rsidP="00143542">
            <w:pPr>
              <w:spacing w:after="0" w:line="240" w:lineRule="auto"/>
              <w:jc w:val="center"/>
              <w:rPr>
                <w:rFonts w:ascii="Gadugi" w:eastAsia="Times New Roman" w:hAnsi="Gadugi" w:cstheme="minorHAnsi"/>
                <w:b/>
                <w:bCs/>
                <w:color w:val="FFFFFF"/>
                <w:sz w:val="18"/>
                <w:szCs w:val="20"/>
                <w:lang w:val="es-EC" w:eastAsia="es-EC"/>
              </w:rPr>
            </w:pPr>
            <w:r w:rsidRPr="00E56391">
              <w:rPr>
                <w:rFonts w:ascii="Gadugi" w:eastAsia="Times New Roman" w:hAnsi="Gadugi" w:cstheme="minorHAnsi"/>
                <w:b/>
                <w:bCs/>
                <w:color w:val="FFFFFF"/>
                <w:sz w:val="18"/>
                <w:szCs w:val="20"/>
                <w:lang w:val="es-EC" w:eastAsia="es-EC"/>
              </w:rPr>
              <w:t>PROCESO</w:t>
            </w:r>
          </w:p>
        </w:tc>
        <w:tc>
          <w:tcPr>
            <w:tcW w:w="1265" w:type="dxa"/>
            <w:tcBorders>
              <w:top w:val="single" w:sz="8" w:space="0" w:color="auto"/>
              <w:left w:val="nil"/>
              <w:bottom w:val="single" w:sz="8" w:space="0" w:color="auto"/>
              <w:right w:val="single" w:sz="4" w:space="0" w:color="auto"/>
            </w:tcBorders>
            <w:shd w:val="clear" w:color="auto" w:fill="222A35" w:themeFill="text2" w:themeFillShade="80"/>
            <w:vAlign w:val="center"/>
            <w:hideMark/>
          </w:tcPr>
          <w:p w:rsidR="00143542" w:rsidRPr="00E56391" w:rsidRDefault="00143542" w:rsidP="00143542">
            <w:pPr>
              <w:spacing w:after="0" w:line="240" w:lineRule="auto"/>
              <w:jc w:val="center"/>
              <w:rPr>
                <w:rFonts w:ascii="Gadugi" w:eastAsia="Times New Roman" w:hAnsi="Gadugi" w:cstheme="minorHAnsi"/>
                <w:b/>
                <w:bCs/>
                <w:color w:val="FFFFFF"/>
                <w:sz w:val="18"/>
                <w:szCs w:val="20"/>
                <w:lang w:val="es-EC" w:eastAsia="es-EC"/>
              </w:rPr>
            </w:pPr>
            <w:r w:rsidRPr="00E56391">
              <w:rPr>
                <w:rFonts w:ascii="Gadugi" w:eastAsia="Times New Roman" w:hAnsi="Gadugi" w:cstheme="minorHAnsi"/>
                <w:b/>
                <w:bCs/>
                <w:color w:val="FFFFFF"/>
                <w:sz w:val="18"/>
                <w:szCs w:val="20"/>
                <w:lang w:val="es-EC" w:eastAsia="es-EC"/>
              </w:rPr>
              <w:t>Satisfacción del cliente interno (servidor municipal)</w:t>
            </w:r>
          </w:p>
        </w:tc>
        <w:tc>
          <w:tcPr>
            <w:tcW w:w="1398" w:type="dxa"/>
            <w:tcBorders>
              <w:top w:val="single" w:sz="8" w:space="0" w:color="auto"/>
              <w:left w:val="nil"/>
              <w:bottom w:val="single" w:sz="8" w:space="0" w:color="auto"/>
              <w:right w:val="single" w:sz="4" w:space="0" w:color="auto"/>
            </w:tcBorders>
            <w:shd w:val="clear" w:color="auto" w:fill="222A35" w:themeFill="text2" w:themeFillShade="80"/>
            <w:vAlign w:val="center"/>
            <w:hideMark/>
          </w:tcPr>
          <w:p w:rsidR="00143542" w:rsidRPr="00E56391" w:rsidRDefault="00143542" w:rsidP="00143542">
            <w:pPr>
              <w:spacing w:after="0" w:line="240" w:lineRule="auto"/>
              <w:jc w:val="center"/>
              <w:rPr>
                <w:rFonts w:ascii="Gadugi" w:eastAsia="Times New Roman" w:hAnsi="Gadugi" w:cstheme="minorHAnsi"/>
                <w:b/>
                <w:bCs/>
                <w:color w:val="FFFFFF"/>
                <w:sz w:val="18"/>
                <w:szCs w:val="20"/>
                <w:lang w:val="es-EC" w:eastAsia="es-EC"/>
              </w:rPr>
            </w:pPr>
            <w:r w:rsidRPr="00E56391">
              <w:rPr>
                <w:rFonts w:ascii="Gadugi" w:eastAsia="Times New Roman" w:hAnsi="Gadugi" w:cstheme="minorHAnsi"/>
                <w:b/>
                <w:bCs/>
                <w:color w:val="FFFFFF"/>
                <w:sz w:val="18"/>
                <w:szCs w:val="20"/>
                <w:lang w:val="es-EC" w:eastAsia="es-EC"/>
              </w:rPr>
              <w:t>Cultura organizativa orientada a la administración por procesos</w:t>
            </w:r>
          </w:p>
        </w:tc>
        <w:tc>
          <w:tcPr>
            <w:tcW w:w="1519" w:type="dxa"/>
            <w:tcBorders>
              <w:top w:val="single" w:sz="8" w:space="0" w:color="auto"/>
              <w:left w:val="nil"/>
              <w:bottom w:val="single" w:sz="8" w:space="0" w:color="auto"/>
              <w:right w:val="single" w:sz="4" w:space="0" w:color="auto"/>
            </w:tcBorders>
            <w:shd w:val="clear" w:color="auto" w:fill="222A35" w:themeFill="text2" w:themeFillShade="80"/>
            <w:vAlign w:val="center"/>
            <w:hideMark/>
          </w:tcPr>
          <w:p w:rsidR="00143542" w:rsidRPr="00E56391" w:rsidRDefault="00143542" w:rsidP="00143542">
            <w:pPr>
              <w:spacing w:after="0" w:line="240" w:lineRule="auto"/>
              <w:jc w:val="center"/>
              <w:rPr>
                <w:rFonts w:ascii="Gadugi" w:eastAsia="Times New Roman" w:hAnsi="Gadugi" w:cstheme="minorHAnsi"/>
                <w:b/>
                <w:bCs/>
                <w:color w:val="FFFFFF"/>
                <w:sz w:val="18"/>
                <w:szCs w:val="20"/>
                <w:lang w:val="es-EC" w:eastAsia="es-EC"/>
              </w:rPr>
            </w:pPr>
            <w:r w:rsidRPr="00E56391">
              <w:rPr>
                <w:rFonts w:ascii="Gadugi" w:eastAsia="Times New Roman" w:hAnsi="Gadugi" w:cstheme="minorHAnsi"/>
                <w:b/>
                <w:bCs/>
                <w:color w:val="FFFFFF"/>
                <w:sz w:val="18"/>
                <w:szCs w:val="20"/>
                <w:lang w:val="es-EC" w:eastAsia="es-EC"/>
              </w:rPr>
              <w:t>Nivel de documentación del proceso</w:t>
            </w:r>
          </w:p>
        </w:tc>
        <w:tc>
          <w:tcPr>
            <w:tcW w:w="841" w:type="dxa"/>
            <w:tcBorders>
              <w:top w:val="single" w:sz="8" w:space="0" w:color="auto"/>
              <w:left w:val="nil"/>
              <w:bottom w:val="single" w:sz="8" w:space="0" w:color="auto"/>
              <w:right w:val="single" w:sz="4" w:space="0" w:color="auto"/>
            </w:tcBorders>
            <w:shd w:val="clear" w:color="auto" w:fill="222A35" w:themeFill="text2" w:themeFillShade="80"/>
            <w:vAlign w:val="center"/>
            <w:hideMark/>
          </w:tcPr>
          <w:p w:rsidR="00143542" w:rsidRPr="00E56391" w:rsidRDefault="00143542" w:rsidP="00143542">
            <w:pPr>
              <w:spacing w:after="0" w:line="240" w:lineRule="auto"/>
              <w:jc w:val="center"/>
              <w:rPr>
                <w:rFonts w:ascii="Gadugi" w:eastAsia="Times New Roman" w:hAnsi="Gadugi" w:cstheme="minorHAnsi"/>
                <w:b/>
                <w:bCs/>
                <w:color w:val="FFFFFF"/>
                <w:sz w:val="18"/>
                <w:szCs w:val="20"/>
                <w:lang w:val="es-EC" w:eastAsia="es-EC"/>
              </w:rPr>
            </w:pPr>
            <w:r w:rsidRPr="00E56391">
              <w:rPr>
                <w:rFonts w:ascii="Gadugi" w:eastAsia="Times New Roman" w:hAnsi="Gadugi" w:cstheme="minorHAnsi"/>
                <w:b/>
                <w:bCs/>
                <w:color w:val="FFFFFF"/>
                <w:sz w:val="18"/>
                <w:szCs w:val="20"/>
                <w:lang w:val="es-EC" w:eastAsia="es-EC"/>
              </w:rPr>
              <w:t xml:space="preserve">Tiempo de ciclo </w:t>
            </w:r>
          </w:p>
        </w:tc>
        <w:tc>
          <w:tcPr>
            <w:tcW w:w="1114" w:type="dxa"/>
            <w:tcBorders>
              <w:top w:val="single" w:sz="8" w:space="0" w:color="auto"/>
              <w:left w:val="nil"/>
              <w:bottom w:val="single" w:sz="8" w:space="0" w:color="auto"/>
              <w:right w:val="single" w:sz="8" w:space="0" w:color="auto"/>
            </w:tcBorders>
            <w:shd w:val="clear" w:color="auto" w:fill="222A35" w:themeFill="text2" w:themeFillShade="80"/>
            <w:vAlign w:val="center"/>
            <w:hideMark/>
          </w:tcPr>
          <w:p w:rsidR="00143542" w:rsidRPr="00E56391" w:rsidRDefault="00143542" w:rsidP="00240875">
            <w:pPr>
              <w:spacing w:after="0" w:line="240" w:lineRule="auto"/>
              <w:jc w:val="center"/>
              <w:rPr>
                <w:rFonts w:ascii="Gadugi" w:eastAsia="Times New Roman" w:hAnsi="Gadugi" w:cstheme="minorHAnsi"/>
                <w:b/>
                <w:bCs/>
                <w:color w:val="FFFFFF"/>
                <w:sz w:val="18"/>
                <w:szCs w:val="20"/>
                <w:lang w:val="es-EC" w:eastAsia="es-EC"/>
              </w:rPr>
            </w:pPr>
            <w:r w:rsidRPr="00E56391">
              <w:rPr>
                <w:rFonts w:ascii="Gadugi" w:eastAsia="Times New Roman" w:hAnsi="Gadugi" w:cstheme="minorHAnsi"/>
                <w:b/>
                <w:bCs/>
                <w:color w:val="FFFFFF"/>
                <w:sz w:val="18"/>
                <w:szCs w:val="20"/>
                <w:lang w:val="es-EC" w:eastAsia="es-EC"/>
              </w:rPr>
              <w:t xml:space="preserve">Grado de </w:t>
            </w:r>
            <w:r w:rsidR="00240875" w:rsidRPr="00E56391">
              <w:rPr>
                <w:rFonts w:ascii="Gadugi" w:eastAsia="Times New Roman" w:hAnsi="Gadugi" w:cstheme="minorHAnsi"/>
                <w:b/>
                <w:bCs/>
                <w:color w:val="FFFFFF"/>
                <w:sz w:val="18"/>
                <w:szCs w:val="20"/>
                <w:lang w:val="es-EC" w:eastAsia="es-EC"/>
              </w:rPr>
              <w:t>automatización</w:t>
            </w:r>
          </w:p>
        </w:tc>
        <w:tc>
          <w:tcPr>
            <w:tcW w:w="668" w:type="dxa"/>
            <w:tcBorders>
              <w:top w:val="single" w:sz="8" w:space="0" w:color="auto"/>
              <w:left w:val="nil"/>
              <w:bottom w:val="single" w:sz="8" w:space="0" w:color="auto"/>
              <w:right w:val="single" w:sz="8" w:space="0" w:color="auto"/>
            </w:tcBorders>
            <w:shd w:val="clear" w:color="auto" w:fill="222A35" w:themeFill="text2" w:themeFillShade="80"/>
            <w:noWrap/>
            <w:vAlign w:val="center"/>
            <w:hideMark/>
          </w:tcPr>
          <w:p w:rsidR="00143542" w:rsidRPr="00E56391" w:rsidRDefault="00143542" w:rsidP="00143542">
            <w:pPr>
              <w:spacing w:after="0" w:line="240" w:lineRule="auto"/>
              <w:jc w:val="center"/>
              <w:rPr>
                <w:rFonts w:ascii="Gadugi" w:eastAsia="Times New Roman" w:hAnsi="Gadugi" w:cstheme="minorHAnsi"/>
                <w:b/>
                <w:bCs/>
                <w:color w:val="FFFFFF"/>
                <w:sz w:val="18"/>
                <w:szCs w:val="20"/>
                <w:lang w:val="es-EC" w:eastAsia="es-EC"/>
              </w:rPr>
            </w:pPr>
            <w:r w:rsidRPr="00E56391">
              <w:rPr>
                <w:rFonts w:ascii="Gadugi" w:eastAsia="Times New Roman" w:hAnsi="Gadugi" w:cstheme="minorHAnsi"/>
                <w:b/>
                <w:bCs/>
                <w:color w:val="FFFFFF"/>
                <w:sz w:val="18"/>
                <w:szCs w:val="20"/>
                <w:lang w:val="es-EC" w:eastAsia="es-EC"/>
              </w:rPr>
              <w:t>Total (T)</w:t>
            </w:r>
          </w:p>
        </w:tc>
        <w:tc>
          <w:tcPr>
            <w:tcW w:w="773" w:type="dxa"/>
            <w:tcBorders>
              <w:top w:val="single" w:sz="8" w:space="0" w:color="auto"/>
              <w:left w:val="nil"/>
              <w:bottom w:val="single" w:sz="8" w:space="0" w:color="auto"/>
              <w:right w:val="single" w:sz="8" w:space="0" w:color="auto"/>
            </w:tcBorders>
            <w:shd w:val="clear" w:color="auto" w:fill="222A35" w:themeFill="text2" w:themeFillShade="80"/>
            <w:noWrap/>
            <w:vAlign w:val="center"/>
            <w:hideMark/>
          </w:tcPr>
          <w:p w:rsidR="00143542" w:rsidRPr="00E56391" w:rsidRDefault="00143542" w:rsidP="00143542">
            <w:pPr>
              <w:spacing w:after="0" w:line="240" w:lineRule="auto"/>
              <w:jc w:val="center"/>
              <w:rPr>
                <w:rFonts w:ascii="Gadugi" w:eastAsia="Times New Roman" w:hAnsi="Gadugi" w:cstheme="minorHAnsi"/>
                <w:b/>
                <w:bCs/>
                <w:color w:val="FFFFFF"/>
                <w:sz w:val="18"/>
                <w:szCs w:val="20"/>
                <w:lang w:val="es-EC" w:eastAsia="es-EC"/>
              </w:rPr>
            </w:pPr>
            <w:r w:rsidRPr="00E56391">
              <w:rPr>
                <w:rFonts w:ascii="Gadugi" w:eastAsia="Times New Roman" w:hAnsi="Gadugi" w:cstheme="minorHAnsi"/>
                <w:b/>
                <w:bCs/>
                <w:color w:val="FFFFFF"/>
                <w:sz w:val="18"/>
                <w:szCs w:val="20"/>
                <w:lang w:val="es-EC" w:eastAsia="es-EC"/>
              </w:rPr>
              <w:t>Decisión política</w:t>
            </w:r>
          </w:p>
        </w:tc>
        <w:tc>
          <w:tcPr>
            <w:tcW w:w="1242" w:type="dxa"/>
            <w:gridSpan w:val="3"/>
            <w:tcBorders>
              <w:top w:val="single" w:sz="8" w:space="0" w:color="auto"/>
              <w:left w:val="nil"/>
              <w:bottom w:val="single" w:sz="8" w:space="0" w:color="auto"/>
              <w:right w:val="single" w:sz="8" w:space="0" w:color="auto"/>
            </w:tcBorders>
            <w:shd w:val="clear" w:color="auto" w:fill="222A35" w:themeFill="text2" w:themeFillShade="80"/>
            <w:vAlign w:val="center"/>
            <w:hideMark/>
          </w:tcPr>
          <w:p w:rsidR="00143542" w:rsidRPr="00E56391" w:rsidRDefault="00240875" w:rsidP="00143542">
            <w:pPr>
              <w:spacing w:after="0" w:line="240" w:lineRule="auto"/>
              <w:jc w:val="center"/>
              <w:rPr>
                <w:rFonts w:ascii="Gadugi" w:eastAsia="Times New Roman" w:hAnsi="Gadugi" w:cstheme="minorHAnsi"/>
                <w:b/>
                <w:bCs/>
                <w:color w:val="FFFFFF"/>
                <w:sz w:val="18"/>
                <w:szCs w:val="20"/>
                <w:lang w:val="es-EC" w:eastAsia="es-EC"/>
              </w:rPr>
            </w:pPr>
            <w:r w:rsidRPr="00E56391">
              <w:rPr>
                <w:rFonts w:ascii="Gadugi" w:eastAsia="Times New Roman" w:hAnsi="Gadugi" w:cstheme="minorHAnsi"/>
                <w:b/>
                <w:bCs/>
                <w:color w:val="FFFFFF"/>
                <w:sz w:val="18"/>
                <w:szCs w:val="20"/>
                <w:lang w:val="es-EC" w:eastAsia="es-EC"/>
              </w:rPr>
              <w:t>Índice</w:t>
            </w:r>
            <w:r w:rsidR="00143542" w:rsidRPr="00E56391">
              <w:rPr>
                <w:rFonts w:ascii="Gadugi" w:eastAsia="Times New Roman" w:hAnsi="Gadugi" w:cstheme="minorHAnsi"/>
                <w:b/>
                <w:bCs/>
                <w:color w:val="FFFFFF"/>
                <w:sz w:val="18"/>
                <w:szCs w:val="20"/>
                <w:lang w:val="es-EC" w:eastAsia="es-EC"/>
              </w:rPr>
              <w:t xml:space="preserve"> de priorización (IP%)</w:t>
            </w:r>
          </w:p>
        </w:tc>
      </w:tr>
      <w:tr w:rsidR="00240875" w:rsidRPr="00E56391" w:rsidTr="00240875">
        <w:trPr>
          <w:gridAfter w:val="1"/>
          <w:wAfter w:w="40" w:type="dxa"/>
          <w:trHeight w:val="630"/>
        </w:trPr>
        <w:tc>
          <w:tcPr>
            <w:tcW w:w="963" w:type="dxa"/>
            <w:tcBorders>
              <w:top w:val="nil"/>
              <w:left w:val="single" w:sz="8" w:space="0" w:color="auto"/>
              <w:bottom w:val="single" w:sz="4" w:space="0" w:color="auto"/>
              <w:right w:val="single" w:sz="4" w:space="0" w:color="auto"/>
            </w:tcBorders>
            <w:shd w:val="clear" w:color="000000" w:fill="FFFFFF"/>
            <w:vAlign w:val="center"/>
          </w:tcPr>
          <w:p w:rsidR="00143542" w:rsidRPr="00E56391" w:rsidRDefault="00143542" w:rsidP="00143542">
            <w:pPr>
              <w:spacing w:after="0" w:line="240" w:lineRule="auto"/>
              <w:rPr>
                <w:rFonts w:ascii="Gadugi" w:eastAsia="Times New Roman" w:hAnsi="Gadugi" w:cstheme="minorHAnsi"/>
                <w:color w:val="000000"/>
                <w:sz w:val="18"/>
                <w:szCs w:val="20"/>
                <w:lang w:val="es-EC" w:eastAsia="es-EC"/>
              </w:rPr>
            </w:pPr>
            <w:r w:rsidRPr="00E56391">
              <w:rPr>
                <w:rFonts w:ascii="Gadugi" w:eastAsia="Times New Roman" w:hAnsi="Gadugi" w:cstheme="minorHAnsi"/>
                <w:color w:val="000000"/>
                <w:sz w:val="18"/>
                <w:szCs w:val="20"/>
                <w:lang w:val="es-EC" w:eastAsia="es-EC"/>
              </w:rPr>
              <w:t>Proceso 1</w:t>
            </w:r>
          </w:p>
        </w:tc>
        <w:tc>
          <w:tcPr>
            <w:tcW w:w="1265" w:type="dxa"/>
            <w:tcBorders>
              <w:top w:val="single" w:sz="8" w:space="0" w:color="auto"/>
              <w:left w:val="nil"/>
              <w:bottom w:val="single" w:sz="4" w:space="0" w:color="auto"/>
              <w:right w:val="single" w:sz="4" w:space="0" w:color="auto"/>
            </w:tcBorders>
            <w:shd w:val="clear" w:color="auto" w:fill="auto"/>
            <w:noWrap/>
            <w:vAlign w:val="center"/>
          </w:tcPr>
          <w:p w:rsidR="00143542" w:rsidRPr="00E56391" w:rsidRDefault="00143542" w:rsidP="00143542">
            <w:pPr>
              <w:spacing w:after="0" w:line="240" w:lineRule="auto"/>
              <w:jc w:val="center"/>
              <w:rPr>
                <w:rFonts w:ascii="Gadugi" w:eastAsia="Times New Roman" w:hAnsi="Gadugi" w:cstheme="minorHAnsi"/>
                <w:color w:val="000000"/>
                <w:sz w:val="18"/>
                <w:szCs w:val="20"/>
                <w:lang w:val="es-EC" w:eastAsia="es-EC"/>
              </w:rPr>
            </w:pPr>
          </w:p>
        </w:tc>
        <w:tc>
          <w:tcPr>
            <w:tcW w:w="1398" w:type="dxa"/>
            <w:tcBorders>
              <w:top w:val="single" w:sz="8" w:space="0" w:color="auto"/>
              <w:left w:val="single" w:sz="4" w:space="0" w:color="auto"/>
              <w:bottom w:val="single" w:sz="4" w:space="0" w:color="auto"/>
              <w:right w:val="single" w:sz="4" w:space="0" w:color="auto"/>
            </w:tcBorders>
            <w:shd w:val="clear" w:color="auto" w:fill="auto"/>
            <w:noWrap/>
            <w:vAlign w:val="center"/>
          </w:tcPr>
          <w:p w:rsidR="00143542" w:rsidRPr="00E56391" w:rsidRDefault="00143542" w:rsidP="00143542">
            <w:pPr>
              <w:spacing w:after="0" w:line="240" w:lineRule="auto"/>
              <w:jc w:val="center"/>
              <w:rPr>
                <w:rFonts w:ascii="Gadugi" w:eastAsia="Times New Roman" w:hAnsi="Gadugi" w:cstheme="minorHAnsi"/>
                <w:color w:val="000000"/>
                <w:sz w:val="18"/>
                <w:szCs w:val="20"/>
                <w:lang w:val="es-EC" w:eastAsia="es-EC"/>
              </w:rPr>
            </w:pPr>
          </w:p>
        </w:tc>
        <w:tc>
          <w:tcPr>
            <w:tcW w:w="1519" w:type="dxa"/>
            <w:tcBorders>
              <w:top w:val="single" w:sz="8" w:space="0" w:color="auto"/>
              <w:left w:val="single" w:sz="4" w:space="0" w:color="auto"/>
              <w:bottom w:val="single" w:sz="4" w:space="0" w:color="auto"/>
              <w:right w:val="single" w:sz="4" w:space="0" w:color="auto"/>
            </w:tcBorders>
            <w:shd w:val="clear" w:color="auto" w:fill="auto"/>
            <w:noWrap/>
            <w:vAlign w:val="center"/>
          </w:tcPr>
          <w:p w:rsidR="00143542" w:rsidRPr="00E56391" w:rsidRDefault="00143542" w:rsidP="00143542">
            <w:pPr>
              <w:spacing w:after="0" w:line="240" w:lineRule="auto"/>
              <w:jc w:val="center"/>
              <w:rPr>
                <w:rFonts w:ascii="Gadugi" w:eastAsia="Times New Roman" w:hAnsi="Gadugi" w:cstheme="minorHAnsi"/>
                <w:color w:val="000000"/>
                <w:sz w:val="18"/>
                <w:szCs w:val="20"/>
                <w:lang w:val="es-EC" w:eastAsia="es-EC"/>
              </w:rPr>
            </w:pPr>
          </w:p>
        </w:tc>
        <w:tc>
          <w:tcPr>
            <w:tcW w:w="841" w:type="dxa"/>
            <w:tcBorders>
              <w:top w:val="single" w:sz="8" w:space="0" w:color="auto"/>
              <w:left w:val="single" w:sz="4" w:space="0" w:color="auto"/>
              <w:bottom w:val="single" w:sz="4" w:space="0" w:color="auto"/>
              <w:right w:val="single" w:sz="4" w:space="0" w:color="auto"/>
            </w:tcBorders>
            <w:shd w:val="clear" w:color="auto" w:fill="auto"/>
            <w:noWrap/>
            <w:vAlign w:val="center"/>
          </w:tcPr>
          <w:p w:rsidR="00143542" w:rsidRPr="00E56391" w:rsidRDefault="00143542" w:rsidP="00143542">
            <w:pPr>
              <w:spacing w:after="0" w:line="240" w:lineRule="auto"/>
              <w:jc w:val="center"/>
              <w:rPr>
                <w:rFonts w:ascii="Gadugi" w:eastAsia="Times New Roman" w:hAnsi="Gadugi" w:cstheme="minorHAnsi"/>
                <w:color w:val="000000"/>
                <w:sz w:val="18"/>
                <w:szCs w:val="20"/>
                <w:lang w:val="es-EC" w:eastAsia="es-EC"/>
              </w:rPr>
            </w:pPr>
          </w:p>
        </w:tc>
        <w:tc>
          <w:tcPr>
            <w:tcW w:w="1114" w:type="dxa"/>
            <w:tcBorders>
              <w:top w:val="single" w:sz="8" w:space="0" w:color="auto"/>
              <w:left w:val="single" w:sz="4" w:space="0" w:color="auto"/>
              <w:bottom w:val="single" w:sz="4" w:space="0" w:color="auto"/>
              <w:right w:val="single" w:sz="8" w:space="0" w:color="auto"/>
            </w:tcBorders>
            <w:shd w:val="clear" w:color="auto" w:fill="auto"/>
            <w:noWrap/>
            <w:vAlign w:val="center"/>
          </w:tcPr>
          <w:p w:rsidR="00143542" w:rsidRPr="00E56391" w:rsidRDefault="00143542" w:rsidP="00143542">
            <w:pPr>
              <w:spacing w:after="0" w:line="240" w:lineRule="auto"/>
              <w:jc w:val="center"/>
              <w:rPr>
                <w:rFonts w:ascii="Gadugi" w:eastAsia="Times New Roman" w:hAnsi="Gadugi" w:cstheme="minorHAnsi"/>
                <w:color w:val="000000"/>
                <w:sz w:val="18"/>
                <w:szCs w:val="20"/>
                <w:lang w:val="es-EC" w:eastAsia="es-EC"/>
              </w:rPr>
            </w:pPr>
          </w:p>
        </w:tc>
        <w:tc>
          <w:tcPr>
            <w:tcW w:w="668" w:type="dxa"/>
            <w:tcBorders>
              <w:top w:val="nil"/>
              <w:left w:val="nil"/>
              <w:bottom w:val="single" w:sz="4" w:space="0" w:color="auto"/>
              <w:right w:val="single" w:sz="8" w:space="0" w:color="auto"/>
            </w:tcBorders>
            <w:shd w:val="clear" w:color="auto" w:fill="auto"/>
            <w:noWrap/>
            <w:vAlign w:val="center"/>
            <w:hideMark/>
          </w:tcPr>
          <w:p w:rsidR="00143542" w:rsidRPr="00E56391" w:rsidRDefault="00143542" w:rsidP="00143542">
            <w:pPr>
              <w:spacing w:after="0" w:line="240" w:lineRule="auto"/>
              <w:jc w:val="center"/>
              <w:rPr>
                <w:rFonts w:ascii="Gadugi" w:eastAsia="Times New Roman" w:hAnsi="Gadugi" w:cstheme="minorHAnsi"/>
                <w:color w:val="000000"/>
                <w:sz w:val="18"/>
                <w:szCs w:val="20"/>
                <w:lang w:val="es-EC" w:eastAsia="es-EC"/>
              </w:rPr>
            </w:pPr>
            <w:r w:rsidRPr="00E56391">
              <w:rPr>
                <w:rFonts w:ascii="Gadugi" w:eastAsia="Times New Roman" w:hAnsi="Gadugi" w:cstheme="minorHAnsi"/>
                <w:color w:val="000000"/>
                <w:sz w:val="18"/>
                <w:szCs w:val="20"/>
                <w:lang w:val="es-EC" w:eastAsia="es-EC"/>
              </w:rPr>
              <w:t>5</w:t>
            </w:r>
          </w:p>
        </w:tc>
        <w:tc>
          <w:tcPr>
            <w:tcW w:w="831" w:type="dxa"/>
            <w:gridSpan w:val="2"/>
            <w:tcBorders>
              <w:top w:val="single" w:sz="8" w:space="0" w:color="auto"/>
              <w:left w:val="nil"/>
              <w:bottom w:val="single" w:sz="4" w:space="0" w:color="auto"/>
              <w:right w:val="single" w:sz="8" w:space="0" w:color="auto"/>
            </w:tcBorders>
            <w:shd w:val="clear" w:color="auto" w:fill="auto"/>
            <w:noWrap/>
            <w:vAlign w:val="center"/>
            <w:hideMark/>
          </w:tcPr>
          <w:p w:rsidR="00143542" w:rsidRPr="00E56391" w:rsidRDefault="00143542" w:rsidP="00143542">
            <w:pPr>
              <w:spacing w:after="0" w:line="240" w:lineRule="auto"/>
              <w:jc w:val="center"/>
              <w:rPr>
                <w:rFonts w:ascii="Gadugi" w:eastAsia="Times New Roman" w:hAnsi="Gadugi" w:cstheme="minorHAnsi"/>
                <w:color w:val="000000"/>
                <w:sz w:val="18"/>
                <w:szCs w:val="20"/>
                <w:lang w:val="es-EC" w:eastAsia="es-EC"/>
              </w:rPr>
            </w:pPr>
            <w:r w:rsidRPr="00E56391">
              <w:rPr>
                <w:rFonts w:ascii="Gadugi" w:eastAsia="Times New Roman" w:hAnsi="Gadugi" w:cstheme="minorHAnsi"/>
                <w:color w:val="000000"/>
                <w:sz w:val="18"/>
                <w:szCs w:val="20"/>
                <w:lang w:val="es-EC" w:eastAsia="es-EC"/>
              </w:rPr>
              <w:t>NO</w:t>
            </w:r>
          </w:p>
        </w:tc>
        <w:tc>
          <w:tcPr>
            <w:tcW w:w="1144" w:type="dxa"/>
            <w:tcBorders>
              <w:top w:val="nil"/>
              <w:left w:val="nil"/>
              <w:bottom w:val="single" w:sz="4" w:space="0" w:color="auto"/>
              <w:right w:val="single" w:sz="8" w:space="0" w:color="auto"/>
            </w:tcBorders>
            <w:shd w:val="clear" w:color="auto" w:fill="auto"/>
            <w:noWrap/>
            <w:vAlign w:val="center"/>
            <w:hideMark/>
          </w:tcPr>
          <w:p w:rsidR="00143542" w:rsidRPr="00E56391" w:rsidRDefault="00143542" w:rsidP="00143542">
            <w:pPr>
              <w:spacing w:after="0" w:line="240" w:lineRule="auto"/>
              <w:jc w:val="center"/>
              <w:rPr>
                <w:rFonts w:ascii="Gadugi" w:eastAsia="Times New Roman" w:hAnsi="Gadugi" w:cstheme="minorHAnsi"/>
                <w:color w:val="000000"/>
                <w:sz w:val="18"/>
                <w:szCs w:val="20"/>
                <w:lang w:val="es-EC" w:eastAsia="es-EC"/>
              </w:rPr>
            </w:pPr>
            <w:r w:rsidRPr="00E56391">
              <w:rPr>
                <w:rFonts w:ascii="Gadugi" w:eastAsia="Times New Roman" w:hAnsi="Gadugi" w:cstheme="minorHAnsi"/>
                <w:color w:val="000000"/>
                <w:sz w:val="18"/>
                <w:szCs w:val="20"/>
                <w:lang w:val="es-EC" w:eastAsia="es-EC"/>
              </w:rPr>
              <w:t>10%</w:t>
            </w:r>
          </w:p>
        </w:tc>
      </w:tr>
      <w:tr w:rsidR="00143542" w:rsidRPr="00E56391" w:rsidTr="00240875">
        <w:trPr>
          <w:gridAfter w:val="1"/>
          <w:wAfter w:w="40" w:type="dxa"/>
          <w:trHeight w:val="945"/>
        </w:trPr>
        <w:tc>
          <w:tcPr>
            <w:tcW w:w="963" w:type="dxa"/>
            <w:tcBorders>
              <w:top w:val="nil"/>
              <w:left w:val="single" w:sz="8" w:space="0" w:color="auto"/>
              <w:bottom w:val="single" w:sz="4" w:space="0" w:color="auto"/>
              <w:right w:val="single" w:sz="4" w:space="0" w:color="auto"/>
            </w:tcBorders>
            <w:shd w:val="clear" w:color="000000" w:fill="FFFFFF"/>
            <w:vAlign w:val="center"/>
          </w:tcPr>
          <w:p w:rsidR="00143542" w:rsidRPr="00E56391" w:rsidRDefault="00143542" w:rsidP="00143542">
            <w:pPr>
              <w:spacing w:after="0" w:line="240" w:lineRule="auto"/>
              <w:rPr>
                <w:rFonts w:ascii="Gadugi" w:eastAsia="Times New Roman" w:hAnsi="Gadugi" w:cstheme="minorHAnsi"/>
                <w:color w:val="000000"/>
                <w:sz w:val="18"/>
                <w:szCs w:val="20"/>
                <w:lang w:val="es-EC" w:eastAsia="es-EC"/>
              </w:rPr>
            </w:pPr>
            <w:r w:rsidRPr="00E56391">
              <w:rPr>
                <w:rFonts w:ascii="Gadugi" w:eastAsia="Times New Roman" w:hAnsi="Gadugi" w:cstheme="minorHAnsi"/>
                <w:color w:val="000000"/>
                <w:sz w:val="18"/>
                <w:szCs w:val="20"/>
                <w:lang w:val="es-EC" w:eastAsia="es-EC"/>
              </w:rPr>
              <w:t>Proceso 2</w:t>
            </w:r>
          </w:p>
        </w:tc>
        <w:tc>
          <w:tcPr>
            <w:tcW w:w="1265" w:type="dxa"/>
            <w:tcBorders>
              <w:top w:val="nil"/>
              <w:left w:val="nil"/>
              <w:bottom w:val="single" w:sz="4" w:space="0" w:color="auto"/>
              <w:right w:val="single" w:sz="4" w:space="0" w:color="auto"/>
            </w:tcBorders>
            <w:shd w:val="clear" w:color="auto" w:fill="auto"/>
            <w:noWrap/>
            <w:vAlign w:val="center"/>
            <w:hideMark/>
          </w:tcPr>
          <w:p w:rsidR="00143542" w:rsidRPr="00E56391" w:rsidRDefault="00143542" w:rsidP="00143542">
            <w:pPr>
              <w:spacing w:after="0" w:line="240" w:lineRule="auto"/>
              <w:jc w:val="center"/>
              <w:rPr>
                <w:rFonts w:ascii="Gadugi" w:eastAsia="Times New Roman" w:hAnsi="Gadugi" w:cstheme="minorHAnsi"/>
                <w:color w:val="000000"/>
                <w:sz w:val="18"/>
                <w:szCs w:val="20"/>
                <w:lang w:val="es-EC" w:eastAsia="es-EC"/>
              </w:rPr>
            </w:pPr>
            <w:r w:rsidRPr="00E56391">
              <w:rPr>
                <w:rFonts w:ascii="Gadugi" w:eastAsia="Times New Roman" w:hAnsi="Gadugi" w:cstheme="minorHAnsi"/>
                <w:color w:val="000000"/>
                <w:sz w:val="18"/>
                <w:szCs w:val="20"/>
                <w:lang w:val="es-EC" w:eastAsia="es-EC"/>
              </w:rPr>
              <w:t> </w:t>
            </w:r>
          </w:p>
        </w:tc>
        <w:tc>
          <w:tcPr>
            <w:tcW w:w="1398" w:type="dxa"/>
            <w:tcBorders>
              <w:top w:val="nil"/>
              <w:left w:val="nil"/>
              <w:bottom w:val="single" w:sz="4" w:space="0" w:color="auto"/>
              <w:right w:val="single" w:sz="4" w:space="0" w:color="auto"/>
            </w:tcBorders>
            <w:shd w:val="clear" w:color="auto" w:fill="auto"/>
            <w:noWrap/>
            <w:vAlign w:val="center"/>
            <w:hideMark/>
          </w:tcPr>
          <w:p w:rsidR="00143542" w:rsidRPr="00E56391" w:rsidRDefault="00143542" w:rsidP="00143542">
            <w:pPr>
              <w:spacing w:after="0" w:line="240" w:lineRule="auto"/>
              <w:jc w:val="center"/>
              <w:rPr>
                <w:rFonts w:ascii="Gadugi" w:eastAsia="Times New Roman" w:hAnsi="Gadugi" w:cstheme="minorHAnsi"/>
                <w:color w:val="000000"/>
                <w:sz w:val="18"/>
                <w:szCs w:val="20"/>
                <w:lang w:val="es-EC" w:eastAsia="es-EC"/>
              </w:rPr>
            </w:pPr>
            <w:r w:rsidRPr="00E56391">
              <w:rPr>
                <w:rFonts w:ascii="Gadugi" w:eastAsia="Times New Roman" w:hAnsi="Gadugi" w:cstheme="minorHAnsi"/>
                <w:color w:val="000000"/>
                <w:sz w:val="18"/>
                <w:szCs w:val="20"/>
                <w:lang w:val="es-EC" w:eastAsia="es-EC"/>
              </w:rPr>
              <w:t> </w:t>
            </w:r>
          </w:p>
        </w:tc>
        <w:tc>
          <w:tcPr>
            <w:tcW w:w="1519" w:type="dxa"/>
            <w:tcBorders>
              <w:top w:val="nil"/>
              <w:left w:val="nil"/>
              <w:bottom w:val="single" w:sz="4" w:space="0" w:color="auto"/>
              <w:right w:val="single" w:sz="4" w:space="0" w:color="auto"/>
            </w:tcBorders>
            <w:shd w:val="clear" w:color="auto" w:fill="auto"/>
            <w:noWrap/>
            <w:vAlign w:val="center"/>
            <w:hideMark/>
          </w:tcPr>
          <w:p w:rsidR="00143542" w:rsidRPr="00E56391" w:rsidRDefault="00143542" w:rsidP="00143542">
            <w:pPr>
              <w:spacing w:after="0" w:line="240" w:lineRule="auto"/>
              <w:jc w:val="center"/>
              <w:rPr>
                <w:rFonts w:ascii="Gadugi" w:eastAsia="Times New Roman" w:hAnsi="Gadugi" w:cstheme="minorHAnsi"/>
                <w:color w:val="000000"/>
                <w:sz w:val="18"/>
                <w:szCs w:val="20"/>
                <w:lang w:val="es-EC" w:eastAsia="es-EC"/>
              </w:rPr>
            </w:pPr>
            <w:r w:rsidRPr="00E56391">
              <w:rPr>
                <w:rFonts w:ascii="Gadugi" w:eastAsia="Times New Roman" w:hAnsi="Gadugi" w:cstheme="minorHAnsi"/>
                <w:color w:val="000000"/>
                <w:sz w:val="18"/>
                <w:szCs w:val="20"/>
                <w:lang w:val="es-EC" w:eastAsia="es-EC"/>
              </w:rPr>
              <w:t> </w:t>
            </w:r>
          </w:p>
        </w:tc>
        <w:tc>
          <w:tcPr>
            <w:tcW w:w="841" w:type="dxa"/>
            <w:tcBorders>
              <w:top w:val="nil"/>
              <w:left w:val="nil"/>
              <w:bottom w:val="single" w:sz="4" w:space="0" w:color="auto"/>
              <w:right w:val="single" w:sz="4" w:space="0" w:color="auto"/>
            </w:tcBorders>
            <w:shd w:val="clear" w:color="auto" w:fill="auto"/>
            <w:noWrap/>
            <w:vAlign w:val="center"/>
            <w:hideMark/>
          </w:tcPr>
          <w:p w:rsidR="00143542" w:rsidRPr="00E56391" w:rsidRDefault="00143542" w:rsidP="00143542">
            <w:pPr>
              <w:spacing w:after="0" w:line="240" w:lineRule="auto"/>
              <w:jc w:val="center"/>
              <w:rPr>
                <w:rFonts w:ascii="Gadugi" w:eastAsia="Times New Roman" w:hAnsi="Gadugi" w:cstheme="minorHAnsi"/>
                <w:color w:val="000000"/>
                <w:sz w:val="18"/>
                <w:szCs w:val="20"/>
                <w:lang w:val="es-EC" w:eastAsia="es-EC"/>
              </w:rPr>
            </w:pPr>
            <w:r w:rsidRPr="00E56391">
              <w:rPr>
                <w:rFonts w:ascii="Gadugi" w:eastAsia="Times New Roman" w:hAnsi="Gadugi" w:cstheme="minorHAnsi"/>
                <w:color w:val="000000"/>
                <w:sz w:val="18"/>
                <w:szCs w:val="20"/>
                <w:lang w:val="es-EC" w:eastAsia="es-EC"/>
              </w:rPr>
              <w:t> </w:t>
            </w:r>
          </w:p>
        </w:tc>
        <w:tc>
          <w:tcPr>
            <w:tcW w:w="1114" w:type="dxa"/>
            <w:tcBorders>
              <w:top w:val="nil"/>
              <w:left w:val="nil"/>
              <w:bottom w:val="single" w:sz="4" w:space="0" w:color="auto"/>
              <w:right w:val="single" w:sz="8" w:space="0" w:color="auto"/>
            </w:tcBorders>
            <w:shd w:val="clear" w:color="auto" w:fill="auto"/>
            <w:noWrap/>
            <w:vAlign w:val="center"/>
            <w:hideMark/>
          </w:tcPr>
          <w:p w:rsidR="00143542" w:rsidRPr="00E56391" w:rsidRDefault="00143542" w:rsidP="00143542">
            <w:pPr>
              <w:spacing w:after="0" w:line="240" w:lineRule="auto"/>
              <w:jc w:val="center"/>
              <w:rPr>
                <w:rFonts w:ascii="Gadugi" w:eastAsia="Times New Roman" w:hAnsi="Gadugi" w:cstheme="minorHAnsi"/>
                <w:color w:val="000000"/>
                <w:sz w:val="18"/>
                <w:szCs w:val="20"/>
                <w:lang w:val="es-EC" w:eastAsia="es-EC"/>
              </w:rPr>
            </w:pPr>
            <w:r w:rsidRPr="00E56391">
              <w:rPr>
                <w:rFonts w:ascii="Gadugi" w:eastAsia="Times New Roman" w:hAnsi="Gadugi" w:cstheme="minorHAnsi"/>
                <w:color w:val="000000"/>
                <w:sz w:val="18"/>
                <w:szCs w:val="20"/>
                <w:lang w:val="es-EC" w:eastAsia="es-EC"/>
              </w:rPr>
              <w:t> </w:t>
            </w:r>
          </w:p>
        </w:tc>
        <w:tc>
          <w:tcPr>
            <w:tcW w:w="668" w:type="dxa"/>
            <w:tcBorders>
              <w:top w:val="nil"/>
              <w:left w:val="nil"/>
              <w:bottom w:val="single" w:sz="4" w:space="0" w:color="auto"/>
              <w:right w:val="single" w:sz="8" w:space="0" w:color="auto"/>
            </w:tcBorders>
            <w:shd w:val="clear" w:color="auto" w:fill="auto"/>
            <w:noWrap/>
            <w:vAlign w:val="center"/>
            <w:hideMark/>
          </w:tcPr>
          <w:p w:rsidR="00143542" w:rsidRPr="00E56391" w:rsidRDefault="00143542" w:rsidP="00143542">
            <w:pPr>
              <w:spacing w:after="0" w:line="240" w:lineRule="auto"/>
              <w:jc w:val="center"/>
              <w:rPr>
                <w:rFonts w:ascii="Gadugi" w:eastAsia="Times New Roman" w:hAnsi="Gadugi" w:cstheme="minorHAnsi"/>
                <w:color w:val="000000"/>
                <w:sz w:val="18"/>
                <w:szCs w:val="20"/>
                <w:lang w:val="es-EC" w:eastAsia="es-EC"/>
              </w:rPr>
            </w:pPr>
            <w:r w:rsidRPr="00E56391">
              <w:rPr>
                <w:rFonts w:ascii="Gadugi" w:eastAsia="Times New Roman" w:hAnsi="Gadugi" w:cstheme="minorHAnsi"/>
                <w:color w:val="000000"/>
                <w:sz w:val="18"/>
                <w:szCs w:val="20"/>
                <w:lang w:val="es-EC" w:eastAsia="es-EC"/>
              </w:rPr>
              <w:t>0</w:t>
            </w:r>
          </w:p>
        </w:tc>
        <w:tc>
          <w:tcPr>
            <w:tcW w:w="831" w:type="dxa"/>
            <w:gridSpan w:val="2"/>
            <w:tcBorders>
              <w:top w:val="nil"/>
              <w:left w:val="nil"/>
              <w:bottom w:val="single" w:sz="4" w:space="0" w:color="auto"/>
              <w:right w:val="single" w:sz="8" w:space="0" w:color="auto"/>
            </w:tcBorders>
            <w:shd w:val="clear" w:color="auto" w:fill="auto"/>
            <w:noWrap/>
            <w:vAlign w:val="center"/>
            <w:hideMark/>
          </w:tcPr>
          <w:p w:rsidR="00143542" w:rsidRPr="00E56391" w:rsidRDefault="00143542" w:rsidP="00143542">
            <w:pPr>
              <w:spacing w:after="0" w:line="240" w:lineRule="auto"/>
              <w:jc w:val="center"/>
              <w:rPr>
                <w:rFonts w:ascii="Gadugi" w:eastAsia="Times New Roman" w:hAnsi="Gadugi" w:cstheme="minorHAnsi"/>
                <w:color w:val="000000"/>
                <w:sz w:val="18"/>
                <w:szCs w:val="20"/>
                <w:lang w:val="es-EC" w:eastAsia="es-EC"/>
              </w:rPr>
            </w:pPr>
            <w:r w:rsidRPr="00E56391">
              <w:rPr>
                <w:rFonts w:ascii="Gadugi" w:eastAsia="Times New Roman" w:hAnsi="Gadugi" w:cstheme="minorHAnsi"/>
                <w:color w:val="000000"/>
                <w:sz w:val="18"/>
                <w:szCs w:val="20"/>
                <w:lang w:val="es-EC" w:eastAsia="es-EC"/>
              </w:rPr>
              <w:t> </w:t>
            </w:r>
          </w:p>
        </w:tc>
        <w:tc>
          <w:tcPr>
            <w:tcW w:w="1144" w:type="dxa"/>
            <w:tcBorders>
              <w:top w:val="nil"/>
              <w:left w:val="nil"/>
              <w:bottom w:val="single" w:sz="4" w:space="0" w:color="auto"/>
              <w:right w:val="single" w:sz="8" w:space="0" w:color="auto"/>
            </w:tcBorders>
            <w:shd w:val="clear" w:color="auto" w:fill="auto"/>
            <w:noWrap/>
            <w:vAlign w:val="center"/>
            <w:hideMark/>
          </w:tcPr>
          <w:p w:rsidR="00143542" w:rsidRPr="00E56391" w:rsidRDefault="00143542" w:rsidP="00143542">
            <w:pPr>
              <w:spacing w:after="0" w:line="240" w:lineRule="auto"/>
              <w:jc w:val="center"/>
              <w:rPr>
                <w:rFonts w:ascii="Gadugi" w:eastAsia="Times New Roman" w:hAnsi="Gadugi" w:cstheme="minorHAnsi"/>
                <w:color w:val="000000"/>
                <w:sz w:val="18"/>
                <w:szCs w:val="20"/>
                <w:lang w:val="es-EC" w:eastAsia="es-EC"/>
              </w:rPr>
            </w:pPr>
            <w:r w:rsidRPr="00E56391">
              <w:rPr>
                <w:rFonts w:ascii="Gadugi" w:eastAsia="Times New Roman" w:hAnsi="Gadugi" w:cstheme="minorHAnsi"/>
                <w:color w:val="000000"/>
                <w:sz w:val="18"/>
                <w:szCs w:val="20"/>
                <w:lang w:val="es-EC" w:eastAsia="es-EC"/>
              </w:rPr>
              <w:t>0%</w:t>
            </w:r>
          </w:p>
        </w:tc>
      </w:tr>
    </w:tbl>
    <w:p w:rsidR="00C1652B" w:rsidRDefault="00C1652B" w:rsidP="00143542">
      <w:pPr>
        <w:jc w:val="both"/>
        <w:rPr>
          <w:rFonts w:ascii="Gadugi" w:hAnsi="Gadugi"/>
          <w:sz w:val="24"/>
          <w:szCs w:val="24"/>
        </w:rPr>
      </w:pPr>
    </w:p>
    <w:p w:rsidR="00240875" w:rsidRPr="00E56391" w:rsidRDefault="00240875" w:rsidP="00143542">
      <w:pPr>
        <w:jc w:val="both"/>
        <w:rPr>
          <w:rFonts w:ascii="Gadugi" w:hAnsi="Gadugi"/>
          <w:sz w:val="20"/>
          <w:szCs w:val="24"/>
        </w:rPr>
      </w:pPr>
      <w:r w:rsidRPr="00E56391">
        <w:rPr>
          <w:rFonts w:ascii="Gadugi" w:hAnsi="Gadugi"/>
          <w:sz w:val="20"/>
          <w:szCs w:val="24"/>
        </w:rPr>
        <w:t>Para comprensión de la matriz se adjunta un detalle de los campos:</w:t>
      </w:r>
    </w:p>
    <w:tbl>
      <w:tblPr>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5"/>
        <w:gridCol w:w="6963"/>
      </w:tblGrid>
      <w:tr w:rsidR="00820725" w:rsidRPr="00C1652B" w:rsidTr="00177AD2">
        <w:trPr>
          <w:trHeight w:val="319"/>
        </w:trPr>
        <w:tc>
          <w:tcPr>
            <w:tcW w:w="5000" w:type="pct"/>
            <w:gridSpan w:val="2"/>
            <w:vMerge w:val="restart"/>
            <w:shd w:val="clear" w:color="auto" w:fill="222A35" w:themeFill="text2" w:themeFillShade="80"/>
            <w:noWrap/>
            <w:vAlign w:val="center"/>
            <w:hideMark/>
          </w:tcPr>
          <w:p w:rsidR="00820725" w:rsidRPr="00C1652B" w:rsidRDefault="00820725" w:rsidP="00820725">
            <w:pPr>
              <w:spacing w:after="0" w:line="240" w:lineRule="auto"/>
              <w:jc w:val="center"/>
              <w:rPr>
                <w:rFonts w:ascii="Gadugi" w:eastAsia="Times New Roman" w:hAnsi="Gadugi" w:cstheme="majorHAnsi"/>
                <w:b/>
                <w:bCs/>
                <w:color w:val="FFFFFF"/>
                <w:sz w:val="20"/>
                <w:szCs w:val="20"/>
                <w:lang w:val="es-EC" w:eastAsia="es-EC"/>
              </w:rPr>
            </w:pPr>
            <w:r w:rsidRPr="00C1652B">
              <w:rPr>
                <w:rFonts w:ascii="Gadugi" w:eastAsia="Times New Roman" w:hAnsi="Gadugi" w:cstheme="majorHAnsi"/>
                <w:b/>
                <w:bCs/>
                <w:color w:val="FFFFFF"/>
                <w:sz w:val="20"/>
                <w:szCs w:val="20"/>
                <w:lang w:val="es-EC" w:eastAsia="es-EC"/>
              </w:rPr>
              <w:t>ATRIBUTOS DE PRIORIZACIÓN</w:t>
            </w:r>
          </w:p>
        </w:tc>
      </w:tr>
      <w:tr w:rsidR="00820725" w:rsidRPr="00C1652B" w:rsidTr="00177AD2">
        <w:trPr>
          <w:trHeight w:val="319"/>
        </w:trPr>
        <w:tc>
          <w:tcPr>
            <w:tcW w:w="5000" w:type="pct"/>
            <w:gridSpan w:val="2"/>
            <w:vMerge/>
            <w:shd w:val="clear" w:color="auto" w:fill="222A35" w:themeFill="text2" w:themeFillShade="80"/>
            <w:vAlign w:val="center"/>
            <w:hideMark/>
          </w:tcPr>
          <w:p w:rsidR="00820725" w:rsidRPr="00C1652B" w:rsidRDefault="00820725" w:rsidP="00820725">
            <w:pPr>
              <w:spacing w:after="0" w:line="240" w:lineRule="auto"/>
              <w:rPr>
                <w:rFonts w:ascii="Gadugi" w:eastAsia="Times New Roman" w:hAnsi="Gadugi" w:cstheme="majorHAnsi"/>
                <w:b/>
                <w:bCs/>
                <w:color w:val="FFFFFF"/>
                <w:sz w:val="20"/>
                <w:szCs w:val="20"/>
                <w:lang w:val="es-EC" w:eastAsia="es-EC"/>
              </w:rPr>
            </w:pPr>
          </w:p>
        </w:tc>
      </w:tr>
      <w:tr w:rsidR="00820725" w:rsidRPr="00C1652B" w:rsidTr="00177AD2">
        <w:trPr>
          <w:trHeight w:val="900"/>
        </w:trPr>
        <w:tc>
          <w:tcPr>
            <w:tcW w:w="1436" w:type="pct"/>
            <w:shd w:val="clear" w:color="auto" w:fill="222A35" w:themeFill="text2" w:themeFillShade="80"/>
            <w:noWrap/>
            <w:vAlign w:val="center"/>
            <w:hideMark/>
          </w:tcPr>
          <w:p w:rsidR="00820725" w:rsidRPr="00C1652B" w:rsidRDefault="00820725" w:rsidP="00820725">
            <w:pPr>
              <w:spacing w:after="0" w:line="240" w:lineRule="auto"/>
              <w:jc w:val="center"/>
              <w:rPr>
                <w:rFonts w:ascii="Gadugi" w:eastAsia="Times New Roman" w:hAnsi="Gadugi" w:cstheme="majorHAnsi"/>
                <w:b/>
                <w:bCs/>
                <w:color w:val="FFFFFF"/>
                <w:sz w:val="20"/>
                <w:szCs w:val="20"/>
                <w:lang w:val="es-EC" w:eastAsia="es-EC"/>
              </w:rPr>
            </w:pPr>
            <w:r w:rsidRPr="00C1652B">
              <w:rPr>
                <w:rFonts w:ascii="Gadugi" w:eastAsia="Times New Roman" w:hAnsi="Gadugi" w:cstheme="majorHAnsi"/>
                <w:b/>
                <w:bCs/>
                <w:color w:val="FFFFFF"/>
                <w:sz w:val="20"/>
                <w:szCs w:val="20"/>
                <w:lang w:val="es-EC" w:eastAsia="es-EC"/>
              </w:rPr>
              <w:t>Proceso</w:t>
            </w:r>
          </w:p>
        </w:tc>
        <w:tc>
          <w:tcPr>
            <w:tcW w:w="3564" w:type="pct"/>
            <w:shd w:val="clear" w:color="auto" w:fill="auto"/>
            <w:vAlign w:val="bottom"/>
            <w:hideMark/>
          </w:tcPr>
          <w:p w:rsidR="00820725" w:rsidRPr="00C1652B" w:rsidRDefault="00820725" w:rsidP="00820725">
            <w:pPr>
              <w:spacing w:after="0" w:line="240" w:lineRule="auto"/>
              <w:rPr>
                <w:rFonts w:ascii="Gadugi" w:eastAsia="Times New Roman" w:hAnsi="Gadugi" w:cstheme="majorHAnsi"/>
                <w:color w:val="000000"/>
                <w:sz w:val="20"/>
                <w:szCs w:val="20"/>
                <w:lang w:val="es-EC" w:eastAsia="es-EC"/>
              </w:rPr>
            </w:pPr>
            <w:r w:rsidRPr="00C1652B">
              <w:rPr>
                <w:rFonts w:ascii="Gadugi" w:eastAsia="Times New Roman" w:hAnsi="Gadugi" w:cstheme="majorHAnsi"/>
                <w:color w:val="000000"/>
                <w:sz w:val="20"/>
                <w:szCs w:val="20"/>
                <w:lang w:val="es-EC" w:eastAsia="es-EC"/>
              </w:rPr>
              <w:t>Es un conjunto de actividades del MDMQ que tienen una temporalidad y orden lógico, estas actividades son ejecutadas para realizar la transformación de un insumo en un producto solicitado.</w:t>
            </w:r>
          </w:p>
        </w:tc>
      </w:tr>
      <w:tr w:rsidR="00820725" w:rsidRPr="00C1652B" w:rsidTr="00177AD2">
        <w:trPr>
          <w:trHeight w:val="600"/>
        </w:trPr>
        <w:tc>
          <w:tcPr>
            <w:tcW w:w="1436" w:type="pct"/>
            <w:shd w:val="clear" w:color="auto" w:fill="222A35" w:themeFill="text2" w:themeFillShade="80"/>
            <w:noWrap/>
            <w:vAlign w:val="center"/>
            <w:hideMark/>
          </w:tcPr>
          <w:p w:rsidR="00820725" w:rsidRPr="00C1652B" w:rsidRDefault="00820725" w:rsidP="00820725">
            <w:pPr>
              <w:spacing w:after="0" w:line="240" w:lineRule="auto"/>
              <w:jc w:val="center"/>
              <w:rPr>
                <w:rFonts w:ascii="Gadugi" w:eastAsia="Times New Roman" w:hAnsi="Gadugi" w:cstheme="majorHAnsi"/>
                <w:b/>
                <w:bCs/>
                <w:color w:val="FFFFFF"/>
                <w:sz w:val="20"/>
                <w:szCs w:val="20"/>
                <w:lang w:val="es-EC" w:eastAsia="es-EC"/>
              </w:rPr>
            </w:pPr>
            <w:r w:rsidRPr="00C1652B">
              <w:rPr>
                <w:rFonts w:ascii="Gadugi" w:eastAsia="Times New Roman" w:hAnsi="Gadugi" w:cstheme="majorHAnsi"/>
                <w:b/>
                <w:bCs/>
                <w:color w:val="FFFFFF"/>
                <w:sz w:val="20"/>
                <w:szCs w:val="20"/>
                <w:lang w:val="es-EC" w:eastAsia="es-EC"/>
              </w:rPr>
              <w:t xml:space="preserve">Variables (V1 a </w:t>
            </w:r>
            <w:proofErr w:type="spellStart"/>
            <w:r w:rsidRPr="00C1652B">
              <w:rPr>
                <w:rFonts w:ascii="Gadugi" w:eastAsia="Times New Roman" w:hAnsi="Gadugi" w:cstheme="majorHAnsi"/>
                <w:b/>
                <w:bCs/>
                <w:color w:val="FFFFFF"/>
                <w:sz w:val="20"/>
                <w:szCs w:val="20"/>
                <w:lang w:val="es-EC" w:eastAsia="es-EC"/>
              </w:rPr>
              <w:t>Vn</w:t>
            </w:r>
            <w:proofErr w:type="spellEnd"/>
            <w:r w:rsidRPr="00C1652B">
              <w:rPr>
                <w:rFonts w:ascii="Gadugi" w:eastAsia="Times New Roman" w:hAnsi="Gadugi" w:cstheme="majorHAnsi"/>
                <w:b/>
                <w:bCs/>
                <w:color w:val="FFFFFF"/>
                <w:sz w:val="20"/>
                <w:szCs w:val="20"/>
                <w:lang w:val="es-EC" w:eastAsia="es-EC"/>
              </w:rPr>
              <w:t>)</w:t>
            </w:r>
          </w:p>
        </w:tc>
        <w:tc>
          <w:tcPr>
            <w:tcW w:w="3564" w:type="pct"/>
            <w:shd w:val="clear" w:color="auto" w:fill="auto"/>
            <w:vAlign w:val="bottom"/>
            <w:hideMark/>
          </w:tcPr>
          <w:p w:rsidR="00820725" w:rsidRPr="00C1652B" w:rsidRDefault="00820725" w:rsidP="00820725">
            <w:pPr>
              <w:spacing w:after="0" w:line="240" w:lineRule="auto"/>
              <w:rPr>
                <w:rFonts w:ascii="Gadugi" w:eastAsia="Times New Roman" w:hAnsi="Gadugi" w:cstheme="majorHAnsi"/>
                <w:color w:val="000000"/>
                <w:sz w:val="20"/>
                <w:szCs w:val="20"/>
                <w:lang w:val="es-EC" w:eastAsia="es-EC"/>
              </w:rPr>
            </w:pPr>
            <w:r w:rsidRPr="00C1652B">
              <w:rPr>
                <w:rFonts w:ascii="Gadugi" w:eastAsia="Times New Roman" w:hAnsi="Gadugi" w:cstheme="majorHAnsi"/>
                <w:color w:val="000000"/>
                <w:sz w:val="20"/>
                <w:szCs w:val="20"/>
                <w:lang w:val="es-EC" w:eastAsia="es-EC"/>
              </w:rPr>
              <w:t>Es el aspecto a evaluar del servicio o proceso que tiene influencia directa en la importancia o prioridad del proceso</w:t>
            </w:r>
          </w:p>
        </w:tc>
      </w:tr>
      <w:tr w:rsidR="00820725" w:rsidRPr="00C1652B" w:rsidTr="00177AD2">
        <w:trPr>
          <w:trHeight w:val="300"/>
        </w:trPr>
        <w:tc>
          <w:tcPr>
            <w:tcW w:w="1436" w:type="pct"/>
            <w:vMerge w:val="restart"/>
            <w:shd w:val="clear" w:color="auto" w:fill="222A35" w:themeFill="text2" w:themeFillShade="80"/>
            <w:noWrap/>
            <w:vAlign w:val="center"/>
            <w:hideMark/>
          </w:tcPr>
          <w:p w:rsidR="00820725" w:rsidRPr="00C1652B" w:rsidRDefault="00820725" w:rsidP="00820725">
            <w:pPr>
              <w:spacing w:after="0" w:line="240" w:lineRule="auto"/>
              <w:jc w:val="center"/>
              <w:rPr>
                <w:rFonts w:ascii="Gadugi" w:eastAsia="Times New Roman" w:hAnsi="Gadugi" w:cstheme="majorHAnsi"/>
                <w:b/>
                <w:bCs/>
                <w:color w:val="FFFFFF"/>
                <w:sz w:val="20"/>
                <w:szCs w:val="20"/>
                <w:lang w:val="es-EC" w:eastAsia="es-EC"/>
              </w:rPr>
            </w:pPr>
            <w:proofErr w:type="gramStart"/>
            <w:r w:rsidRPr="00C1652B">
              <w:rPr>
                <w:rFonts w:ascii="Gadugi" w:eastAsia="Times New Roman" w:hAnsi="Gadugi" w:cstheme="majorHAnsi"/>
                <w:b/>
                <w:bCs/>
                <w:color w:val="FFFFFF"/>
                <w:sz w:val="20"/>
                <w:szCs w:val="20"/>
                <w:lang w:val="es-EC" w:eastAsia="es-EC"/>
              </w:rPr>
              <w:t>x1</w:t>
            </w:r>
            <w:proofErr w:type="gramEnd"/>
            <w:r w:rsidRPr="00C1652B">
              <w:rPr>
                <w:rFonts w:ascii="Gadugi" w:eastAsia="Times New Roman" w:hAnsi="Gadugi" w:cstheme="majorHAnsi"/>
                <w:b/>
                <w:bCs/>
                <w:color w:val="FFFFFF"/>
                <w:sz w:val="20"/>
                <w:szCs w:val="20"/>
                <w:lang w:val="es-EC" w:eastAsia="es-EC"/>
              </w:rPr>
              <w:t xml:space="preserve"> a </w:t>
            </w:r>
            <w:proofErr w:type="spellStart"/>
            <w:r w:rsidRPr="00C1652B">
              <w:rPr>
                <w:rFonts w:ascii="Gadugi" w:eastAsia="Times New Roman" w:hAnsi="Gadugi" w:cstheme="majorHAnsi"/>
                <w:b/>
                <w:bCs/>
                <w:color w:val="FFFFFF"/>
                <w:sz w:val="20"/>
                <w:szCs w:val="20"/>
                <w:lang w:val="es-EC" w:eastAsia="es-EC"/>
              </w:rPr>
              <w:t>nn</w:t>
            </w:r>
            <w:proofErr w:type="spellEnd"/>
            <w:r w:rsidRPr="00C1652B">
              <w:rPr>
                <w:rFonts w:ascii="Gadugi" w:eastAsia="Times New Roman" w:hAnsi="Gadugi" w:cstheme="majorHAnsi"/>
                <w:b/>
                <w:bCs/>
                <w:color w:val="FFFFFF"/>
                <w:sz w:val="20"/>
                <w:szCs w:val="20"/>
                <w:lang w:val="es-EC" w:eastAsia="es-EC"/>
              </w:rPr>
              <w:t>…</w:t>
            </w:r>
          </w:p>
        </w:tc>
        <w:tc>
          <w:tcPr>
            <w:tcW w:w="3564" w:type="pct"/>
            <w:shd w:val="clear" w:color="auto" w:fill="auto"/>
            <w:noWrap/>
            <w:vAlign w:val="bottom"/>
            <w:hideMark/>
          </w:tcPr>
          <w:p w:rsidR="00820725" w:rsidRPr="00C1652B" w:rsidRDefault="00820725" w:rsidP="00820725">
            <w:pPr>
              <w:spacing w:after="0" w:line="240" w:lineRule="auto"/>
              <w:rPr>
                <w:rFonts w:ascii="Gadugi" w:eastAsia="Times New Roman" w:hAnsi="Gadugi" w:cstheme="majorHAnsi"/>
                <w:color w:val="000000"/>
                <w:sz w:val="20"/>
                <w:szCs w:val="20"/>
                <w:lang w:val="es-EC" w:eastAsia="es-EC"/>
              </w:rPr>
            </w:pPr>
            <w:r w:rsidRPr="00C1652B">
              <w:rPr>
                <w:rFonts w:ascii="Gadugi" w:eastAsia="Times New Roman" w:hAnsi="Gadugi" w:cstheme="majorHAnsi"/>
                <w:color w:val="000000"/>
                <w:sz w:val="20"/>
                <w:szCs w:val="20"/>
                <w:lang w:val="es-EC" w:eastAsia="es-EC"/>
              </w:rPr>
              <w:t>Valor que se le asigna a la variable de acuerdo a la escala metodológica:</w:t>
            </w:r>
          </w:p>
        </w:tc>
      </w:tr>
      <w:tr w:rsidR="00820725" w:rsidRPr="00C1652B" w:rsidTr="00177AD2">
        <w:trPr>
          <w:trHeight w:val="300"/>
        </w:trPr>
        <w:tc>
          <w:tcPr>
            <w:tcW w:w="1436" w:type="pct"/>
            <w:vMerge/>
            <w:shd w:val="clear" w:color="auto" w:fill="222A35" w:themeFill="text2" w:themeFillShade="80"/>
            <w:vAlign w:val="center"/>
            <w:hideMark/>
          </w:tcPr>
          <w:p w:rsidR="00820725" w:rsidRPr="00C1652B" w:rsidRDefault="00820725" w:rsidP="00820725">
            <w:pPr>
              <w:spacing w:after="0" w:line="240" w:lineRule="auto"/>
              <w:rPr>
                <w:rFonts w:ascii="Gadugi" w:eastAsia="Times New Roman" w:hAnsi="Gadugi" w:cstheme="majorHAnsi"/>
                <w:b/>
                <w:bCs/>
                <w:color w:val="FFFFFF"/>
                <w:sz w:val="20"/>
                <w:szCs w:val="20"/>
                <w:lang w:val="es-EC" w:eastAsia="es-EC"/>
              </w:rPr>
            </w:pPr>
          </w:p>
        </w:tc>
        <w:tc>
          <w:tcPr>
            <w:tcW w:w="3564" w:type="pct"/>
            <w:shd w:val="clear" w:color="auto" w:fill="auto"/>
            <w:noWrap/>
            <w:vAlign w:val="bottom"/>
            <w:hideMark/>
          </w:tcPr>
          <w:p w:rsidR="00820725" w:rsidRPr="00C1652B" w:rsidRDefault="00820725" w:rsidP="00820725">
            <w:pPr>
              <w:spacing w:after="0" w:line="240" w:lineRule="auto"/>
              <w:rPr>
                <w:rFonts w:ascii="Gadugi" w:eastAsia="Times New Roman" w:hAnsi="Gadugi" w:cstheme="majorHAnsi"/>
                <w:color w:val="000000"/>
                <w:sz w:val="20"/>
                <w:szCs w:val="20"/>
                <w:lang w:val="es-EC" w:eastAsia="es-EC"/>
              </w:rPr>
            </w:pPr>
            <w:r w:rsidRPr="00C1652B">
              <w:rPr>
                <w:rFonts w:ascii="Gadugi" w:eastAsia="Times New Roman" w:hAnsi="Gadugi" w:cstheme="majorHAnsi"/>
                <w:color w:val="000000"/>
                <w:sz w:val="20"/>
                <w:szCs w:val="20"/>
                <w:lang w:val="es-EC" w:eastAsia="es-EC"/>
              </w:rPr>
              <w:t>Valor de 1: Variable de baja importancia, no representa mayor prioridad</w:t>
            </w:r>
          </w:p>
        </w:tc>
      </w:tr>
      <w:tr w:rsidR="00820725" w:rsidRPr="00C1652B" w:rsidTr="00177AD2">
        <w:trPr>
          <w:trHeight w:val="300"/>
        </w:trPr>
        <w:tc>
          <w:tcPr>
            <w:tcW w:w="1436" w:type="pct"/>
            <w:vMerge/>
            <w:shd w:val="clear" w:color="auto" w:fill="222A35" w:themeFill="text2" w:themeFillShade="80"/>
            <w:vAlign w:val="center"/>
            <w:hideMark/>
          </w:tcPr>
          <w:p w:rsidR="00820725" w:rsidRPr="00C1652B" w:rsidRDefault="00820725" w:rsidP="00820725">
            <w:pPr>
              <w:spacing w:after="0" w:line="240" w:lineRule="auto"/>
              <w:rPr>
                <w:rFonts w:ascii="Gadugi" w:eastAsia="Times New Roman" w:hAnsi="Gadugi" w:cstheme="majorHAnsi"/>
                <w:b/>
                <w:bCs/>
                <w:color w:val="FFFFFF"/>
                <w:sz w:val="20"/>
                <w:szCs w:val="20"/>
                <w:lang w:val="es-EC" w:eastAsia="es-EC"/>
              </w:rPr>
            </w:pPr>
          </w:p>
        </w:tc>
        <w:tc>
          <w:tcPr>
            <w:tcW w:w="3564" w:type="pct"/>
            <w:shd w:val="clear" w:color="auto" w:fill="auto"/>
            <w:noWrap/>
            <w:vAlign w:val="bottom"/>
            <w:hideMark/>
          </w:tcPr>
          <w:p w:rsidR="00820725" w:rsidRPr="00C1652B" w:rsidRDefault="00820725" w:rsidP="00820725">
            <w:pPr>
              <w:spacing w:after="0" w:line="240" w:lineRule="auto"/>
              <w:rPr>
                <w:rFonts w:ascii="Gadugi" w:eastAsia="Times New Roman" w:hAnsi="Gadugi" w:cstheme="majorHAnsi"/>
                <w:color w:val="000000"/>
                <w:sz w:val="20"/>
                <w:szCs w:val="20"/>
                <w:lang w:val="es-EC" w:eastAsia="es-EC"/>
              </w:rPr>
            </w:pPr>
            <w:r w:rsidRPr="00C1652B">
              <w:rPr>
                <w:rFonts w:ascii="Gadugi" w:eastAsia="Times New Roman" w:hAnsi="Gadugi" w:cstheme="majorHAnsi"/>
                <w:color w:val="000000"/>
                <w:sz w:val="20"/>
                <w:szCs w:val="20"/>
                <w:lang w:val="es-EC" w:eastAsia="es-EC"/>
              </w:rPr>
              <w:t>Valor de 5: Variable de media importancia, prioridad media</w:t>
            </w:r>
          </w:p>
        </w:tc>
      </w:tr>
      <w:tr w:rsidR="00820725" w:rsidRPr="00C1652B" w:rsidTr="00177AD2">
        <w:trPr>
          <w:trHeight w:val="300"/>
        </w:trPr>
        <w:tc>
          <w:tcPr>
            <w:tcW w:w="1436" w:type="pct"/>
            <w:vMerge/>
            <w:shd w:val="clear" w:color="auto" w:fill="222A35" w:themeFill="text2" w:themeFillShade="80"/>
            <w:vAlign w:val="center"/>
            <w:hideMark/>
          </w:tcPr>
          <w:p w:rsidR="00820725" w:rsidRPr="00C1652B" w:rsidRDefault="00820725" w:rsidP="00820725">
            <w:pPr>
              <w:spacing w:after="0" w:line="240" w:lineRule="auto"/>
              <w:rPr>
                <w:rFonts w:ascii="Gadugi" w:eastAsia="Times New Roman" w:hAnsi="Gadugi" w:cstheme="majorHAnsi"/>
                <w:b/>
                <w:bCs/>
                <w:color w:val="FFFFFF"/>
                <w:sz w:val="20"/>
                <w:szCs w:val="20"/>
                <w:lang w:val="es-EC" w:eastAsia="es-EC"/>
              </w:rPr>
            </w:pPr>
          </w:p>
        </w:tc>
        <w:tc>
          <w:tcPr>
            <w:tcW w:w="3564" w:type="pct"/>
            <w:shd w:val="clear" w:color="auto" w:fill="auto"/>
            <w:noWrap/>
            <w:vAlign w:val="bottom"/>
            <w:hideMark/>
          </w:tcPr>
          <w:p w:rsidR="00820725" w:rsidRPr="00C1652B" w:rsidRDefault="00820725" w:rsidP="00820725">
            <w:pPr>
              <w:spacing w:after="0" w:line="240" w:lineRule="auto"/>
              <w:rPr>
                <w:rFonts w:ascii="Gadugi" w:eastAsia="Times New Roman" w:hAnsi="Gadugi" w:cstheme="majorHAnsi"/>
                <w:color w:val="000000"/>
                <w:sz w:val="20"/>
                <w:szCs w:val="20"/>
                <w:lang w:val="es-EC" w:eastAsia="es-EC"/>
              </w:rPr>
            </w:pPr>
            <w:r w:rsidRPr="00C1652B">
              <w:rPr>
                <w:rFonts w:ascii="Gadugi" w:eastAsia="Times New Roman" w:hAnsi="Gadugi" w:cstheme="majorHAnsi"/>
                <w:color w:val="000000"/>
                <w:sz w:val="20"/>
                <w:szCs w:val="20"/>
                <w:lang w:val="es-EC" w:eastAsia="es-EC"/>
              </w:rPr>
              <w:t>Valor de 10: Variable de alta importancia, prioridad alta</w:t>
            </w:r>
          </w:p>
        </w:tc>
      </w:tr>
      <w:tr w:rsidR="00820725" w:rsidRPr="00C1652B" w:rsidTr="00177AD2">
        <w:trPr>
          <w:trHeight w:val="315"/>
        </w:trPr>
        <w:tc>
          <w:tcPr>
            <w:tcW w:w="1436" w:type="pct"/>
            <w:shd w:val="clear" w:color="auto" w:fill="222A35" w:themeFill="text2" w:themeFillShade="80"/>
            <w:noWrap/>
            <w:vAlign w:val="center"/>
            <w:hideMark/>
          </w:tcPr>
          <w:p w:rsidR="00820725" w:rsidRPr="00C1652B" w:rsidRDefault="00820725" w:rsidP="00820725">
            <w:pPr>
              <w:spacing w:after="0" w:line="240" w:lineRule="auto"/>
              <w:jc w:val="center"/>
              <w:rPr>
                <w:rFonts w:ascii="Gadugi" w:eastAsia="Times New Roman" w:hAnsi="Gadugi" w:cstheme="majorHAnsi"/>
                <w:b/>
                <w:bCs/>
                <w:color w:val="FFFFFF"/>
                <w:sz w:val="20"/>
                <w:szCs w:val="20"/>
                <w:lang w:val="es-EC" w:eastAsia="es-EC"/>
              </w:rPr>
            </w:pPr>
            <w:r w:rsidRPr="00C1652B">
              <w:rPr>
                <w:rFonts w:ascii="Gadugi" w:eastAsia="Times New Roman" w:hAnsi="Gadugi" w:cstheme="majorHAnsi"/>
                <w:b/>
                <w:bCs/>
                <w:color w:val="FFFFFF"/>
                <w:sz w:val="20"/>
                <w:szCs w:val="20"/>
                <w:lang w:val="es-EC" w:eastAsia="es-EC"/>
              </w:rPr>
              <w:lastRenderedPageBreak/>
              <w:t>Total (T)</w:t>
            </w:r>
          </w:p>
        </w:tc>
        <w:tc>
          <w:tcPr>
            <w:tcW w:w="3564" w:type="pct"/>
            <w:shd w:val="clear" w:color="auto" w:fill="auto"/>
            <w:noWrap/>
            <w:vAlign w:val="bottom"/>
            <w:hideMark/>
          </w:tcPr>
          <w:p w:rsidR="00820725" w:rsidRPr="00C1652B" w:rsidRDefault="00820725" w:rsidP="00820725">
            <w:pPr>
              <w:spacing w:after="0" w:line="240" w:lineRule="auto"/>
              <w:rPr>
                <w:rFonts w:ascii="Gadugi" w:eastAsia="Times New Roman" w:hAnsi="Gadugi" w:cstheme="majorHAnsi"/>
                <w:color w:val="000000"/>
                <w:sz w:val="20"/>
                <w:szCs w:val="20"/>
                <w:lang w:val="es-EC" w:eastAsia="es-EC"/>
              </w:rPr>
            </w:pPr>
            <w:r w:rsidRPr="00C1652B">
              <w:rPr>
                <w:rFonts w:ascii="Gadugi" w:eastAsia="Times New Roman" w:hAnsi="Gadugi" w:cstheme="majorHAnsi"/>
                <w:color w:val="000000"/>
                <w:sz w:val="20"/>
                <w:szCs w:val="20"/>
                <w:lang w:val="es-EC" w:eastAsia="es-EC"/>
              </w:rPr>
              <w:t>Suma de los valores asignados a las variables (x1+y1+z1+n1…)</w:t>
            </w:r>
          </w:p>
        </w:tc>
      </w:tr>
      <w:tr w:rsidR="00820725" w:rsidRPr="00C1652B" w:rsidTr="00177AD2">
        <w:trPr>
          <w:trHeight w:val="900"/>
        </w:trPr>
        <w:tc>
          <w:tcPr>
            <w:tcW w:w="1436" w:type="pct"/>
            <w:shd w:val="clear" w:color="auto" w:fill="222A35" w:themeFill="text2" w:themeFillShade="80"/>
            <w:noWrap/>
            <w:vAlign w:val="center"/>
            <w:hideMark/>
          </w:tcPr>
          <w:p w:rsidR="00820725" w:rsidRPr="00C1652B" w:rsidRDefault="00820725" w:rsidP="00820725">
            <w:pPr>
              <w:spacing w:after="0" w:line="240" w:lineRule="auto"/>
              <w:jc w:val="center"/>
              <w:rPr>
                <w:rFonts w:ascii="Gadugi" w:eastAsia="Times New Roman" w:hAnsi="Gadugi" w:cstheme="majorHAnsi"/>
                <w:b/>
                <w:bCs/>
                <w:color w:val="FFFFFF"/>
                <w:sz w:val="20"/>
                <w:szCs w:val="20"/>
                <w:lang w:val="es-EC" w:eastAsia="es-EC"/>
              </w:rPr>
            </w:pPr>
            <w:r w:rsidRPr="00C1652B">
              <w:rPr>
                <w:rFonts w:ascii="Gadugi" w:eastAsia="Times New Roman" w:hAnsi="Gadugi" w:cstheme="majorHAnsi"/>
                <w:b/>
                <w:bCs/>
                <w:color w:val="FFFFFF"/>
                <w:sz w:val="20"/>
                <w:szCs w:val="20"/>
                <w:lang w:val="es-EC" w:eastAsia="es-EC"/>
              </w:rPr>
              <w:t>Decisión Política</w:t>
            </w:r>
          </w:p>
        </w:tc>
        <w:tc>
          <w:tcPr>
            <w:tcW w:w="3564" w:type="pct"/>
            <w:shd w:val="clear" w:color="auto" w:fill="auto"/>
            <w:vAlign w:val="bottom"/>
            <w:hideMark/>
          </w:tcPr>
          <w:p w:rsidR="00820725" w:rsidRPr="00C1652B" w:rsidRDefault="00820725" w:rsidP="00820725">
            <w:pPr>
              <w:spacing w:after="0" w:line="240" w:lineRule="auto"/>
              <w:rPr>
                <w:rFonts w:ascii="Gadugi" w:eastAsia="Times New Roman" w:hAnsi="Gadugi" w:cstheme="majorHAnsi"/>
                <w:color w:val="000000"/>
                <w:sz w:val="20"/>
                <w:szCs w:val="20"/>
                <w:lang w:val="es-EC" w:eastAsia="es-EC"/>
              </w:rPr>
            </w:pPr>
            <w:r w:rsidRPr="00C1652B">
              <w:rPr>
                <w:rFonts w:ascii="Gadugi" w:eastAsia="Times New Roman" w:hAnsi="Gadugi" w:cstheme="majorHAnsi"/>
                <w:color w:val="000000"/>
                <w:sz w:val="20"/>
                <w:szCs w:val="20"/>
                <w:lang w:val="es-EC" w:eastAsia="es-EC"/>
              </w:rPr>
              <w:t>Factor que determina un peso adicional en un 20% al índice de priorización (IP%), "SI" indica un alto grado en el que influye la decisión política de la autoridad en la priorización del proceso o servicio.</w:t>
            </w:r>
          </w:p>
        </w:tc>
      </w:tr>
      <w:tr w:rsidR="00820725" w:rsidRPr="00C1652B" w:rsidTr="00177AD2">
        <w:trPr>
          <w:trHeight w:val="600"/>
        </w:trPr>
        <w:tc>
          <w:tcPr>
            <w:tcW w:w="1436" w:type="pct"/>
            <w:shd w:val="clear" w:color="auto" w:fill="222A35" w:themeFill="text2" w:themeFillShade="80"/>
            <w:noWrap/>
            <w:vAlign w:val="center"/>
            <w:hideMark/>
          </w:tcPr>
          <w:p w:rsidR="00820725" w:rsidRPr="00C1652B" w:rsidRDefault="00820725" w:rsidP="00820725">
            <w:pPr>
              <w:spacing w:after="0" w:line="240" w:lineRule="auto"/>
              <w:jc w:val="center"/>
              <w:rPr>
                <w:rFonts w:ascii="Gadugi" w:eastAsia="Times New Roman" w:hAnsi="Gadugi" w:cstheme="majorHAnsi"/>
                <w:b/>
                <w:bCs/>
                <w:color w:val="FFFFFF"/>
                <w:sz w:val="20"/>
                <w:szCs w:val="20"/>
                <w:lang w:val="es-EC" w:eastAsia="es-EC"/>
              </w:rPr>
            </w:pPr>
            <w:r w:rsidRPr="00C1652B">
              <w:rPr>
                <w:rFonts w:ascii="Gadugi" w:eastAsia="Times New Roman" w:hAnsi="Gadugi" w:cstheme="majorHAnsi"/>
                <w:b/>
                <w:bCs/>
                <w:color w:val="FFFFFF"/>
                <w:sz w:val="20"/>
                <w:szCs w:val="20"/>
                <w:lang w:val="es-EC" w:eastAsia="es-EC"/>
              </w:rPr>
              <w:t>Índice de priorización (IP%)</w:t>
            </w:r>
          </w:p>
        </w:tc>
        <w:tc>
          <w:tcPr>
            <w:tcW w:w="3564" w:type="pct"/>
            <w:shd w:val="clear" w:color="auto" w:fill="auto"/>
            <w:vAlign w:val="bottom"/>
            <w:hideMark/>
          </w:tcPr>
          <w:p w:rsidR="00820725" w:rsidRPr="00C1652B" w:rsidRDefault="00820725" w:rsidP="00820725">
            <w:pPr>
              <w:spacing w:after="0" w:line="240" w:lineRule="auto"/>
              <w:rPr>
                <w:rFonts w:ascii="Gadugi" w:eastAsia="Times New Roman" w:hAnsi="Gadugi" w:cstheme="majorHAnsi"/>
                <w:color w:val="000000"/>
                <w:sz w:val="20"/>
                <w:szCs w:val="20"/>
                <w:lang w:val="es-EC" w:eastAsia="es-EC"/>
              </w:rPr>
            </w:pPr>
            <w:r w:rsidRPr="00C1652B">
              <w:rPr>
                <w:rFonts w:ascii="Gadugi" w:eastAsia="Times New Roman" w:hAnsi="Gadugi" w:cstheme="majorHAnsi"/>
                <w:color w:val="000000"/>
                <w:sz w:val="20"/>
                <w:szCs w:val="20"/>
                <w:lang w:val="es-EC" w:eastAsia="es-EC"/>
              </w:rPr>
              <w:t>Razón entre el Total (T) y (el número de variables (N) * 10 (número máximo que puede tener una variable)), este índice se lo expresa de forma porcentual</w:t>
            </w:r>
          </w:p>
        </w:tc>
      </w:tr>
      <w:tr w:rsidR="00820725" w:rsidRPr="00C1652B" w:rsidTr="00177AD2">
        <w:trPr>
          <w:trHeight w:val="315"/>
        </w:trPr>
        <w:tc>
          <w:tcPr>
            <w:tcW w:w="1436" w:type="pct"/>
            <w:shd w:val="clear" w:color="auto" w:fill="222A35" w:themeFill="text2" w:themeFillShade="80"/>
            <w:noWrap/>
            <w:vAlign w:val="center"/>
            <w:hideMark/>
          </w:tcPr>
          <w:p w:rsidR="00820725" w:rsidRPr="00C1652B" w:rsidRDefault="00820725" w:rsidP="00820725">
            <w:pPr>
              <w:spacing w:after="0" w:line="240" w:lineRule="auto"/>
              <w:jc w:val="center"/>
              <w:rPr>
                <w:rFonts w:ascii="Gadugi" w:eastAsia="Times New Roman" w:hAnsi="Gadugi" w:cstheme="majorHAnsi"/>
                <w:b/>
                <w:bCs/>
                <w:color w:val="FFFFFF"/>
                <w:sz w:val="20"/>
                <w:szCs w:val="20"/>
                <w:lang w:val="es-EC" w:eastAsia="es-EC"/>
              </w:rPr>
            </w:pPr>
            <w:r w:rsidRPr="00C1652B">
              <w:rPr>
                <w:rFonts w:ascii="Gadugi" w:eastAsia="Times New Roman" w:hAnsi="Gadugi" w:cstheme="majorHAnsi"/>
                <w:b/>
                <w:bCs/>
                <w:color w:val="FFFFFF"/>
                <w:sz w:val="20"/>
                <w:szCs w:val="20"/>
                <w:lang w:val="es-EC" w:eastAsia="es-EC"/>
              </w:rPr>
              <w:t>Número de Variables (N)</w:t>
            </w:r>
          </w:p>
        </w:tc>
        <w:tc>
          <w:tcPr>
            <w:tcW w:w="3564" w:type="pct"/>
            <w:shd w:val="clear" w:color="auto" w:fill="auto"/>
            <w:noWrap/>
            <w:vAlign w:val="bottom"/>
            <w:hideMark/>
          </w:tcPr>
          <w:p w:rsidR="00820725" w:rsidRPr="00C1652B" w:rsidRDefault="00820725" w:rsidP="00820725">
            <w:pPr>
              <w:spacing w:after="0" w:line="240" w:lineRule="auto"/>
              <w:rPr>
                <w:rFonts w:ascii="Gadugi" w:eastAsia="Times New Roman" w:hAnsi="Gadugi" w:cstheme="majorHAnsi"/>
                <w:color w:val="000000"/>
                <w:sz w:val="20"/>
                <w:szCs w:val="20"/>
                <w:lang w:val="es-EC" w:eastAsia="es-EC"/>
              </w:rPr>
            </w:pPr>
            <w:r w:rsidRPr="00C1652B">
              <w:rPr>
                <w:rFonts w:ascii="Gadugi" w:eastAsia="Times New Roman" w:hAnsi="Gadugi" w:cstheme="majorHAnsi"/>
                <w:color w:val="000000"/>
                <w:sz w:val="20"/>
                <w:szCs w:val="20"/>
                <w:lang w:val="es-EC" w:eastAsia="es-EC"/>
              </w:rPr>
              <w:t>Es la cantidad de variables que se ha de analizar para cada servicio o proceso</w:t>
            </w:r>
          </w:p>
        </w:tc>
      </w:tr>
    </w:tbl>
    <w:p w:rsidR="00820725" w:rsidRPr="00C1652B" w:rsidRDefault="00820725" w:rsidP="00143542">
      <w:pPr>
        <w:jc w:val="both"/>
        <w:rPr>
          <w:rFonts w:ascii="Gadugi" w:hAnsi="Gadugi"/>
        </w:rPr>
      </w:pPr>
    </w:p>
    <w:p w:rsidR="00143542" w:rsidRPr="00E56391" w:rsidRDefault="007941B3" w:rsidP="007941B3">
      <w:pPr>
        <w:pStyle w:val="Prrafodelista"/>
        <w:numPr>
          <w:ilvl w:val="1"/>
          <w:numId w:val="6"/>
        </w:numPr>
        <w:jc w:val="both"/>
        <w:outlineLvl w:val="1"/>
        <w:rPr>
          <w:rFonts w:ascii="Gadugi" w:hAnsi="Gadugi"/>
          <w:b/>
          <w:sz w:val="20"/>
          <w:szCs w:val="24"/>
        </w:rPr>
      </w:pPr>
      <w:bookmarkStart w:id="9" w:name="_Toc483474890"/>
      <w:r w:rsidRPr="00E56391">
        <w:rPr>
          <w:rFonts w:ascii="Gadugi" w:hAnsi="Gadugi"/>
          <w:b/>
          <w:sz w:val="20"/>
          <w:szCs w:val="24"/>
        </w:rPr>
        <w:t>Definición de método de priorización definitivo</w:t>
      </w:r>
      <w:bookmarkEnd w:id="9"/>
    </w:p>
    <w:p w:rsidR="009C1B56" w:rsidRPr="00E56391" w:rsidRDefault="00240875" w:rsidP="00240875">
      <w:pPr>
        <w:jc w:val="both"/>
        <w:rPr>
          <w:rFonts w:ascii="Gadugi" w:hAnsi="Gadugi"/>
          <w:sz w:val="20"/>
          <w:szCs w:val="24"/>
        </w:rPr>
      </w:pPr>
      <w:r w:rsidRPr="00E56391">
        <w:rPr>
          <w:rFonts w:ascii="Gadugi" w:hAnsi="Gadugi"/>
          <w:sz w:val="20"/>
          <w:szCs w:val="24"/>
        </w:rPr>
        <w:t>Antes de que se aplique la matriz de priorización</w:t>
      </w:r>
      <w:r w:rsidR="00AE77C6" w:rsidRPr="00E56391">
        <w:rPr>
          <w:rFonts w:ascii="Gadugi" w:hAnsi="Gadugi"/>
          <w:sz w:val="20"/>
          <w:szCs w:val="24"/>
        </w:rPr>
        <w:t xml:space="preserve"> propuesta</w:t>
      </w:r>
      <w:r w:rsidRPr="00E56391">
        <w:rPr>
          <w:rFonts w:ascii="Gadugi" w:hAnsi="Gadugi"/>
          <w:sz w:val="20"/>
          <w:szCs w:val="24"/>
        </w:rPr>
        <w:t xml:space="preserve">, a través de reunión sostenida el día 09 de febrero de 2017 entre la Administración del Contrato y la Empresa Consultora (Acta No. EJ-090217-JB11); se definió lo siguiente: “La </w:t>
      </w:r>
      <w:r w:rsidRPr="00E56391">
        <w:rPr>
          <w:rFonts w:ascii="Gadugi" w:hAnsi="Gadugi"/>
          <w:sz w:val="20"/>
          <w:szCs w:val="24"/>
          <w:lang w:val="es-EC"/>
        </w:rPr>
        <w:t xml:space="preserve">priorización de procesos se realizará conforme a lo solicitado por MDMQ es decir en función de los pilares definidos por la consultoría </w:t>
      </w:r>
      <w:r w:rsidRPr="00E56391">
        <w:rPr>
          <w:rFonts w:ascii="Gadugi" w:hAnsi="Gadugi"/>
          <w:b/>
          <w:sz w:val="20"/>
          <w:szCs w:val="24"/>
          <w:lang w:val="es-EC"/>
        </w:rPr>
        <w:t>“</w:t>
      </w:r>
      <w:r w:rsidRPr="00E56391">
        <w:rPr>
          <w:rFonts w:ascii="Gadugi" w:hAnsi="Gadugi"/>
          <w:b/>
          <w:bCs/>
          <w:i/>
          <w:iCs/>
          <w:sz w:val="20"/>
          <w:szCs w:val="24"/>
        </w:rPr>
        <w:t>Propuesta de integración de los modelos de gestión de las Empresas Públicas, Institutos, Fundaciones, Corporaciones y Unidades Especiales del MDMQ al Modelo Integral de Gestión Municipal”</w:t>
      </w:r>
      <w:r w:rsidRPr="00E56391">
        <w:rPr>
          <w:rFonts w:ascii="Gadugi" w:hAnsi="Gadugi"/>
          <w:bCs/>
          <w:i/>
          <w:iCs/>
          <w:sz w:val="20"/>
          <w:szCs w:val="24"/>
        </w:rPr>
        <w:t>”.</w:t>
      </w:r>
    </w:p>
    <w:p w:rsidR="00AE77C6" w:rsidRPr="00E56391" w:rsidRDefault="00AE77C6" w:rsidP="00AE77C6">
      <w:pPr>
        <w:jc w:val="both"/>
        <w:rPr>
          <w:rFonts w:ascii="Gadugi" w:hAnsi="Gadugi"/>
          <w:b/>
          <w:sz w:val="20"/>
          <w:szCs w:val="24"/>
        </w:rPr>
      </w:pPr>
    </w:p>
    <w:p w:rsidR="009C1B56" w:rsidRPr="00E56391" w:rsidRDefault="00AE77C6" w:rsidP="007941B3">
      <w:pPr>
        <w:pStyle w:val="Prrafodelista"/>
        <w:numPr>
          <w:ilvl w:val="1"/>
          <w:numId w:val="6"/>
        </w:numPr>
        <w:jc w:val="both"/>
        <w:outlineLvl w:val="1"/>
        <w:rPr>
          <w:rFonts w:ascii="Gadugi" w:hAnsi="Gadugi"/>
          <w:b/>
          <w:sz w:val="20"/>
          <w:szCs w:val="24"/>
        </w:rPr>
      </w:pPr>
      <w:bookmarkStart w:id="10" w:name="_Toc483474891"/>
      <w:r w:rsidRPr="00E56391">
        <w:rPr>
          <w:rFonts w:ascii="Gadugi" w:hAnsi="Gadugi"/>
          <w:b/>
          <w:sz w:val="20"/>
          <w:szCs w:val="24"/>
        </w:rPr>
        <w:t>Análisis de los pilares para la priorización</w:t>
      </w:r>
      <w:bookmarkEnd w:id="10"/>
    </w:p>
    <w:p w:rsidR="005A3EDA" w:rsidRPr="00E56391" w:rsidRDefault="005A3EDA" w:rsidP="005A3EDA">
      <w:pPr>
        <w:jc w:val="both"/>
        <w:rPr>
          <w:rFonts w:ascii="Gadugi" w:hAnsi="Gadugi"/>
          <w:b/>
          <w:bCs/>
          <w:i/>
          <w:iCs/>
          <w:sz w:val="20"/>
          <w:szCs w:val="24"/>
        </w:rPr>
      </w:pPr>
      <w:r w:rsidRPr="00E56391">
        <w:rPr>
          <w:rFonts w:ascii="Gadugi" w:hAnsi="Gadugi"/>
          <w:sz w:val="20"/>
          <w:szCs w:val="24"/>
        </w:rPr>
        <w:t xml:space="preserve">Conforme lo solicitado, se realizó </w:t>
      </w:r>
      <w:r w:rsidR="00F958E8" w:rsidRPr="00E56391">
        <w:rPr>
          <w:rFonts w:ascii="Gadugi" w:hAnsi="Gadugi"/>
          <w:sz w:val="20"/>
          <w:szCs w:val="24"/>
        </w:rPr>
        <w:t xml:space="preserve">el análisis de los pilares de la consultoría </w:t>
      </w:r>
      <w:r w:rsidR="00F958E8" w:rsidRPr="00E56391">
        <w:rPr>
          <w:rFonts w:ascii="Gadugi" w:hAnsi="Gadugi"/>
          <w:b/>
          <w:sz w:val="20"/>
          <w:szCs w:val="24"/>
          <w:lang w:val="es-EC"/>
        </w:rPr>
        <w:t>“</w:t>
      </w:r>
      <w:r w:rsidR="00F958E8" w:rsidRPr="00E56391">
        <w:rPr>
          <w:rFonts w:ascii="Gadugi" w:hAnsi="Gadugi"/>
          <w:b/>
          <w:bCs/>
          <w:i/>
          <w:iCs/>
          <w:sz w:val="20"/>
          <w:szCs w:val="24"/>
        </w:rPr>
        <w:t xml:space="preserve">Propuesta de integración de los modelos de gestión de las Empresas Públicas, Institutos, Fundaciones, Corporaciones y Unidades Especiales del MDMQ al Modelo Integral de Gestión Municipal”. </w:t>
      </w:r>
    </w:p>
    <w:p w:rsidR="00F958E8" w:rsidRDefault="00F958E8" w:rsidP="005A3EDA">
      <w:pPr>
        <w:jc w:val="both"/>
        <w:rPr>
          <w:rFonts w:ascii="Gadugi" w:hAnsi="Gadugi"/>
          <w:bCs/>
          <w:iCs/>
          <w:sz w:val="20"/>
          <w:szCs w:val="24"/>
        </w:rPr>
      </w:pPr>
      <w:r w:rsidRPr="00E56391">
        <w:rPr>
          <w:rFonts w:ascii="Gadugi" w:hAnsi="Gadugi"/>
          <w:bCs/>
          <w:iCs/>
          <w:sz w:val="20"/>
          <w:szCs w:val="24"/>
        </w:rPr>
        <w:t>Los pilares establecidos se muestran a continuación:</w:t>
      </w:r>
    </w:p>
    <w:p w:rsidR="00E56391" w:rsidRPr="00E56391" w:rsidRDefault="00E56391" w:rsidP="005A3EDA">
      <w:pPr>
        <w:jc w:val="both"/>
        <w:rPr>
          <w:rFonts w:ascii="Gadugi" w:hAnsi="Gadugi"/>
          <w:sz w:val="20"/>
          <w:szCs w:val="24"/>
        </w:rPr>
      </w:pPr>
    </w:p>
    <w:p w:rsidR="005A3EDA" w:rsidRPr="00C1652B" w:rsidRDefault="005A3EDA" w:rsidP="00522EA8">
      <w:pPr>
        <w:jc w:val="center"/>
        <w:rPr>
          <w:rFonts w:ascii="Gadugi" w:hAnsi="Gadugi"/>
          <w:b/>
        </w:rPr>
      </w:pPr>
      <w:r w:rsidRPr="00C1652B">
        <w:rPr>
          <w:rFonts w:ascii="Gadugi" w:hAnsi="Gadugi"/>
          <w:noProof/>
          <w:lang w:val="es-EC" w:eastAsia="es-EC"/>
        </w:rPr>
        <w:drawing>
          <wp:inline distT="0" distB="0" distL="0" distR="0" wp14:anchorId="0394AAAB" wp14:editId="700EBFD8">
            <wp:extent cx="2280063" cy="2468383"/>
            <wp:effectExtent l="0" t="0" r="635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18" t="37051" r="63356" b="2633"/>
                    <a:stretch/>
                  </pic:blipFill>
                  <pic:spPr bwMode="auto">
                    <a:xfrm>
                      <a:off x="0" y="0"/>
                      <a:ext cx="2334742" cy="2527578"/>
                    </a:xfrm>
                    <a:prstGeom prst="rect">
                      <a:avLst/>
                    </a:prstGeom>
                    <a:ln>
                      <a:noFill/>
                    </a:ln>
                    <a:extLst>
                      <a:ext uri="{53640926-AAD7-44D8-BBD7-CCE9431645EC}">
                        <a14:shadowObscured xmlns:a14="http://schemas.microsoft.com/office/drawing/2010/main"/>
                      </a:ext>
                    </a:extLst>
                  </pic:spPr>
                </pic:pic>
              </a:graphicData>
            </a:graphic>
          </wp:inline>
        </w:drawing>
      </w:r>
      <w:r w:rsidRPr="00C1652B">
        <w:rPr>
          <w:rFonts w:ascii="Gadugi" w:hAnsi="Gadugi"/>
          <w:noProof/>
          <w:lang w:val="es-EC" w:eastAsia="es-EC"/>
        </w:rPr>
        <w:drawing>
          <wp:inline distT="0" distB="0" distL="0" distR="0" wp14:anchorId="4325F6EB" wp14:editId="227E5D74">
            <wp:extent cx="2952406" cy="2434442"/>
            <wp:effectExtent l="0" t="0" r="635" b="444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738" t="33217" r="6304" b="6719"/>
                    <a:stretch/>
                  </pic:blipFill>
                  <pic:spPr bwMode="auto">
                    <a:xfrm>
                      <a:off x="0" y="0"/>
                      <a:ext cx="2998595" cy="2472528"/>
                    </a:xfrm>
                    <a:prstGeom prst="rect">
                      <a:avLst/>
                    </a:prstGeom>
                    <a:ln>
                      <a:noFill/>
                    </a:ln>
                    <a:extLst>
                      <a:ext uri="{53640926-AAD7-44D8-BBD7-CCE9431645EC}">
                        <a14:shadowObscured xmlns:a14="http://schemas.microsoft.com/office/drawing/2010/main"/>
                      </a:ext>
                    </a:extLst>
                  </pic:spPr>
                </pic:pic>
              </a:graphicData>
            </a:graphic>
          </wp:inline>
        </w:drawing>
      </w:r>
    </w:p>
    <w:p w:rsidR="005A3EDA" w:rsidRDefault="005A3EDA" w:rsidP="005A3EDA">
      <w:pPr>
        <w:jc w:val="center"/>
        <w:rPr>
          <w:rFonts w:ascii="Gadugi" w:hAnsi="Gadugi"/>
          <w:sz w:val="18"/>
        </w:rPr>
      </w:pPr>
      <w:r w:rsidRPr="00C1652B">
        <w:rPr>
          <w:rFonts w:ascii="Gadugi" w:hAnsi="Gadugi"/>
          <w:b/>
          <w:sz w:val="18"/>
        </w:rPr>
        <w:t xml:space="preserve">Fuente: </w:t>
      </w:r>
      <w:r w:rsidRPr="00C1652B">
        <w:rPr>
          <w:rFonts w:ascii="Gadugi" w:hAnsi="Gadugi"/>
          <w:sz w:val="18"/>
        </w:rPr>
        <w:t xml:space="preserve">MDMQ – </w:t>
      </w:r>
      <w:proofErr w:type="spellStart"/>
      <w:r w:rsidRPr="00C1652B">
        <w:rPr>
          <w:rFonts w:ascii="Gadugi" w:hAnsi="Gadugi"/>
          <w:sz w:val="18"/>
        </w:rPr>
        <w:t>PwC</w:t>
      </w:r>
      <w:proofErr w:type="spellEnd"/>
      <w:r w:rsidRPr="00C1652B">
        <w:rPr>
          <w:rFonts w:ascii="Gadugi" w:hAnsi="Gadugi"/>
          <w:sz w:val="18"/>
        </w:rPr>
        <w:t xml:space="preserve"> – Propuesta de Integración</w:t>
      </w:r>
    </w:p>
    <w:p w:rsidR="00E56391" w:rsidRPr="00C1652B" w:rsidRDefault="00E56391" w:rsidP="005A3EDA">
      <w:pPr>
        <w:jc w:val="center"/>
        <w:rPr>
          <w:rFonts w:ascii="Gadugi" w:hAnsi="Gadugi"/>
          <w:sz w:val="18"/>
        </w:rPr>
      </w:pPr>
    </w:p>
    <w:p w:rsidR="00AE77C6" w:rsidRPr="00E56391" w:rsidRDefault="00CC0045" w:rsidP="007941B3">
      <w:pPr>
        <w:pStyle w:val="Prrafodelista"/>
        <w:numPr>
          <w:ilvl w:val="2"/>
          <w:numId w:val="6"/>
        </w:numPr>
        <w:jc w:val="both"/>
        <w:outlineLvl w:val="2"/>
        <w:rPr>
          <w:rFonts w:ascii="Gadugi" w:hAnsi="Gadugi"/>
          <w:b/>
          <w:sz w:val="20"/>
          <w:szCs w:val="24"/>
        </w:rPr>
      </w:pPr>
      <w:bookmarkStart w:id="11" w:name="_Toc483474892"/>
      <w:r w:rsidRPr="00E56391">
        <w:rPr>
          <w:rFonts w:ascii="Gadugi" w:hAnsi="Gadugi"/>
          <w:b/>
          <w:sz w:val="20"/>
          <w:szCs w:val="24"/>
        </w:rPr>
        <w:lastRenderedPageBreak/>
        <w:t>Pilares del modelo de integración provisto</w:t>
      </w:r>
      <w:bookmarkEnd w:id="11"/>
    </w:p>
    <w:p w:rsidR="00F958E8" w:rsidRPr="00E56391" w:rsidRDefault="00F958E8" w:rsidP="00F958E8">
      <w:pPr>
        <w:jc w:val="both"/>
        <w:rPr>
          <w:rFonts w:ascii="Gadugi" w:hAnsi="Gadugi"/>
          <w:sz w:val="20"/>
          <w:szCs w:val="24"/>
          <w:lang w:val="es-EC"/>
        </w:rPr>
      </w:pPr>
      <w:r w:rsidRPr="00E56391">
        <w:rPr>
          <w:rFonts w:ascii="Gadugi" w:hAnsi="Gadugi"/>
          <w:sz w:val="20"/>
          <w:szCs w:val="24"/>
          <w:lang w:val="es-EC"/>
        </w:rPr>
        <w:t xml:space="preserve">Estos pilares según la información provista por el Administrador del Contrato, fueron establecidos </w:t>
      </w:r>
      <w:r w:rsidRPr="00E56391">
        <w:rPr>
          <w:rFonts w:ascii="Gadugi" w:hAnsi="Gadugi"/>
          <w:i/>
          <w:sz w:val="20"/>
          <w:szCs w:val="24"/>
          <w:lang w:val="es-EC"/>
        </w:rPr>
        <w:t xml:space="preserve">“Considerando los hallazgos identificados durante la etapa de diagnóstico de los modelos de gestión de las Entidades Adscritas, se propone el desarrollo e implementación de un modelo de integración que tiene el objetivo de </w:t>
      </w:r>
      <w:r w:rsidRPr="00E56391">
        <w:rPr>
          <w:rFonts w:ascii="Gadugi" w:hAnsi="Gadugi"/>
          <w:bCs/>
          <w:i/>
          <w:sz w:val="20"/>
          <w:szCs w:val="24"/>
          <w:lang w:val="es-EC"/>
        </w:rPr>
        <w:t>fortalecer la institucionalidad</w:t>
      </w:r>
      <w:r w:rsidRPr="00E56391">
        <w:rPr>
          <w:rFonts w:ascii="Gadugi" w:hAnsi="Gadugi"/>
          <w:i/>
          <w:sz w:val="20"/>
          <w:szCs w:val="24"/>
          <w:lang w:val="es-EC"/>
        </w:rPr>
        <w:t xml:space="preserve"> del MDMQ y de sus Entidades Adscritas, mediante el desarrollo de </w:t>
      </w:r>
      <w:r w:rsidRPr="00E56391">
        <w:rPr>
          <w:rFonts w:ascii="Gadugi" w:hAnsi="Gadugi"/>
          <w:bCs/>
          <w:i/>
          <w:sz w:val="20"/>
          <w:szCs w:val="24"/>
          <w:lang w:val="es-EC"/>
        </w:rPr>
        <w:t>modelos de gestión similares</w:t>
      </w:r>
      <w:r w:rsidRPr="00E56391">
        <w:rPr>
          <w:rFonts w:ascii="Gadugi" w:hAnsi="Gadugi"/>
          <w:i/>
          <w:sz w:val="20"/>
          <w:szCs w:val="24"/>
          <w:lang w:val="es-EC"/>
        </w:rPr>
        <w:t xml:space="preserve"> direccionados desde el nivel central y basados en un </w:t>
      </w:r>
      <w:r w:rsidRPr="00E56391">
        <w:rPr>
          <w:rFonts w:ascii="Gadugi" w:hAnsi="Gadugi"/>
          <w:bCs/>
          <w:i/>
          <w:sz w:val="20"/>
          <w:szCs w:val="24"/>
          <w:lang w:val="es-EC"/>
        </w:rPr>
        <w:t>gobierno corporativo</w:t>
      </w:r>
      <w:r w:rsidRPr="00E56391">
        <w:rPr>
          <w:rFonts w:ascii="Gadugi" w:hAnsi="Gadugi"/>
          <w:i/>
          <w:sz w:val="20"/>
          <w:szCs w:val="24"/>
          <w:lang w:val="es-EC"/>
        </w:rPr>
        <w:t xml:space="preserve"> que permita consolidar la posición de las instituciones ante sus grupos de interés y por ende generar </w:t>
      </w:r>
      <w:r w:rsidRPr="00E56391">
        <w:rPr>
          <w:rFonts w:ascii="Gadugi" w:hAnsi="Gadugi"/>
          <w:bCs/>
          <w:i/>
          <w:sz w:val="20"/>
          <w:szCs w:val="24"/>
          <w:lang w:val="es-EC"/>
        </w:rPr>
        <w:t>mayor valor agregado a la ciudadanía</w:t>
      </w:r>
      <w:r w:rsidRPr="00E56391">
        <w:rPr>
          <w:rFonts w:ascii="Gadugi" w:hAnsi="Gadugi"/>
          <w:i/>
          <w:sz w:val="20"/>
          <w:szCs w:val="24"/>
          <w:lang w:val="es-EC"/>
        </w:rPr>
        <w:t xml:space="preserve">.” </w:t>
      </w:r>
    </w:p>
    <w:p w:rsidR="00A51743" w:rsidRDefault="00F958E8" w:rsidP="00F958E8">
      <w:pPr>
        <w:jc w:val="both"/>
        <w:rPr>
          <w:rFonts w:ascii="Gadugi" w:hAnsi="Gadugi"/>
          <w:sz w:val="20"/>
          <w:szCs w:val="24"/>
        </w:rPr>
      </w:pPr>
      <w:r w:rsidRPr="00E56391">
        <w:rPr>
          <w:rFonts w:ascii="Gadugi" w:hAnsi="Gadugi"/>
          <w:sz w:val="20"/>
          <w:szCs w:val="24"/>
        </w:rPr>
        <w:t>Por lo tanto, aunando esfuerzos a este análisis preliminar, la Consultora MRProcessi, realizó el análisis del catálogo de procesos con cada uno de los pilares para poder identificar los procesos que son candidatos a ser seleccionados como priorizados.</w:t>
      </w:r>
    </w:p>
    <w:p w:rsidR="00522EA8" w:rsidRPr="00C1652B" w:rsidRDefault="00522EA8" w:rsidP="00F958E8">
      <w:pPr>
        <w:jc w:val="both"/>
        <w:rPr>
          <w:rFonts w:ascii="Gadugi" w:hAnsi="Gadugi"/>
        </w:rPr>
      </w:pPr>
    </w:p>
    <w:p w:rsidR="00CC0045" w:rsidRPr="00E56391" w:rsidRDefault="00CC0045" w:rsidP="007941B3">
      <w:pPr>
        <w:pStyle w:val="Prrafodelista"/>
        <w:numPr>
          <w:ilvl w:val="3"/>
          <w:numId w:val="6"/>
        </w:numPr>
        <w:jc w:val="both"/>
        <w:outlineLvl w:val="2"/>
        <w:rPr>
          <w:rFonts w:ascii="Gadugi" w:hAnsi="Gadugi"/>
          <w:b/>
          <w:sz w:val="20"/>
          <w:szCs w:val="24"/>
        </w:rPr>
      </w:pPr>
      <w:bookmarkStart w:id="12" w:name="_Toc483474893"/>
      <w:r w:rsidRPr="00E56391">
        <w:rPr>
          <w:rFonts w:ascii="Gadugi" w:hAnsi="Gadugi"/>
          <w:b/>
          <w:sz w:val="20"/>
          <w:szCs w:val="24"/>
        </w:rPr>
        <w:t>Análisis del Pilar: Gobierno corporativo</w:t>
      </w:r>
      <w:bookmarkEnd w:id="12"/>
    </w:p>
    <w:p w:rsidR="00A51743" w:rsidRPr="00C1652B" w:rsidRDefault="00A51743" w:rsidP="00A51743">
      <w:pPr>
        <w:jc w:val="center"/>
        <w:rPr>
          <w:rFonts w:ascii="Gadugi" w:hAnsi="Gadugi"/>
          <w:b/>
          <w:sz w:val="24"/>
          <w:szCs w:val="24"/>
        </w:rPr>
      </w:pPr>
      <w:r w:rsidRPr="00C1652B">
        <w:rPr>
          <w:rFonts w:ascii="Gadugi" w:hAnsi="Gadugi"/>
          <w:noProof/>
          <w:sz w:val="24"/>
          <w:szCs w:val="24"/>
          <w:lang w:val="es-EC" w:eastAsia="es-EC"/>
        </w:rPr>
        <w:drawing>
          <wp:inline distT="0" distB="0" distL="0" distR="0" wp14:anchorId="3C293BF9" wp14:editId="7BD380F5">
            <wp:extent cx="5605724" cy="2885704"/>
            <wp:effectExtent l="76200" t="76200" r="128905" b="12446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799" t="28617" r="26588" b="17719"/>
                    <a:stretch/>
                  </pic:blipFill>
                  <pic:spPr bwMode="auto">
                    <a:xfrm>
                      <a:off x="0" y="0"/>
                      <a:ext cx="5645290" cy="29060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51743" w:rsidRPr="00E56391" w:rsidRDefault="00A51743" w:rsidP="00A51743">
      <w:pPr>
        <w:rPr>
          <w:rFonts w:ascii="Gadugi" w:hAnsi="Gadugi"/>
          <w:sz w:val="20"/>
          <w:szCs w:val="24"/>
        </w:rPr>
      </w:pPr>
      <w:r w:rsidRPr="00E56391">
        <w:rPr>
          <w:rFonts w:ascii="Gadugi" w:hAnsi="Gadugi"/>
          <w:sz w:val="20"/>
          <w:szCs w:val="24"/>
        </w:rPr>
        <w:t>En función del análisis anterior, se presenta el catálogo de procesos particular para este eje:</w:t>
      </w:r>
    </w:p>
    <w:p w:rsidR="00C1652B" w:rsidRPr="00C1652B" w:rsidRDefault="00C1652B" w:rsidP="00E56391">
      <w:pPr>
        <w:pStyle w:val="Sinespaciado"/>
      </w:pPr>
    </w:p>
    <w:tbl>
      <w:tblPr>
        <w:tblW w:w="0" w:type="auto"/>
        <w:tblInd w:w="10" w:type="dxa"/>
        <w:tblCellMar>
          <w:left w:w="70" w:type="dxa"/>
          <w:right w:w="70" w:type="dxa"/>
        </w:tblCellMar>
        <w:tblLook w:val="04A0" w:firstRow="1" w:lastRow="0" w:firstColumn="1" w:lastColumn="0" w:noHBand="0" w:noVBand="1"/>
      </w:tblPr>
      <w:tblGrid>
        <w:gridCol w:w="1807"/>
        <w:gridCol w:w="1180"/>
        <w:gridCol w:w="2398"/>
        <w:gridCol w:w="1242"/>
        <w:gridCol w:w="1553"/>
        <w:gridCol w:w="1588"/>
      </w:tblGrid>
      <w:tr w:rsidR="008A0F89" w:rsidRPr="00E56391" w:rsidTr="00177AD2">
        <w:trPr>
          <w:cantSplit/>
          <w:trHeight w:val="510"/>
          <w:tblHeader/>
        </w:trPr>
        <w:tc>
          <w:tcPr>
            <w:tcW w:w="0" w:type="auto"/>
            <w:gridSpan w:val="6"/>
            <w:tcBorders>
              <w:top w:val="nil"/>
              <w:left w:val="nil"/>
              <w:bottom w:val="nil"/>
              <w:right w:val="nil"/>
            </w:tcBorders>
            <w:shd w:val="clear" w:color="auto" w:fill="222A35" w:themeFill="text2" w:themeFillShade="80"/>
            <w:vAlign w:val="center"/>
            <w:hideMark/>
          </w:tcPr>
          <w:p w:rsidR="008A0F89" w:rsidRPr="00E56391" w:rsidRDefault="008A0F89" w:rsidP="008A0F89">
            <w:pPr>
              <w:spacing w:after="0" w:line="240" w:lineRule="auto"/>
              <w:jc w:val="center"/>
              <w:rPr>
                <w:rFonts w:ascii="Gadugi" w:eastAsia="Times New Roman" w:hAnsi="Gadugi" w:cstheme="majorHAnsi"/>
                <w:b/>
                <w:bCs/>
                <w:color w:val="FFFFFF"/>
                <w:sz w:val="18"/>
                <w:szCs w:val="18"/>
                <w:lang w:val="es-EC" w:eastAsia="es-EC"/>
              </w:rPr>
            </w:pPr>
            <w:r w:rsidRPr="00E56391">
              <w:rPr>
                <w:rFonts w:ascii="Gadugi" w:eastAsia="Times New Roman" w:hAnsi="Gadugi" w:cstheme="majorHAnsi"/>
                <w:b/>
                <w:bCs/>
                <w:color w:val="FFFFFF"/>
                <w:sz w:val="18"/>
                <w:szCs w:val="18"/>
                <w:lang w:val="es-EC" w:eastAsia="es-EC"/>
              </w:rPr>
              <w:t>CATÁLOGO DE PROCESOS CORRESPONDIENTES A GOBIERNO CORPORATIVO</w:t>
            </w:r>
          </w:p>
        </w:tc>
      </w:tr>
      <w:tr w:rsidR="00A16AB2" w:rsidRPr="00E56391" w:rsidTr="00C75E93">
        <w:trPr>
          <w:cantSplit/>
          <w:trHeight w:val="315"/>
          <w:tblHeader/>
        </w:trPr>
        <w:tc>
          <w:tcPr>
            <w:tcW w:w="0" w:type="auto"/>
            <w:tcBorders>
              <w:top w:val="nil"/>
              <w:left w:val="nil"/>
              <w:bottom w:val="nil"/>
              <w:right w:val="nil"/>
            </w:tcBorders>
            <w:shd w:val="clear" w:color="000000" w:fill="FFFFFF"/>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r w:rsidRPr="00E56391">
              <w:rPr>
                <w:rFonts w:ascii="Gadugi" w:eastAsia="Times New Roman" w:hAnsi="Gadugi" w:cstheme="majorHAnsi"/>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8A0F89" w:rsidRPr="00E56391" w:rsidRDefault="008A0F89" w:rsidP="008A0F89">
            <w:pPr>
              <w:spacing w:after="0" w:line="240" w:lineRule="auto"/>
              <w:jc w:val="center"/>
              <w:rPr>
                <w:rFonts w:ascii="Gadugi" w:eastAsia="Times New Roman" w:hAnsi="Gadugi" w:cstheme="majorHAnsi"/>
                <w:color w:val="000000"/>
                <w:sz w:val="18"/>
                <w:szCs w:val="18"/>
                <w:lang w:val="es-EC" w:eastAsia="es-EC"/>
              </w:rPr>
            </w:pPr>
            <w:r w:rsidRPr="00E56391">
              <w:rPr>
                <w:rFonts w:ascii="Gadugi" w:eastAsia="Times New Roman" w:hAnsi="Gadugi" w:cstheme="majorHAnsi"/>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8A0F89" w:rsidRPr="00E56391" w:rsidRDefault="008A0F89" w:rsidP="008A0F89">
            <w:pPr>
              <w:spacing w:after="0" w:line="240" w:lineRule="auto"/>
              <w:jc w:val="center"/>
              <w:rPr>
                <w:rFonts w:ascii="Gadugi" w:eastAsia="Times New Roman" w:hAnsi="Gadugi" w:cstheme="majorHAnsi"/>
                <w:b/>
                <w:bCs/>
                <w:color w:val="000000"/>
                <w:sz w:val="18"/>
                <w:szCs w:val="18"/>
                <w:lang w:val="es-EC" w:eastAsia="es-EC"/>
              </w:rPr>
            </w:pPr>
            <w:r w:rsidRPr="00E56391">
              <w:rPr>
                <w:rFonts w:ascii="Gadugi" w:eastAsia="Times New Roman" w:hAnsi="Gadugi" w:cstheme="majorHAnsi"/>
                <w:b/>
                <w:bCs/>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8A0F89" w:rsidRPr="00E56391" w:rsidRDefault="008A0F89" w:rsidP="008A0F89">
            <w:pPr>
              <w:spacing w:after="0" w:line="240" w:lineRule="auto"/>
              <w:jc w:val="center"/>
              <w:rPr>
                <w:rFonts w:ascii="Gadugi" w:eastAsia="Times New Roman" w:hAnsi="Gadugi" w:cstheme="majorHAnsi"/>
                <w:color w:val="000000"/>
                <w:sz w:val="18"/>
                <w:szCs w:val="18"/>
                <w:lang w:val="es-EC" w:eastAsia="es-EC"/>
              </w:rPr>
            </w:pPr>
            <w:r w:rsidRPr="00E56391">
              <w:rPr>
                <w:rFonts w:ascii="Gadugi" w:eastAsia="Times New Roman" w:hAnsi="Gadugi" w:cstheme="majorHAnsi"/>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8A0F89" w:rsidRPr="00E56391" w:rsidRDefault="008A0F89" w:rsidP="008A0F89">
            <w:pPr>
              <w:spacing w:after="0" w:line="240" w:lineRule="auto"/>
              <w:jc w:val="center"/>
              <w:rPr>
                <w:rFonts w:ascii="Gadugi" w:eastAsia="Times New Roman" w:hAnsi="Gadugi" w:cstheme="majorHAnsi"/>
                <w:color w:val="000000"/>
                <w:sz w:val="18"/>
                <w:szCs w:val="18"/>
                <w:lang w:val="es-EC" w:eastAsia="es-EC"/>
              </w:rPr>
            </w:pPr>
            <w:r w:rsidRPr="00E56391">
              <w:rPr>
                <w:rFonts w:ascii="Gadugi" w:eastAsia="Times New Roman" w:hAnsi="Gadugi" w:cstheme="majorHAnsi"/>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r w:rsidRPr="00E56391">
              <w:rPr>
                <w:rFonts w:ascii="Gadugi" w:eastAsia="Times New Roman" w:hAnsi="Gadugi" w:cstheme="majorHAnsi"/>
                <w:color w:val="000000"/>
                <w:sz w:val="18"/>
                <w:szCs w:val="18"/>
                <w:lang w:val="es-EC" w:eastAsia="es-EC"/>
              </w:rPr>
              <w:t> </w:t>
            </w:r>
          </w:p>
        </w:tc>
      </w:tr>
      <w:tr w:rsidR="00A16AB2" w:rsidRPr="00E56391" w:rsidTr="00177AD2">
        <w:trPr>
          <w:cantSplit/>
          <w:trHeight w:val="630"/>
          <w:tblHeader/>
        </w:trPr>
        <w:tc>
          <w:tcPr>
            <w:tcW w:w="0" w:type="auto"/>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8A0F89" w:rsidRPr="00E56391" w:rsidRDefault="008A0F89" w:rsidP="008A0F89">
            <w:pPr>
              <w:spacing w:after="0" w:line="240" w:lineRule="auto"/>
              <w:jc w:val="center"/>
              <w:rPr>
                <w:rFonts w:ascii="Gadugi" w:eastAsia="Times New Roman" w:hAnsi="Gadugi" w:cstheme="majorHAnsi"/>
                <w:b/>
                <w:bCs/>
                <w:color w:val="FFFFFF"/>
                <w:sz w:val="18"/>
                <w:szCs w:val="18"/>
                <w:lang w:val="es-EC" w:eastAsia="es-EC"/>
              </w:rPr>
            </w:pPr>
            <w:r w:rsidRPr="00E56391">
              <w:rPr>
                <w:rFonts w:ascii="Gadugi" w:eastAsia="Times New Roman" w:hAnsi="Gadugi" w:cstheme="majorHAnsi"/>
                <w:b/>
                <w:bCs/>
                <w:color w:val="FFFFFF"/>
                <w:sz w:val="18"/>
                <w:szCs w:val="18"/>
                <w:lang w:val="es-EC" w:eastAsia="es-EC"/>
              </w:rPr>
              <w:t>DUEÑO DEL PROCESO</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8A0F89" w:rsidRPr="00E56391" w:rsidRDefault="008A0F89" w:rsidP="008A0F89">
            <w:pPr>
              <w:spacing w:after="0" w:line="240" w:lineRule="auto"/>
              <w:jc w:val="center"/>
              <w:rPr>
                <w:rFonts w:ascii="Gadugi" w:eastAsia="Times New Roman" w:hAnsi="Gadugi" w:cstheme="majorHAnsi"/>
                <w:b/>
                <w:bCs/>
                <w:color w:val="FFFFFF"/>
                <w:sz w:val="18"/>
                <w:szCs w:val="18"/>
                <w:lang w:val="es-EC" w:eastAsia="es-EC"/>
              </w:rPr>
            </w:pPr>
            <w:r w:rsidRPr="00E56391">
              <w:rPr>
                <w:rFonts w:ascii="Gadugi" w:eastAsia="Times New Roman" w:hAnsi="Gadugi" w:cstheme="majorHAnsi"/>
                <w:b/>
                <w:bCs/>
                <w:color w:val="FFFFFF"/>
                <w:sz w:val="18"/>
                <w:szCs w:val="18"/>
                <w:lang w:val="es-EC" w:eastAsia="es-EC"/>
              </w:rPr>
              <w:t>TIPO DE PROCESO</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8A0F89" w:rsidRPr="00E56391" w:rsidRDefault="008A0F89" w:rsidP="008A0F89">
            <w:pPr>
              <w:spacing w:after="0" w:line="240" w:lineRule="auto"/>
              <w:jc w:val="center"/>
              <w:rPr>
                <w:rFonts w:ascii="Gadugi" w:eastAsia="Times New Roman" w:hAnsi="Gadugi" w:cstheme="majorHAnsi"/>
                <w:b/>
                <w:bCs/>
                <w:color w:val="FFFFFF"/>
                <w:sz w:val="18"/>
                <w:szCs w:val="18"/>
                <w:lang w:val="es-EC" w:eastAsia="es-EC"/>
              </w:rPr>
            </w:pPr>
            <w:r w:rsidRPr="00E56391">
              <w:rPr>
                <w:rFonts w:ascii="Gadugi" w:eastAsia="Times New Roman" w:hAnsi="Gadugi" w:cstheme="majorHAnsi"/>
                <w:b/>
                <w:bCs/>
                <w:color w:val="FFFFFF"/>
                <w:sz w:val="18"/>
                <w:szCs w:val="18"/>
                <w:lang w:val="es-EC" w:eastAsia="es-EC"/>
              </w:rPr>
              <w:t>DESCRIPCIÓN MACRO-PROCESO</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8A0F89" w:rsidRPr="00E56391" w:rsidRDefault="008A0F89" w:rsidP="008A0F89">
            <w:pPr>
              <w:spacing w:after="0" w:line="240" w:lineRule="auto"/>
              <w:jc w:val="center"/>
              <w:rPr>
                <w:rFonts w:ascii="Gadugi" w:eastAsia="Times New Roman" w:hAnsi="Gadugi" w:cstheme="majorHAnsi"/>
                <w:b/>
                <w:bCs/>
                <w:color w:val="FFFFFF"/>
                <w:sz w:val="18"/>
                <w:szCs w:val="18"/>
                <w:lang w:val="es-EC" w:eastAsia="es-EC"/>
              </w:rPr>
            </w:pPr>
            <w:r w:rsidRPr="00E56391">
              <w:rPr>
                <w:rFonts w:ascii="Gadugi" w:eastAsia="Times New Roman" w:hAnsi="Gadugi" w:cstheme="majorHAnsi"/>
                <w:b/>
                <w:bCs/>
                <w:color w:val="FFFFFF"/>
                <w:sz w:val="18"/>
                <w:szCs w:val="18"/>
                <w:lang w:val="es-EC" w:eastAsia="es-EC"/>
              </w:rPr>
              <w:t>MACRO-PROCESO</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8A0F89" w:rsidRPr="00E56391" w:rsidRDefault="008A0F89" w:rsidP="008A0F89">
            <w:pPr>
              <w:spacing w:after="0" w:line="240" w:lineRule="auto"/>
              <w:jc w:val="center"/>
              <w:rPr>
                <w:rFonts w:ascii="Gadugi" w:eastAsia="Times New Roman" w:hAnsi="Gadugi" w:cstheme="majorHAnsi"/>
                <w:b/>
                <w:bCs/>
                <w:color w:val="FFFFFF"/>
                <w:sz w:val="18"/>
                <w:szCs w:val="18"/>
                <w:lang w:val="es-EC" w:eastAsia="es-EC"/>
              </w:rPr>
            </w:pPr>
            <w:r w:rsidRPr="00E56391">
              <w:rPr>
                <w:rFonts w:ascii="Gadugi" w:eastAsia="Times New Roman" w:hAnsi="Gadugi" w:cstheme="majorHAnsi"/>
                <w:b/>
                <w:bCs/>
                <w:color w:val="FFFFFF"/>
                <w:sz w:val="18"/>
                <w:szCs w:val="18"/>
                <w:lang w:val="es-EC" w:eastAsia="es-EC"/>
              </w:rPr>
              <w:t>PROCESOS</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8A0F89" w:rsidRPr="00E56391" w:rsidRDefault="008A0F89" w:rsidP="008A0F89">
            <w:pPr>
              <w:spacing w:after="0" w:line="240" w:lineRule="auto"/>
              <w:jc w:val="center"/>
              <w:rPr>
                <w:rFonts w:ascii="Gadugi" w:eastAsia="Times New Roman" w:hAnsi="Gadugi" w:cstheme="majorHAnsi"/>
                <w:b/>
                <w:bCs/>
                <w:color w:val="FFFFFF"/>
                <w:sz w:val="18"/>
                <w:szCs w:val="18"/>
                <w:lang w:val="es-EC" w:eastAsia="es-EC"/>
              </w:rPr>
            </w:pPr>
            <w:r w:rsidRPr="00E56391">
              <w:rPr>
                <w:rFonts w:ascii="Gadugi" w:eastAsia="Times New Roman" w:hAnsi="Gadugi" w:cstheme="majorHAnsi"/>
                <w:b/>
                <w:bCs/>
                <w:color w:val="FFFFFF"/>
                <w:sz w:val="18"/>
                <w:szCs w:val="18"/>
                <w:lang w:val="es-EC" w:eastAsia="es-EC"/>
              </w:rPr>
              <w:t>SUBPROCESO</w:t>
            </w:r>
          </w:p>
        </w:tc>
      </w:tr>
      <w:tr w:rsidR="008A0F89" w:rsidRPr="00E56391" w:rsidTr="00A16AB2">
        <w:trPr>
          <w:trHeight w:val="945"/>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8A0F89" w:rsidRPr="00E56391" w:rsidRDefault="008A0F89" w:rsidP="008A0F89">
            <w:pPr>
              <w:spacing w:after="0" w:line="240" w:lineRule="auto"/>
              <w:jc w:val="center"/>
              <w:rPr>
                <w:rFonts w:ascii="Gadugi" w:eastAsia="Times New Roman" w:hAnsi="Gadugi" w:cstheme="majorHAnsi"/>
                <w:b/>
                <w:bCs/>
                <w:color w:val="000000"/>
                <w:sz w:val="18"/>
                <w:szCs w:val="18"/>
                <w:lang w:val="es-EC" w:eastAsia="es-EC"/>
              </w:rPr>
            </w:pPr>
            <w:r w:rsidRPr="00E56391">
              <w:rPr>
                <w:rFonts w:ascii="Gadugi" w:eastAsia="Times New Roman" w:hAnsi="Gadugi" w:cstheme="majorHAnsi"/>
                <w:b/>
                <w:bCs/>
                <w:color w:val="000000"/>
                <w:sz w:val="18"/>
                <w:szCs w:val="18"/>
                <w:lang w:val="es-EC" w:eastAsia="es-EC"/>
              </w:rPr>
              <w:t xml:space="preserve">INSTITUTO METROPOLITANO DE PLANIFICACIÓN </w:t>
            </w:r>
            <w:r w:rsidRPr="00E56391">
              <w:rPr>
                <w:rFonts w:ascii="Gadugi" w:eastAsia="Times New Roman" w:hAnsi="Gadugi" w:cstheme="majorHAnsi"/>
                <w:b/>
                <w:bCs/>
                <w:color w:val="000000"/>
                <w:sz w:val="18"/>
                <w:szCs w:val="18"/>
                <w:lang w:val="es-EC" w:eastAsia="es-EC"/>
              </w:rPr>
              <w:lastRenderedPageBreak/>
              <w:t>URBANA</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8A0F89" w:rsidRPr="00E56391" w:rsidRDefault="008A0F89" w:rsidP="008A0F89">
            <w:pPr>
              <w:spacing w:after="0" w:line="240" w:lineRule="auto"/>
              <w:jc w:val="center"/>
              <w:rPr>
                <w:rFonts w:ascii="Gadugi" w:eastAsia="Times New Roman" w:hAnsi="Gadugi" w:cstheme="majorHAnsi"/>
                <w:b/>
                <w:bCs/>
                <w:color w:val="000000"/>
                <w:sz w:val="18"/>
                <w:szCs w:val="18"/>
                <w:lang w:val="es-EC" w:eastAsia="es-EC"/>
              </w:rPr>
            </w:pPr>
            <w:r w:rsidRPr="00E56391">
              <w:rPr>
                <w:rFonts w:ascii="Gadugi" w:eastAsia="Times New Roman" w:hAnsi="Gadugi" w:cstheme="majorHAnsi"/>
                <w:b/>
                <w:bCs/>
                <w:color w:val="000000"/>
                <w:sz w:val="18"/>
                <w:szCs w:val="18"/>
                <w:lang w:val="es-EC" w:eastAsia="es-EC"/>
              </w:rPr>
              <w:lastRenderedPageBreak/>
              <w:t>Estratégicos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A0F89" w:rsidRPr="00E56391" w:rsidRDefault="008A0F89" w:rsidP="008A0F89">
            <w:pPr>
              <w:spacing w:after="0" w:line="240" w:lineRule="auto"/>
              <w:jc w:val="center"/>
              <w:rPr>
                <w:rFonts w:ascii="Gadugi" w:eastAsia="Times New Roman" w:hAnsi="Gadugi" w:cstheme="majorHAnsi"/>
                <w:b/>
                <w:bCs/>
                <w:color w:val="000000"/>
                <w:sz w:val="18"/>
                <w:szCs w:val="18"/>
                <w:lang w:val="es-EC" w:eastAsia="es-EC"/>
              </w:rPr>
            </w:pPr>
            <w:r w:rsidRPr="00E56391">
              <w:rPr>
                <w:rFonts w:ascii="Gadugi" w:eastAsia="Times New Roman" w:hAnsi="Gadugi" w:cstheme="majorHAnsi"/>
                <w:b/>
                <w:bCs/>
                <w:color w:val="000000"/>
                <w:sz w:val="18"/>
                <w:szCs w:val="18"/>
                <w:lang w:val="es-EC" w:eastAsia="es-EC"/>
              </w:rPr>
              <w:t xml:space="preserve">La planeación urbana contempla la recolección de datos cartográficos, </w:t>
            </w:r>
            <w:r w:rsidRPr="00E56391">
              <w:rPr>
                <w:rFonts w:ascii="Gadugi" w:eastAsia="Times New Roman" w:hAnsi="Gadugi" w:cstheme="majorHAnsi"/>
                <w:b/>
                <w:bCs/>
                <w:color w:val="000000"/>
                <w:sz w:val="18"/>
                <w:szCs w:val="18"/>
                <w:lang w:val="es-EC" w:eastAsia="es-EC"/>
              </w:rPr>
              <w:lastRenderedPageBreak/>
              <w:t>elaboración de la visión Quito 2040 y desarrollo de instrumentos técnicos y normativos para ordenar el uso de suelo y regular las condiciones para su conservación o transformación. Es de carácter proyectivo en este caso al año 2040.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A0F89" w:rsidRPr="00E56391" w:rsidRDefault="008A0F89" w:rsidP="008A0F89">
            <w:pPr>
              <w:spacing w:after="0" w:line="240" w:lineRule="auto"/>
              <w:jc w:val="center"/>
              <w:rPr>
                <w:rFonts w:ascii="Gadugi" w:eastAsia="Times New Roman" w:hAnsi="Gadugi" w:cstheme="majorHAnsi"/>
                <w:color w:val="000000"/>
                <w:sz w:val="18"/>
                <w:szCs w:val="18"/>
                <w:lang w:val="es-EC" w:eastAsia="es-EC"/>
              </w:rPr>
            </w:pPr>
            <w:r w:rsidRPr="00E56391">
              <w:rPr>
                <w:rFonts w:ascii="Gadugi" w:eastAsia="Times New Roman" w:hAnsi="Gadugi" w:cstheme="majorHAnsi"/>
                <w:color w:val="000000"/>
                <w:sz w:val="18"/>
                <w:szCs w:val="18"/>
                <w:lang w:val="es-EC" w:eastAsia="es-EC"/>
              </w:rPr>
              <w:lastRenderedPageBreak/>
              <w:t>PLANEACIÓN URBANA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A0F89" w:rsidRPr="00E56391" w:rsidRDefault="008A0F89" w:rsidP="008A0F89">
            <w:pPr>
              <w:spacing w:after="0" w:line="240" w:lineRule="auto"/>
              <w:jc w:val="center"/>
              <w:rPr>
                <w:rFonts w:ascii="Gadugi" w:eastAsia="Times New Roman" w:hAnsi="Gadugi" w:cstheme="majorHAnsi"/>
                <w:color w:val="000000"/>
                <w:sz w:val="18"/>
                <w:szCs w:val="18"/>
                <w:lang w:val="es-EC" w:eastAsia="es-EC"/>
              </w:rPr>
            </w:pPr>
            <w:r w:rsidRPr="00E56391">
              <w:rPr>
                <w:rFonts w:ascii="Gadugi" w:eastAsia="Times New Roman" w:hAnsi="Gadugi" w:cstheme="majorHAnsi"/>
                <w:color w:val="000000"/>
                <w:sz w:val="18"/>
                <w:szCs w:val="18"/>
                <w:lang w:val="es-EC" w:eastAsia="es-EC"/>
              </w:rPr>
              <w:t>Gestión de datos Geográficos</w:t>
            </w:r>
          </w:p>
        </w:tc>
        <w:tc>
          <w:tcPr>
            <w:tcW w:w="0" w:type="auto"/>
            <w:tcBorders>
              <w:top w:val="nil"/>
              <w:left w:val="nil"/>
              <w:bottom w:val="single" w:sz="4" w:space="0" w:color="auto"/>
              <w:right w:val="single" w:sz="4" w:space="0" w:color="auto"/>
            </w:tcBorders>
            <w:shd w:val="clear" w:color="auto" w:fill="auto"/>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r w:rsidRPr="00E56391">
              <w:rPr>
                <w:rFonts w:ascii="Gadugi" w:eastAsia="Times New Roman" w:hAnsi="Gadugi" w:cstheme="majorHAnsi"/>
                <w:color w:val="000000"/>
                <w:sz w:val="18"/>
                <w:szCs w:val="18"/>
                <w:lang w:val="es-EC" w:eastAsia="es-EC"/>
              </w:rPr>
              <w:t>Recolección de datos geográficos</w:t>
            </w:r>
          </w:p>
        </w:tc>
      </w:tr>
      <w:tr w:rsidR="008A0F89" w:rsidRPr="00E56391"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r w:rsidRPr="00E56391">
              <w:rPr>
                <w:rFonts w:ascii="Gadugi" w:eastAsia="Times New Roman" w:hAnsi="Gadugi" w:cstheme="majorHAnsi"/>
                <w:color w:val="000000"/>
                <w:sz w:val="18"/>
                <w:szCs w:val="18"/>
                <w:lang w:val="es-EC" w:eastAsia="es-EC"/>
              </w:rPr>
              <w:t>Análisis de los datos geográficos</w:t>
            </w:r>
          </w:p>
        </w:tc>
      </w:tr>
      <w:tr w:rsidR="008A0F89" w:rsidRPr="00E56391"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A0F89" w:rsidRPr="00E56391" w:rsidRDefault="008A0F89" w:rsidP="008A0F89">
            <w:pPr>
              <w:spacing w:after="0" w:line="240" w:lineRule="auto"/>
              <w:jc w:val="center"/>
              <w:rPr>
                <w:rFonts w:ascii="Gadugi" w:eastAsia="Times New Roman" w:hAnsi="Gadugi" w:cstheme="majorHAnsi"/>
                <w:color w:val="000000"/>
                <w:sz w:val="18"/>
                <w:szCs w:val="18"/>
                <w:lang w:val="es-EC" w:eastAsia="es-EC"/>
              </w:rPr>
            </w:pPr>
            <w:r w:rsidRPr="00E56391">
              <w:rPr>
                <w:rFonts w:ascii="Gadugi" w:eastAsia="Times New Roman" w:hAnsi="Gadugi" w:cstheme="majorHAnsi"/>
                <w:color w:val="000000"/>
                <w:sz w:val="18"/>
                <w:szCs w:val="18"/>
                <w:lang w:val="es-EC" w:eastAsia="es-EC"/>
              </w:rPr>
              <w:t>Elaboración de la visión prospectiva del DMQ</w:t>
            </w:r>
          </w:p>
        </w:tc>
        <w:tc>
          <w:tcPr>
            <w:tcW w:w="0" w:type="auto"/>
            <w:tcBorders>
              <w:top w:val="nil"/>
              <w:left w:val="nil"/>
              <w:bottom w:val="single" w:sz="4" w:space="0" w:color="auto"/>
              <w:right w:val="single" w:sz="4" w:space="0" w:color="auto"/>
            </w:tcBorders>
            <w:shd w:val="clear" w:color="auto" w:fill="auto"/>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r w:rsidRPr="00E56391">
              <w:rPr>
                <w:rFonts w:ascii="Gadugi" w:eastAsia="Times New Roman" w:hAnsi="Gadugi" w:cstheme="majorHAnsi"/>
                <w:color w:val="000000"/>
                <w:sz w:val="18"/>
                <w:szCs w:val="18"/>
                <w:lang w:val="es-EC" w:eastAsia="es-EC"/>
              </w:rPr>
              <w:t>Realización de estudios de planeación urbana</w:t>
            </w:r>
          </w:p>
        </w:tc>
      </w:tr>
      <w:tr w:rsidR="008A0F89" w:rsidRPr="00E56391"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r w:rsidRPr="00E56391">
              <w:rPr>
                <w:rFonts w:ascii="Gadugi" w:eastAsia="Times New Roman" w:hAnsi="Gadugi" w:cstheme="majorHAnsi"/>
                <w:color w:val="000000"/>
                <w:sz w:val="18"/>
                <w:szCs w:val="18"/>
                <w:lang w:val="es-EC" w:eastAsia="es-EC"/>
              </w:rPr>
              <w:t>Difusión de la visión prospectiva</w:t>
            </w:r>
          </w:p>
        </w:tc>
      </w:tr>
      <w:tr w:rsidR="008A0F89" w:rsidRPr="00E56391"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r w:rsidRPr="00E56391">
              <w:rPr>
                <w:rFonts w:ascii="Gadugi" w:eastAsia="Times New Roman" w:hAnsi="Gadugi" w:cstheme="majorHAnsi"/>
                <w:color w:val="000000"/>
                <w:sz w:val="18"/>
                <w:szCs w:val="18"/>
                <w:lang w:val="es-EC" w:eastAsia="es-EC"/>
              </w:rPr>
              <w:t>Socialización de la visión prospectiva</w:t>
            </w:r>
          </w:p>
        </w:tc>
      </w:tr>
      <w:tr w:rsidR="008A0F89" w:rsidRPr="00E56391"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A0F89" w:rsidRPr="00E56391" w:rsidRDefault="008A0F89" w:rsidP="008A0F89">
            <w:pPr>
              <w:spacing w:after="0" w:line="240" w:lineRule="auto"/>
              <w:jc w:val="center"/>
              <w:rPr>
                <w:rFonts w:ascii="Gadugi" w:eastAsia="Times New Roman" w:hAnsi="Gadugi" w:cstheme="majorHAnsi"/>
                <w:color w:val="000000"/>
                <w:sz w:val="18"/>
                <w:szCs w:val="18"/>
                <w:lang w:val="es-EC" w:eastAsia="es-EC"/>
              </w:rPr>
            </w:pPr>
            <w:r w:rsidRPr="00E56391">
              <w:rPr>
                <w:rFonts w:ascii="Gadugi" w:eastAsia="Times New Roman" w:hAnsi="Gadugi" w:cstheme="majorHAnsi"/>
                <w:color w:val="000000"/>
                <w:sz w:val="18"/>
                <w:szCs w:val="18"/>
                <w:lang w:val="es-EC" w:eastAsia="es-EC"/>
              </w:rPr>
              <w:t>Construcción del Modelo de determinación de Centralidades</w:t>
            </w:r>
          </w:p>
        </w:tc>
        <w:tc>
          <w:tcPr>
            <w:tcW w:w="0" w:type="auto"/>
            <w:tcBorders>
              <w:top w:val="nil"/>
              <w:left w:val="nil"/>
              <w:bottom w:val="single" w:sz="4" w:space="0" w:color="auto"/>
              <w:right w:val="single" w:sz="4" w:space="0" w:color="auto"/>
            </w:tcBorders>
            <w:shd w:val="clear" w:color="auto" w:fill="auto"/>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r w:rsidRPr="00E56391">
              <w:rPr>
                <w:rFonts w:ascii="Gadugi" w:eastAsia="Times New Roman" w:hAnsi="Gadugi" w:cstheme="majorHAnsi"/>
                <w:color w:val="000000"/>
                <w:sz w:val="18"/>
                <w:szCs w:val="18"/>
                <w:lang w:val="es-EC" w:eastAsia="es-EC"/>
              </w:rPr>
              <w:t>Desarrollo y construcción del modelo de determinación de centralidades</w:t>
            </w:r>
          </w:p>
        </w:tc>
      </w:tr>
      <w:tr w:rsidR="008A0F89" w:rsidRPr="00E56391"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r w:rsidRPr="00E56391">
              <w:rPr>
                <w:rFonts w:ascii="Gadugi" w:eastAsia="Times New Roman" w:hAnsi="Gadugi" w:cstheme="majorHAnsi"/>
                <w:color w:val="000000"/>
                <w:sz w:val="18"/>
                <w:szCs w:val="18"/>
                <w:lang w:val="es-EC" w:eastAsia="es-EC"/>
              </w:rPr>
              <w:t>Selección y Publicación del modelo de determinación de centralidades</w:t>
            </w:r>
          </w:p>
        </w:tc>
      </w:tr>
      <w:tr w:rsidR="008A0F89" w:rsidRPr="00E56391"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A0F89" w:rsidRPr="00E56391" w:rsidRDefault="008A0F89" w:rsidP="008A0F89">
            <w:pPr>
              <w:spacing w:after="0" w:line="240" w:lineRule="auto"/>
              <w:jc w:val="center"/>
              <w:rPr>
                <w:rFonts w:ascii="Gadugi" w:eastAsia="Times New Roman" w:hAnsi="Gadugi" w:cstheme="majorHAnsi"/>
                <w:color w:val="000000"/>
                <w:sz w:val="18"/>
                <w:szCs w:val="18"/>
                <w:lang w:val="es-EC" w:eastAsia="es-EC"/>
              </w:rPr>
            </w:pPr>
            <w:r w:rsidRPr="00E56391">
              <w:rPr>
                <w:rFonts w:ascii="Gadugi" w:eastAsia="Times New Roman" w:hAnsi="Gadugi" w:cstheme="majorHAnsi"/>
                <w:color w:val="000000"/>
                <w:sz w:val="18"/>
                <w:szCs w:val="18"/>
                <w:lang w:val="es-EC" w:eastAsia="es-EC"/>
              </w:rPr>
              <w:t>Construcción del Modelo de implementación de Eco barrio</w:t>
            </w:r>
          </w:p>
        </w:tc>
        <w:tc>
          <w:tcPr>
            <w:tcW w:w="0" w:type="auto"/>
            <w:tcBorders>
              <w:top w:val="nil"/>
              <w:left w:val="nil"/>
              <w:bottom w:val="single" w:sz="4" w:space="0" w:color="auto"/>
              <w:right w:val="single" w:sz="4" w:space="0" w:color="auto"/>
            </w:tcBorders>
            <w:shd w:val="clear" w:color="auto" w:fill="auto"/>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r w:rsidRPr="00E56391">
              <w:rPr>
                <w:rFonts w:ascii="Gadugi" w:eastAsia="Times New Roman" w:hAnsi="Gadugi" w:cstheme="majorHAnsi"/>
                <w:color w:val="000000"/>
                <w:sz w:val="18"/>
                <w:szCs w:val="18"/>
                <w:lang w:val="es-EC" w:eastAsia="es-EC"/>
              </w:rPr>
              <w:t>Desarrollo y construcción del modelo Eco barrio</w:t>
            </w:r>
          </w:p>
        </w:tc>
      </w:tr>
      <w:tr w:rsidR="008A0F89" w:rsidRPr="00E56391"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r w:rsidRPr="00E56391">
              <w:rPr>
                <w:rFonts w:ascii="Gadugi" w:eastAsia="Times New Roman" w:hAnsi="Gadugi" w:cstheme="majorHAnsi"/>
                <w:color w:val="000000"/>
                <w:sz w:val="18"/>
                <w:szCs w:val="18"/>
                <w:lang w:val="es-EC" w:eastAsia="es-EC"/>
              </w:rPr>
              <w:t>Selección e implementación del modelo Eco barrio</w:t>
            </w:r>
          </w:p>
        </w:tc>
      </w:tr>
      <w:tr w:rsidR="008A0F89" w:rsidRPr="00E56391"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A0F89" w:rsidRPr="00E56391" w:rsidRDefault="008A0F89" w:rsidP="008A0F89">
            <w:pPr>
              <w:spacing w:after="0" w:line="240" w:lineRule="auto"/>
              <w:jc w:val="center"/>
              <w:rPr>
                <w:rFonts w:ascii="Gadugi" w:eastAsia="Times New Roman" w:hAnsi="Gadugi" w:cstheme="majorHAnsi"/>
                <w:color w:val="000000"/>
                <w:sz w:val="18"/>
                <w:szCs w:val="18"/>
                <w:lang w:val="es-EC" w:eastAsia="es-EC"/>
              </w:rPr>
            </w:pPr>
            <w:r w:rsidRPr="00E56391">
              <w:rPr>
                <w:rFonts w:ascii="Gadugi" w:eastAsia="Times New Roman" w:hAnsi="Gadugi" w:cstheme="majorHAnsi"/>
                <w:color w:val="000000"/>
                <w:sz w:val="18"/>
                <w:szCs w:val="18"/>
                <w:lang w:val="es-EC" w:eastAsia="es-EC"/>
              </w:rPr>
              <w:t>Construcción de estrategias de resiliencia</w:t>
            </w:r>
          </w:p>
        </w:tc>
        <w:tc>
          <w:tcPr>
            <w:tcW w:w="0" w:type="auto"/>
            <w:tcBorders>
              <w:top w:val="nil"/>
              <w:left w:val="nil"/>
              <w:bottom w:val="single" w:sz="4" w:space="0" w:color="auto"/>
              <w:right w:val="single" w:sz="4" w:space="0" w:color="auto"/>
            </w:tcBorders>
            <w:shd w:val="clear" w:color="auto" w:fill="auto"/>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r w:rsidRPr="00E56391">
              <w:rPr>
                <w:rFonts w:ascii="Gadugi" w:eastAsia="Times New Roman" w:hAnsi="Gadugi" w:cstheme="majorHAnsi"/>
                <w:color w:val="000000"/>
                <w:sz w:val="18"/>
                <w:szCs w:val="18"/>
                <w:lang w:val="es-EC" w:eastAsia="es-EC"/>
              </w:rPr>
              <w:t>Planificación de estrategias de resiliencia</w:t>
            </w:r>
          </w:p>
        </w:tc>
      </w:tr>
      <w:tr w:rsidR="008A0F89" w:rsidRPr="00E56391"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8A0F89" w:rsidRPr="00E56391" w:rsidRDefault="008A0F89" w:rsidP="008A0F89">
            <w:pPr>
              <w:spacing w:after="0" w:line="240" w:lineRule="auto"/>
              <w:rPr>
                <w:rFonts w:ascii="Gadugi" w:eastAsia="Times New Roman" w:hAnsi="Gadugi" w:cstheme="majorHAnsi"/>
                <w:color w:val="000000"/>
                <w:sz w:val="18"/>
                <w:szCs w:val="18"/>
                <w:lang w:val="es-EC" w:eastAsia="es-EC"/>
              </w:rPr>
            </w:pPr>
            <w:r w:rsidRPr="00E56391">
              <w:rPr>
                <w:rFonts w:ascii="Gadugi" w:eastAsia="Times New Roman" w:hAnsi="Gadugi" w:cstheme="majorHAnsi"/>
                <w:color w:val="000000"/>
                <w:sz w:val="18"/>
                <w:szCs w:val="18"/>
                <w:lang w:val="es-EC" w:eastAsia="es-EC"/>
              </w:rPr>
              <w:t>Elaboración de estrategias de resiliencia</w:t>
            </w:r>
          </w:p>
        </w:tc>
      </w:tr>
    </w:tbl>
    <w:p w:rsidR="00A51743" w:rsidRDefault="00A51743" w:rsidP="00A51743">
      <w:pPr>
        <w:rPr>
          <w:rFonts w:ascii="Gadugi" w:hAnsi="Gadugi"/>
        </w:rPr>
      </w:pPr>
    </w:p>
    <w:p w:rsidR="00C75E93" w:rsidRDefault="00C75E93" w:rsidP="00A51743">
      <w:pPr>
        <w:rPr>
          <w:rFonts w:ascii="Gadugi" w:hAnsi="Gadugi"/>
        </w:rPr>
      </w:pPr>
    </w:p>
    <w:p w:rsidR="00C75E93" w:rsidRDefault="00C75E93" w:rsidP="00A51743">
      <w:pPr>
        <w:rPr>
          <w:rFonts w:ascii="Gadugi" w:hAnsi="Gadugi"/>
        </w:rPr>
      </w:pPr>
    </w:p>
    <w:p w:rsidR="00CC0045" w:rsidRPr="00EE65C0" w:rsidRDefault="00CC0045" w:rsidP="007941B3">
      <w:pPr>
        <w:pStyle w:val="Prrafodelista"/>
        <w:numPr>
          <w:ilvl w:val="3"/>
          <w:numId w:val="6"/>
        </w:numPr>
        <w:jc w:val="both"/>
        <w:outlineLvl w:val="2"/>
        <w:rPr>
          <w:rFonts w:ascii="Gadugi" w:hAnsi="Gadugi"/>
          <w:b/>
          <w:sz w:val="20"/>
          <w:szCs w:val="24"/>
        </w:rPr>
      </w:pPr>
      <w:bookmarkStart w:id="13" w:name="_Toc483474894"/>
      <w:r w:rsidRPr="00EE65C0">
        <w:rPr>
          <w:rFonts w:ascii="Gadugi" w:hAnsi="Gadugi"/>
          <w:b/>
          <w:sz w:val="20"/>
          <w:szCs w:val="24"/>
        </w:rPr>
        <w:lastRenderedPageBreak/>
        <w:t>Análisis del Pilar: Planificación</w:t>
      </w:r>
      <w:bookmarkEnd w:id="13"/>
    </w:p>
    <w:p w:rsidR="00A51743" w:rsidRPr="00C1652B" w:rsidRDefault="00A51743" w:rsidP="00721261">
      <w:pPr>
        <w:jc w:val="center"/>
        <w:rPr>
          <w:rFonts w:ascii="Gadugi" w:hAnsi="Gadugi"/>
          <w:b/>
        </w:rPr>
      </w:pPr>
      <w:r w:rsidRPr="00C1652B">
        <w:rPr>
          <w:rFonts w:ascii="Gadugi" w:hAnsi="Gadugi"/>
          <w:noProof/>
          <w:lang w:val="es-EC" w:eastAsia="es-EC"/>
        </w:rPr>
        <w:drawing>
          <wp:inline distT="0" distB="0" distL="0" distR="0" wp14:anchorId="00D7279C" wp14:editId="7F371256">
            <wp:extent cx="4994031" cy="2609623"/>
            <wp:effectExtent l="76200" t="76200" r="130810" b="13398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102" t="29639" r="37910" b="29479"/>
                    <a:stretch/>
                  </pic:blipFill>
                  <pic:spPr bwMode="auto">
                    <a:xfrm>
                      <a:off x="0" y="0"/>
                      <a:ext cx="5024628" cy="26256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51743" w:rsidRPr="00EE65C0" w:rsidRDefault="00A51743" w:rsidP="00A51743">
      <w:pPr>
        <w:rPr>
          <w:rFonts w:ascii="Gadugi" w:hAnsi="Gadugi"/>
          <w:sz w:val="20"/>
          <w:szCs w:val="24"/>
        </w:rPr>
      </w:pPr>
      <w:r w:rsidRPr="00EE65C0">
        <w:rPr>
          <w:rFonts w:ascii="Gadugi" w:hAnsi="Gadugi"/>
          <w:sz w:val="20"/>
          <w:szCs w:val="24"/>
        </w:rPr>
        <w:t>En función del análisis anterior, se presenta el catálogo de procesos particular para este eje:</w:t>
      </w:r>
    </w:p>
    <w:p w:rsidR="00A16AB2" w:rsidRPr="00C1652B" w:rsidRDefault="00A51743" w:rsidP="00D07FFA">
      <w:pPr>
        <w:spacing w:after="0" w:line="240" w:lineRule="auto"/>
        <w:jc w:val="both"/>
        <w:rPr>
          <w:rFonts w:ascii="Gadugi" w:hAnsi="Gadugi"/>
          <w:noProof/>
          <w:lang w:val="es-EC" w:eastAsia="es-EC"/>
        </w:rPr>
      </w:pPr>
      <w:r w:rsidRPr="00C1652B">
        <w:rPr>
          <w:rFonts w:ascii="Gadugi" w:hAnsi="Gadugi"/>
          <w:noProof/>
          <w:color w:val="FF0000"/>
          <w:lang w:val="es-EC" w:eastAsia="es-EC"/>
        </w:rPr>
        <w:t xml:space="preserve"> </w:t>
      </w:r>
      <w:r w:rsidRPr="00C1652B">
        <w:rPr>
          <w:rFonts w:ascii="Gadugi" w:hAnsi="Gadugi"/>
          <w:noProof/>
          <w:lang w:val="es-EC" w:eastAsia="es-EC"/>
        </w:rPr>
        <w:t xml:space="preserve"> </w:t>
      </w:r>
    </w:p>
    <w:tbl>
      <w:tblPr>
        <w:tblW w:w="0" w:type="auto"/>
        <w:tblInd w:w="10" w:type="dxa"/>
        <w:tblCellMar>
          <w:left w:w="70" w:type="dxa"/>
          <w:right w:w="70" w:type="dxa"/>
        </w:tblCellMar>
        <w:tblLook w:val="04A0" w:firstRow="1" w:lastRow="0" w:firstColumn="1" w:lastColumn="0" w:noHBand="0" w:noVBand="1"/>
      </w:tblPr>
      <w:tblGrid>
        <w:gridCol w:w="1769"/>
        <w:gridCol w:w="1184"/>
        <w:gridCol w:w="1809"/>
        <w:gridCol w:w="1493"/>
        <w:gridCol w:w="1746"/>
        <w:gridCol w:w="1767"/>
      </w:tblGrid>
      <w:tr w:rsidR="00A16AB2" w:rsidRPr="00EE65C0" w:rsidTr="00177AD2">
        <w:trPr>
          <w:trHeight w:val="510"/>
          <w:tblHeader/>
        </w:trPr>
        <w:tc>
          <w:tcPr>
            <w:tcW w:w="0" w:type="auto"/>
            <w:gridSpan w:val="6"/>
            <w:tcBorders>
              <w:top w:val="nil"/>
              <w:left w:val="nil"/>
              <w:bottom w:val="nil"/>
              <w:right w:val="nil"/>
            </w:tcBorders>
            <w:shd w:val="clear" w:color="auto" w:fill="222A35" w:themeFill="text2" w:themeFillShade="80"/>
            <w:vAlign w:val="center"/>
            <w:hideMark/>
          </w:tcPr>
          <w:p w:rsidR="00A16AB2" w:rsidRPr="00EE65C0"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EE65C0">
              <w:rPr>
                <w:rFonts w:ascii="Gadugi" w:eastAsia="Times New Roman" w:hAnsi="Gadugi" w:cstheme="majorHAnsi"/>
                <w:b/>
                <w:bCs/>
                <w:color w:val="FFFFFF"/>
                <w:sz w:val="18"/>
                <w:szCs w:val="18"/>
                <w:lang w:val="es-EC" w:eastAsia="es-EC"/>
              </w:rPr>
              <w:t>CATÁLOGO DE PROCESOS CORRESPONDIENTES A PLANIFICACIÓN</w:t>
            </w:r>
          </w:p>
        </w:tc>
      </w:tr>
      <w:tr w:rsidR="00A16AB2" w:rsidRPr="00EE65C0" w:rsidTr="00EE65C0">
        <w:trPr>
          <w:trHeight w:val="75"/>
          <w:tblHeader/>
        </w:trPr>
        <w:tc>
          <w:tcPr>
            <w:tcW w:w="0" w:type="auto"/>
            <w:tcBorders>
              <w:top w:val="nil"/>
              <w:left w:val="nil"/>
              <w:bottom w:val="nil"/>
              <w:right w:val="nil"/>
            </w:tcBorders>
            <w:shd w:val="clear" w:color="000000" w:fill="FFFFFF"/>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A16AB2" w:rsidRPr="00EE65C0" w:rsidRDefault="00A16AB2" w:rsidP="00A16AB2">
            <w:pPr>
              <w:spacing w:after="0" w:line="240" w:lineRule="auto"/>
              <w:jc w:val="center"/>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A16AB2" w:rsidRPr="00EE65C0"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EE65C0">
              <w:rPr>
                <w:rFonts w:ascii="Gadugi" w:eastAsia="Times New Roman" w:hAnsi="Gadugi" w:cstheme="majorHAnsi"/>
                <w:b/>
                <w:bCs/>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A16AB2" w:rsidRPr="00EE65C0" w:rsidRDefault="00A16AB2" w:rsidP="00A16AB2">
            <w:pPr>
              <w:spacing w:after="0" w:line="240" w:lineRule="auto"/>
              <w:jc w:val="center"/>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A16AB2" w:rsidRPr="00EE65C0" w:rsidRDefault="00A16AB2" w:rsidP="00A16AB2">
            <w:pPr>
              <w:spacing w:after="0" w:line="240" w:lineRule="auto"/>
              <w:jc w:val="center"/>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 </w:t>
            </w:r>
          </w:p>
        </w:tc>
      </w:tr>
      <w:tr w:rsidR="00A16AB2" w:rsidRPr="00EE65C0" w:rsidTr="00177AD2">
        <w:trPr>
          <w:trHeight w:val="630"/>
          <w:tblHeader/>
        </w:trPr>
        <w:tc>
          <w:tcPr>
            <w:tcW w:w="0" w:type="auto"/>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A16AB2" w:rsidRPr="00EE65C0"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EE65C0">
              <w:rPr>
                <w:rFonts w:ascii="Gadugi" w:eastAsia="Times New Roman" w:hAnsi="Gadugi" w:cstheme="majorHAnsi"/>
                <w:b/>
                <w:bCs/>
                <w:color w:val="FFFFFF"/>
                <w:sz w:val="18"/>
                <w:szCs w:val="18"/>
                <w:lang w:val="es-EC" w:eastAsia="es-EC"/>
              </w:rPr>
              <w:t>DUEÑO DEL PROCESO</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A16AB2" w:rsidRPr="00EE65C0"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EE65C0">
              <w:rPr>
                <w:rFonts w:ascii="Gadugi" w:eastAsia="Times New Roman" w:hAnsi="Gadugi" w:cstheme="majorHAnsi"/>
                <w:b/>
                <w:bCs/>
                <w:color w:val="FFFFFF"/>
                <w:sz w:val="18"/>
                <w:szCs w:val="18"/>
                <w:lang w:val="es-EC" w:eastAsia="es-EC"/>
              </w:rPr>
              <w:t>TIPO DE PROCESO</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A16AB2" w:rsidRPr="00EE65C0"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EE65C0">
              <w:rPr>
                <w:rFonts w:ascii="Gadugi" w:eastAsia="Times New Roman" w:hAnsi="Gadugi" w:cstheme="majorHAnsi"/>
                <w:b/>
                <w:bCs/>
                <w:color w:val="FFFFFF"/>
                <w:sz w:val="18"/>
                <w:szCs w:val="18"/>
                <w:lang w:val="es-EC" w:eastAsia="es-EC"/>
              </w:rPr>
              <w:t>DESCRIPCIÓN MACRO-PROCESO</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A16AB2" w:rsidRPr="00EE65C0"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EE65C0">
              <w:rPr>
                <w:rFonts w:ascii="Gadugi" w:eastAsia="Times New Roman" w:hAnsi="Gadugi" w:cstheme="majorHAnsi"/>
                <w:b/>
                <w:bCs/>
                <w:color w:val="FFFFFF"/>
                <w:sz w:val="18"/>
                <w:szCs w:val="18"/>
                <w:lang w:val="es-EC" w:eastAsia="es-EC"/>
              </w:rPr>
              <w:t>MACRO-PROCESO</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A16AB2" w:rsidRPr="00EE65C0"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EE65C0">
              <w:rPr>
                <w:rFonts w:ascii="Gadugi" w:eastAsia="Times New Roman" w:hAnsi="Gadugi" w:cstheme="majorHAnsi"/>
                <w:b/>
                <w:bCs/>
                <w:color w:val="FFFFFF"/>
                <w:sz w:val="18"/>
                <w:szCs w:val="18"/>
                <w:lang w:val="es-EC" w:eastAsia="es-EC"/>
              </w:rPr>
              <w:t>PROCESOS</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A16AB2" w:rsidRPr="00EE65C0"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EE65C0">
              <w:rPr>
                <w:rFonts w:ascii="Gadugi" w:eastAsia="Times New Roman" w:hAnsi="Gadugi" w:cstheme="majorHAnsi"/>
                <w:b/>
                <w:bCs/>
                <w:color w:val="FFFFFF"/>
                <w:sz w:val="18"/>
                <w:szCs w:val="18"/>
                <w:lang w:val="es-EC" w:eastAsia="es-EC"/>
              </w:rPr>
              <w:t>SUBPROCESO</w:t>
            </w:r>
          </w:p>
        </w:tc>
      </w:tr>
      <w:tr w:rsidR="00A16AB2" w:rsidRPr="00EE65C0" w:rsidTr="00A16AB2">
        <w:trPr>
          <w:trHeight w:val="1890"/>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EE65C0"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EE65C0">
              <w:rPr>
                <w:rFonts w:ascii="Gadugi" w:eastAsia="Times New Roman" w:hAnsi="Gadugi" w:cstheme="majorHAnsi"/>
                <w:b/>
                <w:bCs/>
                <w:color w:val="000000"/>
                <w:sz w:val="18"/>
                <w:szCs w:val="18"/>
                <w:lang w:val="es-EC" w:eastAsia="es-EC"/>
              </w:rPr>
              <w:t>DIRECCIÓN METROPOLITANA ADMINISTRATIVA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EE65C0"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EE65C0">
              <w:rPr>
                <w:rFonts w:ascii="Gadugi" w:eastAsia="Times New Roman" w:hAnsi="Gadugi" w:cstheme="majorHAnsi"/>
                <w:b/>
                <w:bCs/>
                <w:color w:val="000000"/>
                <w:sz w:val="18"/>
                <w:szCs w:val="18"/>
                <w:lang w:val="es-EC" w:eastAsia="es-EC"/>
              </w:rPr>
              <w:t>Habilitantes de Apoyo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EE65C0"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EE65C0">
              <w:rPr>
                <w:rFonts w:ascii="Gadugi" w:eastAsia="Times New Roman" w:hAnsi="Gadugi" w:cstheme="majorHAnsi"/>
                <w:b/>
                <w:bCs/>
                <w:color w:val="000000"/>
                <w:sz w:val="18"/>
                <w:szCs w:val="18"/>
                <w:lang w:val="es-EC" w:eastAsia="es-EC"/>
              </w:rPr>
              <w:t>La gestión de planificación de activos del MDMQ, determina los lineamientos para la contratación y mantenimiento de los bienes del MDMQ.</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EE65C0" w:rsidRDefault="00A16AB2" w:rsidP="00A16AB2">
            <w:pPr>
              <w:spacing w:after="0" w:line="240" w:lineRule="auto"/>
              <w:jc w:val="center"/>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GESTIÓN DE PLANIFICACIÓN DE ACTIVOS DEL MDMQ</w:t>
            </w:r>
          </w:p>
        </w:tc>
        <w:tc>
          <w:tcPr>
            <w:tcW w:w="0" w:type="auto"/>
            <w:tcBorders>
              <w:top w:val="nil"/>
              <w:left w:val="nil"/>
              <w:bottom w:val="single" w:sz="4" w:space="0" w:color="auto"/>
              <w:right w:val="single" w:sz="4" w:space="0" w:color="auto"/>
            </w:tcBorders>
            <w:shd w:val="clear" w:color="auto" w:fill="auto"/>
            <w:vAlign w:val="center"/>
            <w:hideMark/>
          </w:tcPr>
          <w:p w:rsidR="00A16AB2" w:rsidRPr="00EE65C0" w:rsidRDefault="00A16AB2" w:rsidP="00A16AB2">
            <w:pPr>
              <w:spacing w:after="0" w:line="240" w:lineRule="auto"/>
              <w:jc w:val="center"/>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Formulación y consolidación del Plan Anual de Contratación (PAC) de la Administración Central del MDMQ</w:t>
            </w:r>
          </w:p>
        </w:tc>
        <w:tc>
          <w:tcPr>
            <w:tcW w:w="0" w:type="auto"/>
            <w:tcBorders>
              <w:top w:val="nil"/>
              <w:left w:val="nil"/>
              <w:bottom w:val="single" w:sz="4" w:space="0" w:color="auto"/>
              <w:right w:val="single" w:sz="4" w:space="0" w:color="auto"/>
            </w:tcBorders>
            <w:shd w:val="clear" w:color="auto" w:fill="auto"/>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Sin Subproceso</w:t>
            </w:r>
          </w:p>
        </w:tc>
      </w:tr>
      <w:tr w:rsidR="00A16AB2" w:rsidRPr="00EE65C0" w:rsidTr="00A16AB2">
        <w:trPr>
          <w:trHeight w:val="1575"/>
        </w:trPr>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EE65C0" w:rsidRDefault="00A16AB2" w:rsidP="00A16AB2">
            <w:pPr>
              <w:spacing w:after="0" w:line="240" w:lineRule="auto"/>
              <w:jc w:val="center"/>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Formulación y consolidación del Plan Anual de Mantenimiento (PAM) de Bienes del MDMQ</w:t>
            </w:r>
          </w:p>
        </w:tc>
        <w:tc>
          <w:tcPr>
            <w:tcW w:w="0" w:type="auto"/>
            <w:tcBorders>
              <w:top w:val="nil"/>
              <w:left w:val="nil"/>
              <w:bottom w:val="single" w:sz="4" w:space="0" w:color="auto"/>
              <w:right w:val="single" w:sz="4" w:space="0" w:color="auto"/>
            </w:tcBorders>
            <w:shd w:val="clear" w:color="auto" w:fill="auto"/>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Sin Subproceso</w:t>
            </w:r>
          </w:p>
        </w:tc>
      </w:tr>
      <w:tr w:rsidR="00A16AB2" w:rsidRPr="00EE65C0" w:rsidTr="00A16AB2">
        <w:trPr>
          <w:trHeight w:val="1260"/>
        </w:trPr>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EE65C0" w:rsidRDefault="00A16AB2" w:rsidP="00A16AB2">
            <w:pPr>
              <w:spacing w:after="0" w:line="240" w:lineRule="auto"/>
              <w:jc w:val="center"/>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Contratación pública de suministros y materiales de oficina del MDMQ</w:t>
            </w:r>
          </w:p>
        </w:tc>
        <w:tc>
          <w:tcPr>
            <w:tcW w:w="0" w:type="auto"/>
            <w:tcBorders>
              <w:top w:val="nil"/>
              <w:left w:val="nil"/>
              <w:bottom w:val="single" w:sz="4" w:space="0" w:color="auto"/>
              <w:right w:val="single" w:sz="4" w:space="0" w:color="auto"/>
            </w:tcBorders>
            <w:shd w:val="clear" w:color="auto" w:fill="auto"/>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Sin Subproceso</w:t>
            </w:r>
          </w:p>
        </w:tc>
      </w:tr>
      <w:tr w:rsidR="00A16AB2" w:rsidRPr="00EE65C0" w:rsidTr="00A16AB2">
        <w:trPr>
          <w:trHeight w:val="1890"/>
        </w:trPr>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000000" w:fill="FFFFFF"/>
            <w:vAlign w:val="center"/>
            <w:hideMark/>
          </w:tcPr>
          <w:p w:rsidR="00A16AB2" w:rsidRPr="00EE65C0" w:rsidRDefault="00A16AB2" w:rsidP="00A16AB2">
            <w:pPr>
              <w:spacing w:after="0" w:line="240" w:lineRule="auto"/>
              <w:jc w:val="center"/>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Asesoría y acompañamiento en la ejecución de procedimientos de Contratación Pública de Obras</w:t>
            </w:r>
          </w:p>
        </w:tc>
        <w:tc>
          <w:tcPr>
            <w:tcW w:w="0" w:type="auto"/>
            <w:tcBorders>
              <w:top w:val="nil"/>
              <w:left w:val="nil"/>
              <w:bottom w:val="single" w:sz="4" w:space="0" w:color="auto"/>
              <w:right w:val="single" w:sz="4" w:space="0" w:color="auto"/>
            </w:tcBorders>
            <w:shd w:val="clear" w:color="auto" w:fill="auto"/>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Sin Subproceso</w:t>
            </w:r>
          </w:p>
        </w:tc>
      </w:tr>
      <w:tr w:rsidR="00A16AB2" w:rsidRPr="00EE65C0" w:rsidTr="00A16AB2">
        <w:trPr>
          <w:trHeight w:val="2205"/>
        </w:trPr>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000000" w:fill="FFFFFF"/>
            <w:vAlign w:val="center"/>
            <w:hideMark/>
          </w:tcPr>
          <w:p w:rsidR="00A16AB2" w:rsidRPr="00EE65C0" w:rsidRDefault="00A16AB2" w:rsidP="00A16AB2">
            <w:pPr>
              <w:spacing w:after="0" w:line="240" w:lineRule="auto"/>
              <w:jc w:val="center"/>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Asesoría y acompañamiento en la ejecución de procedimientos de Contratación Pública de Bienes y Servicios (incluye Consultoría)</w:t>
            </w:r>
          </w:p>
        </w:tc>
        <w:tc>
          <w:tcPr>
            <w:tcW w:w="0" w:type="auto"/>
            <w:tcBorders>
              <w:top w:val="nil"/>
              <w:left w:val="nil"/>
              <w:bottom w:val="single" w:sz="4" w:space="0" w:color="auto"/>
              <w:right w:val="single" w:sz="4" w:space="0" w:color="auto"/>
            </w:tcBorders>
            <w:shd w:val="clear" w:color="auto" w:fill="auto"/>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Sin Subproceso</w:t>
            </w:r>
          </w:p>
        </w:tc>
      </w:tr>
      <w:tr w:rsidR="00A16AB2" w:rsidRPr="00EE65C0" w:rsidTr="00A16AB2">
        <w:trPr>
          <w:trHeight w:val="1260"/>
        </w:trPr>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000000" w:fill="FFFFFF"/>
            <w:vAlign w:val="center"/>
            <w:hideMark/>
          </w:tcPr>
          <w:p w:rsidR="00A16AB2" w:rsidRPr="00EE65C0" w:rsidRDefault="00A16AB2" w:rsidP="00A16AB2">
            <w:pPr>
              <w:spacing w:after="0" w:line="240" w:lineRule="auto"/>
              <w:jc w:val="center"/>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Coordinación para el pago de bienes, obras y servicios (incluye Consultoría)</w:t>
            </w:r>
          </w:p>
        </w:tc>
        <w:tc>
          <w:tcPr>
            <w:tcW w:w="0" w:type="auto"/>
            <w:tcBorders>
              <w:top w:val="nil"/>
              <w:left w:val="nil"/>
              <w:bottom w:val="single" w:sz="4" w:space="0" w:color="auto"/>
              <w:right w:val="single" w:sz="4" w:space="0" w:color="auto"/>
            </w:tcBorders>
            <w:shd w:val="clear" w:color="auto" w:fill="auto"/>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Sin Subproceso</w:t>
            </w:r>
          </w:p>
        </w:tc>
      </w:tr>
      <w:tr w:rsidR="00A16AB2" w:rsidRPr="00EE65C0" w:rsidTr="00A16AB2">
        <w:trPr>
          <w:trHeight w:val="630"/>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EE65C0"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EE65C0">
              <w:rPr>
                <w:rFonts w:ascii="Gadugi" w:eastAsia="Times New Roman" w:hAnsi="Gadugi" w:cstheme="majorHAnsi"/>
                <w:b/>
                <w:bCs/>
                <w:color w:val="000000"/>
                <w:sz w:val="18"/>
                <w:szCs w:val="18"/>
                <w:lang w:val="es-EC" w:eastAsia="es-EC"/>
              </w:rPr>
              <w:t>SECRETARÍA GENERAL DE PLANIFICACIÓN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EE65C0"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EE65C0">
              <w:rPr>
                <w:rFonts w:ascii="Gadugi" w:eastAsia="Times New Roman" w:hAnsi="Gadugi" w:cstheme="majorHAnsi"/>
                <w:b/>
                <w:bCs/>
                <w:color w:val="000000"/>
                <w:sz w:val="18"/>
                <w:szCs w:val="18"/>
                <w:lang w:val="es-EC" w:eastAsia="es-EC"/>
              </w:rPr>
              <w:t>Estratégicos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EE65C0"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EE65C0">
              <w:rPr>
                <w:rFonts w:ascii="Gadugi" w:eastAsia="Times New Roman" w:hAnsi="Gadugi" w:cstheme="majorHAnsi"/>
                <w:b/>
                <w:bCs/>
                <w:color w:val="000000"/>
                <w:sz w:val="18"/>
                <w:szCs w:val="18"/>
                <w:lang w:val="es-EC" w:eastAsia="es-EC"/>
              </w:rPr>
              <w:t>La gestión de planificación institucional, determina los lineamientos que permitirán alcanzar los objetivos propuestos por el MDMQ.</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EE65C0" w:rsidRDefault="00A16AB2" w:rsidP="00A16AB2">
            <w:pPr>
              <w:spacing w:after="0" w:line="240" w:lineRule="auto"/>
              <w:jc w:val="center"/>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GESTIÓN DE PLANIFICACIÓN INSTITUCIONAL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EE65C0" w:rsidRDefault="00A16AB2" w:rsidP="00A16AB2">
            <w:pPr>
              <w:spacing w:after="0" w:line="240" w:lineRule="auto"/>
              <w:jc w:val="center"/>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Gestión de Planificación Estratégica</w:t>
            </w:r>
          </w:p>
        </w:tc>
        <w:tc>
          <w:tcPr>
            <w:tcW w:w="0" w:type="auto"/>
            <w:tcBorders>
              <w:top w:val="nil"/>
              <w:left w:val="nil"/>
              <w:bottom w:val="single" w:sz="4" w:space="0" w:color="auto"/>
              <w:right w:val="single" w:sz="4" w:space="0" w:color="auto"/>
            </w:tcBorders>
            <w:shd w:val="clear" w:color="auto" w:fill="auto"/>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Planificación del desarrollo de la Planificación Estratégica</w:t>
            </w:r>
          </w:p>
        </w:tc>
      </w:tr>
      <w:tr w:rsidR="00A16AB2" w:rsidRPr="00EE65C0"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Organización de información e insumos para la planificación estratégica</w:t>
            </w:r>
          </w:p>
        </w:tc>
      </w:tr>
      <w:tr w:rsidR="00A16AB2" w:rsidRPr="00EE65C0"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Desarrollo de la planificación estratégica</w:t>
            </w:r>
          </w:p>
        </w:tc>
      </w:tr>
      <w:tr w:rsidR="00A16AB2" w:rsidRPr="00EE65C0"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Evaluación y actualización de la planificación estratégica</w:t>
            </w:r>
          </w:p>
        </w:tc>
      </w:tr>
      <w:tr w:rsidR="00A16AB2" w:rsidRPr="00EE65C0"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EE65C0" w:rsidRDefault="00A16AB2" w:rsidP="00A16AB2">
            <w:pPr>
              <w:spacing w:after="0" w:line="240" w:lineRule="auto"/>
              <w:jc w:val="center"/>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Formulación y consolidación de planes operativos anuales del MDMQ</w:t>
            </w:r>
          </w:p>
        </w:tc>
        <w:tc>
          <w:tcPr>
            <w:tcW w:w="0" w:type="auto"/>
            <w:tcBorders>
              <w:top w:val="nil"/>
              <w:left w:val="nil"/>
              <w:bottom w:val="single" w:sz="4" w:space="0" w:color="auto"/>
              <w:right w:val="single" w:sz="4" w:space="0" w:color="auto"/>
            </w:tcBorders>
            <w:shd w:val="clear" w:color="auto" w:fill="auto"/>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Formulación del anteproyecto del Plan Operativo Anual del MDMQ</w:t>
            </w:r>
          </w:p>
        </w:tc>
      </w:tr>
      <w:tr w:rsidR="00A16AB2" w:rsidRPr="00EE65C0"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Formulación del Plan Operativo Institucional del MDMQ</w:t>
            </w:r>
          </w:p>
        </w:tc>
      </w:tr>
      <w:tr w:rsidR="00A16AB2" w:rsidRPr="00EE65C0"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Actualización del Plan Operativo Institucional del MDMQ</w:t>
            </w:r>
          </w:p>
        </w:tc>
      </w:tr>
      <w:tr w:rsidR="00A16AB2" w:rsidRPr="00EE65C0"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EE65C0" w:rsidRDefault="00A16AB2" w:rsidP="00A16AB2">
            <w:pPr>
              <w:spacing w:after="0" w:line="240" w:lineRule="auto"/>
              <w:jc w:val="center"/>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Seguimiento y evaluación a la planificación institucional del MDMQ</w:t>
            </w:r>
          </w:p>
        </w:tc>
        <w:tc>
          <w:tcPr>
            <w:tcW w:w="0" w:type="auto"/>
            <w:tcBorders>
              <w:top w:val="nil"/>
              <w:left w:val="nil"/>
              <w:bottom w:val="single" w:sz="4" w:space="0" w:color="auto"/>
              <w:right w:val="single" w:sz="4" w:space="0" w:color="auto"/>
            </w:tcBorders>
            <w:shd w:val="clear" w:color="auto" w:fill="auto"/>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Seguimiento a la planificación institucional del MDMQ</w:t>
            </w:r>
          </w:p>
        </w:tc>
      </w:tr>
      <w:tr w:rsidR="00A16AB2" w:rsidRPr="00EE65C0"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Evaluación a la Planificación Institucional del MDMQ</w:t>
            </w:r>
          </w:p>
        </w:tc>
      </w:tr>
      <w:tr w:rsidR="00A16AB2" w:rsidRPr="00EE65C0"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Retroalimentación a la Planificación Institucional del MDMQ</w:t>
            </w:r>
          </w:p>
        </w:tc>
      </w:tr>
      <w:tr w:rsidR="00A16AB2" w:rsidRPr="00EE65C0" w:rsidTr="00A16AB2">
        <w:trPr>
          <w:trHeight w:val="1575"/>
        </w:trPr>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A16AB2" w:rsidRPr="00EE65C0"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EE65C0">
              <w:rPr>
                <w:rFonts w:ascii="Gadugi" w:eastAsia="Times New Roman" w:hAnsi="Gadugi" w:cstheme="majorHAnsi"/>
                <w:b/>
                <w:bCs/>
                <w:color w:val="000000"/>
                <w:sz w:val="18"/>
                <w:szCs w:val="18"/>
                <w:lang w:val="es-EC" w:eastAsia="es-EC"/>
              </w:rPr>
              <w:t>Estratégicos</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A16AB2" w:rsidRPr="00EE65C0"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EE65C0">
              <w:rPr>
                <w:rFonts w:ascii="Gadugi" w:eastAsia="Times New Roman" w:hAnsi="Gadugi" w:cstheme="majorHAnsi"/>
                <w:b/>
                <w:bCs/>
                <w:color w:val="000000"/>
                <w:sz w:val="18"/>
                <w:szCs w:val="18"/>
                <w:lang w:val="es-EC" w:eastAsia="es-EC"/>
              </w:rPr>
              <w:t>La gestión de planificación territorial del DMQ, establece la ejecución de lineamientos estratégicos que permitirán controlar el cumplimiento de las metas propuestas para el desarrollo del DMQ.</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A16AB2" w:rsidRPr="00EE65C0" w:rsidRDefault="00A16AB2" w:rsidP="00A16AB2">
            <w:pPr>
              <w:spacing w:after="0" w:line="240" w:lineRule="auto"/>
              <w:jc w:val="center"/>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GESTIÓN DE PLANIFICACIÓN TERRITORIAL DEL DMQ</w:t>
            </w:r>
          </w:p>
        </w:tc>
        <w:tc>
          <w:tcPr>
            <w:tcW w:w="0" w:type="auto"/>
            <w:tcBorders>
              <w:top w:val="nil"/>
              <w:left w:val="nil"/>
              <w:bottom w:val="single" w:sz="4" w:space="0" w:color="auto"/>
              <w:right w:val="single" w:sz="4" w:space="0" w:color="auto"/>
            </w:tcBorders>
            <w:shd w:val="clear" w:color="000000" w:fill="FFFFFF"/>
            <w:vAlign w:val="center"/>
            <w:hideMark/>
          </w:tcPr>
          <w:p w:rsidR="00A16AB2" w:rsidRPr="00EE65C0" w:rsidRDefault="00A16AB2" w:rsidP="00A16AB2">
            <w:pPr>
              <w:spacing w:after="0" w:line="240" w:lineRule="auto"/>
              <w:jc w:val="center"/>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Coordinación para la actualización del Plan Metropolitano de Ordenamiento Territorial del DMQ</w:t>
            </w:r>
          </w:p>
        </w:tc>
        <w:tc>
          <w:tcPr>
            <w:tcW w:w="0" w:type="auto"/>
            <w:tcBorders>
              <w:top w:val="nil"/>
              <w:left w:val="nil"/>
              <w:bottom w:val="single" w:sz="4" w:space="0" w:color="auto"/>
              <w:right w:val="single" w:sz="4" w:space="0" w:color="auto"/>
            </w:tcBorders>
            <w:shd w:val="clear" w:color="auto" w:fill="auto"/>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Sin Subproceso</w:t>
            </w:r>
          </w:p>
        </w:tc>
      </w:tr>
      <w:tr w:rsidR="00A16AB2" w:rsidRPr="00EE65C0"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EE65C0" w:rsidRDefault="00A16AB2" w:rsidP="00A16AB2">
            <w:pPr>
              <w:spacing w:after="0" w:line="240" w:lineRule="auto"/>
              <w:jc w:val="center"/>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Seguimiento y Evaluación del Plan Metropolitano de Ordenamiento Territorial del DMQ</w:t>
            </w:r>
          </w:p>
        </w:tc>
        <w:tc>
          <w:tcPr>
            <w:tcW w:w="0" w:type="auto"/>
            <w:tcBorders>
              <w:top w:val="nil"/>
              <w:left w:val="nil"/>
              <w:bottom w:val="single" w:sz="4" w:space="0" w:color="auto"/>
              <w:right w:val="single" w:sz="4" w:space="0" w:color="auto"/>
            </w:tcBorders>
            <w:shd w:val="clear" w:color="000000" w:fill="FFFFFF"/>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Seguimiento de metas del Plan Metropolitano de Ordenamiento Territorial del DMQ</w:t>
            </w:r>
          </w:p>
        </w:tc>
      </w:tr>
      <w:tr w:rsidR="00A16AB2" w:rsidRPr="00EE65C0"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000000" w:fill="FFFFFF"/>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Evaluación de metas del Plan Metropolitano de Ordenamiento Territorial del DMQ</w:t>
            </w:r>
          </w:p>
        </w:tc>
      </w:tr>
      <w:tr w:rsidR="00A16AB2" w:rsidRPr="00EE65C0" w:rsidTr="00A16AB2">
        <w:trPr>
          <w:trHeight w:val="1260"/>
        </w:trPr>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000000" w:fill="FFFFFF"/>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Emisión de informe de seguimiento y evaluación del Plan Metropolitano de Ordenamiento Territorial del DMQ</w:t>
            </w:r>
          </w:p>
        </w:tc>
      </w:tr>
      <w:tr w:rsidR="00A16AB2" w:rsidRPr="00EE65C0" w:rsidTr="00A16AB2">
        <w:trPr>
          <w:trHeight w:val="63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EE65C0"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EE65C0">
              <w:rPr>
                <w:rFonts w:ascii="Gadugi" w:eastAsia="Times New Roman" w:hAnsi="Gadugi" w:cstheme="majorHAnsi"/>
                <w:b/>
                <w:bCs/>
                <w:color w:val="000000"/>
                <w:sz w:val="18"/>
                <w:szCs w:val="18"/>
                <w:lang w:val="es-EC" w:eastAsia="es-EC"/>
              </w:rPr>
              <w:t>Pendiente definición del responsable por parte de MDMQ</w:t>
            </w:r>
          </w:p>
        </w:tc>
        <w:tc>
          <w:tcPr>
            <w:tcW w:w="0" w:type="auto"/>
            <w:vMerge/>
            <w:tcBorders>
              <w:top w:val="nil"/>
              <w:left w:val="single" w:sz="4" w:space="0" w:color="auto"/>
              <w:bottom w:val="single" w:sz="4" w:space="0" w:color="auto"/>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EE65C0" w:rsidRDefault="00A16AB2" w:rsidP="00A16AB2">
            <w:pPr>
              <w:spacing w:after="0" w:line="240" w:lineRule="auto"/>
              <w:jc w:val="center"/>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Elaboración del Modelo de Ordenamiento Territorial del DMQ</w:t>
            </w:r>
          </w:p>
        </w:tc>
        <w:tc>
          <w:tcPr>
            <w:tcW w:w="0" w:type="auto"/>
            <w:tcBorders>
              <w:top w:val="nil"/>
              <w:left w:val="nil"/>
              <w:bottom w:val="single" w:sz="4" w:space="0" w:color="auto"/>
              <w:right w:val="single" w:sz="4" w:space="0" w:color="auto"/>
            </w:tcBorders>
            <w:shd w:val="clear" w:color="auto" w:fill="auto"/>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Gestión de requerimientos ciudadanos del DMQ</w:t>
            </w:r>
          </w:p>
        </w:tc>
      </w:tr>
      <w:tr w:rsidR="00A16AB2" w:rsidRPr="00EE65C0"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auto"/>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EE65C0" w:rsidRDefault="00A16AB2" w:rsidP="00A16AB2">
            <w:pPr>
              <w:spacing w:after="0" w:line="240" w:lineRule="auto"/>
              <w:rPr>
                <w:rFonts w:ascii="Gadugi" w:eastAsia="Times New Roman" w:hAnsi="Gadugi" w:cstheme="majorHAnsi"/>
                <w:color w:val="000000"/>
                <w:sz w:val="18"/>
                <w:szCs w:val="18"/>
                <w:lang w:val="es-EC" w:eastAsia="es-EC"/>
              </w:rPr>
            </w:pPr>
            <w:r w:rsidRPr="00EE65C0">
              <w:rPr>
                <w:rFonts w:ascii="Gadugi" w:eastAsia="Times New Roman" w:hAnsi="Gadugi" w:cstheme="majorHAnsi"/>
                <w:color w:val="000000"/>
                <w:sz w:val="18"/>
                <w:szCs w:val="18"/>
                <w:lang w:val="es-EC" w:eastAsia="es-EC"/>
              </w:rPr>
              <w:t>Organización territorial y desarrollo de componentes</w:t>
            </w:r>
          </w:p>
        </w:tc>
      </w:tr>
    </w:tbl>
    <w:p w:rsidR="00CC0045" w:rsidRPr="00C75E93" w:rsidRDefault="00CC0045" w:rsidP="007941B3">
      <w:pPr>
        <w:pStyle w:val="Prrafodelista"/>
        <w:numPr>
          <w:ilvl w:val="3"/>
          <w:numId w:val="6"/>
        </w:numPr>
        <w:jc w:val="both"/>
        <w:outlineLvl w:val="2"/>
        <w:rPr>
          <w:rFonts w:ascii="Gadugi" w:hAnsi="Gadugi"/>
          <w:b/>
          <w:sz w:val="20"/>
        </w:rPr>
      </w:pPr>
      <w:bookmarkStart w:id="14" w:name="_Toc483474895"/>
      <w:r w:rsidRPr="00C75E93">
        <w:rPr>
          <w:rFonts w:ascii="Gadugi" w:hAnsi="Gadugi"/>
          <w:b/>
          <w:sz w:val="20"/>
        </w:rPr>
        <w:lastRenderedPageBreak/>
        <w:t>Análisis del Pilar: Gestión Financiera</w:t>
      </w:r>
      <w:bookmarkEnd w:id="14"/>
    </w:p>
    <w:p w:rsidR="00C1652B" w:rsidRDefault="00721261" w:rsidP="00721261">
      <w:pPr>
        <w:jc w:val="center"/>
        <w:rPr>
          <w:rFonts w:ascii="Gadugi" w:hAnsi="Gadugi"/>
          <w:b/>
        </w:rPr>
      </w:pPr>
      <w:r w:rsidRPr="00C1652B">
        <w:rPr>
          <w:rFonts w:ascii="Gadugi" w:hAnsi="Gadugi"/>
          <w:noProof/>
          <w:lang w:val="es-EC" w:eastAsia="es-EC"/>
        </w:rPr>
        <w:drawing>
          <wp:inline distT="0" distB="0" distL="0" distR="0" wp14:anchorId="2AD2E937" wp14:editId="0F78B834">
            <wp:extent cx="4539049" cy="4313424"/>
            <wp:effectExtent l="76200" t="76200" r="128270" b="12573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694" t="17476" r="42929" b="14281"/>
                    <a:stretch/>
                  </pic:blipFill>
                  <pic:spPr bwMode="auto">
                    <a:xfrm>
                      <a:off x="0" y="0"/>
                      <a:ext cx="4560846" cy="43341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75E93" w:rsidRPr="00C75E93" w:rsidRDefault="00C75E93" w:rsidP="00721261">
      <w:pPr>
        <w:jc w:val="center"/>
        <w:rPr>
          <w:rFonts w:ascii="Gadugi" w:hAnsi="Gadugi"/>
          <w:b/>
          <w:sz w:val="18"/>
        </w:rPr>
      </w:pPr>
    </w:p>
    <w:p w:rsidR="00721261" w:rsidRPr="00C75E93" w:rsidRDefault="00721261" w:rsidP="00721261">
      <w:pPr>
        <w:rPr>
          <w:rFonts w:ascii="Gadugi" w:hAnsi="Gadugi"/>
          <w:sz w:val="20"/>
        </w:rPr>
      </w:pPr>
      <w:r w:rsidRPr="00C75E93">
        <w:rPr>
          <w:rFonts w:ascii="Gadugi" w:hAnsi="Gadugi"/>
          <w:sz w:val="20"/>
        </w:rPr>
        <w:t>En función del análisis anterior, se presenta el catálogo de procesos particular para este eje:</w:t>
      </w:r>
    </w:p>
    <w:tbl>
      <w:tblPr>
        <w:tblW w:w="0" w:type="auto"/>
        <w:tblInd w:w="10" w:type="dxa"/>
        <w:tblCellMar>
          <w:left w:w="70" w:type="dxa"/>
          <w:right w:w="70" w:type="dxa"/>
        </w:tblCellMar>
        <w:tblLook w:val="04A0" w:firstRow="1" w:lastRow="0" w:firstColumn="1" w:lastColumn="0" w:noHBand="0" w:noVBand="1"/>
      </w:tblPr>
      <w:tblGrid>
        <w:gridCol w:w="1716"/>
        <w:gridCol w:w="1184"/>
        <w:gridCol w:w="1934"/>
        <w:gridCol w:w="1750"/>
        <w:gridCol w:w="1607"/>
        <w:gridCol w:w="1577"/>
      </w:tblGrid>
      <w:tr w:rsidR="00A16AB2" w:rsidRPr="00C75E93" w:rsidTr="00177AD2">
        <w:trPr>
          <w:trHeight w:val="510"/>
          <w:tblHeader/>
        </w:trPr>
        <w:tc>
          <w:tcPr>
            <w:tcW w:w="0" w:type="auto"/>
            <w:gridSpan w:val="6"/>
            <w:tcBorders>
              <w:top w:val="nil"/>
              <w:left w:val="nil"/>
              <w:bottom w:val="nil"/>
              <w:right w:val="nil"/>
            </w:tcBorders>
            <w:shd w:val="clear" w:color="auto" w:fill="222A35" w:themeFill="text2" w:themeFillShade="80"/>
            <w:vAlign w:val="center"/>
            <w:hideMark/>
          </w:tcPr>
          <w:p w:rsidR="00A16AB2" w:rsidRPr="00C75E93"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C75E93">
              <w:rPr>
                <w:rFonts w:ascii="Gadugi" w:eastAsia="Times New Roman" w:hAnsi="Gadugi" w:cstheme="majorHAnsi"/>
                <w:b/>
                <w:bCs/>
                <w:color w:val="FFFFFF"/>
                <w:sz w:val="18"/>
                <w:szCs w:val="18"/>
                <w:lang w:val="es-EC" w:eastAsia="es-EC"/>
              </w:rPr>
              <w:t>CATÁLOGO DE PROCESOS CORRESPONDIENTES A GESTIÓN FINANCIERA</w:t>
            </w:r>
          </w:p>
        </w:tc>
      </w:tr>
      <w:tr w:rsidR="00A16AB2" w:rsidRPr="00C75E93" w:rsidTr="00C75E93">
        <w:trPr>
          <w:trHeight w:val="315"/>
          <w:tblHeader/>
        </w:trPr>
        <w:tc>
          <w:tcPr>
            <w:tcW w:w="0" w:type="auto"/>
            <w:tcBorders>
              <w:top w:val="nil"/>
              <w:left w:val="nil"/>
              <w:bottom w:val="nil"/>
              <w:right w:val="nil"/>
            </w:tcBorders>
            <w:shd w:val="clear" w:color="000000" w:fill="FFFFFF"/>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A16AB2" w:rsidRPr="00C75E93"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C75E93">
              <w:rPr>
                <w:rFonts w:ascii="Gadugi" w:eastAsia="Times New Roman" w:hAnsi="Gadugi" w:cstheme="majorHAnsi"/>
                <w:b/>
                <w:bCs/>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 </w:t>
            </w:r>
          </w:p>
        </w:tc>
      </w:tr>
      <w:tr w:rsidR="00A16AB2" w:rsidRPr="00C75E93" w:rsidTr="00177AD2">
        <w:trPr>
          <w:trHeight w:val="630"/>
          <w:tblHeader/>
        </w:trPr>
        <w:tc>
          <w:tcPr>
            <w:tcW w:w="0" w:type="auto"/>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A16AB2" w:rsidRPr="00C75E93"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C75E93">
              <w:rPr>
                <w:rFonts w:ascii="Gadugi" w:eastAsia="Times New Roman" w:hAnsi="Gadugi" w:cstheme="majorHAnsi"/>
                <w:b/>
                <w:bCs/>
                <w:color w:val="FFFFFF"/>
                <w:sz w:val="18"/>
                <w:szCs w:val="18"/>
                <w:lang w:val="es-EC" w:eastAsia="es-EC"/>
              </w:rPr>
              <w:t>DUEÑO DEL PROCESO</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A16AB2" w:rsidRPr="00C75E93"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C75E93">
              <w:rPr>
                <w:rFonts w:ascii="Gadugi" w:eastAsia="Times New Roman" w:hAnsi="Gadugi" w:cstheme="majorHAnsi"/>
                <w:b/>
                <w:bCs/>
                <w:color w:val="FFFFFF"/>
                <w:sz w:val="18"/>
                <w:szCs w:val="18"/>
                <w:lang w:val="es-EC" w:eastAsia="es-EC"/>
              </w:rPr>
              <w:t>TIPO DE PROCESO</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A16AB2" w:rsidRPr="00C75E93"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C75E93">
              <w:rPr>
                <w:rFonts w:ascii="Gadugi" w:eastAsia="Times New Roman" w:hAnsi="Gadugi" w:cstheme="majorHAnsi"/>
                <w:b/>
                <w:bCs/>
                <w:color w:val="FFFFFF"/>
                <w:sz w:val="18"/>
                <w:szCs w:val="18"/>
                <w:lang w:val="es-EC" w:eastAsia="es-EC"/>
              </w:rPr>
              <w:t>DESCRIPCIÓN MACRO-PROCESO</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A16AB2" w:rsidRPr="00C75E93"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C75E93">
              <w:rPr>
                <w:rFonts w:ascii="Gadugi" w:eastAsia="Times New Roman" w:hAnsi="Gadugi" w:cstheme="majorHAnsi"/>
                <w:b/>
                <w:bCs/>
                <w:color w:val="FFFFFF"/>
                <w:sz w:val="18"/>
                <w:szCs w:val="18"/>
                <w:lang w:val="es-EC" w:eastAsia="es-EC"/>
              </w:rPr>
              <w:t>MACRO-PROCESO</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A16AB2" w:rsidRPr="00C75E93"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C75E93">
              <w:rPr>
                <w:rFonts w:ascii="Gadugi" w:eastAsia="Times New Roman" w:hAnsi="Gadugi" w:cstheme="majorHAnsi"/>
                <w:b/>
                <w:bCs/>
                <w:color w:val="FFFFFF"/>
                <w:sz w:val="18"/>
                <w:szCs w:val="18"/>
                <w:lang w:val="es-EC" w:eastAsia="es-EC"/>
              </w:rPr>
              <w:t>PROCESOS</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A16AB2" w:rsidRPr="00C75E93"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C75E93">
              <w:rPr>
                <w:rFonts w:ascii="Gadugi" w:eastAsia="Times New Roman" w:hAnsi="Gadugi" w:cstheme="majorHAnsi"/>
                <w:b/>
                <w:bCs/>
                <w:color w:val="FFFFFF"/>
                <w:sz w:val="18"/>
                <w:szCs w:val="18"/>
                <w:lang w:val="es-EC" w:eastAsia="es-EC"/>
              </w:rPr>
              <w:t>SUBPROCESO</w:t>
            </w:r>
          </w:p>
        </w:tc>
      </w:tr>
      <w:tr w:rsidR="00A16AB2" w:rsidRPr="00C75E93" w:rsidTr="00A16AB2">
        <w:trPr>
          <w:trHeight w:val="94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C75E93">
              <w:rPr>
                <w:rFonts w:ascii="Gadugi" w:eastAsia="Times New Roman" w:hAnsi="Gadugi" w:cstheme="majorHAnsi"/>
                <w:b/>
                <w:bCs/>
                <w:color w:val="000000"/>
                <w:sz w:val="18"/>
                <w:szCs w:val="18"/>
                <w:lang w:val="es-EC" w:eastAsia="es-EC"/>
              </w:rPr>
              <w:t>DIRECCIÓN METROPOLITANA TRIBUTARIA</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C75E93">
              <w:rPr>
                <w:rFonts w:ascii="Gadugi" w:eastAsia="Times New Roman" w:hAnsi="Gadugi" w:cstheme="majorHAnsi"/>
                <w:b/>
                <w:bCs/>
                <w:color w:val="000000"/>
                <w:sz w:val="18"/>
                <w:szCs w:val="18"/>
                <w:lang w:val="es-EC" w:eastAsia="es-EC"/>
              </w:rPr>
              <w:t>Habilitantes de Apoyo</w:t>
            </w:r>
          </w:p>
        </w:tc>
        <w:tc>
          <w:tcPr>
            <w:tcW w:w="0" w:type="auto"/>
            <w:tcBorders>
              <w:top w:val="nil"/>
              <w:left w:val="nil"/>
              <w:bottom w:val="single" w:sz="4" w:space="0" w:color="auto"/>
              <w:right w:val="single" w:sz="4" w:space="0" w:color="auto"/>
            </w:tcBorders>
            <w:shd w:val="clear" w:color="000000" w:fill="FFFFFF"/>
            <w:vAlign w:val="center"/>
            <w:hideMark/>
          </w:tcPr>
          <w:p w:rsidR="00A16AB2" w:rsidRPr="00C75E93"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C75E93">
              <w:rPr>
                <w:rFonts w:ascii="Gadugi" w:eastAsia="Times New Roman" w:hAnsi="Gadugi" w:cstheme="majorHAnsi"/>
                <w:b/>
                <w:bCs/>
                <w:color w:val="000000"/>
                <w:sz w:val="18"/>
                <w:szCs w:val="18"/>
                <w:lang w:val="es-EC" w:eastAsia="es-EC"/>
              </w:rPr>
              <w:t xml:space="preserve">El patrocinio tributario se refiere a la atención de juicios contencioso-tributarios en el MDMQ. </w:t>
            </w:r>
          </w:p>
        </w:tc>
        <w:tc>
          <w:tcPr>
            <w:tcW w:w="0" w:type="auto"/>
            <w:tcBorders>
              <w:top w:val="nil"/>
              <w:left w:val="nil"/>
              <w:bottom w:val="single" w:sz="4" w:space="0" w:color="auto"/>
              <w:right w:val="single" w:sz="4" w:space="0" w:color="auto"/>
            </w:tcBorders>
            <w:shd w:val="clear" w:color="000000" w:fill="FFFFFF"/>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PATROCINIO TRIBUTARIO</w:t>
            </w:r>
          </w:p>
        </w:tc>
        <w:tc>
          <w:tcPr>
            <w:tcW w:w="0" w:type="auto"/>
            <w:tcBorders>
              <w:top w:val="nil"/>
              <w:left w:val="nil"/>
              <w:bottom w:val="single" w:sz="4" w:space="0" w:color="auto"/>
              <w:right w:val="single" w:sz="4" w:space="0" w:color="auto"/>
            </w:tcBorders>
            <w:shd w:val="clear" w:color="000000" w:fill="FFFFFF"/>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Patrocinio legal en juicios contencioso tributario municipales</w:t>
            </w:r>
          </w:p>
        </w:tc>
        <w:tc>
          <w:tcPr>
            <w:tcW w:w="0" w:type="auto"/>
            <w:tcBorders>
              <w:top w:val="nil"/>
              <w:left w:val="nil"/>
              <w:bottom w:val="single" w:sz="4" w:space="0" w:color="auto"/>
              <w:right w:val="single" w:sz="4" w:space="0" w:color="auto"/>
            </w:tcBorders>
            <w:shd w:val="clear" w:color="000000" w:fill="FFFFFF"/>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Defensa en Juicios contencioso - tributario municipales</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C75E93">
              <w:rPr>
                <w:rFonts w:ascii="Gadugi" w:eastAsia="Times New Roman" w:hAnsi="Gadugi" w:cstheme="majorHAnsi"/>
                <w:b/>
                <w:bCs/>
                <w:color w:val="000000"/>
                <w:sz w:val="18"/>
                <w:szCs w:val="18"/>
                <w:lang w:val="es-EC" w:eastAsia="es-EC"/>
              </w:rPr>
              <w:t>Habilitantes de Apoyo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C75E93"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C75E93">
              <w:rPr>
                <w:rFonts w:ascii="Gadugi" w:eastAsia="Times New Roman" w:hAnsi="Gadugi" w:cstheme="majorHAnsi"/>
                <w:b/>
                <w:bCs/>
                <w:color w:val="000000"/>
                <w:sz w:val="18"/>
                <w:szCs w:val="18"/>
                <w:lang w:val="es-EC" w:eastAsia="es-EC"/>
              </w:rPr>
              <w:t xml:space="preserve">Se refiere a la declaración que el MDMQ realiza con la finalidad de generar </w:t>
            </w:r>
            <w:r w:rsidRPr="00C75E93">
              <w:rPr>
                <w:rFonts w:ascii="Gadugi" w:eastAsia="Times New Roman" w:hAnsi="Gadugi" w:cstheme="majorHAnsi"/>
                <w:b/>
                <w:bCs/>
                <w:color w:val="000000"/>
                <w:sz w:val="18"/>
                <w:szCs w:val="18"/>
                <w:lang w:val="es-EC" w:eastAsia="es-EC"/>
              </w:rPr>
              <w:lastRenderedPageBreak/>
              <w:t>efectos jurídicos sobre un ciudadano debido al incumplimiento de la normativa, y que podrá ser activado en función del control tributario ejecutado.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lastRenderedPageBreak/>
              <w:t>EJECUCIÓN DE ACTOS ADMINISTRATIVOS TRIBUTARIOS</w:t>
            </w:r>
          </w:p>
        </w:tc>
        <w:tc>
          <w:tcPr>
            <w:tcW w:w="0" w:type="auto"/>
            <w:tcBorders>
              <w:top w:val="nil"/>
              <w:left w:val="nil"/>
              <w:bottom w:val="nil"/>
              <w:right w:val="single" w:sz="4" w:space="0" w:color="auto"/>
            </w:tcBorders>
            <w:shd w:val="clear" w:color="000000" w:fill="FFFFFF"/>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Notificación de actos administrativos tributarios</w:t>
            </w:r>
          </w:p>
        </w:tc>
        <w:tc>
          <w:tcPr>
            <w:tcW w:w="0" w:type="auto"/>
            <w:tcBorders>
              <w:top w:val="nil"/>
              <w:left w:val="nil"/>
              <w:bottom w:val="single" w:sz="4" w:space="0" w:color="auto"/>
              <w:right w:val="single" w:sz="4" w:space="0" w:color="auto"/>
            </w:tcBorders>
            <w:shd w:val="clear" w:color="000000" w:fill="FFFFFF"/>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Ejecución de actos administrativos tributarios</w:t>
            </w:r>
          </w:p>
        </w:tc>
        <w:tc>
          <w:tcPr>
            <w:tcW w:w="0" w:type="auto"/>
            <w:tcBorders>
              <w:top w:val="nil"/>
              <w:left w:val="nil"/>
              <w:bottom w:val="single" w:sz="4" w:space="0" w:color="auto"/>
              <w:right w:val="single" w:sz="4" w:space="0" w:color="auto"/>
            </w:tcBorders>
            <w:shd w:val="clear" w:color="000000" w:fill="FFFFFF"/>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C75E93">
              <w:rPr>
                <w:rFonts w:ascii="Gadugi" w:eastAsia="Times New Roman" w:hAnsi="Gadugi" w:cstheme="majorHAnsi"/>
                <w:b/>
                <w:bCs/>
                <w:color w:val="000000"/>
                <w:sz w:val="18"/>
                <w:szCs w:val="18"/>
                <w:lang w:val="es-EC" w:eastAsia="es-EC"/>
              </w:rPr>
              <w:t>Habilitantes de Apoyo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C75E93">
              <w:rPr>
                <w:rFonts w:ascii="Gadugi" w:eastAsia="Times New Roman" w:hAnsi="Gadugi" w:cstheme="majorHAnsi"/>
                <w:b/>
                <w:bCs/>
                <w:color w:val="000000"/>
                <w:sz w:val="18"/>
                <w:szCs w:val="18"/>
                <w:lang w:val="es-EC" w:eastAsia="es-EC"/>
              </w:rPr>
              <w:t>El control de cumplimiento tributario se refiere a la revisión de impuestos y anexos de ley, conciliación tributaria y cruce de declaraciones para determinar si se encuentran en regla y se da cumplimiento oportuno por parte de la ciudadanía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CONTROL DE CUMPLIMIENTO TRIBUTARIO</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Control de no inscritos en el registro  único de contribuyentes</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Control de no presentación de declaraciones</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315"/>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Control de veracidad de las declaraciones</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Control de cumplimiento tributario en espectáculos públicos</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315"/>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C75E93"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C75E93">
              <w:rPr>
                <w:rFonts w:ascii="Gadugi" w:eastAsia="Times New Roman" w:hAnsi="Gadugi" w:cstheme="majorHAnsi"/>
                <w:b/>
                <w:bCs/>
                <w:color w:val="000000"/>
                <w:sz w:val="18"/>
                <w:szCs w:val="18"/>
                <w:lang w:val="es-EC" w:eastAsia="es-EC"/>
              </w:rPr>
              <w:t>DIRECCIÓN METROPOLITANA FINANCIERA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C75E93">
              <w:rPr>
                <w:rFonts w:ascii="Gadugi" w:eastAsia="Times New Roman" w:hAnsi="Gadugi" w:cstheme="majorHAnsi"/>
                <w:b/>
                <w:bCs/>
                <w:color w:val="000000"/>
                <w:sz w:val="18"/>
                <w:szCs w:val="18"/>
                <w:lang w:val="es-EC" w:eastAsia="es-EC"/>
              </w:rPr>
              <w:t>Habilitantes de Apoyo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C75E93">
              <w:rPr>
                <w:rFonts w:ascii="Gadugi" w:eastAsia="Times New Roman" w:hAnsi="Gadugi" w:cstheme="majorHAnsi"/>
                <w:b/>
                <w:bCs/>
                <w:color w:val="000000"/>
                <w:sz w:val="18"/>
                <w:szCs w:val="18"/>
                <w:lang w:val="es-EC" w:eastAsia="es-EC"/>
              </w:rPr>
              <w:t>La gestión de la tesorería, contempla los movimientos de dinero y su registro.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GESTIÓN DE TESORERÍA</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Recaudación de valores</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315"/>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Gestión de Pagos</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Conciliación bancaria</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Elaboración de Conciliaciones Bancarias</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Elaboración de Conciliación de Multicompañías</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Registro Consignaciones e Imputaciones</w:t>
            </w:r>
          </w:p>
        </w:tc>
      </w:tr>
      <w:tr w:rsidR="00A16AB2" w:rsidRPr="00C75E93" w:rsidTr="00A16AB2">
        <w:trPr>
          <w:trHeight w:val="315"/>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Gestión de Trámites no Tributarios</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315"/>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Administración y control de garantías</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Administración de especies valoradas</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Programación de especies valoradas</w:t>
            </w:r>
          </w:p>
        </w:tc>
      </w:tr>
      <w:tr w:rsidR="00A16AB2" w:rsidRPr="00C75E93" w:rsidTr="00A16AB2">
        <w:trPr>
          <w:trHeight w:val="315"/>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 xml:space="preserve">Emisión de </w:t>
            </w:r>
            <w:r w:rsidRPr="00C75E93">
              <w:rPr>
                <w:rFonts w:ascii="Gadugi" w:eastAsia="Times New Roman" w:hAnsi="Gadugi" w:cstheme="majorHAnsi"/>
                <w:color w:val="000000"/>
                <w:sz w:val="18"/>
                <w:szCs w:val="18"/>
                <w:lang w:val="es-EC" w:eastAsia="es-EC"/>
              </w:rPr>
              <w:lastRenderedPageBreak/>
              <w:t>especies valoradas</w:t>
            </w:r>
          </w:p>
        </w:tc>
      </w:tr>
      <w:tr w:rsidR="00A16AB2" w:rsidRPr="00C75E93" w:rsidTr="00A16AB2">
        <w:trPr>
          <w:trHeight w:val="315"/>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Distribución de especies valoradas</w:t>
            </w:r>
          </w:p>
        </w:tc>
      </w:tr>
      <w:tr w:rsidR="00A16AB2" w:rsidRPr="00C75E93" w:rsidTr="00A16AB2">
        <w:trPr>
          <w:trHeight w:val="315"/>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Control de especies valoradas</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C75E93">
              <w:rPr>
                <w:rFonts w:ascii="Gadugi" w:eastAsia="Times New Roman" w:hAnsi="Gadugi" w:cstheme="majorHAnsi"/>
                <w:b/>
                <w:bCs/>
                <w:color w:val="000000"/>
                <w:sz w:val="18"/>
                <w:szCs w:val="18"/>
                <w:lang w:val="es-EC" w:eastAsia="es-EC"/>
              </w:rPr>
              <w:t>Habilitantes de Apoyo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C75E93">
              <w:rPr>
                <w:rFonts w:ascii="Gadugi" w:eastAsia="Times New Roman" w:hAnsi="Gadugi" w:cstheme="majorHAnsi"/>
                <w:b/>
                <w:bCs/>
                <w:color w:val="000000"/>
                <w:sz w:val="18"/>
                <w:szCs w:val="18"/>
                <w:lang w:val="es-EC" w:eastAsia="es-EC"/>
              </w:rPr>
              <w:t>La gestión de cobranza coactiva, contempla la recuperación de dinero a través de diferentes métodos.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GESTIÓN DE COBRANZA COACTIVA</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Aplicación del acto administrativo de cobro, emisión de títulos de crédito</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315"/>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Gestión Persuasiva de Cobro</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315"/>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Gestión de la acción Coactiva</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Atención de Reclamos y Recursos</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Concesión de facilidades de pago (no tributario)</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315"/>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C75E93">
              <w:rPr>
                <w:rFonts w:ascii="Gadugi" w:eastAsia="Times New Roman" w:hAnsi="Gadugi" w:cstheme="majorHAnsi"/>
                <w:b/>
                <w:bCs/>
                <w:color w:val="000000"/>
                <w:sz w:val="18"/>
                <w:szCs w:val="18"/>
                <w:lang w:val="es-EC" w:eastAsia="es-EC"/>
              </w:rPr>
              <w:t>Habilitantes de Apoyo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C75E93">
              <w:rPr>
                <w:rFonts w:ascii="Gadugi" w:eastAsia="Times New Roman" w:hAnsi="Gadugi" w:cstheme="majorHAnsi"/>
                <w:b/>
                <w:bCs/>
                <w:color w:val="000000"/>
                <w:sz w:val="18"/>
                <w:szCs w:val="18"/>
                <w:lang w:val="es-EC" w:eastAsia="es-EC"/>
              </w:rPr>
              <w:t>La gestión de contabilidad, contempla el registro y control de las operaciones financieras que se llevan a cabo en el MDMQ.</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GESTIÓN DE CONTABILIDAD</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Gestión de Control Previo</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Ejecución de Registro contable (pagos, retenciones tributarias, etc.)</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126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Elaboración de Declaraciones de Impuestos (declaraciones de impuestos, elaboración de anexos transaccionales y a la solicitud de devolución del IVA</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Conciliación Contable</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Elaboración de la Conciliación Contable de Activos Fijos</w:t>
            </w:r>
          </w:p>
        </w:tc>
      </w:tr>
      <w:tr w:rsidR="00A16AB2" w:rsidRPr="00C75E93"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Elaboración de la Conciliación contable de Existencias Suministros y Materiales</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Elaboración de la Conciliación Presupuestaria</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Elaboración de la Conciliación de Recaudación</w:t>
            </w:r>
          </w:p>
        </w:tc>
      </w:tr>
      <w:tr w:rsidR="00A16AB2" w:rsidRPr="00C75E93" w:rsidTr="00A16AB2">
        <w:trPr>
          <w:trHeight w:val="315"/>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Depuración de Cuentas Contables</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Administración de Caja Chica y Fondos a Rendir a Cuentas</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315"/>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Administración de Archivo contable</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Gestión de Control y registro de fondos ajenos</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315"/>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Conciliación de Estados Financieros</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315"/>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Gestión de Deuda Pública</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C75E93">
              <w:rPr>
                <w:rFonts w:ascii="Gadugi" w:eastAsia="Times New Roman" w:hAnsi="Gadugi" w:cstheme="majorHAnsi"/>
                <w:b/>
                <w:bCs/>
                <w:color w:val="000000"/>
                <w:sz w:val="18"/>
                <w:szCs w:val="18"/>
                <w:lang w:val="es-EC" w:eastAsia="es-EC"/>
              </w:rPr>
              <w:t>Habilitantes de Apoyo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C75E93">
              <w:rPr>
                <w:rFonts w:ascii="Gadugi" w:eastAsia="Times New Roman" w:hAnsi="Gadugi" w:cstheme="majorHAnsi"/>
                <w:b/>
                <w:bCs/>
                <w:color w:val="000000"/>
                <w:sz w:val="18"/>
                <w:szCs w:val="18"/>
                <w:lang w:val="es-EC" w:eastAsia="es-EC"/>
              </w:rPr>
              <w:t xml:space="preserve">La gestión presupuestaria, contempla la administración de las previsiones para la ejecución de las actividades planificadas en el MDMQ,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GESTIÓN DE PRESUPUESTO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Programación Presupuestaria</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Preparación de proyección de ingresos y gastos, y definición de techos presupuestarios</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Presupuestación de la planificación operativa del MDMQ</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Elaboración de proforma presupuestaria</w:t>
            </w:r>
          </w:p>
        </w:tc>
      </w:tr>
      <w:tr w:rsidR="00A16AB2" w:rsidRPr="00C75E93" w:rsidTr="00A16AB2">
        <w:trPr>
          <w:trHeight w:val="315"/>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Ejecución Presupuestaria</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 xml:space="preserve">Evaluación, control y conciliación </w:t>
            </w:r>
            <w:r w:rsidRPr="00C75E93">
              <w:rPr>
                <w:rFonts w:ascii="Gadugi" w:eastAsia="Times New Roman" w:hAnsi="Gadugi" w:cstheme="majorHAnsi"/>
                <w:color w:val="000000"/>
                <w:sz w:val="18"/>
                <w:szCs w:val="18"/>
                <w:lang w:val="es-EC" w:eastAsia="es-EC"/>
              </w:rPr>
              <w:lastRenderedPageBreak/>
              <w:t>Presupuestaria</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lastRenderedPageBreak/>
              <w:t>Sin Subproceso</w:t>
            </w:r>
          </w:p>
        </w:tc>
      </w:tr>
      <w:tr w:rsidR="00A16AB2" w:rsidRPr="00C75E93" w:rsidTr="00A16AB2">
        <w:trPr>
          <w:trHeight w:val="315"/>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Liquidación Presupuestaria</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C75E93">
              <w:rPr>
                <w:rFonts w:ascii="Gadugi" w:eastAsia="Times New Roman" w:hAnsi="Gadugi" w:cstheme="majorHAnsi"/>
                <w:b/>
                <w:bCs/>
                <w:color w:val="000000"/>
                <w:sz w:val="18"/>
                <w:szCs w:val="18"/>
                <w:lang w:val="es-EC" w:eastAsia="es-EC"/>
              </w:rPr>
              <w:t>Habilitantes de Apoyo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C75E93">
              <w:rPr>
                <w:rFonts w:ascii="Gadugi" w:eastAsia="Times New Roman" w:hAnsi="Gadugi" w:cstheme="majorHAnsi"/>
                <w:b/>
                <w:bCs/>
                <w:color w:val="000000"/>
                <w:sz w:val="18"/>
                <w:szCs w:val="18"/>
                <w:lang w:val="es-EC" w:eastAsia="es-EC"/>
              </w:rPr>
              <w:t>El monitoreo y evaluación de la gestión financiera, contempla el análisis detallado de la situación financiera el MDMQ, que permitirá detectar situaciones no deseables y facilitando la toma de decisiones financieras.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MONITOREO Y EVALUACIÓN DE LA GESTIÓN FINANCIERA</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Gestión de análisis de resultados de gestión financiera</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Formulación y simulación de proyecciones financieras</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Identificación de propuestas de mejora financiera a implementar</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Análisis de riesgos financieros y definición de procesos de mejora continua</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126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Definición y/o redefinición de modelos de gestión financiera dirigidos a la sostenibilidad de la inversión en el largo plazo</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Seguimiento a la gestión presupuestaria, de contabilidad y tesorería de la administración central</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Provisión de información a los sistemas de monitoreo del MDMQ</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Sin Subproceso</w:t>
            </w:r>
          </w:p>
        </w:tc>
      </w:tr>
      <w:tr w:rsidR="00A16AB2" w:rsidRPr="00C75E93" w:rsidTr="00A16AB2">
        <w:trPr>
          <w:trHeight w:val="1260"/>
        </w:trPr>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jc w:val="center"/>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t xml:space="preserve">Evaluación de la efectividad y eficacia de las políticas, metodologías e </w:t>
            </w:r>
            <w:r w:rsidRPr="00C75E93">
              <w:rPr>
                <w:rFonts w:ascii="Gadugi" w:eastAsia="Times New Roman" w:hAnsi="Gadugi" w:cstheme="majorHAnsi"/>
                <w:color w:val="000000"/>
                <w:sz w:val="18"/>
                <w:szCs w:val="18"/>
                <w:lang w:val="es-EC" w:eastAsia="es-EC"/>
              </w:rPr>
              <w:lastRenderedPageBreak/>
              <w:t>instrumentos de gestión presupuestaria, contable y tesorería institucionales</w:t>
            </w:r>
          </w:p>
        </w:tc>
        <w:tc>
          <w:tcPr>
            <w:tcW w:w="0" w:type="auto"/>
            <w:tcBorders>
              <w:top w:val="nil"/>
              <w:left w:val="nil"/>
              <w:bottom w:val="single" w:sz="4" w:space="0" w:color="auto"/>
              <w:right w:val="single" w:sz="4" w:space="0" w:color="auto"/>
            </w:tcBorders>
            <w:shd w:val="clear" w:color="auto" w:fill="auto"/>
            <w:vAlign w:val="center"/>
            <w:hideMark/>
          </w:tcPr>
          <w:p w:rsidR="00A16AB2" w:rsidRPr="00C75E93" w:rsidRDefault="00A16AB2" w:rsidP="00A16AB2">
            <w:pPr>
              <w:spacing w:after="0" w:line="240" w:lineRule="auto"/>
              <w:rPr>
                <w:rFonts w:ascii="Gadugi" w:eastAsia="Times New Roman" w:hAnsi="Gadugi" w:cstheme="majorHAnsi"/>
                <w:color w:val="000000"/>
                <w:sz w:val="18"/>
                <w:szCs w:val="18"/>
                <w:lang w:val="es-EC" w:eastAsia="es-EC"/>
              </w:rPr>
            </w:pPr>
            <w:r w:rsidRPr="00C75E93">
              <w:rPr>
                <w:rFonts w:ascii="Gadugi" w:eastAsia="Times New Roman" w:hAnsi="Gadugi" w:cstheme="majorHAnsi"/>
                <w:color w:val="000000"/>
                <w:sz w:val="18"/>
                <w:szCs w:val="18"/>
                <w:lang w:val="es-EC" w:eastAsia="es-EC"/>
              </w:rPr>
              <w:lastRenderedPageBreak/>
              <w:t>Sin Subproceso</w:t>
            </w:r>
          </w:p>
        </w:tc>
      </w:tr>
    </w:tbl>
    <w:p w:rsidR="00721261" w:rsidRDefault="00721261" w:rsidP="008A0F89">
      <w:pPr>
        <w:spacing w:after="0" w:line="240" w:lineRule="auto"/>
        <w:jc w:val="center"/>
        <w:rPr>
          <w:rFonts w:ascii="Gadugi" w:hAnsi="Gadugi"/>
          <w:b/>
        </w:rPr>
      </w:pPr>
    </w:p>
    <w:p w:rsidR="00B718BB" w:rsidRPr="00C1652B" w:rsidRDefault="00B718BB" w:rsidP="008A0F89">
      <w:pPr>
        <w:spacing w:after="0" w:line="240" w:lineRule="auto"/>
        <w:jc w:val="center"/>
        <w:rPr>
          <w:rFonts w:ascii="Gadugi" w:hAnsi="Gadugi"/>
          <w:b/>
        </w:rPr>
      </w:pPr>
    </w:p>
    <w:p w:rsidR="00CC0045" w:rsidRPr="00B718BB" w:rsidRDefault="00CC0045" w:rsidP="007941B3">
      <w:pPr>
        <w:pStyle w:val="Prrafodelista"/>
        <w:numPr>
          <w:ilvl w:val="3"/>
          <w:numId w:val="6"/>
        </w:numPr>
        <w:jc w:val="both"/>
        <w:outlineLvl w:val="2"/>
        <w:rPr>
          <w:rFonts w:ascii="Gadugi" w:hAnsi="Gadugi"/>
          <w:b/>
          <w:sz w:val="20"/>
        </w:rPr>
      </w:pPr>
      <w:bookmarkStart w:id="15" w:name="_Toc483474896"/>
      <w:r w:rsidRPr="00B718BB">
        <w:rPr>
          <w:rFonts w:ascii="Gadugi" w:hAnsi="Gadugi"/>
          <w:b/>
          <w:sz w:val="20"/>
        </w:rPr>
        <w:t>Análisis del Pilar: Comunicación</w:t>
      </w:r>
      <w:bookmarkEnd w:id="15"/>
    </w:p>
    <w:p w:rsidR="008A0F89" w:rsidRPr="00C1652B" w:rsidRDefault="008A0F89" w:rsidP="008A0F89">
      <w:pPr>
        <w:jc w:val="center"/>
        <w:rPr>
          <w:rFonts w:ascii="Gadugi" w:hAnsi="Gadugi"/>
          <w:b/>
        </w:rPr>
      </w:pPr>
      <w:r w:rsidRPr="00C1652B">
        <w:rPr>
          <w:rFonts w:ascii="Gadugi" w:hAnsi="Gadugi"/>
          <w:noProof/>
          <w:lang w:val="es-EC" w:eastAsia="es-EC"/>
        </w:rPr>
        <w:drawing>
          <wp:inline distT="0" distB="0" distL="0" distR="0" wp14:anchorId="321242CD" wp14:editId="4B04865C">
            <wp:extent cx="4019550" cy="1943695"/>
            <wp:effectExtent l="76200" t="76200" r="133350" b="13335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177" t="18442" r="37545" b="43477"/>
                    <a:stretch/>
                  </pic:blipFill>
                  <pic:spPr bwMode="auto">
                    <a:xfrm>
                      <a:off x="0" y="0"/>
                      <a:ext cx="4036430" cy="19518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1652B" w:rsidRDefault="00C1652B" w:rsidP="00B718BB">
      <w:pPr>
        <w:pStyle w:val="Sinespaciado"/>
      </w:pPr>
    </w:p>
    <w:p w:rsidR="008A0F89" w:rsidRPr="00B718BB" w:rsidRDefault="008A0F89" w:rsidP="008A0F89">
      <w:pPr>
        <w:rPr>
          <w:rFonts w:ascii="Gadugi" w:hAnsi="Gadugi"/>
          <w:sz w:val="20"/>
        </w:rPr>
      </w:pPr>
      <w:r w:rsidRPr="00B718BB">
        <w:rPr>
          <w:rFonts w:ascii="Gadugi" w:hAnsi="Gadugi"/>
          <w:sz w:val="20"/>
        </w:rPr>
        <w:t>En función del análisis anterior, se presenta el catálogo de procesos particular para este eje:</w:t>
      </w:r>
    </w:p>
    <w:tbl>
      <w:tblPr>
        <w:tblW w:w="0" w:type="auto"/>
        <w:tblInd w:w="10" w:type="dxa"/>
        <w:tblCellMar>
          <w:left w:w="70" w:type="dxa"/>
          <w:right w:w="70" w:type="dxa"/>
        </w:tblCellMar>
        <w:tblLook w:val="04A0" w:firstRow="1" w:lastRow="0" w:firstColumn="1" w:lastColumn="0" w:noHBand="0" w:noVBand="1"/>
      </w:tblPr>
      <w:tblGrid>
        <w:gridCol w:w="1767"/>
        <w:gridCol w:w="1193"/>
        <w:gridCol w:w="2152"/>
        <w:gridCol w:w="1580"/>
        <w:gridCol w:w="1706"/>
        <w:gridCol w:w="1370"/>
      </w:tblGrid>
      <w:tr w:rsidR="00A16AB2" w:rsidRPr="00B718BB" w:rsidTr="00177AD2">
        <w:trPr>
          <w:cantSplit/>
          <w:trHeight w:val="510"/>
          <w:tblHeader/>
        </w:trPr>
        <w:tc>
          <w:tcPr>
            <w:tcW w:w="0" w:type="auto"/>
            <w:gridSpan w:val="6"/>
            <w:tcBorders>
              <w:top w:val="nil"/>
              <w:left w:val="nil"/>
              <w:bottom w:val="nil"/>
              <w:right w:val="nil"/>
            </w:tcBorders>
            <w:shd w:val="clear" w:color="auto" w:fill="222A35" w:themeFill="text2" w:themeFillShade="80"/>
            <w:vAlign w:val="center"/>
            <w:hideMark/>
          </w:tcPr>
          <w:p w:rsidR="00A16AB2" w:rsidRPr="00B718BB"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B718BB">
              <w:rPr>
                <w:rFonts w:ascii="Gadugi" w:eastAsia="Times New Roman" w:hAnsi="Gadugi" w:cstheme="majorHAnsi"/>
                <w:b/>
                <w:bCs/>
                <w:color w:val="FFFFFF"/>
                <w:sz w:val="18"/>
                <w:szCs w:val="18"/>
                <w:shd w:val="clear" w:color="auto" w:fill="1F3864" w:themeFill="accent5" w:themeFillShade="80"/>
                <w:lang w:val="es-EC" w:eastAsia="es-EC"/>
              </w:rPr>
              <w:t>CATÁLOGO DE PROCESOS</w:t>
            </w:r>
            <w:r w:rsidRPr="00B718BB">
              <w:rPr>
                <w:rFonts w:ascii="Gadugi" w:eastAsia="Times New Roman" w:hAnsi="Gadugi" w:cstheme="majorHAnsi"/>
                <w:b/>
                <w:bCs/>
                <w:color w:val="FFFFFF"/>
                <w:sz w:val="18"/>
                <w:szCs w:val="18"/>
                <w:lang w:val="es-EC" w:eastAsia="es-EC"/>
              </w:rPr>
              <w:t xml:space="preserve"> CORRESPONDIENTES A COMUNICACIÓN</w:t>
            </w:r>
          </w:p>
        </w:tc>
      </w:tr>
      <w:tr w:rsidR="00A16AB2" w:rsidRPr="00B718BB" w:rsidTr="00B718BB">
        <w:trPr>
          <w:cantSplit/>
          <w:trHeight w:val="75"/>
          <w:tblHeader/>
        </w:trPr>
        <w:tc>
          <w:tcPr>
            <w:tcW w:w="0" w:type="auto"/>
            <w:tcBorders>
              <w:top w:val="nil"/>
              <w:left w:val="nil"/>
              <w:bottom w:val="nil"/>
              <w:right w:val="nil"/>
            </w:tcBorders>
            <w:shd w:val="clear" w:color="000000" w:fill="FFFFFF"/>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B718BB">
              <w:rPr>
                <w:rFonts w:ascii="Gadugi" w:eastAsia="Times New Roman" w:hAnsi="Gadugi" w:cstheme="majorHAnsi"/>
                <w:b/>
                <w:bCs/>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 </w:t>
            </w:r>
          </w:p>
        </w:tc>
      </w:tr>
      <w:tr w:rsidR="00A16AB2" w:rsidRPr="00B718BB" w:rsidTr="00177AD2">
        <w:trPr>
          <w:cantSplit/>
          <w:trHeight w:val="630"/>
          <w:tblHeader/>
        </w:trPr>
        <w:tc>
          <w:tcPr>
            <w:tcW w:w="0" w:type="auto"/>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A16AB2" w:rsidRPr="00B718BB"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B718BB">
              <w:rPr>
                <w:rFonts w:ascii="Gadugi" w:eastAsia="Times New Roman" w:hAnsi="Gadugi" w:cstheme="majorHAnsi"/>
                <w:b/>
                <w:bCs/>
                <w:color w:val="FFFFFF"/>
                <w:sz w:val="18"/>
                <w:szCs w:val="18"/>
                <w:lang w:val="es-EC" w:eastAsia="es-EC"/>
              </w:rPr>
              <w:t>DUEÑO DEL PROCESO</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A16AB2" w:rsidRPr="00B718BB"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B718BB">
              <w:rPr>
                <w:rFonts w:ascii="Gadugi" w:eastAsia="Times New Roman" w:hAnsi="Gadugi" w:cstheme="majorHAnsi"/>
                <w:b/>
                <w:bCs/>
                <w:color w:val="FFFFFF"/>
                <w:sz w:val="18"/>
                <w:szCs w:val="18"/>
                <w:lang w:val="es-EC" w:eastAsia="es-EC"/>
              </w:rPr>
              <w:t>TIPO DE PROCESO</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A16AB2" w:rsidRPr="00B718BB"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B718BB">
              <w:rPr>
                <w:rFonts w:ascii="Gadugi" w:eastAsia="Times New Roman" w:hAnsi="Gadugi" w:cstheme="majorHAnsi"/>
                <w:b/>
                <w:bCs/>
                <w:color w:val="FFFFFF"/>
                <w:sz w:val="18"/>
                <w:szCs w:val="18"/>
                <w:lang w:val="es-EC" w:eastAsia="es-EC"/>
              </w:rPr>
              <w:t>DESCRIPCIÓN MACRO-PROCESO</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A16AB2" w:rsidRPr="00B718BB"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B718BB">
              <w:rPr>
                <w:rFonts w:ascii="Gadugi" w:eastAsia="Times New Roman" w:hAnsi="Gadugi" w:cstheme="majorHAnsi"/>
                <w:b/>
                <w:bCs/>
                <w:color w:val="FFFFFF"/>
                <w:sz w:val="18"/>
                <w:szCs w:val="18"/>
                <w:lang w:val="es-EC" w:eastAsia="es-EC"/>
              </w:rPr>
              <w:t>MACRO-PROCESO</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A16AB2" w:rsidRPr="00B718BB"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B718BB">
              <w:rPr>
                <w:rFonts w:ascii="Gadugi" w:eastAsia="Times New Roman" w:hAnsi="Gadugi" w:cstheme="majorHAnsi"/>
                <w:b/>
                <w:bCs/>
                <w:color w:val="FFFFFF"/>
                <w:sz w:val="18"/>
                <w:szCs w:val="18"/>
                <w:lang w:val="es-EC" w:eastAsia="es-EC"/>
              </w:rPr>
              <w:t>PROCESOS</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A16AB2" w:rsidRPr="00B718BB"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B718BB">
              <w:rPr>
                <w:rFonts w:ascii="Gadugi" w:eastAsia="Times New Roman" w:hAnsi="Gadugi" w:cstheme="majorHAnsi"/>
                <w:b/>
                <w:bCs/>
                <w:color w:val="FFFFFF"/>
                <w:sz w:val="18"/>
                <w:szCs w:val="18"/>
                <w:lang w:val="es-EC" w:eastAsia="es-EC"/>
              </w:rPr>
              <w:t>SUBPROCESO</w:t>
            </w:r>
          </w:p>
        </w:tc>
      </w:tr>
      <w:tr w:rsidR="00A16AB2" w:rsidRPr="00B718BB" w:rsidTr="00A16AB2">
        <w:trPr>
          <w:trHeight w:val="945"/>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B718BB">
              <w:rPr>
                <w:rFonts w:ascii="Gadugi" w:eastAsia="Times New Roman" w:hAnsi="Gadugi" w:cstheme="majorHAnsi"/>
                <w:b/>
                <w:bCs/>
                <w:color w:val="000000"/>
                <w:sz w:val="18"/>
                <w:szCs w:val="18"/>
                <w:lang w:val="es-EC" w:eastAsia="es-EC"/>
              </w:rPr>
              <w:t>SECRETARÍA DE COMUNICACIÓN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B718BB">
              <w:rPr>
                <w:rFonts w:ascii="Gadugi" w:eastAsia="Times New Roman" w:hAnsi="Gadugi" w:cstheme="majorHAnsi"/>
                <w:b/>
                <w:bCs/>
                <w:color w:val="000000"/>
                <w:sz w:val="18"/>
                <w:szCs w:val="18"/>
                <w:lang w:val="es-EC" w:eastAsia="es-EC"/>
              </w:rPr>
              <w:t>Habilitantes de Asesoría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B718BB">
              <w:rPr>
                <w:rFonts w:ascii="Gadugi" w:eastAsia="Times New Roman" w:hAnsi="Gadugi" w:cstheme="majorHAnsi"/>
                <w:b/>
                <w:bCs/>
                <w:color w:val="000000"/>
                <w:sz w:val="18"/>
                <w:szCs w:val="18"/>
                <w:lang w:val="es-EC" w:eastAsia="es-EC"/>
              </w:rPr>
              <w:t>Corresponde a la administración de contenidos comunicacionales y la gestión de la comunicación institucional por sus distintas vías y para sus distintos fines.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GESTIÓN DE LA COMUNICACIÓN DEL MDMQ</w:t>
            </w: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Generación de contenidos comunicacionales</w:t>
            </w: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Sin Subproceso</w:t>
            </w:r>
          </w:p>
        </w:tc>
      </w:tr>
      <w:tr w:rsidR="00A16AB2" w:rsidRPr="00B718BB"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Producción de contenidos comunicacionales</w:t>
            </w: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Sin Subproceso</w:t>
            </w:r>
          </w:p>
        </w:tc>
      </w:tr>
      <w:tr w:rsidR="00A16AB2" w:rsidRPr="00B718BB"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Difusión de contenidos comunicacionales</w:t>
            </w: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Difusión por Medios de comunicación propios</w:t>
            </w:r>
          </w:p>
        </w:tc>
      </w:tr>
      <w:tr w:rsidR="00A16AB2" w:rsidRPr="00B718BB"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Difusión por Medios de comunicación Ajenos</w:t>
            </w:r>
          </w:p>
        </w:tc>
      </w:tr>
      <w:tr w:rsidR="00A16AB2" w:rsidRPr="00B718BB"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Monitoreo de Medios de comunicación</w:t>
            </w: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Sin Subproceso</w:t>
            </w:r>
          </w:p>
        </w:tc>
      </w:tr>
      <w:tr w:rsidR="00A16AB2" w:rsidRPr="00B718BB"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Coordinación de la Comunicación Institucional</w:t>
            </w: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Sin Subproceso</w:t>
            </w:r>
          </w:p>
        </w:tc>
      </w:tr>
      <w:tr w:rsidR="00A16AB2" w:rsidRPr="00B718BB"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Gestión de la Comunicación Política</w:t>
            </w: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Sin Subproceso</w:t>
            </w:r>
          </w:p>
        </w:tc>
      </w:tr>
      <w:tr w:rsidR="00A16AB2" w:rsidRPr="00B718BB"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Gestión de la Comunicación en situaciones de crisis</w:t>
            </w: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Sin Subproceso</w:t>
            </w:r>
          </w:p>
        </w:tc>
      </w:tr>
      <w:tr w:rsidR="00A16AB2" w:rsidRPr="00B718BB"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B718BB">
              <w:rPr>
                <w:rFonts w:ascii="Gadugi" w:eastAsia="Times New Roman" w:hAnsi="Gadugi" w:cstheme="majorHAnsi"/>
                <w:b/>
                <w:bCs/>
                <w:color w:val="000000"/>
                <w:sz w:val="18"/>
                <w:szCs w:val="18"/>
                <w:lang w:val="es-EC" w:eastAsia="es-EC"/>
              </w:rPr>
              <w:t>Habilitantes de Asesoría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B718BB">
              <w:rPr>
                <w:rFonts w:ascii="Gadugi" w:eastAsia="Times New Roman" w:hAnsi="Gadugi" w:cstheme="majorHAnsi"/>
                <w:b/>
                <w:bCs/>
                <w:color w:val="000000"/>
                <w:sz w:val="18"/>
                <w:szCs w:val="18"/>
                <w:lang w:val="es-EC" w:eastAsia="es-EC"/>
              </w:rPr>
              <w:t>Corresponde a la formulación de estrategias de comunicación y campañas publicitarias, abarca la ejecución de campañas comunicacionales estratégicas de la institución y se enfoca en el fortalecimiento de la imagen del MDMQ.</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GESTIÓN DE LA IMAGEN INSTITUCIONAL</w:t>
            </w: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Generación e Imagen Institucional</w:t>
            </w: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Sin Subproceso</w:t>
            </w:r>
          </w:p>
        </w:tc>
      </w:tr>
      <w:tr w:rsidR="00A16AB2" w:rsidRPr="00B718BB"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Difusión de la Imagen Institucional</w:t>
            </w: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Sin Subproceso</w:t>
            </w:r>
          </w:p>
        </w:tc>
      </w:tr>
      <w:tr w:rsidR="00A16AB2" w:rsidRPr="00B718BB"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Control de la Imagen Institucional</w:t>
            </w: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Sin Subproceso</w:t>
            </w:r>
          </w:p>
        </w:tc>
      </w:tr>
      <w:tr w:rsidR="00A16AB2" w:rsidRPr="00B718BB" w:rsidTr="00A16AB2">
        <w:trPr>
          <w:trHeight w:val="1260"/>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B718BB">
              <w:rPr>
                <w:rFonts w:ascii="Gadugi" w:eastAsia="Times New Roman" w:hAnsi="Gadugi" w:cstheme="majorHAnsi"/>
                <w:b/>
                <w:bCs/>
                <w:color w:val="000000"/>
                <w:sz w:val="18"/>
                <w:szCs w:val="18"/>
                <w:lang w:val="es-EC" w:eastAsia="es-EC"/>
              </w:rPr>
              <w:t>CORPORACIÓN INSTITUTO DE LA CIUDAD</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B718BB"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B718BB">
              <w:rPr>
                <w:rFonts w:ascii="Gadugi" w:eastAsia="Times New Roman" w:hAnsi="Gadugi" w:cstheme="majorHAnsi"/>
                <w:b/>
                <w:bCs/>
                <w:color w:val="000000"/>
                <w:sz w:val="18"/>
                <w:szCs w:val="18"/>
                <w:lang w:val="es-EC" w:eastAsia="es-EC"/>
              </w:rPr>
              <w:t>Habilitantes de Apoyo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B718BB">
              <w:rPr>
                <w:rFonts w:ascii="Gadugi" w:eastAsia="Times New Roman" w:hAnsi="Gadugi" w:cstheme="majorHAnsi"/>
                <w:b/>
                <w:bCs/>
                <w:color w:val="000000"/>
                <w:sz w:val="18"/>
                <w:szCs w:val="18"/>
                <w:lang w:val="es-EC" w:eastAsia="es-EC"/>
              </w:rPr>
              <w:t>La gestión de la red de comunicación, permite administrar la información dispuesta en la página web del Instituto de la Ciudad, hasta la emisión de información relacionada con la investigación científica del DMQ.</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GESTIÓN DE LA RED DE COMUNICACIÓN</w:t>
            </w: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Actualización de contenidos de página web del Instituto de la Ciudad</w:t>
            </w:r>
          </w:p>
        </w:tc>
        <w:tc>
          <w:tcPr>
            <w:tcW w:w="0" w:type="auto"/>
            <w:tcBorders>
              <w:top w:val="nil"/>
              <w:left w:val="nil"/>
              <w:bottom w:val="single" w:sz="4" w:space="0" w:color="auto"/>
              <w:right w:val="single" w:sz="4" w:space="0" w:color="auto"/>
            </w:tcBorders>
            <w:shd w:val="clear" w:color="auto" w:fill="auto"/>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Sin Subproceso</w:t>
            </w:r>
          </w:p>
        </w:tc>
      </w:tr>
      <w:tr w:rsidR="00A16AB2" w:rsidRPr="00B718BB" w:rsidTr="00A16AB2">
        <w:trPr>
          <w:trHeight w:val="1575"/>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Gestión de pedidos de información relacionada con la investigación científica del DMQ</w:t>
            </w:r>
          </w:p>
        </w:tc>
        <w:tc>
          <w:tcPr>
            <w:tcW w:w="0" w:type="auto"/>
            <w:tcBorders>
              <w:top w:val="nil"/>
              <w:left w:val="nil"/>
              <w:bottom w:val="single" w:sz="4" w:space="0" w:color="auto"/>
              <w:right w:val="single" w:sz="4" w:space="0" w:color="auto"/>
            </w:tcBorders>
            <w:shd w:val="clear" w:color="auto" w:fill="auto"/>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Sin Subproceso</w:t>
            </w:r>
          </w:p>
        </w:tc>
      </w:tr>
      <w:tr w:rsidR="00A16AB2" w:rsidRPr="00B718BB" w:rsidTr="00A16AB2">
        <w:trPr>
          <w:trHeight w:val="945"/>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b/>
                <w:bCs/>
                <w:sz w:val="18"/>
                <w:szCs w:val="18"/>
                <w:lang w:val="es-EC" w:eastAsia="es-EC"/>
              </w:rPr>
            </w:pPr>
            <w:r w:rsidRPr="00B718BB">
              <w:rPr>
                <w:rFonts w:ascii="Gadugi" w:eastAsia="Times New Roman" w:hAnsi="Gadugi" w:cstheme="majorHAnsi"/>
                <w:b/>
                <w:bCs/>
                <w:sz w:val="18"/>
                <w:szCs w:val="18"/>
                <w:lang w:val="es-EC" w:eastAsia="es-EC"/>
              </w:rPr>
              <w:t xml:space="preserve">DIRECCIÓN METROPOLITANA DE SERVICIOS </w:t>
            </w:r>
            <w:r w:rsidRPr="00B718BB">
              <w:rPr>
                <w:rFonts w:ascii="Gadugi" w:eastAsia="Times New Roman" w:hAnsi="Gadugi" w:cstheme="majorHAnsi"/>
                <w:b/>
                <w:bCs/>
                <w:sz w:val="18"/>
                <w:szCs w:val="18"/>
                <w:lang w:val="es-EC" w:eastAsia="es-EC"/>
              </w:rPr>
              <w:lastRenderedPageBreak/>
              <w:t>CIUDADANOS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b/>
                <w:bCs/>
                <w:sz w:val="18"/>
                <w:szCs w:val="18"/>
                <w:lang w:val="es-EC" w:eastAsia="es-EC"/>
              </w:rPr>
            </w:pPr>
            <w:r w:rsidRPr="00B718BB">
              <w:rPr>
                <w:rFonts w:ascii="Gadugi" w:eastAsia="Times New Roman" w:hAnsi="Gadugi" w:cstheme="majorHAnsi"/>
                <w:b/>
                <w:bCs/>
                <w:sz w:val="18"/>
                <w:szCs w:val="18"/>
                <w:lang w:val="es-EC" w:eastAsia="es-EC"/>
              </w:rPr>
              <w:lastRenderedPageBreak/>
              <w:t>Habilitantes de apoyo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b/>
                <w:bCs/>
                <w:sz w:val="18"/>
                <w:szCs w:val="18"/>
                <w:lang w:val="es-EC" w:eastAsia="es-EC"/>
              </w:rPr>
            </w:pPr>
            <w:r w:rsidRPr="00B718BB">
              <w:rPr>
                <w:rFonts w:ascii="Gadugi" w:eastAsia="Times New Roman" w:hAnsi="Gadugi" w:cstheme="majorHAnsi"/>
                <w:b/>
                <w:bCs/>
                <w:sz w:val="18"/>
                <w:szCs w:val="18"/>
                <w:lang w:val="es-EC" w:eastAsia="es-EC"/>
              </w:rPr>
              <w:t xml:space="preserve">La gestión de la información y trámites, consiste en la </w:t>
            </w:r>
            <w:r w:rsidRPr="00B718BB">
              <w:rPr>
                <w:rFonts w:ascii="Gadugi" w:eastAsia="Times New Roman" w:hAnsi="Gadugi" w:cstheme="majorHAnsi"/>
                <w:b/>
                <w:bCs/>
                <w:sz w:val="18"/>
                <w:szCs w:val="18"/>
                <w:lang w:val="es-EC" w:eastAsia="es-EC"/>
              </w:rPr>
              <w:lastRenderedPageBreak/>
              <w:t>administración de la información de consulta de servicios a través de diferentes medios de comunicación.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sz w:val="18"/>
                <w:szCs w:val="18"/>
                <w:lang w:val="es-EC" w:eastAsia="es-EC"/>
              </w:rPr>
            </w:pPr>
            <w:r w:rsidRPr="00B718BB">
              <w:rPr>
                <w:rFonts w:ascii="Gadugi" w:eastAsia="Times New Roman" w:hAnsi="Gadugi" w:cstheme="majorHAnsi"/>
                <w:sz w:val="18"/>
                <w:szCs w:val="18"/>
                <w:lang w:val="es-EC" w:eastAsia="es-EC"/>
              </w:rPr>
              <w:lastRenderedPageBreak/>
              <w:t>GESTIÓN DE LA INFORMACIÓN Y TRÁMITES</w:t>
            </w: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sz w:val="18"/>
                <w:szCs w:val="18"/>
                <w:lang w:val="es-EC" w:eastAsia="es-EC"/>
              </w:rPr>
            </w:pPr>
            <w:r w:rsidRPr="00B718BB">
              <w:rPr>
                <w:rFonts w:ascii="Gadugi" w:eastAsia="Times New Roman" w:hAnsi="Gadugi" w:cstheme="majorHAnsi"/>
                <w:sz w:val="18"/>
                <w:szCs w:val="18"/>
                <w:lang w:val="es-EC" w:eastAsia="es-EC"/>
              </w:rPr>
              <w:t>Administración del Contact Center</w:t>
            </w: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Sin Subproceso</w:t>
            </w:r>
          </w:p>
        </w:tc>
      </w:tr>
      <w:tr w:rsidR="00A16AB2" w:rsidRPr="00B718BB"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sz w:val="18"/>
                <w:szCs w:val="18"/>
                <w:lang w:val="es-EC" w:eastAsia="es-EC"/>
              </w:rPr>
            </w:pP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sz w:val="18"/>
                <w:szCs w:val="18"/>
                <w:lang w:val="es-EC" w:eastAsia="es-EC"/>
              </w:rPr>
            </w:pPr>
            <w:r w:rsidRPr="00B718BB">
              <w:rPr>
                <w:rFonts w:ascii="Gadugi" w:eastAsia="Times New Roman" w:hAnsi="Gadugi" w:cstheme="majorHAnsi"/>
                <w:sz w:val="18"/>
                <w:szCs w:val="18"/>
                <w:lang w:val="es-EC" w:eastAsia="es-EC"/>
              </w:rPr>
              <w:t>Administración de Redes Sociales</w:t>
            </w: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Sin Subproceso</w:t>
            </w:r>
          </w:p>
        </w:tc>
      </w:tr>
      <w:tr w:rsidR="00A16AB2" w:rsidRPr="00B718BB" w:rsidTr="00A16AB2">
        <w:trPr>
          <w:trHeight w:val="1260"/>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sz w:val="18"/>
                <w:szCs w:val="18"/>
                <w:lang w:val="es-EC" w:eastAsia="es-EC"/>
              </w:rPr>
            </w:pP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sz w:val="18"/>
                <w:szCs w:val="18"/>
                <w:lang w:val="es-EC" w:eastAsia="es-EC"/>
              </w:rPr>
            </w:pPr>
            <w:r w:rsidRPr="00B718BB">
              <w:rPr>
                <w:rFonts w:ascii="Gadugi" w:eastAsia="Times New Roman" w:hAnsi="Gadugi" w:cstheme="majorHAnsi"/>
                <w:sz w:val="18"/>
                <w:szCs w:val="18"/>
                <w:lang w:val="es-EC" w:eastAsia="es-EC"/>
              </w:rPr>
              <w:t>Administración de la consulta de obligaciones a través del portal PAM</w:t>
            </w: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Sin Subproceso</w:t>
            </w:r>
          </w:p>
        </w:tc>
      </w:tr>
    </w:tbl>
    <w:p w:rsidR="00C1652B" w:rsidRPr="00B718BB" w:rsidRDefault="00C1652B" w:rsidP="00C1652B">
      <w:pPr>
        <w:jc w:val="both"/>
        <w:outlineLvl w:val="2"/>
        <w:rPr>
          <w:rFonts w:ascii="Gadugi" w:hAnsi="Gadugi"/>
          <w:b/>
          <w:sz w:val="18"/>
        </w:rPr>
      </w:pPr>
    </w:p>
    <w:p w:rsidR="00CC0045" w:rsidRPr="00B718BB" w:rsidRDefault="00CC0045" w:rsidP="007941B3">
      <w:pPr>
        <w:pStyle w:val="Prrafodelista"/>
        <w:numPr>
          <w:ilvl w:val="3"/>
          <w:numId w:val="6"/>
        </w:numPr>
        <w:jc w:val="both"/>
        <w:outlineLvl w:val="2"/>
        <w:rPr>
          <w:rFonts w:ascii="Gadugi" w:hAnsi="Gadugi"/>
          <w:b/>
          <w:sz w:val="20"/>
        </w:rPr>
      </w:pPr>
      <w:bookmarkStart w:id="16" w:name="_Toc483474897"/>
      <w:r w:rsidRPr="00B718BB">
        <w:rPr>
          <w:rFonts w:ascii="Gadugi" w:hAnsi="Gadugi"/>
          <w:b/>
          <w:sz w:val="20"/>
        </w:rPr>
        <w:t>Análisis del Pilar: Gestión Interna</w:t>
      </w:r>
      <w:bookmarkEnd w:id="16"/>
    </w:p>
    <w:p w:rsidR="00AE77C6" w:rsidRPr="00C1652B" w:rsidRDefault="00A16AB2" w:rsidP="00A16AB2">
      <w:pPr>
        <w:jc w:val="center"/>
        <w:rPr>
          <w:rFonts w:ascii="Gadugi" w:hAnsi="Gadugi"/>
          <w:sz w:val="24"/>
        </w:rPr>
      </w:pPr>
      <w:r w:rsidRPr="00C1652B">
        <w:rPr>
          <w:rFonts w:ascii="Gadugi" w:hAnsi="Gadugi"/>
          <w:noProof/>
          <w:sz w:val="24"/>
          <w:lang w:val="es-EC" w:eastAsia="es-EC"/>
        </w:rPr>
        <w:drawing>
          <wp:inline distT="0" distB="0" distL="0" distR="0" wp14:anchorId="136479B1" wp14:editId="109D294F">
            <wp:extent cx="5247564" cy="2681768"/>
            <wp:effectExtent l="76200" t="76200" r="125095" b="13779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178" t="18641" r="15483" b="21062"/>
                    <a:stretch/>
                  </pic:blipFill>
                  <pic:spPr bwMode="auto">
                    <a:xfrm>
                      <a:off x="0" y="0"/>
                      <a:ext cx="5262923" cy="26896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1652B" w:rsidRDefault="00C1652B" w:rsidP="00B718BB">
      <w:pPr>
        <w:pStyle w:val="Sinespaciado"/>
      </w:pPr>
    </w:p>
    <w:p w:rsidR="00B718BB" w:rsidRDefault="00B718BB" w:rsidP="00B718BB">
      <w:pPr>
        <w:pStyle w:val="Sinespaciado"/>
      </w:pPr>
    </w:p>
    <w:p w:rsidR="00B718BB" w:rsidRDefault="00B718BB" w:rsidP="00B718BB">
      <w:pPr>
        <w:pStyle w:val="Sinespaciado"/>
      </w:pPr>
    </w:p>
    <w:p w:rsidR="00B718BB" w:rsidRDefault="00B718BB" w:rsidP="00B718BB">
      <w:pPr>
        <w:pStyle w:val="Sinespaciado"/>
      </w:pPr>
    </w:p>
    <w:p w:rsidR="00B718BB" w:rsidRDefault="00B718BB" w:rsidP="00B718BB">
      <w:pPr>
        <w:pStyle w:val="Sinespaciado"/>
      </w:pPr>
    </w:p>
    <w:p w:rsidR="00B718BB" w:rsidRDefault="00B718BB" w:rsidP="00B718BB">
      <w:pPr>
        <w:pStyle w:val="Sinespaciado"/>
      </w:pPr>
    </w:p>
    <w:p w:rsidR="00B718BB" w:rsidRDefault="00B718BB" w:rsidP="00B718BB">
      <w:pPr>
        <w:pStyle w:val="Sinespaciado"/>
      </w:pPr>
    </w:p>
    <w:p w:rsidR="00B718BB" w:rsidRDefault="00B718BB" w:rsidP="00B718BB">
      <w:pPr>
        <w:pStyle w:val="Sinespaciado"/>
      </w:pPr>
    </w:p>
    <w:p w:rsidR="00B718BB" w:rsidRDefault="00B718BB" w:rsidP="00B718BB">
      <w:pPr>
        <w:pStyle w:val="Sinespaciado"/>
      </w:pPr>
    </w:p>
    <w:p w:rsidR="00B718BB" w:rsidRDefault="00B718BB" w:rsidP="00B718BB">
      <w:pPr>
        <w:pStyle w:val="Sinespaciado"/>
      </w:pPr>
    </w:p>
    <w:p w:rsidR="00B718BB" w:rsidRDefault="00B718BB" w:rsidP="00B718BB">
      <w:pPr>
        <w:pStyle w:val="Sinespaciado"/>
      </w:pPr>
    </w:p>
    <w:p w:rsidR="00B718BB" w:rsidRDefault="00B718BB" w:rsidP="00B718BB">
      <w:pPr>
        <w:pStyle w:val="Sinespaciado"/>
      </w:pPr>
    </w:p>
    <w:p w:rsidR="00B718BB" w:rsidRDefault="00B718BB" w:rsidP="00B718BB">
      <w:pPr>
        <w:pStyle w:val="Sinespaciado"/>
      </w:pPr>
    </w:p>
    <w:p w:rsidR="00A16AB2" w:rsidRPr="00B718BB" w:rsidRDefault="00A16AB2" w:rsidP="00A16AB2">
      <w:pPr>
        <w:rPr>
          <w:rFonts w:ascii="Gadugi" w:hAnsi="Gadugi"/>
          <w:sz w:val="20"/>
        </w:rPr>
      </w:pPr>
      <w:r w:rsidRPr="00B718BB">
        <w:rPr>
          <w:rFonts w:ascii="Gadugi" w:hAnsi="Gadugi"/>
          <w:sz w:val="20"/>
        </w:rPr>
        <w:lastRenderedPageBreak/>
        <w:t>En función del análisis anterior, se presenta el catálogo de procesos particular para este eje:</w:t>
      </w:r>
    </w:p>
    <w:tbl>
      <w:tblPr>
        <w:tblW w:w="0" w:type="auto"/>
        <w:tblInd w:w="10" w:type="dxa"/>
        <w:tblCellMar>
          <w:left w:w="70" w:type="dxa"/>
          <w:right w:w="70" w:type="dxa"/>
        </w:tblCellMar>
        <w:tblLook w:val="04A0" w:firstRow="1" w:lastRow="0" w:firstColumn="1" w:lastColumn="0" w:noHBand="0" w:noVBand="1"/>
      </w:tblPr>
      <w:tblGrid>
        <w:gridCol w:w="1582"/>
        <w:gridCol w:w="1195"/>
        <w:gridCol w:w="2107"/>
        <w:gridCol w:w="1763"/>
        <w:gridCol w:w="1420"/>
        <w:gridCol w:w="1701"/>
      </w:tblGrid>
      <w:tr w:rsidR="00A16AB2" w:rsidRPr="00B718BB" w:rsidTr="00177AD2">
        <w:trPr>
          <w:trHeight w:val="510"/>
          <w:tblHeader/>
        </w:trPr>
        <w:tc>
          <w:tcPr>
            <w:tcW w:w="0" w:type="auto"/>
            <w:gridSpan w:val="6"/>
            <w:tcBorders>
              <w:top w:val="nil"/>
              <w:left w:val="nil"/>
              <w:bottom w:val="nil"/>
              <w:right w:val="nil"/>
            </w:tcBorders>
            <w:shd w:val="clear" w:color="auto" w:fill="222A35" w:themeFill="text2" w:themeFillShade="80"/>
            <w:vAlign w:val="center"/>
            <w:hideMark/>
          </w:tcPr>
          <w:p w:rsidR="00A16AB2" w:rsidRPr="00B718BB"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B718BB">
              <w:rPr>
                <w:rFonts w:ascii="Gadugi" w:eastAsia="Times New Roman" w:hAnsi="Gadugi" w:cstheme="majorHAnsi"/>
                <w:b/>
                <w:bCs/>
                <w:color w:val="FFFFFF"/>
                <w:sz w:val="18"/>
                <w:szCs w:val="18"/>
                <w:lang w:val="es-EC" w:eastAsia="es-EC"/>
              </w:rPr>
              <w:t>CATÁLOGO DE PROCESOS CORRESPONDIENTES A GESTIÓN INTERNA</w:t>
            </w:r>
          </w:p>
        </w:tc>
      </w:tr>
      <w:tr w:rsidR="00A16AB2" w:rsidRPr="00B718BB" w:rsidTr="00B718BB">
        <w:trPr>
          <w:trHeight w:val="315"/>
          <w:tblHeader/>
        </w:trPr>
        <w:tc>
          <w:tcPr>
            <w:tcW w:w="0" w:type="auto"/>
            <w:tcBorders>
              <w:top w:val="nil"/>
              <w:left w:val="nil"/>
              <w:bottom w:val="nil"/>
              <w:right w:val="nil"/>
            </w:tcBorders>
            <w:shd w:val="clear" w:color="000000" w:fill="FFFFFF"/>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B718BB">
              <w:rPr>
                <w:rFonts w:ascii="Gadugi" w:eastAsia="Times New Roman" w:hAnsi="Gadugi" w:cstheme="majorHAnsi"/>
                <w:b/>
                <w:bCs/>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 </w:t>
            </w:r>
          </w:p>
        </w:tc>
        <w:tc>
          <w:tcPr>
            <w:tcW w:w="0" w:type="auto"/>
            <w:tcBorders>
              <w:top w:val="nil"/>
              <w:left w:val="nil"/>
              <w:bottom w:val="nil"/>
              <w:right w:val="nil"/>
            </w:tcBorders>
            <w:shd w:val="clear" w:color="000000" w:fill="FFFFFF"/>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 </w:t>
            </w:r>
          </w:p>
        </w:tc>
      </w:tr>
      <w:tr w:rsidR="00A16AB2" w:rsidRPr="00B718BB" w:rsidTr="00177AD2">
        <w:trPr>
          <w:trHeight w:val="630"/>
          <w:tblHeader/>
        </w:trPr>
        <w:tc>
          <w:tcPr>
            <w:tcW w:w="0" w:type="auto"/>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A16AB2" w:rsidRPr="00B718BB"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B718BB">
              <w:rPr>
                <w:rFonts w:ascii="Gadugi" w:eastAsia="Times New Roman" w:hAnsi="Gadugi" w:cstheme="majorHAnsi"/>
                <w:b/>
                <w:bCs/>
                <w:color w:val="FFFFFF"/>
                <w:sz w:val="18"/>
                <w:szCs w:val="18"/>
                <w:lang w:val="es-EC" w:eastAsia="es-EC"/>
              </w:rPr>
              <w:t>DUEÑO DEL PROCESO</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A16AB2" w:rsidRPr="00B718BB"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B718BB">
              <w:rPr>
                <w:rFonts w:ascii="Gadugi" w:eastAsia="Times New Roman" w:hAnsi="Gadugi" w:cstheme="majorHAnsi"/>
                <w:b/>
                <w:bCs/>
                <w:color w:val="FFFFFF"/>
                <w:sz w:val="18"/>
                <w:szCs w:val="18"/>
                <w:lang w:val="es-EC" w:eastAsia="es-EC"/>
              </w:rPr>
              <w:t>TIPO DE PROCESO</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A16AB2" w:rsidRPr="00B718BB"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B718BB">
              <w:rPr>
                <w:rFonts w:ascii="Gadugi" w:eastAsia="Times New Roman" w:hAnsi="Gadugi" w:cstheme="majorHAnsi"/>
                <w:b/>
                <w:bCs/>
                <w:color w:val="FFFFFF"/>
                <w:sz w:val="18"/>
                <w:szCs w:val="18"/>
                <w:lang w:val="es-EC" w:eastAsia="es-EC"/>
              </w:rPr>
              <w:t>DESCRIPCIÓN MACRO-PROCESO</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A16AB2" w:rsidRPr="00B718BB"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B718BB">
              <w:rPr>
                <w:rFonts w:ascii="Gadugi" w:eastAsia="Times New Roman" w:hAnsi="Gadugi" w:cstheme="majorHAnsi"/>
                <w:b/>
                <w:bCs/>
                <w:color w:val="FFFFFF"/>
                <w:sz w:val="18"/>
                <w:szCs w:val="18"/>
                <w:lang w:val="es-EC" w:eastAsia="es-EC"/>
              </w:rPr>
              <w:t>MACRO-PROCESO</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A16AB2" w:rsidRPr="00B718BB"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B718BB">
              <w:rPr>
                <w:rFonts w:ascii="Gadugi" w:eastAsia="Times New Roman" w:hAnsi="Gadugi" w:cstheme="majorHAnsi"/>
                <w:b/>
                <w:bCs/>
                <w:color w:val="FFFFFF"/>
                <w:sz w:val="18"/>
                <w:szCs w:val="18"/>
                <w:lang w:val="es-EC" w:eastAsia="es-EC"/>
              </w:rPr>
              <w:t>PROCESOS</w:t>
            </w:r>
          </w:p>
        </w:tc>
        <w:tc>
          <w:tcPr>
            <w:tcW w:w="0" w:type="auto"/>
            <w:tcBorders>
              <w:top w:val="single" w:sz="4" w:space="0" w:color="auto"/>
              <w:left w:val="nil"/>
              <w:bottom w:val="single" w:sz="4" w:space="0" w:color="auto"/>
              <w:right w:val="single" w:sz="4" w:space="0" w:color="auto"/>
            </w:tcBorders>
            <w:shd w:val="clear" w:color="auto" w:fill="222A35" w:themeFill="text2" w:themeFillShade="80"/>
            <w:vAlign w:val="center"/>
            <w:hideMark/>
          </w:tcPr>
          <w:p w:rsidR="00A16AB2" w:rsidRPr="00B718BB" w:rsidRDefault="00A16AB2" w:rsidP="00A16AB2">
            <w:pPr>
              <w:spacing w:after="0" w:line="240" w:lineRule="auto"/>
              <w:jc w:val="center"/>
              <w:rPr>
                <w:rFonts w:ascii="Gadugi" w:eastAsia="Times New Roman" w:hAnsi="Gadugi" w:cstheme="majorHAnsi"/>
                <w:b/>
                <w:bCs/>
                <w:color w:val="FFFFFF"/>
                <w:sz w:val="18"/>
                <w:szCs w:val="18"/>
                <w:lang w:val="es-EC" w:eastAsia="es-EC"/>
              </w:rPr>
            </w:pPr>
            <w:r w:rsidRPr="00B718BB">
              <w:rPr>
                <w:rFonts w:ascii="Gadugi" w:eastAsia="Times New Roman" w:hAnsi="Gadugi" w:cstheme="majorHAnsi"/>
                <w:b/>
                <w:bCs/>
                <w:color w:val="FFFFFF"/>
                <w:sz w:val="18"/>
                <w:szCs w:val="18"/>
                <w:lang w:val="es-EC" w:eastAsia="es-EC"/>
              </w:rPr>
              <w:t>SUBPROCESO</w:t>
            </w:r>
          </w:p>
        </w:tc>
      </w:tr>
      <w:tr w:rsidR="00A16AB2" w:rsidRPr="00B718BB" w:rsidTr="00A16AB2">
        <w:trPr>
          <w:trHeight w:val="945"/>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B718BB">
              <w:rPr>
                <w:rFonts w:ascii="Gadugi" w:eastAsia="Times New Roman" w:hAnsi="Gadugi" w:cstheme="majorHAnsi"/>
                <w:b/>
                <w:bCs/>
                <w:color w:val="000000"/>
                <w:sz w:val="18"/>
                <w:szCs w:val="18"/>
                <w:lang w:val="es-EC" w:eastAsia="es-EC"/>
              </w:rPr>
              <w:t>DIRECCIÓN DE DESARROLLO INSTITUCIONAL</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B718BB">
              <w:rPr>
                <w:rFonts w:ascii="Gadugi" w:eastAsia="Times New Roman" w:hAnsi="Gadugi" w:cstheme="majorHAnsi"/>
                <w:b/>
                <w:bCs/>
                <w:color w:val="000000"/>
                <w:sz w:val="18"/>
                <w:szCs w:val="18"/>
                <w:lang w:val="es-EC" w:eastAsia="es-EC"/>
              </w:rPr>
              <w:t>Habilitantes de Asesoría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B718BB">
              <w:rPr>
                <w:rFonts w:ascii="Gadugi" w:eastAsia="Times New Roman" w:hAnsi="Gadugi" w:cstheme="majorHAnsi"/>
                <w:b/>
                <w:bCs/>
                <w:color w:val="000000"/>
                <w:sz w:val="18"/>
                <w:szCs w:val="18"/>
                <w:lang w:val="es-EC" w:eastAsia="es-EC"/>
              </w:rPr>
              <w:t>Se refiere a la administración de estructuras y políticas para la arquitectura institucional. A través de este proceso se optimizará la estructura y arquitectura institucional.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ADMINISTRACIÓN DE LA GESTIÓN DE LA ARQUITECTURA INSTITUCIONAL</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Administración de la Arquitectura Institucional</w:t>
            </w:r>
          </w:p>
        </w:tc>
        <w:tc>
          <w:tcPr>
            <w:tcW w:w="0" w:type="auto"/>
            <w:tcBorders>
              <w:top w:val="nil"/>
              <w:left w:val="nil"/>
              <w:bottom w:val="single" w:sz="4" w:space="0" w:color="auto"/>
              <w:right w:val="single" w:sz="4" w:space="0" w:color="auto"/>
            </w:tcBorders>
            <w:shd w:val="clear" w:color="auto" w:fill="auto"/>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Formulación de Políticas y Directrices de la Arquitectura Institucional</w:t>
            </w:r>
          </w:p>
        </w:tc>
      </w:tr>
      <w:tr w:rsidR="00A16AB2" w:rsidRPr="00B718BB"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Asesoría y Asistencia Técnica en la Gestión de Arquitectura Institucional</w:t>
            </w:r>
          </w:p>
        </w:tc>
      </w:tr>
      <w:tr w:rsidR="00A16AB2" w:rsidRPr="00B718BB"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Gestión de la Arquitectura Institucional</w:t>
            </w:r>
          </w:p>
        </w:tc>
        <w:tc>
          <w:tcPr>
            <w:tcW w:w="0" w:type="auto"/>
            <w:tcBorders>
              <w:top w:val="nil"/>
              <w:left w:val="nil"/>
              <w:bottom w:val="single" w:sz="4" w:space="0" w:color="auto"/>
              <w:right w:val="single" w:sz="4" w:space="0" w:color="auto"/>
            </w:tcBorders>
            <w:shd w:val="clear" w:color="auto" w:fill="auto"/>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Formulación de la Estructura Organizacional del MDMQ</w:t>
            </w:r>
          </w:p>
        </w:tc>
      </w:tr>
      <w:tr w:rsidR="00A16AB2" w:rsidRPr="00B718BB"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Mejoramiento y Optimización de la Arquitectura Institucional</w:t>
            </w:r>
          </w:p>
        </w:tc>
      </w:tr>
      <w:tr w:rsidR="00A16AB2" w:rsidRPr="00B718BB"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Control y Evaluación de la Arquitectura Institucional</w:t>
            </w:r>
          </w:p>
        </w:tc>
      </w:tr>
      <w:tr w:rsidR="00A16AB2" w:rsidRPr="00B718BB"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B718BB">
              <w:rPr>
                <w:rFonts w:ascii="Gadugi" w:eastAsia="Times New Roman" w:hAnsi="Gadugi" w:cstheme="majorHAnsi"/>
                <w:b/>
                <w:bCs/>
                <w:color w:val="000000"/>
                <w:sz w:val="18"/>
                <w:szCs w:val="18"/>
                <w:lang w:val="es-EC" w:eastAsia="es-EC"/>
              </w:rPr>
              <w:t>Estratégicos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B718BB">
              <w:rPr>
                <w:rFonts w:ascii="Gadugi" w:eastAsia="Times New Roman" w:hAnsi="Gadugi" w:cstheme="majorHAnsi"/>
                <w:b/>
                <w:bCs/>
                <w:color w:val="000000"/>
                <w:sz w:val="18"/>
                <w:szCs w:val="18"/>
                <w:lang w:val="es-EC" w:eastAsia="es-EC"/>
              </w:rPr>
              <w:t>Se refiere a la administración de servicios y procesos, y a la implementación del ciclo de mejora continua para servicios y procesos. Así como también la administración de proyectos de mejoramiento, innovación y cambio de servicios y procesos.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sz w:val="18"/>
                <w:szCs w:val="18"/>
                <w:lang w:val="es-EC" w:eastAsia="es-EC"/>
              </w:rPr>
            </w:pPr>
            <w:r w:rsidRPr="00B718BB">
              <w:rPr>
                <w:rFonts w:ascii="Gadugi" w:eastAsia="Times New Roman" w:hAnsi="Gadugi" w:cstheme="majorHAnsi"/>
                <w:sz w:val="18"/>
                <w:szCs w:val="18"/>
                <w:lang w:val="es-EC" w:eastAsia="es-EC"/>
              </w:rPr>
              <w:t>ADMINISTRACIÓN DE LA GESTIÓN DE SERVICIOS Y PROCESOS MUNICIPALES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Administración de servicios y procesos municipales</w:t>
            </w:r>
          </w:p>
        </w:tc>
        <w:tc>
          <w:tcPr>
            <w:tcW w:w="0" w:type="auto"/>
            <w:tcBorders>
              <w:top w:val="nil"/>
              <w:left w:val="nil"/>
              <w:bottom w:val="single" w:sz="4" w:space="0" w:color="auto"/>
              <w:right w:val="single" w:sz="4" w:space="0" w:color="auto"/>
            </w:tcBorders>
            <w:shd w:val="clear" w:color="auto" w:fill="auto"/>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Formulación de Políticas y Directrices para la Gestión de Servicios y Procesos Municipales</w:t>
            </w:r>
          </w:p>
        </w:tc>
      </w:tr>
      <w:tr w:rsidR="00A16AB2" w:rsidRPr="00B718BB"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Administración del Catálogo de Procesos Municipales</w:t>
            </w:r>
          </w:p>
        </w:tc>
      </w:tr>
      <w:tr w:rsidR="00A16AB2" w:rsidRPr="00B718BB"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Administración del Portafolio de Servicios Municipales</w:t>
            </w:r>
          </w:p>
        </w:tc>
      </w:tr>
      <w:tr w:rsidR="00A16AB2" w:rsidRPr="00B718BB" w:rsidTr="00A16AB2">
        <w:trPr>
          <w:trHeight w:val="1260"/>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 xml:space="preserve">Formulación e Implementación de Proyectos de Mejora Continua e Innovación en la Gestión de Servicios y Procesos </w:t>
            </w:r>
            <w:r w:rsidRPr="00B718BB">
              <w:rPr>
                <w:rFonts w:ascii="Gadugi" w:eastAsia="Times New Roman" w:hAnsi="Gadugi" w:cstheme="majorHAnsi"/>
                <w:color w:val="000000"/>
                <w:sz w:val="18"/>
                <w:szCs w:val="18"/>
                <w:lang w:val="es-EC" w:eastAsia="es-EC"/>
              </w:rPr>
              <w:lastRenderedPageBreak/>
              <w:t>Municipales</w:t>
            </w:r>
          </w:p>
        </w:tc>
      </w:tr>
      <w:tr w:rsidR="00A16AB2" w:rsidRPr="00B718BB"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Asesoría y Asistencia Técnica en la Gestión de Servicios y Procesos Municipales</w:t>
            </w:r>
          </w:p>
        </w:tc>
      </w:tr>
      <w:tr w:rsidR="00A16AB2" w:rsidRPr="00B718BB"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Control y Evaluación de la Gestión de Servicios y Procesos Municipales</w:t>
            </w:r>
          </w:p>
        </w:tc>
      </w:tr>
      <w:tr w:rsidR="00A16AB2" w:rsidRPr="00B718BB"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sz w:val="18"/>
                <w:szCs w:val="18"/>
                <w:lang w:val="es-EC" w:eastAsia="es-EC"/>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Gestión de servicios y procesos municipales</w:t>
            </w: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Mejoramiento e Innovación de Servicios y Procesos</w:t>
            </w:r>
          </w:p>
        </w:tc>
      </w:tr>
      <w:tr w:rsidR="00A16AB2" w:rsidRPr="00B718BB"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Implementación de Mejoras de Servicios y Procesos</w:t>
            </w:r>
          </w:p>
        </w:tc>
      </w:tr>
      <w:tr w:rsidR="00A16AB2" w:rsidRPr="00B718BB"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Control y medición de Servicios y Procesos</w:t>
            </w:r>
          </w:p>
        </w:tc>
      </w:tr>
      <w:tr w:rsidR="00A16AB2" w:rsidRPr="00B718BB"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A16AB2" w:rsidRPr="00B718BB"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B718BB">
              <w:rPr>
                <w:rFonts w:ascii="Gadugi" w:eastAsia="Times New Roman" w:hAnsi="Gadugi" w:cstheme="majorHAnsi"/>
                <w:b/>
                <w:bCs/>
                <w:color w:val="000000"/>
                <w:sz w:val="18"/>
                <w:szCs w:val="18"/>
                <w:lang w:val="es-EC" w:eastAsia="es-EC"/>
              </w:rPr>
              <w:t>Habilitantes de Asesoría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B718BB" w:rsidRDefault="00A16AB2" w:rsidP="00A16AB2">
            <w:pPr>
              <w:spacing w:after="0" w:line="240" w:lineRule="auto"/>
              <w:jc w:val="center"/>
              <w:rPr>
                <w:rFonts w:ascii="Gadugi" w:eastAsia="Times New Roman" w:hAnsi="Gadugi" w:cstheme="majorHAnsi"/>
                <w:b/>
                <w:bCs/>
                <w:color w:val="000000"/>
                <w:sz w:val="18"/>
                <w:szCs w:val="18"/>
                <w:lang w:val="es-EC" w:eastAsia="es-EC"/>
              </w:rPr>
            </w:pPr>
            <w:r w:rsidRPr="00B718BB">
              <w:rPr>
                <w:rFonts w:ascii="Gadugi" w:eastAsia="Times New Roman" w:hAnsi="Gadugi" w:cstheme="majorHAnsi"/>
                <w:b/>
                <w:bCs/>
                <w:color w:val="000000"/>
                <w:sz w:val="18"/>
                <w:szCs w:val="18"/>
                <w:lang w:val="es-EC" w:eastAsia="es-EC"/>
              </w:rPr>
              <w:t xml:space="preserve">Se refiere a la formulación e implementación de estrategias y metodologías relacionadas con gestión del cambio y cultura organizacional.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GESTIÓN DEL CAMBIO Y CULTURA INSTITUCIONAL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Gestión del Cambio</w:t>
            </w:r>
          </w:p>
        </w:tc>
        <w:tc>
          <w:tcPr>
            <w:tcW w:w="0" w:type="auto"/>
            <w:tcBorders>
              <w:top w:val="nil"/>
              <w:left w:val="nil"/>
              <w:bottom w:val="single" w:sz="4" w:space="0" w:color="auto"/>
              <w:right w:val="single" w:sz="4" w:space="0" w:color="auto"/>
            </w:tcBorders>
            <w:shd w:val="clear" w:color="auto" w:fill="auto"/>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Formulación de Estrategias y Metodologías de Gestión del Cambio</w:t>
            </w:r>
          </w:p>
        </w:tc>
      </w:tr>
      <w:tr w:rsidR="00A16AB2" w:rsidRPr="00B718BB"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Implementación de las Estrategias de Gestión del Cambio</w:t>
            </w:r>
          </w:p>
        </w:tc>
      </w:tr>
      <w:tr w:rsidR="00A16AB2" w:rsidRPr="00B718BB"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Evaluación de la Gestión del Cambio Institucional</w:t>
            </w:r>
          </w:p>
        </w:tc>
      </w:tr>
      <w:tr w:rsidR="00A16AB2" w:rsidRPr="00B718BB" w:rsidTr="00A16AB2">
        <w:trPr>
          <w:trHeight w:val="945"/>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A16AB2" w:rsidRPr="00B718BB" w:rsidRDefault="00A16AB2" w:rsidP="00A16AB2">
            <w:pPr>
              <w:spacing w:after="0" w:line="240" w:lineRule="auto"/>
              <w:jc w:val="center"/>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Gestión de Cultura Institucional</w:t>
            </w:r>
          </w:p>
        </w:tc>
        <w:tc>
          <w:tcPr>
            <w:tcW w:w="0" w:type="auto"/>
            <w:tcBorders>
              <w:top w:val="nil"/>
              <w:left w:val="nil"/>
              <w:bottom w:val="single" w:sz="4" w:space="0" w:color="auto"/>
              <w:right w:val="single" w:sz="4" w:space="0" w:color="auto"/>
            </w:tcBorders>
            <w:shd w:val="clear" w:color="auto" w:fill="auto"/>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Formulación de Políticas y Estrategias de la Cultura Institucional</w:t>
            </w:r>
          </w:p>
        </w:tc>
      </w:tr>
      <w:tr w:rsidR="00A16AB2" w:rsidRPr="00B718BB"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Implementación de Políticas y Estrategias de Cultura</w:t>
            </w:r>
          </w:p>
        </w:tc>
      </w:tr>
      <w:tr w:rsidR="00A16AB2" w:rsidRPr="00B718BB" w:rsidTr="00A16AB2">
        <w:trPr>
          <w:trHeight w:val="630"/>
        </w:trPr>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b/>
                <w:bCs/>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vMerge/>
            <w:tcBorders>
              <w:top w:val="nil"/>
              <w:left w:val="single" w:sz="4" w:space="0" w:color="auto"/>
              <w:bottom w:val="single" w:sz="4" w:space="0" w:color="000000"/>
              <w:right w:val="single" w:sz="4" w:space="0" w:color="auto"/>
            </w:tcBorders>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p>
        </w:tc>
        <w:tc>
          <w:tcPr>
            <w:tcW w:w="0" w:type="auto"/>
            <w:tcBorders>
              <w:top w:val="nil"/>
              <w:left w:val="nil"/>
              <w:bottom w:val="single" w:sz="4" w:space="0" w:color="auto"/>
              <w:right w:val="single" w:sz="4" w:space="0" w:color="auto"/>
            </w:tcBorders>
            <w:shd w:val="clear" w:color="000000" w:fill="FFFFFF"/>
            <w:vAlign w:val="center"/>
            <w:hideMark/>
          </w:tcPr>
          <w:p w:rsidR="00A16AB2" w:rsidRPr="00B718BB" w:rsidRDefault="00A16AB2" w:rsidP="00A16AB2">
            <w:pPr>
              <w:spacing w:after="0" w:line="240" w:lineRule="auto"/>
              <w:rPr>
                <w:rFonts w:ascii="Gadugi" w:eastAsia="Times New Roman" w:hAnsi="Gadugi" w:cstheme="majorHAnsi"/>
                <w:color w:val="000000"/>
                <w:sz w:val="18"/>
                <w:szCs w:val="18"/>
                <w:lang w:val="es-EC" w:eastAsia="es-EC"/>
              </w:rPr>
            </w:pPr>
            <w:r w:rsidRPr="00B718BB">
              <w:rPr>
                <w:rFonts w:ascii="Gadugi" w:eastAsia="Times New Roman" w:hAnsi="Gadugi" w:cstheme="majorHAnsi"/>
                <w:color w:val="000000"/>
                <w:sz w:val="18"/>
                <w:szCs w:val="18"/>
                <w:lang w:val="es-EC" w:eastAsia="es-EC"/>
              </w:rPr>
              <w:t>Evaluación de la Cultura Institucional</w:t>
            </w:r>
          </w:p>
        </w:tc>
      </w:tr>
    </w:tbl>
    <w:p w:rsidR="00A16AB2" w:rsidRPr="00C1652B" w:rsidRDefault="00A16AB2" w:rsidP="00A16AB2">
      <w:pPr>
        <w:jc w:val="center"/>
        <w:rPr>
          <w:rFonts w:ascii="Gadugi" w:hAnsi="Gadugi"/>
        </w:rPr>
      </w:pPr>
    </w:p>
    <w:p w:rsidR="00AE77C6" w:rsidRPr="00B718BB" w:rsidRDefault="00CC0045" w:rsidP="007941B3">
      <w:pPr>
        <w:pStyle w:val="Prrafodelista"/>
        <w:numPr>
          <w:ilvl w:val="1"/>
          <w:numId w:val="6"/>
        </w:numPr>
        <w:jc w:val="both"/>
        <w:outlineLvl w:val="1"/>
        <w:rPr>
          <w:rFonts w:ascii="Gadugi" w:hAnsi="Gadugi"/>
          <w:b/>
          <w:sz w:val="20"/>
        </w:rPr>
      </w:pPr>
      <w:bookmarkStart w:id="17" w:name="_Toc483474898"/>
      <w:r w:rsidRPr="00B718BB">
        <w:rPr>
          <w:rFonts w:ascii="Gadugi" w:hAnsi="Gadugi"/>
          <w:b/>
          <w:sz w:val="20"/>
        </w:rPr>
        <w:t>Procesos priorizados</w:t>
      </w:r>
      <w:bookmarkEnd w:id="17"/>
    </w:p>
    <w:p w:rsidR="003475F9" w:rsidRPr="00B718BB" w:rsidRDefault="00A16AB2" w:rsidP="00A16AB2">
      <w:pPr>
        <w:jc w:val="both"/>
        <w:rPr>
          <w:rFonts w:ascii="Gadugi" w:hAnsi="Gadugi"/>
          <w:sz w:val="20"/>
        </w:rPr>
      </w:pPr>
      <w:r w:rsidRPr="00B718BB">
        <w:rPr>
          <w:rFonts w:ascii="Gadugi" w:hAnsi="Gadugi"/>
          <w:sz w:val="20"/>
        </w:rPr>
        <w:t xml:space="preserve">Conforme los análisis realizados previamente, se </w:t>
      </w:r>
      <w:r w:rsidR="00383C91" w:rsidRPr="00B718BB">
        <w:rPr>
          <w:rFonts w:ascii="Gadugi" w:hAnsi="Gadugi"/>
          <w:sz w:val="20"/>
        </w:rPr>
        <w:t>pusieron</w:t>
      </w:r>
      <w:r w:rsidRPr="00B718BB">
        <w:rPr>
          <w:rFonts w:ascii="Gadugi" w:hAnsi="Gadugi"/>
          <w:sz w:val="20"/>
        </w:rPr>
        <w:t xml:space="preserve"> a disposición de la Administración del Contrato estos catálogos y finalmente, se realizó la priorización de procesos de forma conjunta entre</w:t>
      </w:r>
      <w:r w:rsidR="009C1B56" w:rsidRPr="00B718BB">
        <w:rPr>
          <w:rFonts w:ascii="Gadugi" w:hAnsi="Gadugi"/>
          <w:sz w:val="20"/>
        </w:rPr>
        <w:t xml:space="preserve"> la Administración del Contrato y la empresa Consultora MRProcessi Cía. Ltda. como consta en el Acta No. EJ-140217-JB15 con fecha 14 de febrero de 2017.</w:t>
      </w:r>
      <w:r w:rsidRPr="00B718BB">
        <w:rPr>
          <w:rFonts w:ascii="Gadugi" w:hAnsi="Gadugi"/>
          <w:sz w:val="20"/>
        </w:rPr>
        <w:t xml:space="preserve"> Los procesos priorizados son:</w:t>
      </w:r>
    </w:p>
    <w:p w:rsidR="00A16AB2" w:rsidRPr="00B718BB" w:rsidRDefault="00A16AB2" w:rsidP="00A16AB2">
      <w:pPr>
        <w:pStyle w:val="Prrafodelista"/>
        <w:numPr>
          <w:ilvl w:val="0"/>
          <w:numId w:val="10"/>
        </w:numPr>
        <w:jc w:val="both"/>
        <w:rPr>
          <w:rFonts w:ascii="Gadugi" w:hAnsi="Gadugi"/>
          <w:sz w:val="20"/>
        </w:rPr>
      </w:pPr>
      <w:r w:rsidRPr="00B718BB">
        <w:rPr>
          <w:rFonts w:ascii="Gadugi" w:hAnsi="Gadugi"/>
          <w:sz w:val="20"/>
        </w:rPr>
        <w:t>Asesoría y Acompañamiento en la ejecución de procedimientos de Contratación Pública de obras</w:t>
      </w:r>
    </w:p>
    <w:p w:rsidR="00A16AB2" w:rsidRPr="00B718BB" w:rsidRDefault="00A16AB2" w:rsidP="00A16AB2">
      <w:pPr>
        <w:pStyle w:val="Prrafodelista"/>
        <w:numPr>
          <w:ilvl w:val="0"/>
          <w:numId w:val="10"/>
        </w:numPr>
        <w:jc w:val="both"/>
        <w:rPr>
          <w:rFonts w:ascii="Gadugi" w:hAnsi="Gadugi"/>
          <w:sz w:val="20"/>
        </w:rPr>
      </w:pPr>
      <w:r w:rsidRPr="00B718BB">
        <w:rPr>
          <w:rFonts w:ascii="Gadugi" w:hAnsi="Gadugi"/>
          <w:sz w:val="20"/>
        </w:rPr>
        <w:t>Asesoría y acompañamiento en la ejecución de procedimientos de Contratación Pública de bienes, servicios y consultoría</w:t>
      </w:r>
    </w:p>
    <w:p w:rsidR="00A16AB2" w:rsidRPr="00B718BB" w:rsidRDefault="00A16AB2" w:rsidP="00A16AB2">
      <w:pPr>
        <w:jc w:val="both"/>
        <w:rPr>
          <w:rFonts w:ascii="Gadugi" w:hAnsi="Gadugi"/>
          <w:sz w:val="20"/>
        </w:rPr>
      </w:pPr>
      <w:r w:rsidRPr="00B718BB">
        <w:rPr>
          <w:rFonts w:ascii="Gadugi" w:hAnsi="Gadugi"/>
          <w:sz w:val="20"/>
        </w:rPr>
        <w:t>Estos dos procesos por solicitud de la Administración del Contrato se han unificado en uno solo llamado “Asesoría y acompañamiento en la ejecución de procedimientos de Contratación Pública en el Municipio del Distrito Metropolitano de Quito”.</w:t>
      </w:r>
    </w:p>
    <w:p w:rsidR="0072148D" w:rsidRPr="00B718BB" w:rsidRDefault="0072148D" w:rsidP="0072148D">
      <w:pPr>
        <w:pStyle w:val="Prrafodelista"/>
        <w:numPr>
          <w:ilvl w:val="0"/>
          <w:numId w:val="10"/>
        </w:numPr>
        <w:jc w:val="both"/>
        <w:rPr>
          <w:rFonts w:ascii="Gadugi" w:hAnsi="Gadugi"/>
          <w:sz w:val="20"/>
        </w:rPr>
      </w:pPr>
      <w:r w:rsidRPr="00B718BB">
        <w:rPr>
          <w:rFonts w:ascii="Gadugi" w:hAnsi="Gadugi"/>
          <w:sz w:val="20"/>
        </w:rPr>
        <w:t>Formulación y consolidación de planes operativos anuales del Municipio del Distrito Metropolitano de Quito.</w:t>
      </w:r>
    </w:p>
    <w:p w:rsidR="0072148D" w:rsidRPr="00B718BB" w:rsidRDefault="0072148D" w:rsidP="0072148D">
      <w:pPr>
        <w:pStyle w:val="Prrafodelista"/>
        <w:numPr>
          <w:ilvl w:val="0"/>
          <w:numId w:val="10"/>
        </w:numPr>
        <w:jc w:val="both"/>
        <w:rPr>
          <w:rFonts w:ascii="Gadugi" w:hAnsi="Gadugi"/>
          <w:sz w:val="20"/>
        </w:rPr>
      </w:pPr>
      <w:r w:rsidRPr="00B718BB">
        <w:rPr>
          <w:rFonts w:ascii="Gadugi" w:hAnsi="Gadugi"/>
          <w:sz w:val="20"/>
        </w:rPr>
        <w:t>Gestión de la Arquitectura Institucional</w:t>
      </w:r>
    </w:p>
    <w:p w:rsidR="0072148D" w:rsidRPr="00B718BB" w:rsidRDefault="0072148D" w:rsidP="0072148D">
      <w:pPr>
        <w:pStyle w:val="Prrafodelista"/>
        <w:numPr>
          <w:ilvl w:val="0"/>
          <w:numId w:val="10"/>
        </w:numPr>
        <w:jc w:val="both"/>
        <w:rPr>
          <w:rFonts w:ascii="Gadugi" w:hAnsi="Gadugi"/>
          <w:sz w:val="20"/>
        </w:rPr>
      </w:pPr>
      <w:r w:rsidRPr="00B718BB">
        <w:rPr>
          <w:rFonts w:ascii="Gadugi" w:hAnsi="Gadugi"/>
          <w:sz w:val="20"/>
        </w:rPr>
        <w:t>Gestión de la acción coactiva.</w:t>
      </w:r>
    </w:p>
    <w:p w:rsidR="0072148D" w:rsidRPr="00B718BB" w:rsidRDefault="0072148D" w:rsidP="00B718BB">
      <w:pPr>
        <w:pStyle w:val="Sinespaciado"/>
      </w:pPr>
    </w:p>
    <w:p w:rsidR="0072148D" w:rsidRPr="00B718BB" w:rsidRDefault="0072148D" w:rsidP="0072148D">
      <w:pPr>
        <w:jc w:val="both"/>
        <w:rPr>
          <w:rFonts w:ascii="Gadugi" w:hAnsi="Gadugi"/>
          <w:sz w:val="20"/>
        </w:rPr>
      </w:pPr>
      <w:r w:rsidRPr="00B718BB">
        <w:rPr>
          <w:rFonts w:ascii="Gadugi" w:hAnsi="Gadugi"/>
          <w:sz w:val="20"/>
        </w:rPr>
        <w:t xml:space="preserve">Finalmente, el 31 de marzo de 2017 a través de Oficio No. SGP-DMDI-2017-009, la Administración del Contrato comunica a la empresa Consultora MRProcessi Cía. Ltda. </w:t>
      </w:r>
      <w:proofErr w:type="gramStart"/>
      <w:r w:rsidRPr="00B718BB">
        <w:rPr>
          <w:rFonts w:ascii="Gadugi" w:hAnsi="Gadugi"/>
          <w:sz w:val="20"/>
        </w:rPr>
        <w:t>que</w:t>
      </w:r>
      <w:proofErr w:type="gramEnd"/>
      <w:r w:rsidRPr="00B718BB">
        <w:rPr>
          <w:rFonts w:ascii="Gadugi" w:hAnsi="Gadugi"/>
          <w:sz w:val="20"/>
        </w:rPr>
        <w:t xml:space="preserve"> el proceso de gestión de la acción coactiva no será objeto de mejora en el proyecto que se encuentra en ejecución; y, notifica que se ha definido que se optimizará y estandarizará el proceso de Formulación y Consolidación del Plan Anual de Contratación (PAC) de la Administración Central del </w:t>
      </w:r>
      <w:r w:rsidR="009037D8" w:rsidRPr="00B718BB">
        <w:rPr>
          <w:rFonts w:ascii="Gadugi" w:hAnsi="Gadugi"/>
          <w:sz w:val="20"/>
        </w:rPr>
        <w:t>Municipio del Distrito Metropolitano de Quito</w:t>
      </w:r>
      <w:r w:rsidRPr="00B718BB">
        <w:rPr>
          <w:rFonts w:ascii="Gadugi" w:hAnsi="Gadugi"/>
          <w:sz w:val="20"/>
        </w:rPr>
        <w:t>, cuyo inicio de actividades será a partir del lunes 10 de abril de 2017.</w:t>
      </w:r>
      <w:r w:rsidR="009037D8" w:rsidRPr="00B718BB">
        <w:rPr>
          <w:rFonts w:ascii="Gadugi" w:hAnsi="Gadugi"/>
          <w:sz w:val="20"/>
        </w:rPr>
        <w:t xml:space="preserve"> Por lo tanto los procesos priorizados definitivos con los que se trabajará los productos contractuales subsiguientes serán:</w:t>
      </w:r>
    </w:p>
    <w:p w:rsidR="009037D8" w:rsidRPr="00B718BB" w:rsidRDefault="009037D8" w:rsidP="009037D8">
      <w:pPr>
        <w:pStyle w:val="Prrafodelista"/>
        <w:numPr>
          <w:ilvl w:val="0"/>
          <w:numId w:val="12"/>
        </w:numPr>
        <w:jc w:val="both"/>
        <w:rPr>
          <w:rFonts w:ascii="Gadugi" w:hAnsi="Gadugi"/>
          <w:sz w:val="20"/>
        </w:rPr>
      </w:pPr>
      <w:r w:rsidRPr="00B718BB">
        <w:rPr>
          <w:rFonts w:ascii="Gadugi" w:hAnsi="Gadugi"/>
          <w:sz w:val="20"/>
        </w:rPr>
        <w:t>Asesoría y acompañamiento en la ejecución de procedimientos de Contratación Pública en el Municipio del Distrito Metropolitano de Quito;</w:t>
      </w:r>
    </w:p>
    <w:p w:rsidR="009037D8" w:rsidRPr="00B718BB" w:rsidRDefault="009037D8" w:rsidP="009037D8">
      <w:pPr>
        <w:pStyle w:val="Prrafodelista"/>
        <w:numPr>
          <w:ilvl w:val="0"/>
          <w:numId w:val="12"/>
        </w:numPr>
        <w:jc w:val="both"/>
        <w:rPr>
          <w:rFonts w:ascii="Gadugi" w:hAnsi="Gadugi"/>
          <w:sz w:val="20"/>
        </w:rPr>
      </w:pPr>
      <w:r w:rsidRPr="00B718BB">
        <w:rPr>
          <w:rFonts w:ascii="Gadugi" w:hAnsi="Gadugi"/>
          <w:sz w:val="20"/>
        </w:rPr>
        <w:t>Formulación y consolidación de planes operativos anuales del Municipio del Distrito Metropolitano de Quito;</w:t>
      </w:r>
    </w:p>
    <w:p w:rsidR="009037D8" w:rsidRPr="00B718BB" w:rsidRDefault="009037D8" w:rsidP="009037D8">
      <w:pPr>
        <w:pStyle w:val="Prrafodelista"/>
        <w:numPr>
          <w:ilvl w:val="0"/>
          <w:numId w:val="12"/>
        </w:numPr>
        <w:jc w:val="both"/>
        <w:rPr>
          <w:rFonts w:ascii="Gadugi" w:hAnsi="Gadugi"/>
          <w:sz w:val="20"/>
        </w:rPr>
      </w:pPr>
      <w:r w:rsidRPr="00B718BB">
        <w:rPr>
          <w:rFonts w:ascii="Gadugi" w:hAnsi="Gadugi"/>
          <w:sz w:val="20"/>
        </w:rPr>
        <w:lastRenderedPageBreak/>
        <w:t>Gestión de la Arquitectura Institucional del Municipio del Distrito Metropolitano de Quito;</w:t>
      </w:r>
    </w:p>
    <w:p w:rsidR="00AD7879" w:rsidRPr="00B718BB" w:rsidRDefault="009037D8" w:rsidP="00C1652B">
      <w:pPr>
        <w:pStyle w:val="Prrafodelista"/>
        <w:numPr>
          <w:ilvl w:val="0"/>
          <w:numId w:val="12"/>
        </w:numPr>
        <w:jc w:val="both"/>
        <w:rPr>
          <w:rFonts w:ascii="Gadugi" w:hAnsi="Gadugi"/>
          <w:sz w:val="20"/>
        </w:rPr>
      </w:pPr>
      <w:r w:rsidRPr="00B718BB">
        <w:rPr>
          <w:rFonts w:ascii="Gadugi" w:hAnsi="Gadugi"/>
          <w:sz w:val="20"/>
        </w:rPr>
        <w:t>Formulación y Consolidación del Plan Anual de Contratación (PAC) de la Administración Central del Municipio del Distrito Metropolitano de Quito.</w:t>
      </w:r>
    </w:p>
    <w:sectPr w:rsidR="00AD7879" w:rsidRPr="00B718BB" w:rsidSect="00FD1628">
      <w:headerReference w:type="default" r:id="rId17"/>
      <w:footerReference w:type="default" r:id="rId18"/>
      <w:pgSz w:w="11906" w:h="16838"/>
      <w:pgMar w:top="2268" w:right="1134" w:bottom="1701" w:left="1134" w:header="709"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73D" w:rsidRDefault="0066673D" w:rsidP="00A91011">
      <w:pPr>
        <w:spacing w:after="0" w:line="240" w:lineRule="auto"/>
      </w:pPr>
      <w:r>
        <w:separator/>
      </w:r>
    </w:p>
  </w:endnote>
  <w:endnote w:type="continuationSeparator" w:id="0">
    <w:p w:rsidR="0066673D" w:rsidRDefault="0066673D"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0000000" w:usb2="00003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628" w:rsidRDefault="00EB7F54" w:rsidP="00FD1628">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 xml:space="preserve">                  </w:t>
    </w:r>
    <w:r w:rsidR="00FD1628">
      <w:rPr>
        <w:color w:val="8496B0" w:themeColor="text2" w:themeTint="99"/>
        <w:spacing w:val="60"/>
        <w:sz w:val="24"/>
        <w:szCs w:val="24"/>
      </w:rPr>
      <w:t>Página</w:t>
    </w:r>
    <w:r w:rsidR="00FD1628">
      <w:rPr>
        <w:color w:val="8496B0" w:themeColor="text2" w:themeTint="99"/>
        <w:sz w:val="24"/>
        <w:szCs w:val="24"/>
      </w:rPr>
      <w:t xml:space="preserve"> </w:t>
    </w:r>
    <w:r w:rsidR="00FD1628">
      <w:rPr>
        <w:color w:val="323E4F" w:themeColor="text2" w:themeShade="BF"/>
        <w:sz w:val="24"/>
        <w:szCs w:val="24"/>
      </w:rPr>
      <w:fldChar w:fldCharType="begin"/>
    </w:r>
    <w:r w:rsidR="00FD1628">
      <w:rPr>
        <w:color w:val="323E4F" w:themeColor="text2" w:themeShade="BF"/>
        <w:sz w:val="24"/>
        <w:szCs w:val="24"/>
      </w:rPr>
      <w:instrText>PAGE   \* MERGEFORMAT</w:instrText>
    </w:r>
    <w:r w:rsidR="00FD1628">
      <w:rPr>
        <w:color w:val="323E4F" w:themeColor="text2" w:themeShade="BF"/>
        <w:sz w:val="24"/>
        <w:szCs w:val="24"/>
      </w:rPr>
      <w:fldChar w:fldCharType="separate"/>
    </w:r>
    <w:r w:rsidR="008C2AB3">
      <w:rPr>
        <w:noProof/>
        <w:color w:val="323E4F" w:themeColor="text2" w:themeShade="BF"/>
        <w:sz w:val="24"/>
        <w:szCs w:val="24"/>
      </w:rPr>
      <w:t>2</w:t>
    </w:r>
    <w:r w:rsidR="00FD1628">
      <w:rPr>
        <w:color w:val="323E4F" w:themeColor="text2" w:themeShade="BF"/>
        <w:sz w:val="24"/>
        <w:szCs w:val="24"/>
      </w:rPr>
      <w:fldChar w:fldCharType="end"/>
    </w:r>
    <w:r w:rsidR="00FD1628">
      <w:rPr>
        <w:color w:val="323E4F" w:themeColor="text2" w:themeShade="BF"/>
        <w:sz w:val="24"/>
        <w:szCs w:val="24"/>
      </w:rPr>
      <w:t xml:space="preserve"> | </w:t>
    </w:r>
    <w:r w:rsidR="00FD1628">
      <w:rPr>
        <w:color w:val="323E4F" w:themeColor="text2" w:themeShade="BF"/>
        <w:sz w:val="24"/>
        <w:szCs w:val="24"/>
      </w:rPr>
      <w:fldChar w:fldCharType="begin"/>
    </w:r>
    <w:r w:rsidR="00FD1628">
      <w:rPr>
        <w:color w:val="323E4F" w:themeColor="text2" w:themeShade="BF"/>
        <w:sz w:val="24"/>
        <w:szCs w:val="24"/>
      </w:rPr>
      <w:instrText>NUMPAGES  \* Arabic  \* MERGEFORMAT</w:instrText>
    </w:r>
    <w:r w:rsidR="00FD1628">
      <w:rPr>
        <w:color w:val="323E4F" w:themeColor="text2" w:themeShade="BF"/>
        <w:sz w:val="24"/>
        <w:szCs w:val="24"/>
      </w:rPr>
      <w:fldChar w:fldCharType="separate"/>
    </w:r>
    <w:r w:rsidR="008C2AB3">
      <w:rPr>
        <w:noProof/>
        <w:color w:val="323E4F" w:themeColor="text2" w:themeShade="BF"/>
        <w:sz w:val="24"/>
        <w:szCs w:val="24"/>
      </w:rPr>
      <w:t>25</w:t>
    </w:r>
    <w:r w:rsidR="00FD1628">
      <w:rPr>
        <w:color w:val="323E4F" w:themeColor="text2" w:themeShade="BF"/>
        <w:sz w:val="24"/>
        <w:szCs w:val="24"/>
      </w:rPr>
      <w:fldChar w:fldCharType="end"/>
    </w:r>
  </w:p>
  <w:p w:rsidR="006A07E1" w:rsidRDefault="006A07E1" w:rsidP="00FD1628">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73D" w:rsidRDefault="0066673D" w:rsidP="00A91011">
      <w:pPr>
        <w:spacing w:after="0" w:line="240" w:lineRule="auto"/>
      </w:pPr>
      <w:r>
        <w:separator/>
      </w:r>
    </w:p>
  </w:footnote>
  <w:footnote w:type="continuationSeparator" w:id="0">
    <w:p w:rsidR="0066673D" w:rsidRDefault="0066673D"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391" w:rsidRDefault="00E56391">
    <w:pPr>
      <w:pStyle w:val="Encabezado"/>
    </w:pPr>
    <w:r>
      <w:rPr>
        <w:noProof/>
        <w:lang w:val="es-EC" w:eastAsia="es-EC"/>
      </w:rPr>
      <w:drawing>
        <wp:anchor distT="0" distB="0" distL="114300" distR="114300" simplePos="0" relativeHeight="251659264" behindDoc="1" locked="0" layoutInCell="1" allowOverlap="1" wp14:anchorId="2E399965" wp14:editId="72BE71D5">
          <wp:simplePos x="0" y="0"/>
          <wp:positionH relativeFrom="page">
            <wp:align>right</wp:align>
          </wp:positionH>
          <wp:positionV relativeFrom="paragraph">
            <wp:posOffset>-602615</wp:posOffset>
          </wp:positionV>
          <wp:extent cx="7342107" cy="10829925"/>
          <wp:effectExtent l="0" t="0" r="0" b="0"/>
          <wp:wrapNone/>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2107" cy="108299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1">
    <w:nsid w:val="1F606ECE"/>
    <w:multiLevelType w:val="multilevel"/>
    <w:tmpl w:val="5DDAD56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nsid w:val="203A0F38"/>
    <w:multiLevelType w:val="hybridMultilevel"/>
    <w:tmpl w:val="1138D7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253769B1"/>
    <w:multiLevelType w:val="hybridMultilevel"/>
    <w:tmpl w:val="F8765C9C"/>
    <w:lvl w:ilvl="0" w:tplc="DB2478C2">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4">
    <w:nsid w:val="38A673C0"/>
    <w:multiLevelType w:val="hybridMultilevel"/>
    <w:tmpl w:val="D23497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4B9D196E"/>
    <w:multiLevelType w:val="hybridMultilevel"/>
    <w:tmpl w:val="B12A339A"/>
    <w:lvl w:ilvl="0" w:tplc="300A0005">
      <w:start w:val="1"/>
      <w:numFmt w:val="bullet"/>
      <w:lvlText w:val=""/>
      <w:lvlJc w:val="left"/>
      <w:pPr>
        <w:ind w:left="1429" w:hanging="360"/>
      </w:pPr>
      <w:rPr>
        <w:rFonts w:ascii="Wingdings" w:hAnsi="Wingdings"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7">
    <w:nsid w:val="5F4239E5"/>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F644023"/>
    <w:multiLevelType w:val="hybridMultilevel"/>
    <w:tmpl w:val="A2BA20D2"/>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9">
    <w:nsid w:val="7D447172"/>
    <w:multiLevelType w:val="hybridMultilevel"/>
    <w:tmpl w:val="CB0C2C9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7E1F3D70"/>
    <w:multiLevelType w:val="hybridMultilevel"/>
    <w:tmpl w:val="99167F1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7F16563A"/>
    <w:multiLevelType w:val="hybridMultilevel"/>
    <w:tmpl w:val="91305EA0"/>
    <w:lvl w:ilvl="0" w:tplc="C2F48622">
      <w:start w:val="6"/>
      <w:numFmt w:val="bullet"/>
      <w:lvlText w:val="-"/>
      <w:lvlJc w:val="left"/>
      <w:pPr>
        <w:ind w:left="360" w:hanging="360"/>
      </w:pPr>
      <w:rPr>
        <w:rFonts w:ascii="Helvetica" w:eastAsiaTheme="minorHAnsi" w:hAnsi="Helvetica" w:cstheme="minorBidi"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10"/>
  </w:num>
  <w:num w:numId="6">
    <w:abstractNumId w:val="1"/>
  </w:num>
  <w:num w:numId="7">
    <w:abstractNumId w:val="3"/>
  </w:num>
  <w:num w:numId="8">
    <w:abstractNumId w:val="11"/>
  </w:num>
  <w:num w:numId="9">
    <w:abstractNumId w:val="2"/>
  </w:num>
  <w:num w:numId="10">
    <w:abstractNumId w:val="6"/>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26C35"/>
    <w:rsid w:val="00050199"/>
    <w:rsid w:val="00063579"/>
    <w:rsid w:val="000A791D"/>
    <w:rsid w:val="000B2925"/>
    <w:rsid w:val="0011717B"/>
    <w:rsid w:val="00143542"/>
    <w:rsid w:val="00177AD2"/>
    <w:rsid w:val="00186E81"/>
    <w:rsid w:val="001C4BF8"/>
    <w:rsid w:val="00240875"/>
    <w:rsid w:val="00252976"/>
    <w:rsid w:val="00297F66"/>
    <w:rsid w:val="002B6F56"/>
    <w:rsid w:val="002B7D65"/>
    <w:rsid w:val="00335A90"/>
    <w:rsid w:val="00344003"/>
    <w:rsid w:val="003475F9"/>
    <w:rsid w:val="00383C91"/>
    <w:rsid w:val="00391D24"/>
    <w:rsid w:val="003F0B17"/>
    <w:rsid w:val="00402752"/>
    <w:rsid w:val="004A2A75"/>
    <w:rsid w:val="004D3194"/>
    <w:rsid w:val="00504B7C"/>
    <w:rsid w:val="00505CC5"/>
    <w:rsid w:val="00521007"/>
    <w:rsid w:val="00522EA8"/>
    <w:rsid w:val="00562E44"/>
    <w:rsid w:val="0056641D"/>
    <w:rsid w:val="00573831"/>
    <w:rsid w:val="005A3EDA"/>
    <w:rsid w:val="0061537E"/>
    <w:rsid w:val="0066673D"/>
    <w:rsid w:val="0067293F"/>
    <w:rsid w:val="00695C57"/>
    <w:rsid w:val="006A07E1"/>
    <w:rsid w:val="006A5E6E"/>
    <w:rsid w:val="006C188D"/>
    <w:rsid w:val="006D338D"/>
    <w:rsid w:val="006F18AD"/>
    <w:rsid w:val="00721261"/>
    <w:rsid w:val="0072148D"/>
    <w:rsid w:val="007941B3"/>
    <w:rsid w:val="008127A3"/>
    <w:rsid w:val="00820725"/>
    <w:rsid w:val="00854EC0"/>
    <w:rsid w:val="00887609"/>
    <w:rsid w:val="008A0F89"/>
    <w:rsid w:val="008B0B55"/>
    <w:rsid w:val="008B585A"/>
    <w:rsid w:val="008C2AB3"/>
    <w:rsid w:val="009037D8"/>
    <w:rsid w:val="00955D17"/>
    <w:rsid w:val="009907E6"/>
    <w:rsid w:val="009C1B56"/>
    <w:rsid w:val="009E0243"/>
    <w:rsid w:val="009F5ED7"/>
    <w:rsid w:val="00A16AB2"/>
    <w:rsid w:val="00A2290E"/>
    <w:rsid w:val="00A51743"/>
    <w:rsid w:val="00A71087"/>
    <w:rsid w:val="00A91011"/>
    <w:rsid w:val="00AD6454"/>
    <w:rsid w:val="00AD7879"/>
    <w:rsid w:val="00AE77C6"/>
    <w:rsid w:val="00B6551D"/>
    <w:rsid w:val="00B65ECF"/>
    <w:rsid w:val="00B718BB"/>
    <w:rsid w:val="00B7678C"/>
    <w:rsid w:val="00BA4DAB"/>
    <w:rsid w:val="00BE198C"/>
    <w:rsid w:val="00C1652B"/>
    <w:rsid w:val="00C503AD"/>
    <w:rsid w:val="00C746E2"/>
    <w:rsid w:val="00C75E93"/>
    <w:rsid w:val="00CC0045"/>
    <w:rsid w:val="00CC7DBC"/>
    <w:rsid w:val="00CD705A"/>
    <w:rsid w:val="00CF70CE"/>
    <w:rsid w:val="00D04AB7"/>
    <w:rsid w:val="00D05AEF"/>
    <w:rsid w:val="00D07FFA"/>
    <w:rsid w:val="00D21F07"/>
    <w:rsid w:val="00D45675"/>
    <w:rsid w:val="00D76BB9"/>
    <w:rsid w:val="00D81BA9"/>
    <w:rsid w:val="00DA71C0"/>
    <w:rsid w:val="00DC5A67"/>
    <w:rsid w:val="00DE0AFA"/>
    <w:rsid w:val="00E139D0"/>
    <w:rsid w:val="00E41A3D"/>
    <w:rsid w:val="00E47D27"/>
    <w:rsid w:val="00E56391"/>
    <w:rsid w:val="00EB410B"/>
    <w:rsid w:val="00EB7F54"/>
    <w:rsid w:val="00EE3D19"/>
    <w:rsid w:val="00EE65C0"/>
    <w:rsid w:val="00F560D3"/>
    <w:rsid w:val="00F958E8"/>
    <w:rsid w:val="00FA1669"/>
    <w:rsid w:val="00FA5807"/>
    <w:rsid w:val="00FD16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941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CellMar>
        <w:left w:w="0" w:type="dxa"/>
        <w:right w:w="0" w:type="dxa"/>
      </w:tblCellMar>
    </w:tblPr>
  </w:style>
  <w:style w:type="table" w:styleId="Listaclara-nfasis3">
    <w:name w:val="Light List Accent 3"/>
    <w:basedOn w:val="Tablanormal"/>
    <w:uiPriority w:val="61"/>
    <w:rsid w:val="00297F66"/>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
    <w:link w:val="Prrafodelista"/>
    <w:uiPriority w:val="34"/>
    <w:rsid w:val="009C1B56"/>
  </w:style>
  <w:style w:type="character" w:customStyle="1" w:styleId="Ttulo1Car">
    <w:name w:val="Título 1 Car"/>
    <w:basedOn w:val="Fuentedeprrafopredeter"/>
    <w:link w:val="Ttulo1"/>
    <w:uiPriority w:val="9"/>
    <w:rsid w:val="007941B3"/>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7941B3"/>
    <w:pPr>
      <w:outlineLvl w:val="9"/>
    </w:pPr>
    <w:rPr>
      <w:lang w:val="es-EC" w:eastAsia="es-EC"/>
    </w:rPr>
  </w:style>
  <w:style w:type="paragraph" w:styleId="TDC1">
    <w:name w:val="toc 1"/>
    <w:basedOn w:val="Normal"/>
    <w:next w:val="Normal"/>
    <w:autoRedefine/>
    <w:uiPriority w:val="39"/>
    <w:unhideWhenUsed/>
    <w:rsid w:val="007941B3"/>
    <w:pPr>
      <w:spacing w:after="100"/>
    </w:pPr>
  </w:style>
  <w:style w:type="paragraph" w:styleId="TDC2">
    <w:name w:val="toc 2"/>
    <w:basedOn w:val="Normal"/>
    <w:next w:val="Normal"/>
    <w:autoRedefine/>
    <w:uiPriority w:val="39"/>
    <w:unhideWhenUsed/>
    <w:rsid w:val="007941B3"/>
    <w:pPr>
      <w:spacing w:after="100"/>
      <w:ind w:left="220"/>
    </w:pPr>
  </w:style>
  <w:style w:type="paragraph" w:styleId="TDC3">
    <w:name w:val="toc 3"/>
    <w:basedOn w:val="Normal"/>
    <w:next w:val="Normal"/>
    <w:autoRedefine/>
    <w:uiPriority w:val="39"/>
    <w:unhideWhenUsed/>
    <w:rsid w:val="007941B3"/>
    <w:pPr>
      <w:spacing w:after="100"/>
      <w:ind w:left="440"/>
    </w:pPr>
  </w:style>
  <w:style w:type="character" w:styleId="Hipervnculo">
    <w:name w:val="Hyperlink"/>
    <w:basedOn w:val="Fuentedeprrafopredeter"/>
    <w:uiPriority w:val="99"/>
    <w:unhideWhenUsed/>
    <w:rsid w:val="007941B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941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CellMar>
        <w:left w:w="0" w:type="dxa"/>
        <w:right w:w="0" w:type="dxa"/>
      </w:tblCellMar>
    </w:tblPr>
  </w:style>
  <w:style w:type="table" w:styleId="Listaclara-nfasis3">
    <w:name w:val="Light List Accent 3"/>
    <w:basedOn w:val="Tablanormal"/>
    <w:uiPriority w:val="61"/>
    <w:rsid w:val="00297F66"/>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
    <w:link w:val="Prrafodelista"/>
    <w:uiPriority w:val="34"/>
    <w:rsid w:val="009C1B56"/>
  </w:style>
  <w:style w:type="character" w:customStyle="1" w:styleId="Ttulo1Car">
    <w:name w:val="Título 1 Car"/>
    <w:basedOn w:val="Fuentedeprrafopredeter"/>
    <w:link w:val="Ttulo1"/>
    <w:uiPriority w:val="9"/>
    <w:rsid w:val="007941B3"/>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7941B3"/>
    <w:pPr>
      <w:outlineLvl w:val="9"/>
    </w:pPr>
    <w:rPr>
      <w:lang w:val="es-EC" w:eastAsia="es-EC"/>
    </w:rPr>
  </w:style>
  <w:style w:type="paragraph" w:styleId="TDC1">
    <w:name w:val="toc 1"/>
    <w:basedOn w:val="Normal"/>
    <w:next w:val="Normal"/>
    <w:autoRedefine/>
    <w:uiPriority w:val="39"/>
    <w:unhideWhenUsed/>
    <w:rsid w:val="007941B3"/>
    <w:pPr>
      <w:spacing w:after="100"/>
    </w:pPr>
  </w:style>
  <w:style w:type="paragraph" w:styleId="TDC2">
    <w:name w:val="toc 2"/>
    <w:basedOn w:val="Normal"/>
    <w:next w:val="Normal"/>
    <w:autoRedefine/>
    <w:uiPriority w:val="39"/>
    <w:unhideWhenUsed/>
    <w:rsid w:val="007941B3"/>
    <w:pPr>
      <w:spacing w:after="100"/>
      <w:ind w:left="220"/>
    </w:pPr>
  </w:style>
  <w:style w:type="paragraph" w:styleId="TDC3">
    <w:name w:val="toc 3"/>
    <w:basedOn w:val="Normal"/>
    <w:next w:val="Normal"/>
    <w:autoRedefine/>
    <w:uiPriority w:val="39"/>
    <w:unhideWhenUsed/>
    <w:rsid w:val="007941B3"/>
    <w:pPr>
      <w:spacing w:after="100"/>
      <w:ind w:left="440"/>
    </w:pPr>
  </w:style>
  <w:style w:type="character" w:styleId="Hipervnculo">
    <w:name w:val="Hyperlink"/>
    <w:basedOn w:val="Fuentedeprrafopredeter"/>
    <w:uiPriority w:val="99"/>
    <w:unhideWhenUsed/>
    <w:rsid w:val="007941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6702">
      <w:bodyDiv w:val="1"/>
      <w:marLeft w:val="0"/>
      <w:marRight w:val="0"/>
      <w:marTop w:val="0"/>
      <w:marBottom w:val="0"/>
      <w:divBdr>
        <w:top w:val="none" w:sz="0" w:space="0" w:color="auto"/>
        <w:left w:val="none" w:sz="0" w:space="0" w:color="auto"/>
        <w:bottom w:val="none" w:sz="0" w:space="0" w:color="auto"/>
        <w:right w:val="none" w:sz="0" w:space="0" w:color="auto"/>
      </w:divBdr>
    </w:div>
    <w:div w:id="65542855">
      <w:bodyDiv w:val="1"/>
      <w:marLeft w:val="0"/>
      <w:marRight w:val="0"/>
      <w:marTop w:val="0"/>
      <w:marBottom w:val="0"/>
      <w:divBdr>
        <w:top w:val="none" w:sz="0" w:space="0" w:color="auto"/>
        <w:left w:val="none" w:sz="0" w:space="0" w:color="auto"/>
        <w:bottom w:val="none" w:sz="0" w:space="0" w:color="auto"/>
        <w:right w:val="none" w:sz="0" w:space="0" w:color="auto"/>
      </w:divBdr>
    </w:div>
    <w:div w:id="136187703">
      <w:bodyDiv w:val="1"/>
      <w:marLeft w:val="0"/>
      <w:marRight w:val="0"/>
      <w:marTop w:val="0"/>
      <w:marBottom w:val="0"/>
      <w:divBdr>
        <w:top w:val="none" w:sz="0" w:space="0" w:color="auto"/>
        <w:left w:val="none" w:sz="0" w:space="0" w:color="auto"/>
        <w:bottom w:val="none" w:sz="0" w:space="0" w:color="auto"/>
        <w:right w:val="none" w:sz="0" w:space="0" w:color="auto"/>
      </w:divBdr>
    </w:div>
    <w:div w:id="137454652">
      <w:bodyDiv w:val="1"/>
      <w:marLeft w:val="0"/>
      <w:marRight w:val="0"/>
      <w:marTop w:val="0"/>
      <w:marBottom w:val="0"/>
      <w:divBdr>
        <w:top w:val="none" w:sz="0" w:space="0" w:color="auto"/>
        <w:left w:val="none" w:sz="0" w:space="0" w:color="auto"/>
        <w:bottom w:val="none" w:sz="0" w:space="0" w:color="auto"/>
        <w:right w:val="none" w:sz="0" w:space="0" w:color="auto"/>
      </w:divBdr>
    </w:div>
    <w:div w:id="152307263">
      <w:bodyDiv w:val="1"/>
      <w:marLeft w:val="0"/>
      <w:marRight w:val="0"/>
      <w:marTop w:val="0"/>
      <w:marBottom w:val="0"/>
      <w:divBdr>
        <w:top w:val="none" w:sz="0" w:space="0" w:color="auto"/>
        <w:left w:val="none" w:sz="0" w:space="0" w:color="auto"/>
        <w:bottom w:val="none" w:sz="0" w:space="0" w:color="auto"/>
        <w:right w:val="none" w:sz="0" w:space="0" w:color="auto"/>
      </w:divBdr>
    </w:div>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673724373">
      <w:bodyDiv w:val="1"/>
      <w:marLeft w:val="0"/>
      <w:marRight w:val="0"/>
      <w:marTop w:val="0"/>
      <w:marBottom w:val="0"/>
      <w:divBdr>
        <w:top w:val="none" w:sz="0" w:space="0" w:color="auto"/>
        <w:left w:val="none" w:sz="0" w:space="0" w:color="auto"/>
        <w:bottom w:val="none" w:sz="0" w:space="0" w:color="auto"/>
        <w:right w:val="none" w:sz="0" w:space="0" w:color="auto"/>
      </w:divBdr>
    </w:div>
    <w:div w:id="691951692">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971523455">
      <w:bodyDiv w:val="1"/>
      <w:marLeft w:val="0"/>
      <w:marRight w:val="0"/>
      <w:marTop w:val="0"/>
      <w:marBottom w:val="0"/>
      <w:divBdr>
        <w:top w:val="none" w:sz="0" w:space="0" w:color="auto"/>
        <w:left w:val="none" w:sz="0" w:space="0" w:color="auto"/>
        <w:bottom w:val="none" w:sz="0" w:space="0" w:color="auto"/>
        <w:right w:val="none" w:sz="0" w:space="0" w:color="auto"/>
      </w:divBdr>
    </w:div>
    <w:div w:id="1034501573">
      <w:bodyDiv w:val="1"/>
      <w:marLeft w:val="0"/>
      <w:marRight w:val="0"/>
      <w:marTop w:val="0"/>
      <w:marBottom w:val="0"/>
      <w:divBdr>
        <w:top w:val="none" w:sz="0" w:space="0" w:color="auto"/>
        <w:left w:val="none" w:sz="0" w:space="0" w:color="auto"/>
        <w:bottom w:val="none" w:sz="0" w:space="0" w:color="auto"/>
        <w:right w:val="none" w:sz="0" w:space="0" w:color="auto"/>
      </w:divBdr>
    </w:div>
    <w:div w:id="1041512956">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113013829">
      <w:bodyDiv w:val="1"/>
      <w:marLeft w:val="0"/>
      <w:marRight w:val="0"/>
      <w:marTop w:val="0"/>
      <w:marBottom w:val="0"/>
      <w:divBdr>
        <w:top w:val="none" w:sz="0" w:space="0" w:color="auto"/>
        <w:left w:val="none" w:sz="0" w:space="0" w:color="auto"/>
        <w:bottom w:val="none" w:sz="0" w:space="0" w:color="auto"/>
        <w:right w:val="none" w:sz="0" w:space="0" w:color="auto"/>
      </w:divBdr>
    </w:div>
    <w:div w:id="1145859361">
      <w:bodyDiv w:val="1"/>
      <w:marLeft w:val="0"/>
      <w:marRight w:val="0"/>
      <w:marTop w:val="0"/>
      <w:marBottom w:val="0"/>
      <w:divBdr>
        <w:top w:val="none" w:sz="0" w:space="0" w:color="auto"/>
        <w:left w:val="none" w:sz="0" w:space="0" w:color="auto"/>
        <w:bottom w:val="none" w:sz="0" w:space="0" w:color="auto"/>
        <w:right w:val="none" w:sz="0" w:space="0" w:color="auto"/>
      </w:divBdr>
    </w:div>
    <w:div w:id="1642610847">
      <w:bodyDiv w:val="1"/>
      <w:marLeft w:val="0"/>
      <w:marRight w:val="0"/>
      <w:marTop w:val="0"/>
      <w:marBottom w:val="0"/>
      <w:divBdr>
        <w:top w:val="none" w:sz="0" w:space="0" w:color="auto"/>
        <w:left w:val="none" w:sz="0" w:space="0" w:color="auto"/>
        <w:bottom w:val="none" w:sz="0" w:space="0" w:color="auto"/>
        <w:right w:val="none" w:sz="0" w:space="0" w:color="auto"/>
      </w:divBdr>
    </w:div>
    <w:div w:id="1665888946">
      <w:bodyDiv w:val="1"/>
      <w:marLeft w:val="0"/>
      <w:marRight w:val="0"/>
      <w:marTop w:val="0"/>
      <w:marBottom w:val="0"/>
      <w:divBdr>
        <w:top w:val="none" w:sz="0" w:space="0" w:color="auto"/>
        <w:left w:val="none" w:sz="0" w:space="0" w:color="auto"/>
        <w:bottom w:val="none" w:sz="0" w:space="0" w:color="auto"/>
        <w:right w:val="none" w:sz="0" w:space="0" w:color="auto"/>
      </w:divBdr>
    </w:div>
    <w:div w:id="1669140798">
      <w:bodyDiv w:val="1"/>
      <w:marLeft w:val="0"/>
      <w:marRight w:val="0"/>
      <w:marTop w:val="0"/>
      <w:marBottom w:val="0"/>
      <w:divBdr>
        <w:top w:val="none" w:sz="0" w:space="0" w:color="auto"/>
        <w:left w:val="none" w:sz="0" w:space="0" w:color="auto"/>
        <w:bottom w:val="none" w:sz="0" w:space="0" w:color="auto"/>
        <w:right w:val="none" w:sz="0" w:space="0" w:color="auto"/>
      </w:divBdr>
    </w:div>
    <w:div w:id="1858539877">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069330862">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B9AAC1-2D84-45E8-AC55-794146165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26</Pages>
  <Words>5278</Words>
  <Characters>29029</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Título: Matriz de Priorización de (4) cuatro Procesos Adjetivos</vt:lpstr>
    </vt:vector>
  </TitlesOfParts>
  <Company>MicrElaborado</Company>
  <LinksUpToDate>false</LinksUpToDate>
  <CharactersWithSpaces>34239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Matriz de Priorización de (4) cuatro Procesos Adjetivos</dc:title>
  <dc:subject>Fase: Mejoramiento de Procesos Adjetivos</dc:subject>
  <dc:creator>Elaborado para:</dc:creator>
  <cp:keywords/>
  <dc:description/>
  <cp:lastModifiedBy>Jenn</cp:lastModifiedBy>
  <cp:revision>39</cp:revision>
  <cp:lastPrinted>2017-05-26T16:35:00Z</cp:lastPrinted>
  <dcterms:created xsi:type="dcterms:W3CDTF">2016-08-30T00:00:00Z</dcterms:created>
  <dcterms:modified xsi:type="dcterms:W3CDTF">2017-05-26T16:50:00Z</dcterms:modified>
</cp:coreProperties>
</file>