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8B3EE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213A91">
                                      <w:rPr>
                                        <w:rFonts w:ascii="Gadugi" w:eastAsiaTheme="majorEastAsia" w:hAnsi="Gadugi" w:cstheme="majorBidi"/>
                                        <w:b/>
                                        <w:color w:val="454545"/>
                                        <w:sz w:val="56"/>
                                        <w:szCs w:val="72"/>
                                      </w:rPr>
                                      <w:t>Título: Diagramas de Flujo de procesos adjetivos priorizados TO-BE automatizable en notación BPMN 2.0</w:t>
                                    </w:r>
                                  </w:sdtContent>
                                </w:sdt>
                              </w:p>
                              <w:p w:rsidR="00887609" w:rsidRPr="00E41A3D" w:rsidRDefault="008B3EE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Mejoramiento de Procesos Adjetivos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887609" w:rsidRPr="00E41A3D" w:rsidRDefault="008B3EE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213A91">
                                <w:rPr>
                                  <w:rFonts w:ascii="Gadugi" w:eastAsiaTheme="majorEastAsia" w:hAnsi="Gadugi" w:cstheme="majorBidi"/>
                                  <w:b/>
                                  <w:color w:val="454545"/>
                                  <w:sz w:val="56"/>
                                  <w:szCs w:val="72"/>
                                </w:rPr>
                                <w:t>Título: Diagramas de Flujo de procesos adjetivos priorizados TO-BE automatizable en notación BPMN 2.0</w:t>
                              </w:r>
                            </w:sdtContent>
                          </w:sdt>
                        </w:p>
                        <w:p w:rsidR="00887609" w:rsidRPr="00E41A3D" w:rsidRDefault="008B3EE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Mejoramiento de Procesos Adjetivos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17EE9C57"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bookmarkStart w:id="0" w:name="_GoBack"/>
          <w:bookmarkEnd w:id="0"/>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45975" w:rsidRDefault="009349DC" w:rsidP="00545975">
            <w:pPr>
              <w:pStyle w:val="Sinespaciado"/>
              <w:rPr>
                <w:rFonts w:ascii="Gadugi" w:eastAsiaTheme="minorHAnsi" w:hAnsi="Gadugi"/>
                <w:b/>
                <w:sz w:val="30"/>
                <w:szCs w:val="30"/>
                <w:lang w:val="es-ES" w:eastAsia="en-US"/>
              </w:rPr>
            </w:pPr>
            <w:r>
              <w:rPr>
                <w:rFonts w:ascii="Gadugi" w:eastAsiaTheme="minorHAnsi" w:hAnsi="Gadugi"/>
                <w:b/>
                <w:sz w:val="30"/>
                <w:szCs w:val="30"/>
                <w:lang w:val="es-ES" w:eastAsia="en-US"/>
              </w:rPr>
              <w:t xml:space="preserve">4.10. </w:t>
            </w:r>
            <w:r w:rsidR="00545975" w:rsidRPr="00545975">
              <w:rPr>
                <w:rFonts w:ascii="Gadugi" w:eastAsiaTheme="minorHAnsi" w:hAnsi="Gadugi"/>
                <w:b/>
                <w:sz w:val="30"/>
                <w:szCs w:val="30"/>
                <w:lang w:val="es-ES" w:eastAsia="en-US"/>
              </w:rPr>
              <w:t>Diagramas de Flujo de procesos adjetivos priorizados TO-BE a automatizable en notación BPMN 2.0</w:t>
            </w:r>
          </w:p>
          <w:p w:rsidR="00545975" w:rsidRPr="00545975" w:rsidRDefault="00545975" w:rsidP="00545975">
            <w:pPr>
              <w:pStyle w:val="Sinespaciado"/>
              <w:rPr>
                <w:rFonts w:ascii="Gadugi" w:eastAsiaTheme="minorHAnsi" w:hAnsi="Gadugi"/>
                <w:b/>
                <w:sz w:val="30"/>
                <w:szCs w:val="30"/>
                <w:lang w:val="es-ES" w:eastAsia="en-US"/>
              </w:rPr>
            </w:pP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B96BD7" w:rsidP="004C55D6">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925E39">
              <w:rPr>
                <w:rFonts w:ascii="Gadugi" w:hAnsi="Gadugi"/>
                <w:b/>
                <w:sz w:val="30"/>
                <w:szCs w:val="30"/>
              </w:rPr>
              <w:t>05</w:t>
            </w:r>
            <w:r w:rsidR="009349DC">
              <w:rPr>
                <w:rFonts w:ascii="Gadugi" w:hAnsi="Gadugi"/>
                <w:b/>
                <w:sz w:val="30"/>
                <w:szCs w:val="30"/>
              </w:rPr>
              <w:t>/2017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B96BD7" w:rsidP="009F5ED7">
            <w:pPr>
              <w:tabs>
                <w:tab w:val="clear" w:pos="5793"/>
              </w:tabs>
              <w:jc w:val="center"/>
              <w:rPr>
                <w:rFonts w:ascii="Gadugi" w:hAnsi="Gadugi"/>
                <w:sz w:val="20"/>
              </w:rPr>
            </w:pPr>
            <w:r>
              <w:rPr>
                <w:rFonts w:ascii="Gadugi" w:hAnsi="Gadugi"/>
                <w:sz w:val="20"/>
              </w:rPr>
              <w:t>17</w:t>
            </w:r>
            <w:r w:rsidR="00925E39">
              <w:rPr>
                <w:rFonts w:ascii="Gadugi" w:hAnsi="Gadugi"/>
                <w:sz w:val="20"/>
              </w:rPr>
              <w:t>/05</w:t>
            </w:r>
            <w:r w:rsidR="009349DC">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29112C" w:rsidP="00545975">
            <w:pPr>
              <w:tabs>
                <w:tab w:val="clear" w:pos="5793"/>
              </w:tabs>
              <w:jc w:val="left"/>
              <w:rPr>
                <w:rFonts w:ascii="Gadugi" w:hAnsi="Gadugi"/>
                <w:sz w:val="20"/>
              </w:rPr>
            </w:pPr>
            <w:r>
              <w:rPr>
                <w:rFonts w:ascii="Gadugi" w:hAnsi="Gadugi"/>
                <w:sz w:val="20"/>
              </w:rPr>
              <w:t xml:space="preserve">Diagramas de Flujo de Procesos Adjetivos Priorizados </w:t>
            </w:r>
            <w:r w:rsidR="00F20175">
              <w:rPr>
                <w:rFonts w:ascii="Gadugi" w:hAnsi="Gadugi"/>
                <w:sz w:val="20"/>
              </w:rPr>
              <w:t xml:space="preserve">TO-BE </w:t>
            </w:r>
            <w:r w:rsidR="00545975">
              <w:rPr>
                <w:rFonts w:ascii="Gadugi" w:hAnsi="Gadugi"/>
                <w:sz w:val="20"/>
              </w:rPr>
              <w:t>automatizable</w:t>
            </w:r>
            <w:r w:rsidR="00F20175">
              <w:rPr>
                <w:rFonts w:ascii="Gadugi" w:hAnsi="Gadugi"/>
                <w:sz w:val="20"/>
              </w:rPr>
              <w:t xml:space="preserve"> en notación</w:t>
            </w:r>
            <w:r>
              <w:rPr>
                <w:rFonts w:ascii="Gadugi" w:hAnsi="Gadugi"/>
                <w:sz w:val="20"/>
              </w:rPr>
              <w:t xml:space="preserve"> BPMN 2.0</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9349DC" w:rsidP="004C55D6">
            <w:pPr>
              <w:tabs>
                <w:tab w:val="clear" w:pos="5793"/>
              </w:tabs>
              <w:jc w:val="left"/>
              <w:rPr>
                <w:rFonts w:ascii="Gadugi" w:hAnsi="Gadugi"/>
                <w:sz w:val="20"/>
              </w:rPr>
            </w:pPr>
            <w:r>
              <w:rPr>
                <w:rFonts w:ascii="Gadugi" w:hAnsi="Gadugi"/>
                <w:sz w:val="20"/>
              </w:rPr>
              <w:t>MRProcessi Cía. Ltda.</w:t>
            </w:r>
          </w:p>
        </w:tc>
      </w:tr>
      <w:tr w:rsidR="00B96BD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B96BD7" w:rsidRPr="00521007" w:rsidRDefault="00B96BD7" w:rsidP="009C75B5">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B96BD7" w:rsidRPr="00521007" w:rsidRDefault="00B96BD7" w:rsidP="009C75B5">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B96BD7" w:rsidRPr="00521007" w:rsidRDefault="00B96BD7" w:rsidP="009C75B5">
            <w:pPr>
              <w:tabs>
                <w:tab w:val="clear" w:pos="5793"/>
              </w:tabs>
              <w:jc w:val="left"/>
              <w:rPr>
                <w:rFonts w:ascii="Gadugi" w:hAnsi="Gadugi"/>
                <w:sz w:val="20"/>
              </w:rPr>
            </w:pPr>
            <w:r>
              <w:rPr>
                <w:rFonts w:ascii="Gadugi" w:hAnsi="Gadugi"/>
                <w:sz w:val="20"/>
              </w:rPr>
              <w:t>Diagramas de Flujo de Procesos Adjetivos Priorizados TO-BE automatizable en notación BPMN 2.0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B96BD7" w:rsidRPr="00521007" w:rsidRDefault="00B96BD7" w:rsidP="009C75B5">
            <w:pPr>
              <w:tabs>
                <w:tab w:val="clear" w:pos="5793"/>
              </w:tabs>
              <w:jc w:val="left"/>
              <w:rPr>
                <w:rFonts w:ascii="Gadugi" w:hAnsi="Gadugi"/>
                <w:sz w:val="20"/>
              </w:rPr>
            </w:pPr>
            <w:r>
              <w:rPr>
                <w:rFonts w:ascii="Gadugi" w:hAnsi="Gadugi"/>
                <w:sz w:val="20"/>
              </w:rPr>
              <w:t>MRProcessi Cía. Ltda.</w:t>
            </w:r>
          </w:p>
        </w:tc>
      </w:tr>
      <w:tr w:rsidR="00B96BD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B96BD7" w:rsidRPr="00521007" w:rsidRDefault="00B96BD7"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B96BD7" w:rsidRPr="00521007" w:rsidRDefault="00B96BD7"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B96BD7" w:rsidRPr="00521007" w:rsidRDefault="00B96BD7"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B96BD7" w:rsidRPr="00521007" w:rsidRDefault="00B96BD7" w:rsidP="004C55D6">
            <w:pPr>
              <w:tabs>
                <w:tab w:val="clear" w:pos="5793"/>
              </w:tabs>
              <w:jc w:val="left"/>
              <w:rPr>
                <w:rFonts w:ascii="Gadugi" w:hAnsi="Gadugi"/>
                <w:sz w:val="20"/>
              </w:rPr>
            </w:pPr>
          </w:p>
        </w:tc>
      </w:tr>
    </w:tbl>
    <w:p w:rsidR="00521007" w:rsidRPr="00521007" w:rsidRDefault="00521007" w:rsidP="00521007">
      <w:pPr>
        <w:rPr>
          <w:rFonts w:ascii="Gadugi" w:hAnsi="Gadugi"/>
        </w:rPr>
      </w:pPr>
    </w:p>
    <w:p w:rsidR="00344003" w:rsidRPr="00646955" w:rsidRDefault="00344003" w:rsidP="009349DC">
      <w:pPr>
        <w:outlineLvl w:val="0"/>
        <w:rPr>
          <w:rFonts w:ascii="Gadugi" w:hAnsi="Gadugi"/>
          <w:b/>
          <w:sz w:val="20"/>
          <w:szCs w:val="20"/>
        </w:rPr>
      </w:pPr>
      <w:bookmarkStart w:id="1" w:name="_Toc481436468"/>
      <w:r w:rsidRPr="00646955">
        <w:rPr>
          <w:rFonts w:ascii="Gadugi" w:hAnsi="Gadugi"/>
          <w:b/>
          <w:sz w:val="20"/>
          <w:szCs w:val="20"/>
        </w:rPr>
        <w:lastRenderedPageBreak/>
        <w:t>ÍNDICE DE CONTENIDO</w:t>
      </w:r>
      <w:bookmarkEnd w:id="1"/>
    </w:p>
    <w:sdt>
      <w:sdtPr>
        <w:rPr>
          <w:rFonts w:ascii="Gadugi" w:eastAsiaTheme="minorHAnsi" w:hAnsi="Gadugi" w:cstheme="minorBidi"/>
          <w:color w:val="auto"/>
          <w:sz w:val="20"/>
          <w:szCs w:val="20"/>
          <w:lang w:val="es-ES" w:eastAsia="en-US"/>
        </w:rPr>
        <w:id w:val="10890846"/>
        <w:docPartObj>
          <w:docPartGallery w:val="Table of Contents"/>
          <w:docPartUnique/>
        </w:docPartObj>
      </w:sdtPr>
      <w:sdtEndPr>
        <w:rPr>
          <w:b/>
          <w:bCs/>
        </w:rPr>
      </w:sdtEndPr>
      <w:sdtContent>
        <w:p w:rsidR="009349DC" w:rsidRPr="00646955" w:rsidRDefault="009349DC">
          <w:pPr>
            <w:pStyle w:val="TtulodeTDC"/>
            <w:rPr>
              <w:rFonts w:ascii="Gadugi" w:hAnsi="Gadugi"/>
              <w:sz w:val="20"/>
              <w:szCs w:val="20"/>
            </w:rPr>
          </w:pPr>
        </w:p>
        <w:p w:rsidR="003A755F" w:rsidRPr="00646955" w:rsidRDefault="009349DC">
          <w:pPr>
            <w:pStyle w:val="TDC1"/>
            <w:tabs>
              <w:tab w:val="right" w:leader="dot" w:pos="9628"/>
            </w:tabs>
            <w:rPr>
              <w:rFonts w:eastAsiaTheme="minorEastAsia"/>
              <w:noProof/>
              <w:sz w:val="20"/>
              <w:szCs w:val="20"/>
              <w:lang w:val="es-EC" w:eastAsia="es-EC"/>
            </w:rPr>
          </w:pPr>
          <w:r w:rsidRPr="00646955">
            <w:rPr>
              <w:rFonts w:ascii="Gadugi" w:hAnsi="Gadugi"/>
              <w:sz w:val="20"/>
              <w:szCs w:val="20"/>
            </w:rPr>
            <w:fldChar w:fldCharType="begin"/>
          </w:r>
          <w:r w:rsidRPr="00646955">
            <w:rPr>
              <w:rFonts w:ascii="Gadugi" w:hAnsi="Gadugi"/>
              <w:sz w:val="20"/>
              <w:szCs w:val="20"/>
            </w:rPr>
            <w:instrText xml:space="preserve"> TOC \o "1-3" \h \z \u </w:instrText>
          </w:r>
          <w:r w:rsidRPr="00646955">
            <w:rPr>
              <w:rFonts w:ascii="Gadugi" w:hAnsi="Gadugi"/>
              <w:sz w:val="20"/>
              <w:szCs w:val="20"/>
            </w:rPr>
            <w:fldChar w:fldCharType="separate"/>
          </w:r>
          <w:hyperlink w:anchor="_Toc481436468" w:history="1">
            <w:r w:rsidR="003A755F" w:rsidRPr="00646955">
              <w:rPr>
                <w:rStyle w:val="Hipervnculo"/>
                <w:rFonts w:ascii="Gadugi" w:hAnsi="Gadugi"/>
                <w:b/>
                <w:noProof/>
                <w:sz w:val="20"/>
                <w:szCs w:val="20"/>
              </w:rPr>
              <w:t>ÍNDICE DE CONTENIDO</w:t>
            </w:r>
            <w:r w:rsidR="003A755F" w:rsidRPr="00646955">
              <w:rPr>
                <w:noProof/>
                <w:webHidden/>
                <w:sz w:val="20"/>
                <w:szCs w:val="20"/>
              </w:rPr>
              <w:tab/>
            </w:r>
            <w:r w:rsidR="003A755F" w:rsidRPr="00646955">
              <w:rPr>
                <w:noProof/>
                <w:webHidden/>
                <w:sz w:val="20"/>
                <w:szCs w:val="20"/>
              </w:rPr>
              <w:fldChar w:fldCharType="begin"/>
            </w:r>
            <w:r w:rsidR="003A755F" w:rsidRPr="00646955">
              <w:rPr>
                <w:noProof/>
                <w:webHidden/>
                <w:sz w:val="20"/>
                <w:szCs w:val="20"/>
              </w:rPr>
              <w:instrText xml:space="preserve"> PAGEREF _Toc481436468 \h </w:instrText>
            </w:r>
            <w:r w:rsidR="003A755F" w:rsidRPr="00646955">
              <w:rPr>
                <w:noProof/>
                <w:webHidden/>
                <w:sz w:val="20"/>
                <w:szCs w:val="20"/>
              </w:rPr>
            </w:r>
            <w:r w:rsidR="003A755F" w:rsidRPr="00646955">
              <w:rPr>
                <w:noProof/>
                <w:webHidden/>
                <w:sz w:val="20"/>
                <w:szCs w:val="20"/>
              </w:rPr>
              <w:fldChar w:fldCharType="separate"/>
            </w:r>
            <w:r w:rsidR="00646955">
              <w:rPr>
                <w:noProof/>
                <w:webHidden/>
                <w:sz w:val="20"/>
                <w:szCs w:val="20"/>
              </w:rPr>
              <w:t>2</w:t>
            </w:r>
            <w:r w:rsidR="003A755F" w:rsidRPr="00646955">
              <w:rPr>
                <w:noProof/>
                <w:webHidden/>
                <w:sz w:val="20"/>
                <w:szCs w:val="20"/>
              </w:rPr>
              <w:fldChar w:fldCharType="end"/>
            </w:r>
          </w:hyperlink>
        </w:p>
        <w:p w:rsidR="003A755F" w:rsidRPr="00646955" w:rsidRDefault="008B3EE4">
          <w:pPr>
            <w:pStyle w:val="TDC1"/>
            <w:tabs>
              <w:tab w:val="left" w:pos="440"/>
              <w:tab w:val="right" w:leader="dot" w:pos="9628"/>
            </w:tabs>
            <w:rPr>
              <w:rFonts w:eastAsiaTheme="minorEastAsia"/>
              <w:noProof/>
              <w:sz w:val="20"/>
              <w:szCs w:val="20"/>
              <w:lang w:val="es-EC" w:eastAsia="es-EC"/>
            </w:rPr>
          </w:pPr>
          <w:hyperlink w:anchor="_Toc481436469" w:history="1">
            <w:r w:rsidR="003A755F" w:rsidRPr="00646955">
              <w:rPr>
                <w:rStyle w:val="Hipervnculo"/>
                <w:rFonts w:ascii="Gadugi" w:hAnsi="Gadugi"/>
                <w:b/>
                <w:noProof/>
                <w:sz w:val="20"/>
                <w:szCs w:val="20"/>
              </w:rPr>
              <w:t>1.</w:t>
            </w:r>
            <w:r w:rsidR="003A755F" w:rsidRPr="00646955">
              <w:rPr>
                <w:rFonts w:eastAsiaTheme="minorEastAsia"/>
                <w:noProof/>
                <w:sz w:val="20"/>
                <w:szCs w:val="20"/>
                <w:lang w:val="es-EC" w:eastAsia="es-EC"/>
              </w:rPr>
              <w:tab/>
            </w:r>
            <w:r w:rsidR="003A755F" w:rsidRPr="00646955">
              <w:rPr>
                <w:rStyle w:val="Hipervnculo"/>
                <w:rFonts w:ascii="Gadugi" w:hAnsi="Gadugi"/>
                <w:b/>
                <w:noProof/>
                <w:sz w:val="20"/>
                <w:szCs w:val="20"/>
              </w:rPr>
              <w:t>INTRODUCCIÓN</w:t>
            </w:r>
            <w:r w:rsidR="003A755F" w:rsidRPr="00646955">
              <w:rPr>
                <w:noProof/>
                <w:webHidden/>
                <w:sz w:val="20"/>
                <w:szCs w:val="20"/>
              </w:rPr>
              <w:tab/>
            </w:r>
            <w:r w:rsidR="003A755F" w:rsidRPr="00646955">
              <w:rPr>
                <w:noProof/>
                <w:webHidden/>
                <w:sz w:val="20"/>
                <w:szCs w:val="20"/>
              </w:rPr>
              <w:fldChar w:fldCharType="begin"/>
            </w:r>
            <w:r w:rsidR="003A755F" w:rsidRPr="00646955">
              <w:rPr>
                <w:noProof/>
                <w:webHidden/>
                <w:sz w:val="20"/>
                <w:szCs w:val="20"/>
              </w:rPr>
              <w:instrText xml:space="preserve"> PAGEREF _Toc481436469 \h </w:instrText>
            </w:r>
            <w:r w:rsidR="003A755F" w:rsidRPr="00646955">
              <w:rPr>
                <w:noProof/>
                <w:webHidden/>
                <w:sz w:val="20"/>
                <w:szCs w:val="20"/>
              </w:rPr>
            </w:r>
            <w:r w:rsidR="003A755F" w:rsidRPr="00646955">
              <w:rPr>
                <w:noProof/>
                <w:webHidden/>
                <w:sz w:val="20"/>
                <w:szCs w:val="20"/>
              </w:rPr>
              <w:fldChar w:fldCharType="separate"/>
            </w:r>
            <w:r w:rsidR="00646955">
              <w:rPr>
                <w:noProof/>
                <w:webHidden/>
                <w:sz w:val="20"/>
                <w:szCs w:val="20"/>
              </w:rPr>
              <w:t>3</w:t>
            </w:r>
            <w:r w:rsidR="003A755F" w:rsidRPr="00646955">
              <w:rPr>
                <w:noProof/>
                <w:webHidden/>
                <w:sz w:val="20"/>
                <w:szCs w:val="20"/>
              </w:rPr>
              <w:fldChar w:fldCharType="end"/>
            </w:r>
          </w:hyperlink>
        </w:p>
        <w:p w:rsidR="003A755F" w:rsidRPr="00646955" w:rsidRDefault="008B3EE4">
          <w:pPr>
            <w:pStyle w:val="TDC2"/>
            <w:tabs>
              <w:tab w:val="left" w:pos="880"/>
              <w:tab w:val="right" w:leader="dot" w:pos="9628"/>
            </w:tabs>
            <w:rPr>
              <w:rFonts w:eastAsiaTheme="minorEastAsia"/>
              <w:noProof/>
              <w:sz w:val="20"/>
              <w:szCs w:val="20"/>
              <w:lang w:val="es-EC" w:eastAsia="es-EC"/>
            </w:rPr>
          </w:pPr>
          <w:hyperlink w:anchor="_Toc481436470" w:history="1">
            <w:r w:rsidR="003A755F" w:rsidRPr="00646955">
              <w:rPr>
                <w:rStyle w:val="Hipervnculo"/>
                <w:rFonts w:ascii="Gadugi" w:hAnsi="Gadugi"/>
                <w:b/>
                <w:noProof/>
                <w:sz w:val="20"/>
                <w:szCs w:val="20"/>
              </w:rPr>
              <w:t>1.1.</w:t>
            </w:r>
            <w:r w:rsidR="003A755F" w:rsidRPr="00646955">
              <w:rPr>
                <w:rFonts w:eastAsiaTheme="minorEastAsia"/>
                <w:noProof/>
                <w:sz w:val="20"/>
                <w:szCs w:val="20"/>
                <w:lang w:val="es-EC" w:eastAsia="es-EC"/>
              </w:rPr>
              <w:tab/>
            </w:r>
            <w:r w:rsidR="003A755F" w:rsidRPr="00646955">
              <w:rPr>
                <w:rStyle w:val="Hipervnculo"/>
                <w:rFonts w:ascii="Gadugi" w:hAnsi="Gadugi"/>
                <w:b/>
                <w:noProof/>
                <w:sz w:val="20"/>
                <w:szCs w:val="20"/>
              </w:rPr>
              <w:t>Propósito del documento</w:t>
            </w:r>
            <w:r w:rsidR="003A755F" w:rsidRPr="00646955">
              <w:rPr>
                <w:noProof/>
                <w:webHidden/>
                <w:sz w:val="20"/>
                <w:szCs w:val="20"/>
              </w:rPr>
              <w:tab/>
            </w:r>
            <w:r w:rsidR="003A755F" w:rsidRPr="00646955">
              <w:rPr>
                <w:noProof/>
                <w:webHidden/>
                <w:sz w:val="20"/>
                <w:szCs w:val="20"/>
              </w:rPr>
              <w:fldChar w:fldCharType="begin"/>
            </w:r>
            <w:r w:rsidR="003A755F" w:rsidRPr="00646955">
              <w:rPr>
                <w:noProof/>
                <w:webHidden/>
                <w:sz w:val="20"/>
                <w:szCs w:val="20"/>
              </w:rPr>
              <w:instrText xml:space="preserve"> PAGEREF _Toc481436470 \h </w:instrText>
            </w:r>
            <w:r w:rsidR="003A755F" w:rsidRPr="00646955">
              <w:rPr>
                <w:noProof/>
                <w:webHidden/>
                <w:sz w:val="20"/>
                <w:szCs w:val="20"/>
              </w:rPr>
            </w:r>
            <w:r w:rsidR="003A755F" w:rsidRPr="00646955">
              <w:rPr>
                <w:noProof/>
                <w:webHidden/>
                <w:sz w:val="20"/>
                <w:szCs w:val="20"/>
              </w:rPr>
              <w:fldChar w:fldCharType="separate"/>
            </w:r>
            <w:r w:rsidR="00646955">
              <w:rPr>
                <w:noProof/>
                <w:webHidden/>
                <w:sz w:val="20"/>
                <w:szCs w:val="20"/>
              </w:rPr>
              <w:t>4</w:t>
            </w:r>
            <w:r w:rsidR="003A755F" w:rsidRPr="00646955">
              <w:rPr>
                <w:noProof/>
                <w:webHidden/>
                <w:sz w:val="20"/>
                <w:szCs w:val="20"/>
              </w:rPr>
              <w:fldChar w:fldCharType="end"/>
            </w:r>
          </w:hyperlink>
        </w:p>
        <w:p w:rsidR="003A755F" w:rsidRPr="00646955" w:rsidRDefault="008B3EE4">
          <w:pPr>
            <w:pStyle w:val="TDC1"/>
            <w:tabs>
              <w:tab w:val="left" w:pos="440"/>
              <w:tab w:val="right" w:leader="dot" w:pos="9628"/>
            </w:tabs>
            <w:rPr>
              <w:rFonts w:eastAsiaTheme="minorEastAsia"/>
              <w:noProof/>
              <w:sz w:val="20"/>
              <w:szCs w:val="20"/>
              <w:lang w:val="es-EC" w:eastAsia="es-EC"/>
            </w:rPr>
          </w:pPr>
          <w:hyperlink w:anchor="_Toc481436471" w:history="1">
            <w:r w:rsidR="003A755F" w:rsidRPr="00646955">
              <w:rPr>
                <w:rStyle w:val="Hipervnculo"/>
                <w:rFonts w:ascii="Gadugi" w:hAnsi="Gadugi"/>
                <w:b/>
                <w:noProof/>
                <w:sz w:val="20"/>
                <w:szCs w:val="20"/>
              </w:rPr>
              <w:t>2.</w:t>
            </w:r>
            <w:r w:rsidR="003A755F" w:rsidRPr="00646955">
              <w:rPr>
                <w:rFonts w:eastAsiaTheme="minorEastAsia"/>
                <w:noProof/>
                <w:sz w:val="20"/>
                <w:szCs w:val="20"/>
                <w:lang w:val="es-EC" w:eastAsia="es-EC"/>
              </w:rPr>
              <w:tab/>
            </w:r>
            <w:r w:rsidR="003A755F" w:rsidRPr="00646955">
              <w:rPr>
                <w:rStyle w:val="Hipervnculo"/>
                <w:rFonts w:ascii="Gadugi" w:hAnsi="Gadugi"/>
                <w:b/>
                <w:noProof/>
                <w:sz w:val="20"/>
                <w:szCs w:val="20"/>
              </w:rPr>
              <w:t>PROCESOS ADJETIVOS PRIORIZADOS</w:t>
            </w:r>
            <w:r w:rsidR="003A755F" w:rsidRPr="00646955">
              <w:rPr>
                <w:noProof/>
                <w:webHidden/>
                <w:sz w:val="20"/>
                <w:szCs w:val="20"/>
              </w:rPr>
              <w:tab/>
            </w:r>
            <w:r w:rsidR="003A755F" w:rsidRPr="00646955">
              <w:rPr>
                <w:noProof/>
                <w:webHidden/>
                <w:sz w:val="20"/>
                <w:szCs w:val="20"/>
              </w:rPr>
              <w:fldChar w:fldCharType="begin"/>
            </w:r>
            <w:r w:rsidR="003A755F" w:rsidRPr="00646955">
              <w:rPr>
                <w:noProof/>
                <w:webHidden/>
                <w:sz w:val="20"/>
                <w:szCs w:val="20"/>
              </w:rPr>
              <w:instrText xml:space="preserve"> PAGEREF _Toc481436471 \h </w:instrText>
            </w:r>
            <w:r w:rsidR="003A755F" w:rsidRPr="00646955">
              <w:rPr>
                <w:noProof/>
                <w:webHidden/>
                <w:sz w:val="20"/>
                <w:szCs w:val="20"/>
              </w:rPr>
            </w:r>
            <w:r w:rsidR="003A755F" w:rsidRPr="00646955">
              <w:rPr>
                <w:noProof/>
                <w:webHidden/>
                <w:sz w:val="20"/>
                <w:szCs w:val="20"/>
              </w:rPr>
              <w:fldChar w:fldCharType="separate"/>
            </w:r>
            <w:r w:rsidR="00646955">
              <w:rPr>
                <w:noProof/>
                <w:webHidden/>
                <w:sz w:val="20"/>
                <w:szCs w:val="20"/>
              </w:rPr>
              <w:t>4</w:t>
            </w:r>
            <w:r w:rsidR="003A755F" w:rsidRPr="00646955">
              <w:rPr>
                <w:noProof/>
                <w:webHidden/>
                <w:sz w:val="20"/>
                <w:szCs w:val="20"/>
              </w:rPr>
              <w:fldChar w:fldCharType="end"/>
            </w:r>
          </w:hyperlink>
        </w:p>
        <w:p w:rsidR="003A755F" w:rsidRPr="00646955" w:rsidRDefault="008B3EE4">
          <w:pPr>
            <w:pStyle w:val="TDC1"/>
            <w:tabs>
              <w:tab w:val="left" w:pos="440"/>
              <w:tab w:val="right" w:leader="dot" w:pos="9628"/>
            </w:tabs>
            <w:rPr>
              <w:rFonts w:eastAsiaTheme="minorEastAsia"/>
              <w:noProof/>
              <w:sz w:val="20"/>
              <w:szCs w:val="20"/>
              <w:lang w:val="es-EC" w:eastAsia="es-EC"/>
            </w:rPr>
          </w:pPr>
          <w:hyperlink w:anchor="_Toc481436472" w:history="1">
            <w:r w:rsidR="003A755F" w:rsidRPr="00646955">
              <w:rPr>
                <w:rStyle w:val="Hipervnculo"/>
                <w:rFonts w:ascii="Gadugi" w:hAnsi="Gadugi"/>
                <w:b/>
                <w:noProof/>
                <w:sz w:val="20"/>
                <w:szCs w:val="20"/>
              </w:rPr>
              <w:t>3.</w:t>
            </w:r>
            <w:r w:rsidR="003A755F" w:rsidRPr="00646955">
              <w:rPr>
                <w:rFonts w:eastAsiaTheme="minorEastAsia"/>
                <w:noProof/>
                <w:sz w:val="20"/>
                <w:szCs w:val="20"/>
                <w:lang w:val="es-EC" w:eastAsia="es-EC"/>
              </w:rPr>
              <w:tab/>
            </w:r>
            <w:r w:rsidR="003A755F" w:rsidRPr="00646955">
              <w:rPr>
                <w:rStyle w:val="Hipervnculo"/>
                <w:rFonts w:ascii="Gadugi" w:hAnsi="Gadugi"/>
                <w:b/>
                <w:noProof/>
                <w:sz w:val="20"/>
                <w:szCs w:val="20"/>
              </w:rPr>
              <w:t>DIAGRAMAS DE FLUJO AUTOMATIZABLES</w:t>
            </w:r>
            <w:r w:rsidR="003A755F" w:rsidRPr="00646955">
              <w:rPr>
                <w:noProof/>
                <w:webHidden/>
                <w:sz w:val="20"/>
                <w:szCs w:val="20"/>
              </w:rPr>
              <w:tab/>
            </w:r>
            <w:r w:rsidR="003A755F" w:rsidRPr="00646955">
              <w:rPr>
                <w:noProof/>
                <w:webHidden/>
                <w:sz w:val="20"/>
                <w:szCs w:val="20"/>
              </w:rPr>
              <w:fldChar w:fldCharType="begin"/>
            </w:r>
            <w:r w:rsidR="003A755F" w:rsidRPr="00646955">
              <w:rPr>
                <w:noProof/>
                <w:webHidden/>
                <w:sz w:val="20"/>
                <w:szCs w:val="20"/>
              </w:rPr>
              <w:instrText xml:space="preserve"> PAGEREF _Toc481436472 \h </w:instrText>
            </w:r>
            <w:r w:rsidR="003A755F" w:rsidRPr="00646955">
              <w:rPr>
                <w:noProof/>
                <w:webHidden/>
                <w:sz w:val="20"/>
                <w:szCs w:val="20"/>
              </w:rPr>
            </w:r>
            <w:r w:rsidR="003A755F" w:rsidRPr="00646955">
              <w:rPr>
                <w:noProof/>
                <w:webHidden/>
                <w:sz w:val="20"/>
                <w:szCs w:val="20"/>
              </w:rPr>
              <w:fldChar w:fldCharType="separate"/>
            </w:r>
            <w:r w:rsidR="00646955">
              <w:rPr>
                <w:noProof/>
                <w:webHidden/>
                <w:sz w:val="20"/>
                <w:szCs w:val="20"/>
              </w:rPr>
              <w:t>5</w:t>
            </w:r>
            <w:r w:rsidR="003A755F" w:rsidRPr="00646955">
              <w:rPr>
                <w:noProof/>
                <w:webHidden/>
                <w:sz w:val="20"/>
                <w:szCs w:val="20"/>
              </w:rPr>
              <w:fldChar w:fldCharType="end"/>
            </w:r>
          </w:hyperlink>
        </w:p>
        <w:p w:rsidR="009349DC" w:rsidRPr="00646955" w:rsidRDefault="009349DC">
          <w:pPr>
            <w:rPr>
              <w:rFonts w:ascii="Gadugi" w:hAnsi="Gadugi"/>
              <w:sz w:val="20"/>
              <w:szCs w:val="20"/>
            </w:rPr>
          </w:pPr>
          <w:r w:rsidRPr="00646955">
            <w:rPr>
              <w:rFonts w:ascii="Gadugi" w:hAnsi="Gadugi"/>
              <w:b/>
              <w:bCs/>
              <w:sz w:val="20"/>
              <w:szCs w:val="20"/>
            </w:rPr>
            <w:fldChar w:fldCharType="end"/>
          </w:r>
        </w:p>
      </w:sdtContent>
    </w:sdt>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Default="009349DC" w:rsidP="009349DC">
      <w:pPr>
        <w:outlineLvl w:val="0"/>
        <w:rPr>
          <w:rFonts w:ascii="Gadugi" w:hAnsi="Gadugi"/>
          <w:b/>
          <w:sz w:val="24"/>
          <w:szCs w:val="24"/>
        </w:rPr>
      </w:pPr>
    </w:p>
    <w:p w:rsidR="00BC4D55" w:rsidRPr="00C94F2E" w:rsidRDefault="00BC4D55" w:rsidP="009349DC">
      <w:pPr>
        <w:outlineLvl w:val="0"/>
        <w:rPr>
          <w:rFonts w:ascii="Gadugi" w:hAnsi="Gadugi"/>
          <w:b/>
          <w:sz w:val="24"/>
          <w:szCs w:val="24"/>
        </w:rPr>
      </w:pPr>
    </w:p>
    <w:p w:rsidR="009349DC" w:rsidRPr="00C94F2E" w:rsidRDefault="009349DC" w:rsidP="009349DC">
      <w:pPr>
        <w:outlineLvl w:val="0"/>
        <w:rPr>
          <w:rFonts w:ascii="Gadugi" w:hAnsi="Gadugi"/>
          <w:b/>
          <w:sz w:val="24"/>
          <w:szCs w:val="24"/>
        </w:rPr>
      </w:pPr>
    </w:p>
    <w:p w:rsidR="009349DC" w:rsidRPr="00B96BD7" w:rsidRDefault="009349DC" w:rsidP="009349DC">
      <w:pPr>
        <w:pStyle w:val="Prrafodelista"/>
        <w:numPr>
          <w:ilvl w:val="0"/>
          <w:numId w:val="2"/>
        </w:numPr>
        <w:outlineLvl w:val="0"/>
        <w:rPr>
          <w:rFonts w:ascii="Gadugi" w:hAnsi="Gadugi"/>
          <w:b/>
          <w:sz w:val="20"/>
        </w:rPr>
      </w:pPr>
      <w:bookmarkStart w:id="2" w:name="_Toc479534159"/>
      <w:bookmarkStart w:id="3" w:name="_Toc479534586"/>
      <w:bookmarkStart w:id="4" w:name="_Toc479712527"/>
      <w:bookmarkStart w:id="5" w:name="_Toc481436469"/>
      <w:r w:rsidRPr="00B96BD7">
        <w:rPr>
          <w:rFonts w:ascii="Gadugi" w:hAnsi="Gadugi"/>
          <w:b/>
          <w:sz w:val="20"/>
        </w:rPr>
        <w:lastRenderedPageBreak/>
        <w:t>INTRODUCCIÓN</w:t>
      </w:r>
      <w:bookmarkEnd w:id="2"/>
      <w:bookmarkEnd w:id="3"/>
      <w:bookmarkEnd w:id="4"/>
      <w:bookmarkEnd w:id="5"/>
    </w:p>
    <w:p w:rsidR="009349DC" w:rsidRPr="00B96BD7" w:rsidRDefault="009349DC" w:rsidP="009349DC">
      <w:pPr>
        <w:ind w:left="360"/>
        <w:jc w:val="both"/>
        <w:rPr>
          <w:rFonts w:ascii="Gadugi" w:hAnsi="Gadugi"/>
          <w:sz w:val="20"/>
        </w:rPr>
      </w:pPr>
      <w:r w:rsidRPr="00B96BD7">
        <w:rPr>
          <w:rFonts w:ascii="Gadugi" w:hAnsi="Gadugi"/>
          <w:sz w:val="20"/>
        </w:rPr>
        <w:t xml:space="preserve">Como parte del Contrato LCC-SGP-003-2016 de prestación de servicios de consultoría para la </w:t>
      </w:r>
      <w:r w:rsidRPr="00B96BD7">
        <w:rPr>
          <w:rFonts w:ascii="Gadugi" w:hAnsi="Gadugi"/>
          <w:b/>
          <w:sz w:val="20"/>
        </w:rPr>
        <w:t>“Determinación del Modelo de Prestación de Servicio y Administración por Procesos para el Municipio del Distrito Metropolitano de Quito”</w:t>
      </w:r>
      <w:r w:rsidRPr="00B96BD7">
        <w:rPr>
          <w:rFonts w:ascii="Gadugi" w:hAnsi="Gadugi"/>
          <w:sz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9349DC" w:rsidRPr="00B96BD7" w:rsidRDefault="009349DC" w:rsidP="009349DC">
      <w:pPr>
        <w:ind w:left="360"/>
        <w:jc w:val="both"/>
        <w:rPr>
          <w:rFonts w:ascii="Gadugi" w:hAnsi="Gadugi"/>
          <w:sz w:val="20"/>
        </w:rPr>
      </w:pPr>
      <w:r w:rsidRPr="00B96BD7">
        <w:rPr>
          <w:rFonts w:ascii="Gadugi" w:hAnsi="Gadugi"/>
          <w:sz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9349DC" w:rsidRPr="00B96BD7" w:rsidRDefault="009349DC" w:rsidP="009349DC">
      <w:pPr>
        <w:ind w:left="360"/>
        <w:jc w:val="both"/>
        <w:rPr>
          <w:rFonts w:ascii="Gadugi" w:hAnsi="Gadugi"/>
          <w:sz w:val="20"/>
        </w:rPr>
      </w:pPr>
      <w:r w:rsidRPr="00B96BD7">
        <w:rPr>
          <w:rFonts w:ascii="Gadugi" w:hAnsi="Gadugi"/>
          <w:sz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9349DC" w:rsidRPr="00B96BD7" w:rsidRDefault="009349DC" w:rsidP="009349DC">
      <w:pPr>
        <w:ind w:left="360"/>
        <w:jc w:val="both"/>
        <w:rPr>
          <w:rFonts w:ascii="Gadugi" w:hAnsi="Gadugi"/>
          <w:sz w:val="20"/>
        </w:rPr>
      </w:pPr>
      <w:r w:rsidRPr="00B96BD7">
        <w:rPr>
          <w:rFonts w:ascii="Gadugi" w:hAnsi="Gadugi"/>
          <w:sz w:val="20"/>
        </w:rPr>
        <w:t>Este documento forma parte del grupo de productos entregables que cubre el alcance de los cuatro (4) procesos adjetivos priorizados en base a los requerimientos definidos.</w:t>
      </w:r>
    </w:p>
    <w:p w:rsidR="009349DC" w:rsidRPr="00B96BD7" w:rsidRDefault="009349DC" w:rsidP="00B96BD7">
      <w:pPr>
        <w:ind w:left="360"/>
        <w:jc w:val="both"/>
        <w:rPr>
          <w:rFonts w:ascii="Gadugi" w:hAnsi="Gadugi"/>
          <w:sz w:val="20"/>
          <w:szCs w:val="20"/>
        </w:rPr>
      </w:pPr>
      <w:r w:rsidRPr="00B96BD7">
        <w:rPr>
          <w:rFonts w:ascii="Gadugi" w:hAnsi="Gadugi"/>
          <w:sz w:val="20"/>
          <w:szCs w:val="20"/>
        </w:rPr>
        <w:t>A continuación se detallan los procesos adjetivos priorizados:</w:t>
      </w:r>
    </w:p>
    <w:tbl>
      <w:tblPr>
        <w:tblStyle w:val="Listaclara-nfasis3"/>
        <w:tblW w:w="5000" w:type="pct"/>
        <w:tblInd w:w="360" w:type="dxa"/>
        <w:tblLook w:val="04A0" w:firstRow="1" w:lastRow="0" w:firstColumn="1" w:lastColumn="0" w:noHBand="0" w:noVBand="1"/>
      </w:tblPr>
      <w:tblGrid>
        <w:gridCol w:w="672"/>
        <w:gridCol w:w="9182"/>
      </w:tblGrid>
      <w:tr w:rsidR="009349DC" w:rsidRPr="00B96BD7" w:rsidTr="001C3E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9349DC" w:rsidRPr="00B96BD7" w:rsidRDefault="009349DC" w:rsidP="00B96BD7">
            <w:pPr>
              <w:jc w:val="both"/>
              <w:rPr>
                <w:rFonts w:ascii="Gadugi" w:hAnsi="Gadugi"/>
                <w:sz w:val="20"/>
                <w:szCs w:val="20"/>
              </w:rPr>
            </w:pPr>
            <w:r w:rsidRPr="00B96BD7">
              <w:rPr>
                <w:rFonts w:ascii="Gadugi" w:hAnsi="Gadugi"/>
                <w:sz w:val="20"/>
                <w:szCs w:val="20"/>
              </w:rPr>
              <w:t>Procesos priorizados</w:t>
            </w:r>
          </w:p>
        </w:tc>
      </w:tr>
      <w:tr w:rsidR="009349DC" w:rsidRPr="00B96BD7" w:rsidTr="001C3E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9349DC" w:rsidRPr="00B96BD7" w:rsidRDefault="009349DC" w:rsidP="00B96BD7">
            <w:pPr>
              <w:jc w:val="both"/>
              <w:rPr>
                <w:rFonts w:ascii="Gadugi" w:hAnsi="Gadugi"/>
                <w:sz w:val="20"/>
                <w:szCs w:val="20"/>
              </w:rPr>
            </w:pPr>
            <w:r w:rsidRPr="00B96BD7">
              <w:rPr>
                <w:rFonts w:ascii="Gadugi" w:hAnsi="Gadugi"/>
                <w:sz w:val="20"/>
                <w:szCs w:val="20"/>
              </w:rPr>
              <w:t>No.</w:t>
            </w:r>
          </w:p>
        </w:tc>
        <w:tc>
          <w:tcPr>
            <w:tcW w:w="4659" w:type="pct"/>
          </w:tcPr>
          <w:p w:rsidR="009349DC" w:rsidRPr="00B96BD7" w:rsidRDefault="009349DC" w:rsidP="00B96BD7">
            <w:pPr>
              <w:jc w:val="both"/>
              <w:cnfStyle w:val="000000100000" w:firstRow="0" w:lastRow="0" w:firstColumn="0" w:lastColumn="0" w:oddVBand="0" w:evenVBand="0" w:oddHBand="1" w:evenHBand="0" w:firstRowFirstColumn="0" w:firstRowLastColumn="0" w:lastRowFirstColumn="0" w:lastRowLastColumn="0"/>
              <w:rPr>
                <w:rFonts w:ascii="Gadugi" w:hAnsi="Gadugi"/>
                <w:b/>
                <w:sz w:val="20"/>
                <w:szCs w:val="20"/>
              </w:rPr>
            </w:pPr>
            <w:r w:rsidRPr="00B96BD7">
              <w:rPr>
                <w:rFonts w:ascii="Gadugi" w:hAnsi="Gadugi"/>
                <w:b/>
                <w:sz w:val="20"/>
                <w:szCs w:val="20"/>
              </w:rPr>
              <w:t>Nombre del Proceso</w:t>
            </w:r>
          </w:p>
        </w:tc>
      </w:tr>
      <w:tr w:rsidR="009349DC" w:rsidRPr="00B96BD7" w:rsidTr="001C3E7F">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9349DC" w:rsidRPr="00B96BD7" w:rsidRDefault="009349DC" w:rsidP="00B96BD7">
            <w:pPr>
              <w:jc w:val="both"/>
              <w:rPr>
                <w:rFonts w:ascii="Gadugi" w:hAnsi="Gadugi"/>
                <w:b w:val="0"/>
                <w:sz w:val="20"/>
                <w:szCs w:val="20"/>
              </w:rPr>
            </w:pPr>
            <w:r w:rsidRPr="00B96BD7">
              <w:rPr>
                <w:rFonts w:ascii="Gadugi" w:hAnsi="Gadugi"/>
                <w:b w:val="0"/>
                <w:sz w:val="20"/>
                <w:szCs w:val="20"/>
              </w:rPr>
              <w:t>1</w:t>
            </w:r>
          </w:p>
        </w:tc>
        <w:tc>
          <w:tcPr>
            <w:tcW w:w="4659" w:type="pct"/>
          </w:tcPr>
          <w:p w:rsidR="009349DC" w:rsidRPr="00B96BD7" w:rsidRDefault="009349DC" w:rsidP="00B96BD7">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0"/>
              </w:rPr>
            </w:pPr>
            <w:r w:rsidRPr="00B96BD7">
              <w:rPr>
                <w:rFonts w:ascii="Gadugi" w:hAnsi="Gadugi"/>
                <w:sz w:val="20"/>
                <w:szCs w:val="20"/>
              </w:rPr>
              <w:t>Asesoría y acompañamiento en la ejecución de procedimientos de Contratación Pública</w:t>
            </w:r>
          </w:p>
        </w:tc>
      </w:tr>
      <w:tr w:rsidR="009349DC" w:rsidRPr="00B96BD7" w:rsidTr="001C3E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9349DC" w:rsidRPr="00B96BD7" w:rsidRDefault="009349DC" w:rsidP="00B96BD7">
            <w:pPr>
              <w:jc w:val="both"/>
              <w:rPr>
                <w:rFonts w:ascii="Gadugi" w:hAnsi="Gadugi"/>
                <w:b w:val="0"/>
                <w:sz w:val="20"/>
                <w:szCs w:val="20"/>
              </w:rPr>
            </w:pPr>
            <w:r w:rsidRPr="00B96BD7">
              <w:rPr>
                <w:rFonts w:ascii="Gadugi" w:hAnsi="Gadugi"/>
                <w:b w:val="0"/>
                <w:sz w:val="20"/>
                <w:szCs w:val="20"/>
              </w:rPr>
              <w:t>2</w:t>
            </w:r>
          </w:p>
        </w:tc>
        <w:tc>
          <w:tcPr>
            <w:tcW w:w="4659" w:type="pct"/>
          </w:tcPr>
          <w:p w:rsidR="009349DC" w:rsidRPr="00B96BD7" w:rsidRDefault="009349DC" w:rsidP="00B96BD7">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0"/>
              </w:rPr>
            </w:pPr>
            <w:r w:rsidRPr="00B96BD7">
              <w:rPr>
                <w:rFonts w:ascii="Gadugi" w:hAnsi="Gadugi"/>
                <w:sz w:val="20"/>
                <w:szCs w:val="20"/>
              </w:rPr>
              <w:t>Formulación y consolidación de planes operativos anuales del MDMQ</w:t>
            </w:r>
          </w:p>
        </w:tc>
      </w:tr>
      <w:tr w:rsidR="009349DC" w:rsidRPr="00B96BD7" w:rsidTr="001C3E7F">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9349DC" w:rsidRPr="00B96BD7" w:rsidRDefault="009349DC" w:rsidP="00B96BD7">
            <w:pPr>
              <w:jc w:val="both"/>
              <w:rPr>
                <w:rFonts w:ascii="Gadugi" w:hAnsi="Gadugi"/>
                <w:b w:val="0"/>
                <w:sz w:val="20"/>
                <w:szCs w:val="20"/>
              </w:rPr>
            </w:pPr>
            <w:r w:rsidRPr="00B96BD7">
              <w:rPr>
                <w:rFonts w:ascii="Gadugi" w:hAnsi="Gadugi"/>
                <w:b w:val="0"/>
                <w:sz w:val="20"/>
                <w:szCs w:val="20"/>
              </w:rPr>
              <w:t>3</w:t>
            </w:r>
          </w:p>
        </w:tc>
        <w:tc>
          <w:tcPr>
            <w:tcW w:w="4659" w:type="pct"/>
          </w:tcPr>
          <w:p w:rsidR="009349DC" w:rsidRPr="00B96BD7" w:rsidRDefault="009349DC" w:rsidP="00B96BD7">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0"/>
              </w:rPr>
            </w:pPr>
            <w:r w:rsidRPr="00B96BD7">
              <w:rPr>
                <w:rFonts w:ascii="Gadugi" w:hAnsi="Gadugi"/>
                <w:sz w:val="20"/>
                <w:szCs w:val="20"/>
              </w:rPr>
              <w:t xml:space="preserve">Gestión de la Arquitectura Institucional </w:t>
            </w:r>
          </w:p>
        </w:tc>
      </w:tr>
      <w:tr w:rsidR="009349DC" w:rsidRPr="00B96BD7" w:rsidTr="001C3E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9349DC" w:rsidRPr="00B96BD7" w:rsidRDefault="009349DC" w:rsidP="00B96BD7">
            <w:pPr>
              <w:jc w:val="both"/>
              <w:rPr>
                <w:rFonts w:ascii="Gadugi" w:hAnsi="Gadugi"/>
                <w:b w:val="0"/>
                <w:sz w:val="20"/>
                <w:szCs w:val="20"/>
              </w:rPr>
            </w:pPr>
            <w:r w:rsidRPr="00B96BD7">
              <w:rPr>
                <w:rFonts w:ascii="Gadugi" w:hAnsi="Gadugi"/>
                <w:b w:val="0"/>
                <w:sz w:val="20"/>
                <w:szCs w:val="20"/>
              </w:rPr>
              <w:t>4</w:t>
            </w:r>
          </w:p>
        </w:tc>
        <w:tc>
          <w:tcPr>
            <w:tcW w:w="4659" w:type="pct"/>
          </w:tcPr>
          <w:p w:rsidR="009349DC" w:rsidRPr="00B96BD7" w:rsidRDefault="009349DC" w:rsidP="00B96BD7">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0"/>
              </w:rPr>
            </w:pPr>
            <w:r w:rsidRPr="00B96BD7">
              <w:rPr>
                <w:rFonts w:ascii="Gadugi" w:hAnsi="Gadugi"/>
                <w:sz w:val="20"/>
                <w:szCs w:val="20"/>
              </w:rPr>
              <w:t>Formulación y consolidación del Plan Anual de Contratación (PAC) de la Administración Central del MDMQ</w:t>
            </w:r>
          </w:p>
        </w:tc>
      </w:tr>
    </w:tbl>
    <w:p w:rsidR="009349DC" w:rsidRPr="00B96BD7" w:rsidRDefault="009349DC" w:rsidP="00B96BD7">
      <w:pPr>
        <w:ind w:left="360"/>
        <w:jc w:val="both"/>
        <w:rPr>
          <w:rFonts w:ascii="Gadugi" w:hAnsi="Gadugi"/>
          <w:sz w:val="20"/>
          <w:szCs w:val="20"/>
        </w:rPr>
      </w:pPr>
    </w:p>
    <w:p w:rsidR="009349DC" w:rsidRPr="00B96BD7" w:rsidRDefault="009349DC" w:rsidP="00B96BD7">
      <w:pPr>
        <w:spacing w:line="256" w:lineRule="auto"/>
        <w:ind w:left="360"/>
        <w:jc w:val="both"/>
        <w:rPr>
          <w:rFonts w:ascii="Gadugi" w:eastAsia="Calibri" w:hAnsi="Gadugi" w:cs="Times New Roman"/>
          <w:sz w:val="20"/>
          <w:szCs w:val="20"/>
        </w:rPr>
      </w:pPr>
      <w:r w:rsidRPr="00B96BD7">
        <w:rPr>
          <w:rFonts w:ascii="Gadugi" w:eastAsia="Calibri" w:hAnsi="Gadugi" w:cs="Times New Roman"/>
          <w:sz w:val="20"/>
          <w:szCs w:val="20"/>
        </w:rPr>
        <w:t xml:space="preserve">Los procesos adjetivos por solicitud expresa de la Administración del Contrato son divididos y llamados en el resto del proyecto como </w:t>
      </w:r>
      <w:r w:rsidRPr="00B96BD7">
        <w:rPr>
          <w:rFonts w:ascii="Gadugi" w:eastAsia="Calibri" w:hAnsi="Gadugi" w:cs="Times New Roman"/>
          <w:b/>
          <w:sz w:val="20"/>
          <w:szCs w:val="20"/>
        </w:rPr>
        <w:t>PROCESOS HABILITANTES DE APOYO Y PROCESOS HABILITANTES DE ASESORÍA</w:t>
      </w:r>
      <w:r w:rsidRPr="00B96BD7">
        <w:rPr>
          <w:rFonts w:ascii="Gadugi" w:eastAsia="Calibri" w:hAnsi="Gadugi" w:cs="Times New Roman"/>
          <w:sz w:val="20"/>
          <w:szCs w:val="20"/>
        </w:rPr>
        <w:t>, como se manifiesta en el Acta No. EJ-190117-JB7 con fecha 19 de enero de 2017.</w:t>
      </w:r>
    </w:p>
    <w:p w:rsidR="009349DC" w:rsidRPr="00B96BD7" w:rsidRDefault="009349DC" w:rsidP="00B96BD7">
      <w:pPr>
        <w:ind w:left="360"/>
        <w:jc w:val="both"/>
        <w:rPr>
          <w:rFonts w:ascii="Gadugi" w:hAnsi="Gadugi"/>
          <w:sz w:val="20"/>
          <w:szCs w:val="20"/>
        </w:rPr>
      </w:pPr>
      <w:r w:rsidRPr="00B96BD7">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9349DC" w:rsidRPr="00B96BD7" w:rsidRDefault="009349DC" w:rsidP="00B96BD7">
      <w:pPr>
        <w:pStyle w:val="Prrafodelista"/>
        <w:numPr>
          <w:ilvl w:val="0"/>
          <w:numId w:val="13"/>
        </w:numPr>
        <w:ind w:left="1136"/>
        <w:jc w:val="both"/>
        <w:rPr>
          <w:rFonts w:ascii="Gadugi" w:hAnsi="Gadugi"/>
          <w:sz w:val="20"/>
          <w:szCs w:val="20"/>
        </w:rPr>
      </w:pPr>
      <w:r w:rsidRPr="00B96BD7">
        <w:rPr>
          <w:rFonts w:ascii="Gadugi" w:hAnsi="Gadugi"/>
          <w:sz w:val="20"/>
          <w:szCs w:val="20"/>
        </w:rPr>
        <w:t>Estudios referentes a Desarrollo Institucional del Municipio del Distrito Metropolitano de Quito,</w:t>
      </w:r>
    </w:p>
    <w:p w:rsidR="009349DC" w:rsidRPr="00B96BD7" w:rsidRDefault="009349DC" w:rsidP="00B96BD7">
      <w:pPr>
        <w:pStyle w:val="Prrafodelista"/>
        <w:numPr>
          <w:ilvl w:val="0"/>
          <w:numId w:val="13"/>
        </w:numPr>
        <w:ind w:left="1136"/>
        <w:jc w:val="both"/>
        <w:rPr>
          <w:rFonts w:ascii="Gadugi" w:hAnsi="Gadugi"/>
          <w:sz w:val="20"/>
          <w:szCs w:val="20"/>
        </w:rPr>
      </w:pPr>
      <w:r w:rsidRPr="00B96BD7">
        <w:rPr>
          <w:rFonts w:ascii="Gadugi" w:hAnsi="Gadugi"/>
          <w:sz w:val="20"/>
          <w:szCs w:val="20"/>
        </w:rPr>
        <w:t>Estructura del MDQ y sus entidades adscritas,</w:t>
      </w:r>
    </w:p>
    <w:p w:rsidR="009349DC" w:rsidRPr="00B96BD7" w:rsidRDefault="009349DC" w:rsidP="00B96BD7">
      <w:pPr>
        <w:pStyle w:val="Prrafodelista"/>
        <w:numPr>
          <w:ilvl w:val="0"/>
          <w:numId w:val="13"/>
        </w:numPr>
        <w:ind w:left="1136"/>
        <w:jc w:val="both"/>
        <w:rPr>
          <w:rFonts w:ascii="Gadugi" w:hAnsi="Gadugi"/>
          <w:sz w:val="20"/>
          <w:szCs w:val="20"/>
        </w:rPr>
      </w:pPr>
      <w:r w:rsidRPr="00B96BD7">
        <w:rPr>
          <w:rFonts w:ascii="Gadugi" w:hAnsi="Gadugi"/>
          <w:sz w:val="20"/>
          <w:szCs w:val="20"/>
        </w:rPr>
        <w:t>Estatuto Orgánico por Procesos del Municipio del Distrito Metropolitano de Quito,</w:t>
      </w:r>
    </w:p>
    <w:p w:rsidR="009349DC" w:rsidRPr="00B96BD7" w:rsidRDefault="009349DC" w:rsidP="00B96BD7">
      <w:pPr>
        <w:pStyle w:val="Prrafodelista"/>
        <w:numPr>
          <w:ilvl w:val="0"/>
          <w:numId w:val="13"/>
        </w:numPr>
        <w:ind w:left="1136"/>
        <w:jc w:val="both"/>
        <w:rPr>
          <w:rFonts w:ascii="Gadugi" w:hAnsi="Gadugi"/>
          <w:sz w:val="20"/>
          <w:szCs w:val="20"/>
        </w:rPr>
      </w:pPr>
      <w:r w:rsidRPr="00B96BD7">
        <w:rPr>
          <w:rFonts w:ascii="Gadugi" w:hAnsi="Gadugi"/>
          <w:sz w:val="20"/>
          <w:szCs w:val="20"/>
        </w:rPr>
        <w:lastRenderedPageBreak/>
        <w:t>Propuesta de integración de los modelos de Gestión de las Empresas Públicas Metropolitanas, Institutos, Fundaciones, Corporaciones y Unidades Especiales del MDMQ al Modelo de Gestión Municipal,</w:t>
      </w:r>
    </w:p>
    <w:p w:rsidR="009349DC" w:rsidRPr="00B96BD7" w:rsidRDefault="009349DC" w:rsidP="00B96BD7">
      <w:pPr>
        <w:pStyle w:val="Prrafodelista"/>
        <w:numPr>
          <w:ilvl w:val="0"/>
          <w:numId w:val="13"/>
        </w:numPr>
        <w:ind w:left="1136"/>
        <w:jc w:val="both"/>
        <w:rPr>
          <w:rFonts w:ascii="Gadugi" w:hAnsi="Gadugi"/>
          <w:sz w:val="20"/>
          <w:szCs w:val="20"/>
        </w:rPr>
      </w:pPr>
      <w:r w:rsidRPr="00B96BD7">
        <w:rPr>
          <w:rFonts w:ascii="Gadugi" w:hAnsi="Gadugi"/>
          <w:sz w:val="20"/>
          <w:szCs w:val="20"/>
        </w:rPr>
        <w:t>Resultados de otras consultorías ejecutadas,</w:t>
      </w:r>
    </w:p>
    <w:p w:rsidR="009349DC" w:rsidRPr="00B96BD7" w:rsidRDefault="009349DC" w:rsidP="00B96BD7">
      <w:pPr>
        <w:pStyle w:val="Prrafodelista"/>
        <w:numPr>
          <w:ilvl w:val="0"/>
          <w:numId w:val="13"/>
        </w:numPr>
        <w:ind w:left="1136"/>
        <w:jc w:val="both"/>
        <w:rPr>
          <w:rFonts w:ascii="Gadugi" w:hAnsi="Gadugi"/>
          <w:sz w:val="20"/>
          <w:szCs w:val="20"/>
        </w:rPr>
      </w:pPr>
      <w:r w:rsidRPr="00B96BD7">
        <w:rPr>
          <w:rFonts w:ascii="Gadugi" w:hAnsi="Gadugi"/>
          <w:sz w:val="20"/>
          <w:szCs w:val="20"/>
        </w:rPr>
        <w:t>Marco normativo que regula los servicios y procesos seleccionados.</w:t>
      </w:r>
    </w:p>
    <w:p w:rsidR="009349DC" w:rsidRPr="00B96BD7" w:rsidRDefault="009349DC" w:rsidP="00B96BD7">
      <w:pPr>
        <w:ind w:left="360"/>
        <w:jc w:val="both"/>
        <w:rPr>
          <w:rFonts w:ascii="Gadugi" w:hAnsi="Gadugi"/>
          <w:sz w:val="20"/>
          <w:szCs w:val="20"/>
        </w:rPr>
      </w:pPr>
      <w:r w:rsidRPr="00B96BD7">
        <w:rPr>
          <w:rFonts w:ascii="Gadugi" w:hAnsi="Gadugi"/>
          <w:sz w:val="20"/>
          <w:szCs w:val="20"/>
        </w:rPr>
        <w:t>Además de esta documentación, se analizó también la información levantada por MRProcessi durante los talleres ejecutados con los servidores municipales.</w:t>
      </w:r>
    </w:p>
    <w:p w:rsidR="009349DC" w:rsidRPr="00B96BD7" w:rsidRDefault="009349DC" w:rsidP="00B96BD7">
      <w:pPr>
        <w:jc w:val="both"/>
        <w:rPr>
          <w:rFonts w:ascii="Gadugi" w:hAnsi="Gadugi"/>
          <w:sz w:val="20"/>
          <w:szCs w:val="20"/>
        </w:rPr>
      </w:pPr>
    </w:p>
    <w:p w:rsidR="009349DC" w:rsidRPr="00B96BD7" w:rsidRDefault="009349DC" w:rsidP="00B96BD7">
      <w:pPr>
        <w:pStyle w:val="Prrafodelista"/>
        <w:numPr>
          <w:ilvl w:val="1"/>
          <w:numId w:val="3"/>
        </w:numPr>
        <w:jc w:val="both"/>
        <w:outlineLvl w:val="1"/>
        <w:rPr>
          <w:rFonts w:ascii="Gadugi" w:hAnsi="Gadugi"/>
          <w:b/>
          <w:sz w:val="20"/>
          <w:szCs w:val="20"/>
        </w:rPr>
      </w:pPr>
      <w:bookmarkStart w:id="6" w:name="_Toc479534160"/>
      <w:bookmarkStart w:id="7" w:name="_Toc479534587"/>
      <w:bookmarkStart w:id="8" w:name="_Toc479712528"/>
      <w:bookmarkStart w:id="9" w:name="_Toc481436470"/>
      <w:r w:rsidRPr="00B96BD7">
        <w:rPr>
          <w:rFonts w:ascii="Gadugi" w:hAnsi="Gadugi"/>
          <w:b/>
          <w:sz w:val="20"/>
          <w:szCs w:val="20"/>
        </w:rPr>
        <w:t>Propósito del documento</w:t>
      </w:r>
      <w:bookmarkEnd w:id="6"/>
      <w:bookmarkEnd w:id="7"/>
      <w:bookmarkEnd w:id="8"/>
      <w:bookmarkEnd w:id="9"/>
    </w:p>
    <w:p w:rsidR="009349DC" w:rsidRPr="00B96BD7" w:rsidRDefault="009349DC" w:rsidP="00B96BD7">
      <w:pPr>
        <w:jc w:val="both"/>
        <w:rPr>
          <w:rFonts w:ascii="Gadugi" w:hAnsi="Gadugi"/>
          <w:sz w:val="20"/>
          <w:szCs w:val="20"/>
        </w:rPr>
      </w:pPr>
      <w:r w:rsidRPr="00B96BD7">
        <w:rPr>
          <w:rFonts w:ascii="Gadugi" w:hAnsi="Gadugi"/>
          <w:sz w:val="20"/>
          <w:szCs w:val="20"/>
        </w:rPr>
        <w:t>El propósito del presente documento es presentar los diagramas de flujo de los procesos adjetivos priorizados TO-BE a corto plazo en notación BPMN 2.0.</w:t>
      </w:r>
    </w:p>
    <w:p w:rsidR="009349DC" w:rsidRPr="00B96BD7" w:rsidRDefault="009349DC" w:rsidP="00B96BD7">
      <w:pPr>
        <w:jc w:val="both"/>
        <w:rPr>
          <w:rFonts w:ascii="Gadugi" w:hAnsi="Gadugi"/>
          <w:sz w:val="20"/>
          <w:szCs w:val="20"/>
        </w:rPr>
      </w:pPr>
      <w:r w:rsidRPr="00B96BD7">
        <w:rPr>
          <w:rFonts w:ascii="Gadugi" w:hAnsi="Gadugi"/>
          <w:sz w:val="20"/>
          <w:szCs w:val="20"/>
        </w:rPr>
        <w:t>Estos diagramas serán los flujos serán utilizados como base la automatización e implementación de los procesos. Cabe recalcar que la automatización e implementación de procesos no forman parte del alcance del presente proyecto.</w:t>
      </w:r>
    </w:p>
    <w:p w:rsidR="009349DC" w:rsidRPr="00B96BD7" w:rsidRDefault="009349DC" w:rsidP="00B96BD7">
      <w:pPr>
        <w:jc w:val="both"/>
        <w:rPr>
          <w:rFonts w:ascii="Gadugi" w:hAnsi="Gadugi"/>
          <w:sz w:val="20"/>
          <w:szCs w:val="20"/>
        </w:rPr>
      </w:pPr>
    </w:p>
    <w:p w:rsidR="009349DC" w:rsidRDefault="009349DC" w:rsidP="00B96BD7">
      <w:pPr>
        <w:pStyle w:val="Prrafodelista"/>
        <w:numPr>
          <w:ilvl w:val="0"/>
          <w:numId w:val="3"/>
        </w:numPr>
        <w:jc w:val="both"/>
        <w:outlineLvl w:val="0"/>
        <w:rPr>
          <w:rFonts w:ascii="Gadugi" w:hAnsi="Gadugi"/>
          <w:b/>
          <w:sz w:val="20"/>
          <w:szCs w:val="20"/>
        </w:rPr>
      </w:pPr>
      <w:bookmarkStart w:id="10" w:name="_Toc479534161"/>
      <w:bookmarkStart w:id="11" w:name="_Toc479534588"/>
      <w:bookmarkStart w:id="12" w:name="_Toc479712529"/>
      <w:bookmarkStart w:id="13" w:name="_Toc481436471"/>
      <w:r w:rsidRPr="00B96BD7">
        <w:rPr>
          <w:rFonts w:ascii="Gadugi" w:hAnsi="Gadugi"/>
          <w:b/>
          <w:sz w:val="20"/>
          <w:szCs w:val="20"/>
        </w:rPr>
        <w:t>PROCESOS ADJETIVOS PRIORIZADOS</w:t>
      </w:r>
      <w:bookmarkEnd w:id="10"/>
      <w:bookmarkEnd w:id="11"/>
      <w:bookmarkEnd w:id="12"/>
      <w:bookmarkEnd w:id="13"/>
    </w:p>
    <w:p w:rsidR="00B96BD7" w:rsidRPr="00B96BD7" w:rsidRDefault="00B96BD7" w:rsidP="00B96BD7">
      <w:pPr>
        <w:pStyle w:val="Prrafodelista"/>
        <w:ind w:left="360"/>
        <w:jc w:val="both"/>
        <w:outlineLvl w:val="0"/>
        <w:rPr>
          <w:rFonts w:ascii="Gadugi" w:hAnsi="Gadugi"/>
          <w:b/>
          <w:sz w:val="20"/>
          <w:szCs w:val="20"/>
        </w:rPr>
      </w:pPr>
    </w:p>
    <w:p w:rsidR="009349DC" w:rsidRPr="00B96BD7" w:rsidRDefault="009349DC" w:rsidP="00B96BD7">
      <w:pPr>
        <w:pStyle w:val="Prrafodelista"/>
        <w:numPr>
          <w:ilvl w:val="1"/>
          <w:numId w:val="3"/>
        </w:numPr>
        <w:jc w:val="both"/>
        <w:rPr>
          <w:rFonts w:ascii="Gadugi" w:hAnsi="Gadugi"/>
          <w:sz w:val="20"/>
          <w:szCs w:val="20"/>
        </w:rPr>
      </w:pPr>
      <w:r w:rsidRPr="00B96BD7">
        <w:rPr>
          <w:rFonts w:ascii="Gadugi" w:hAnsi="Gadugi"/>
          <w:b/>
          <w:sz w:val="20"/>
          <w:szCs w:val="20"/>
        </w:rPr>
        <w:t>Proceso Adjetivo 1:</w:t>
      </w:r>
      <w:r w:rsidRPr="00B96BD7">
        <w:rPr>
          <w:rFonts w:ascii="Gadugi" w:hAnsi="Gadugi"/>
          <w:sz w:val="20"/>
          <w:szCs w:val="20"/>
        </w:rPr>
        <w:t xml:space="preserve"> </w:t>
      </w:r>
      <w:r w:rsidRPr="00B96BD7">
        <w:rPr>
          <w:rFonts w:ascii="Gadugi" w:hAnsi="Gadugi"/>
          <w:color w:val="000000"/>
          <w:sz w:val="20"/>
          <w:szCs w:val="20"/>
          <w:lang w:eastAsia="es-EC"/>
        </w:rPr>
        <w:t>Asesoría y acompañamiento en la ejecución de procedimientos de Contratación Pública en el Municipio del Distrito Metropolitano de Quito.</w:t>
      </w:r>
    </w:p>
    <w:p w:rsidR="009349DC" w:rsidRPr="00B96BD7" w:rsidRDefault="009349DC" w:rsidP="00B96BD7">
      <w:pPr>
        <w:pStyle w:val="Prrafodelista"/>
        <w:numPr>
          <w:ilvl w:val="1"/>
          <w:numId w:val="3"/>
        </w:numPr>
        <w:jc w:val="both"/>
        <w:rPr>
          <w:rFonts w:ascii="Gadugi" w:hAnsi="Gadugi"/>
          <w:sz w:val="20"/>
          <w:szCs w:val="20"/>
        </w:rPr>
      </w:pPr>
      <w:r w:rsidRPr="00B96BD7">
        <w:rPr>
          <w:rFonts w:ascii="Gadugi" w:hAnsi="Gadugi"/>
          <w:b/>
          <w:sz w:val="20"/>
          <w:szCs w:val="20"/>
        </w:rPr>
        <w:t>Proceso Adjetivo 2:</w:t>
      </w:r>
      <w:r w:rsidRPr="00B96BD7">
        <w:rPr>
          <w:rFonts w:ascii="Gadugi" w:hAnsi="Gadugi"/>
          <w:sz w:val="20"/>
          <w:szCs w:val="20"/>
        </w:rPr>
        <w:t xml:space="preserve"> </w:t>
      </w:r>
      <w:r w:rsidRPr="00B96BD7">
        <w:rPr>
          <w:rFonts w:ascii="Gadugi" w:hAnsi="Gadugi"/>
          <w:color w:val="000000"/>
          <w:sz w:val="20"/>
          <w:szCs w:val="20"/>
          <w:lang w:eastAsia="es-EC"/>
        </w:rPr>
        <w:t>Formulación y consolidación de planes operativos anuales en el Municipio del Distrito Metropolitano de Quito.</w:t>
      </w:r>
    </w:p>
    <w:p w:rsidR="009349DC" w:rsidRPr="00B96BD7" w:rsidRDefault="009349DC" w:rsidP="00B96BD7">
      <w:pPr>
        <w:pStyle w:val="Prrafodelista"/>
        <w:numPr>
          <w:ilvl w:val="1"/>
          <w:numId w:val="3"/>
        </w:numPr>
        <w:jc w:val="both"/>
        <w:rPr>
          <w:rFonts w:ascii="Gadugi" w:hAnsi="Gadugi"/>
          <w:sz w:val="20"/>
          <w:szCs w:val="20"/>
        </w:rPr>
      </w:pPr>
      <w:r w:rsidRPr="00B96BD7">
        <w:rPr>
          <w:rFonts w:ascii="Gadugi" w:hAnsi="Gadugi"/>
          <w:b/>
          <w:sz w:val="20"/>
          <w:szCs w:val="20"/>
        </w:rPr>
        <w:t>Proceso Adjetivo 3:</w:t>
      </w:r>
      <w:r w:rsidRPr="00B96BD7">
        <w:rPr>
          <w:rFonts w:ascii="Gadugi" w:hAnsi="Gadugi"/>
          <w:sz w:val="20"/>
          <w:szCs w:val="20"/>
        </w:rPr>
        <w:t xml:space="preserve"> </w:t>
      </w:r>
      <w:r w:rsidRPr="00B96BD7">
        <w:rPr>
          <w:rFonts w:ascii="Gadugi" w:hAnsi="Gadugi"/>
          <w:color w:val="000000"/>
          <w:sz w:val="20"/>
          <w:szCs w:val="20"/>
          <w:lang w:eastAsia="es-EC"/>
        </w:rPr>
        <w:t>Gestión de la Arquitectura Institucional en el Municipio del Distrito Metropolitano de Quito.</w:t>
      </w:r>
    </w:p>
    <w:p w:rsidR="009349DC" w:rsidRPr="00B96BD7" w:rsidRDefault="009349DC" w:rsidP="00B96BD7">
      <w:pPr>
        <w:pStyle w:val="Prrafodelista"/>
        <w:numPr>
          <w:ilvl w:val="1"/>
          <w:numId w:val="3"/>
        </w:numPr>
        <w:jc w:val="both"/>
        <w:rPr>
          <w:rFonts w:ascii="Gadugi" w:hAnsi="Gadugi"/>
          <w:sz w:val="20"/>
          <w:szCs w:val="20"/>
        </w:rPr>
      </w:pPr>
      <w:r w:rsidRPr="00B96BD7">
        <w:rPr>
          <w:rFonts w:ascii="Gadugi" w:hAnsi="Gadugi"/>
          <w:b/>
          <w:sz w:val="20"/>
          <w:szCs w:val="20"/>
        </w:rPr>
        <w:t>Proceso Adjetivo 4:</w:t>
      </w:r>
      <w:r w:rsidRPr="00B96BD7">
        <w:rPr>
          <w:rFonts w:ascii="Gadugi" w:hAnsi="Gadugi"/>
          <w:sz w:val="20"/>
          <w:szCs w:val="20"/>
        </w:rPr>
        <w:t xml:space="preserve"> Formulación y Consolidación del Plan Anual de Contratación (PAC) de la Administración Central del Municipio del Distrito Metropolitano de Quito.</w:t>
      </w:r>
    </w:p>
    <w:p w:rsidR="00C94F2E" w:rsidRPr="00B96BD7" w:rsidRDefault="00C94F2E" w:rsidP="00B96BD7">
      <w:pPr>
        <w:pStyle w:val="Prrafodelista"/>
        <w:ind w:left="360"/>
        <w:jc w:val="both"/>
        <w:outlineLvl w:val="0"/>
        <w:rPr>
          <w:rFonts w:ascii="Gadugi" w:hAnsi="Gadugi"/>
          <w:b/>
          <w:sz w:val="20"/>
          <w:szCs w:val="20"/>
        </w:rPr>
      </w:pPr>
      <w:bookmarkStart w:id="14" w:name="_Toc479534589"/>
      <w:bookmarkStart w:id="15" w:name="_Toc479712530"/>
    </w:p>
    <w:p w:rsidR="00C94F2E" w:rsidRPr="00F11750" w:rsidRDefault="00C94F2E" w:rsidP="009349DC">
      <w:pPr>
        <w:pStyle w:val="Prrafodelista"/>
        <w:numPr>
          <w:ilvl w:val="0"/>
          <w:numId w:val="3"/>
        </w:numPr>
        <w:outlineLvl w:val="0"/>
        <w:rPr>
          <w:rFonts w:ascii="Gadugi" w:hAnsi="Gadugi"/>
          <w:b/>
        </w:rPr>
        <w:sectPr w:rsidR="00C94F2E" w:rsidRPr="00F11750" w:rsidSect="00887609">
          <w:headerReference w:type="default" r:id="rId11"/>
          <w:footerReference w:type="default" r:id="rId12"/>
          <w:pgSz w:w="11906" w:h="16838"/>
          <w:pgMar w:top="2268" w:right="1134" w:bottom="1701" w:left="1134" w:header="709" w:footer="709" w:gutter="0"/>
          <w:pgNumType w:start="0"/>
          <w:cols w:space="708"/>
          <w:titlePg/>
          <w:docGrid w:linePitch="360"/>
        </w:sectPr>
      </w:pPr>
    </w:p>
    <w:p w:rsidR="00C94F2E" w:rsidRPr="00F11750" w:rsidRDefault="00C94F2E" w:rsidP="00C94F2E">
      <w:pPr>
        <w:outlineLvl w:val="0"/>
        <w:rPr>
          <w:rFonts w:ascii="Gadugi" w:hAnsi="Gadugi"/>
          <w:b/>
        </w:rPr>
      </w:pPr>
    </w:p>
    <w:p w:rsidR="00C94F2E" w:rsidRPr="00F11750" w:rsidRDefault="00C94F2E" w:rsidP="00C94F2E">
      <w:pPr>
        <w:outlineLvl w:val="0"/>
        <w:rPr>
          <w:rFonts w:ascii="Gadugi" w:hAnsi="Gadugi"/>
          <w:b/>
        </w:rPr>
      </w:pPr>
    </w:p>
    <w:p w:rsidR="009349DC" w:rsidRPr="00B96BD7" w:rsidRDefault="009349DC" w:rsidP="009349DC">
      <w:pPr>
        <w:pStyle w:val="Prrafodelista"/>
        <w:numPr>
          <w:ilvl w:val="0"/>
          <w:numId w:val="3"/>
        </w:numPr>
        <w:outlineLvl w:val="0"/>
        <w:rPr>
          <w:rFonts w:ascii="Gadugi" w:hAnsi="Gadugi"/>
          <w:b/>
          <w:sz w:val="20"/>
        </w:rPr>
      </w:pPr>
      <w:bookmarkStart w:id="16" w:name="_Toc481436472"/>
      <w:r w:rsidRPr="00B96BD7">
        <w:rPr>
          <w:rFonts w:ascii="Gadugi" w:hAnsi="Gadugi"/>
          <w:b/>
          <w:sz w:val="20"/>
        </w:rPr>
        <w:t>DIAGRAMAS DE FLUJO</w:t>
      </w:r>
      <w:bookmarkEnd w:id="14"/>
      <w:bookmarkEnd w:id="15"/>
      <w:r w:rsidR="00335DA2" w:rsidRPr="00B96BD7">
        <w:rPr>
          <w:rFonts w:ascii="Gadugi" w:hAnsi="Gadugi"/>
          <w:b/>
          <w:sz w:val="20"/>
        </w:rPr>
        <w:t xml:space="preserve"> AUTOMATIZABLES</w:t>
      </w:r>
      <w:bookmarkEnd w:id="16"/>
    </w:p>
    <w:p w:rsidR="009349DC" w:rsidRPr="00B96BD7" w:rsidRDefault="009349DC" w:rsidP="009349DC">
      <w:pPr>
        <w:pStyle w:val="Prrafodelista"/>
        <w:numPr>
          <w:ilvl w:val="1"/>
          <w:numId w:val="3"/>
        </w:numPr>
        <w:rPr>
          <w:rFonts w:ascii="Gadugi" w:hAnsi="Gadugi"/>
          <w:b/>
          <w:sz w:val="20"/>
        </w:rPr>
      </w:pPr>
      <w:r w:rsidRPr="00B96BD7">
        <w:rPr>
          <w:rFonts w:ascii="Gadugi" w:hAnsi="Gadugi"/>
          <w:color w:val="000000"/>
          <w:sz w:val="20"/>
          <w:lang w:eastAsia="es-EC"/>
        </w:rPr>
        <w:t>Asesoría y acompañamiento en la ejecución de procedimientos de Contratación Pública en el Municipio del Distrito Metropolitano de Quito.</w:t>
      </w:r>
    </w:p>
    <w:p w:rsidR="009349DC" w:rsidRPr="00F11750" w:rsidRDefault="00070691" w:rsidP="009349DC">
      <w:pPr>
        <w:jc w:val="both"/>
        <w:rPr>
          <w:rFonts w:ascii="Gadugi" w:hAnsi="Gadugi"/>
          <w:highlight w:val="yellow"/>
        </w:rPr>
      </w:pPr>
      <w:r w:rsidRPr="00F11750">
        <w:rPr>
          <w:rFonts w:ascii="Gadugi" w:hAnsi="Gadugi"/>
          <w:noProof/>
          <w:lang w:val="es-EC" w:eastAsia="es-EC"/>
        </w:rPr>
        <w:drawing>
          <wp:inline distT="0" distB="0" distL="0" distR="0" wp14:anchorId="1FBD73B0" wp14:editId="6C2EE800">
            <wp:extent cx="9251950" cy="4621530"/>
            <wp:effectExtent l="0" t="0" r="635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51950" cy="4621530"/>
                    </a:xfrm>
                    <a:prstGeom prst="rect">
                      <a:avLst/>
                    </a:prstGeom>
                  </pic:spPr>
                </pic:pic>
              </a:graphicData>
            </a:graphic>
          </wp:inline>
        </w:drawing>
      </w:r>
    </w:p>
    <w:p w:rsidR="00070691" w:rsidRPr="00B96BD7" w:rsidRDefault="00070691" w:rsidP="009349DC">
      <w:pPr>
        <w:jc w:val="both"/>
        <w:rPr>
          <w:rFonts w:ascii="Gadugi" w:hAnsi="Gadugi"/>
          <w:sz w:val="20"/>
        </w:rPr>
      </w:pPr>
      <w:r w:rsidRPr="00B96BD7">
        <w:rPr>
          <w:rFonts w:ascii="Gadugi" w:hAnsi="Gadugi"/>
          <w:sz w:val="20"/>
        </w:rPr>
        <w:t xml:space="preserve">Para mejor visualización del flujo, se adjunta el </w:t>
      </w:r>
      <w:r w:rsidRPr="00B96BD7">
        <w:rPr>
          <w:rFonts w:ascii="Gadugi" w:hAnsi="Gadugi"/>
          <w:b/>
          <w:sz w:val="20"/>
        </w:rPr>
        <w:t>ANEXO No. 1 – Flujo automatizable del proceso</w:t>
      </w:r>
    </w:p>
    <w:p w:rsidR="00070691" w:rsidRDefault="00070691" w:rsidP="009349DC">
      <w:pPr>
        <w:jc w:val="both"/>
        <w:rPr>
          <w:rFonts w:ascii="Gadugi" w:hAnsi="Gadugi"/>
          <w:highlight w:val="yellow"/>
        </w:rPr>
      </w:pPr>
    </w:p>
    <w:p w:rsidR="00F11750" w:rsidRPr="00F11750" w:rsidRDefault="00F11750" w:rsidP="009349DC">
      <w:pPr>
        <w:jc w:val="both"/>
        <w:rPr>
          <w:rFonts w:ascii="Gadugi" w:hAnsi="Gadugi"/>
          <w:highlight w:val="yellow"/>
        </w:rPr>
      </w:pPr>
    </w:p>
    <w:p w:rsidR="00070691" w:rsidRPr="00F11750" w:rsidRDefault="00070691" w:rsidP="009349DC">
      <w:pPr>
        <w:jc w:val="both"/>
        <w:rPr>
          <w:rFonts w:ascii="Gadugi" w:hAnsi="Gadugi"/>
          <w:highlight w:val="yellow"/>
        </w:rPr>
      </w:pPr>
    </w:p>
    <w:p w:rsidR="009349DC" w:rsidRPr="0000043D" w:rsidRDefault="009349DC" w:rsidP="009349DC">
      <w:pPr>
        <w:pStyle w:val="Prrafodelista"/>
        <w:numPr>
          <w:ilvl w:val="1"/>
          <w:numId w:val="3"/>
        </w:numPr>
        <w:rPr>
          <w:rFonts w:ascii="Gadugi" w:hAnsi="Gadugi"/>
          <w:b/>
          <w:sz w:val="20"/>
        </w:rPr>
      </w:pPr>
      <w:r w:rsidRPr="00B96BD7">
        <w:rPr>
          <w:rFonts w:ascii="Gadugi" w:hAnsi="Gadugi"/>
          <w:color w:val="000000"/>
          <w:sz w:val="20"/>
          <w:lang w:eastAsia="es-EC"/>
        </w:rPr>
        <w:t>Formulación y consolidación de planes operativos anuales en el Municipio del Distrito Metropolitano de Quito.</w:t>
      </w:r>
    </w:p>
    <w:p w:rsidR="0000043D" w:rsidRPr="0000043D" w:rsidRDefault="0000043D" w:rsidP="0000043D">
      <w:pPr>
        <w:ind w:left="360"/>
        <w:rPr>
          <w:rFonts w:ascii="Gadugi" w:hAnsi="Gadugi"/>
          <w:b/>
          <w:sz w:val="20"/>
        </w:rPr>
      </w:pPr>
      <w:r w:rsidRPr="0000043D">
        <w:rPr>
          <w:rFonts w:ascii="Gadugi" w:hAnsi="Gadugi"/>
          <w:b/>
          <w:color w:val="000000"/>
          <w:sz w:val="20"/>
          <w:lang w:eastAsia="es-EC"/>
        </w:rPr>
        <w:t>Formulación del Plan Operativo Anual</w:t>
      </w:r>
    </w:p>
    <w:p w:rsidR="00C94F2E" w:rsidRPr="00F11750" w:rsidRDefault="00046EC8" w:rsidP="00046EC8">
      <w:pPr>
        <w:jc w:val="center"/>
        <w:rPr>
          <w:rFonts w:ascii="Gadugi" w:hAnsi="Gadugi"/>
          <w:b/>
        </w:rPr>
      </w:pPr>
      <w:r w:rsidRPr="00F11750">
        <w:rPr>
          <w:rFonts w:ascii="Gadugi" w:hAnsi="Gadugi"/>
          <w:noProof/>
          <w:lang w:val="es-EC" w:eastAsia="es-EC"/>
        </w:rPr>
        <w:drawing>
          <wp:inline distT="0" distB="0" distL="0" distR="0" wp14:anchorId="4587C56A" wp14:editId="5E4FF811">
            <wp:extent cx="5562600" cy="46004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7909" cy="4604798"/>
                    </a:xfrm>
                    <a:prstGeom prst="rect">
                      <a:avLst/>
                    </a:prstGeom>
                  </pic:spPr>
                </pic:pic>
              </a:graphicData>
            </a:graphic>
          </wp:inline>
        </w:drawing>
      </w:r>
    </w:p>
    <w:p w:rsidR="0000043D" w:rsidRDefault="0000043D" w:rsidP="00046EC8">
      <w:pPr>
        <w:rPr>
          <w:rFonts w:ascii="Gadugi" w:hAnsi="Gadugi"/>
          <w:b/>
          <w:sz w:val="20"/>
        </w:rPr>
      </w:pPr>
    </w:p>
    <w:p w:rsidR="00D66052" w:rsidRPr="00B96BD7" w:rsidRDefault="00D66052" w:rsidP="00046EC8">
      <w:pPr>
        <w:rPr>
          <w:rFonts w:ascii="Gadugi" w:hAnsi="Gadugi"/>
          <w:b/>
          <w:sz w:val="20"/>
        </w:rPr>
      </w:pPr>
    </w:p>
    <w:p w:rsidR="00C94F2E" w:rsidRPr="00F11750" w:rsidRDefault="0000043D" w:rsidP="00C94F2E">
      <w:pPr>
        <w:rPr>
          <w:rFonts w:ascii="Gadugi" w:hAnsi="Gadugi"/>
          <w:b/>
        </w:rPr>
      </w:pPr>
      <w:r>
        <w:rPr>
          <w:rFonts w:ascii="Gadugi" w:hAnsi="Gadugi"/>
          <w:b/>
        </w:rPr>
        <w:t>Ejecución de Reforma al POA</w:t>
      </w:r>
    </w:p>
    <w:p w:rsidR="0000043D" w:rsidRDefault="0000043D" w:rsidP="0000043D">
      <w:pPr>
        <w:ind w:left="1814"/>
        <w:rPr>
          <w:rFonts w:ascii="Gadugi" w:hAnsi="Gadugi"/>
          <w:b/>
          <w:sz w:val="20"/>
        </w:rPr>
      </w:pPr>
      <w:r w:rsidRPr="0000043D">
        <w:drawing>
          <wp:inline distT="0" distB="0" distL="0" distR="0" wp14:anchorId="565859F5" wp14:editId="167FF103">
            <wp:extent cx="6210300" cy="5172439"/>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14521" cy="5175955"/>
                    </a:xfrm>
                    <a:prstGeom prst="rect">
                      <a:avLst/>
                    </a:prstGeom>
                  </pic:spPr>
                </pic:pic>
              </a:graphicData>
            </a:graphic>
          </wp:inline>
        </w:drawing>
      </w:r>
      <w:r>
        <w:rPr>
          <w:rFonts w:ascii="Gadugi" w:hAnsi="Gadugi"/>
          <w:b/>
          <w:sz w:val="20"/>
        </w:rPr>
        <w:br w:type="page"/>
      </w:r>
    </w:p>
    <w:p w:rsidR="00D66052" w:rsidRDefault="00D66052">
      <w:pPr>
        <w:rPr>
          <w:rFonts w:ascii="Gadugi" w:hAnsi="Gadugi"/>
          <w:b/>
          <w:sz w:val="20"/>
        </w:rPr>
      </w:pPr>
    </w:p>
    <w:p w:rsidR="00D66052" w:rsidRDefault="00D66052">
      <w:pPr>
        <w:rPr>
          <w:rFonts w:ascii="Gadugi" w:hAnsi="Gadugi"/>
          <w:b/>
          <w:sz w:val="20"/>
        </w:rPr>
      </w:pPr>
    </w:p>
    <w:p w:rsidR="00D66052" w:rsidRDefault="00D66052">
      <w:pPr>
        <w:rPr>
          <w:rFonts w:ascii="Gadugi" w:hAnsi="Gadugi"/>
          <w:b/>
          <w:sz w:val="20"/>
        </w:rPr>
      </w:pPr>
      <w:r>
        <w:rPr>
          <w:rFonts w:ascii="Gadugi" w:hAnsi="Gadugi"/>
          <w:b/>
          <w:sz w:val="20"/>
        </w:rPr>
        <w:t>Ejecución de Traspasos de Crédito</w:t>
      </w:r>
    </w:p>
    <w:p w:rsidR="00D66052" w:rsidRDefault="00D66052">
      <w:pPr>
        <w:rPr>
          <w:rFonts w:ascii="Gadugi" w:hAnsi="Gadugi"/>
          <w:b/>
          <w:sz w:val="20"/>
        </w:rPr>
      </w:pPr>
      <w:r w:rsidRPr="00D66052">
        <w:drawing>
          <wp:inline distT="0" distB="0" distL="0" distR="0" wp14:anchorId="7267FEE7" wp14:editId="1AAAE0C0">
            <wp:extent cx="9179753" cy="4259580"/>
            <wp:effectExtent l="0" t="0" r="254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173525" cy="4256690"/>
                    </a:xfrm>
                    <a:prstGeom prst="rect">
                      <a:avLst/>
                    </a:prstGeom>
                  </pic:spPr>
                </pic:pic>
              </a:graphicData>
            </a:graphic>
          </wp:inline>
        </w:drawing>
      </w:r>
    </w:p>
    <w:p w:rsidR="00D66052" w:rsidRDefault="00D66052" w:rsidP="00D66052">
      <w:pPr>
        <w:rPr>
          <w:rFonts w:ascii="Gadugi" w:hAnsi="Gadugi"/>
          <w:b/>
          <w:sz w:val="20"/>
        </w:rPr>
      </w:pPr>
      <w:r w:rsidRPr="00B96BD7">
        <w:rPr>
          <w:rFonts w:ascii="Gadugi" w:hAnsi="Gadugi"/>
          <w:sz w:val="20"/>
        </w:rPr>
        <w:t xml:space="preserve">Para mejor visualización del flujo, se adjunta el </w:t>
      </w:r>
      <w:r w:rsidRPr="00B96BD7">
        <w:rPr>
          <w:rFonts w:ascii="Gadugi" w:hAnsi="Gadugi"/>
          <w:b/>
          <w:sz w:val="20"/>
        </w:rPr>
        <w:t>ANEXO No. 2 – Flujo automatizable del proceso</w:t>
      </w:r>
    </w:p>
    <w:p w:rsidR="00D66052" w:rsidRDefault="00D66052" w:rsidP="00D66052">
      <w:pPr>
        <w:rPr>
          <w:rFonts w:ascii="Gadugi" w:hAnsi="Gadugi"/>
          <w:b/>
          <w:sz w:val="20"/>
        </w:rPr>
      </w:pPr>
    </w:p>
    <w:p w:rsidR="00D66052" w:rsidRDefault="00D66052">
      <w:pPr>
        <w:rPr>
          <w:rFonts w:ascii="Gadugi" w:hAnsi="Gadugi"/>
          <w:b/>
          <w:sz w:val="20"/>
        </w:rPr>
      </w:pPr>
      <w:r>
        <w:rPr>
          <w:rFonts w:ascii="Gadugi" w:hAnsi="Gadugi"/>
          <w:b/>
          <w:sz w:val="20"/>
        </w:rPr>
        <w:br w:type="page"/>
      </w:r>
    </w:p>
    <w:p w:rsidR="00046EC8" w:rsidRPr="00B96BD7" w:rsidRDefault="00046EC8" w:rsidP="00C94F2E">
      <w:pPr>
        <w:rPr>
          <w:rFonts w:ascii="Gadugi" w:hAnsi="Gadugi"/>
          <w:b/>
          <w:sz w:val="20"/>
        </w:rPr>
      </w:pPr>
    </w:p>
    <w:p w:rsidR="00D66052" w:rsidRDefault="00D66052" w:rsidP="00D66052">
      <w:pPr>
        <w:pStyle w:val="Prrafodelista"/>
        <w:ind w:left="792"/>
        <w:rPr>
          <w:rFonts w:ascii="Gadugi" w:hAnsi="Gadugi"/>
          <w:b/>
          <w:sz w:val="20"/>
        </w:rPr>
      </w:pPr>
    </w:p>
    <w:p w:rsidR="00D66052" w:rsidRPr="00D66052" w:rsidRDefault="00D66052" w:rsidP="00D66052">
      <w:pPr>
        <w:pStyle w:val="Prrafodelista"/>
        <w:ind w:left="792"/>
        <w:rPr>
          <w:rFonts w:ascii="Gadugi" w:hAnsi="Gadugi"/>
          <w:b/>
          <w:sz w:val="20"/>
        </w:rPr>
      </w:pPr>
    </w:p>
    <w:p w:rsidR="009349DC" w:rsidRPr="00B96BD7" w:rsidRDefault="009349DC" w:rsidP="009349DC">
      <w:pPr>
        <w:pStyle w:val="Prrafodelista"/>
        <w:numPr>
          <w:ilvl w:val="1"/>
          <w:numId w:val="3"/>
        </w:numPr>
        <w:rPr>
          <w:rFonts w:ascii="Gadugi" w:hAnsi="Gadugi"/>
          <w:b/>
          <w:sz w:val="20"/>
        </w:rPr>
      </w:pPr>
      <w:r w:rsidRPr="00B96BD7">
        <w:rPr>
          <w:rFonts w:ascii="Gadugi" w:hAnsi="Gadugi"/>
          <w:color w:val="000000"/>
          <w:sz w:val="20"/>
          <w:lang w:eastAsia="es-EC"/>
        </w:rPr>
        <w:t>Gestión de la Arquitectura Institucional en el Municipio del Distrito Metropolitano de Quito.</w:t>
      </w:r>
    </w:p>
    <w:p w:rsidR="009349DC" w:rsidRPr="00F11750" w:rsidRDefault="00046EC8" w:rsidP="009349DC">
      <w:pPr>
        <w:jc w:val="both"/>
        <w:rPr>
          <w:rFonts w:ascii="Gadugi" w:hAnsi="Gadugi"/>
        </w:rPr>
      </w:pPr>
      <w:r w:rsidRPr="00F11750">
        <w:rPr>
          <w:rFonts w:ascii="Gadugi" w:hAnsi="Gadugi"/>
          <w:noProof/>
          <w:lang w:val="es-EC" w:eastAsia="es-EC"/>
        </w:rPr>
        <w:drawing>
          <wp:inline distT="0" distB="0" distL="0" distR="0" wp14:anchorId="40D102C4" wp14:editId="188189EA">
            <wp:extent cx="9251950" cy="427672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51950" cy="4276725"/>
                    </a:xfrm>
                    <a:prstGeom prst="rect">
                      <a:avLst/>
                    </a:prstGeom>
                  </pic:spPr>
                </pic:pic>
              </a:graphicData>
            </a:graphic>
          </wp:inline>
        </w:drawing>
      </w:r>
    </w:p>
    <w:p w:rsidR="00070691" w:rsidRPr="00B96BD7" w:rsidRDefault="00070691" w:rsidP="00070691">
      <w:pPr>
        <w:rPr>
          <w:rFonts w:ascii="Gadugi" w:hAnsi="Gadugi"/>
          <w:b/>
          <w:sz w:val="20"/>
        </w:rPr>
      </w:pPr>
      <w:r w:rsidRPr="00B96BD7">
        <w:rPr>
          <w:rFonts w:ascii="Gadugi" w:hAnsi="Gadugi"/>
          <w:sz w:val="20"/>
        </w:rPr>
        <w:t xml:space="preserve">Para mejor visualización del flujo, se adjunta el </w:t>
      </w:r>
      <w:r w:rsidRPr="00B96BD7">
        <w:rPr>
          <w:rFonts w:ascii="Gadugi" w:hAnsi="Gadugi"/>
          <w:b/>
          <w:sz w:val="20"/>
        </w:rPr>
        <w:t>ANEXO No. 3 – Flujo automatizable del proceso</w:t>
      </w:r>
    </w:p>
    <w:p w:rsidR="00C94F2E" w:rsidRPr="00F11750" w:rsidRDefault="00C94F2E" w:rsidP="009349DC">
      <w:pPr>
        <w:jc w:val="both"/>
        <w:rPr>
          <w:rFonts w:ascii="Gadugi" w:hAnsi="Gadugi"/>
        </w:rPr>
      </w:pPr>
    </w:p>
    <w:p w:rsidR="00070691" w:rsidRPr="00F11750" w:rsidRDefault="00070691" w:rsidP="009349DC">
      <w:pPr>
        <w:jc w:val="both"/>
        <w:rPr>
          <w:rFonts w:ascii="Gadugi" w:hAnsi="Gadugi"/>
        </w:rPr>
      </w:pPr>
    </w:p>
    <w:p w:rsidR="00070691" w:rsidRPr="00F11750" w:rsidRDefault="00070691" w:rsidP="009349DC">
      <w:pPr>
        <w:jc w:val="both"/>
        <w:rPr>
          <w:rFonts w:ascii="Gadugi" w:hAnsi="Gadugi"/>
        </w:rPr>
      </w:pPr>
    </w:p>
    <w:p w:rsidR="00070691" w:rsidRPr="00F11750" w:rsidRDefault="00070691" w:rsidP="009349DC">
      <w:pPr>
        <w:jc w:val="both"/>
        <w:rPr>
          <w:rFonts w:ascii="Gadugi" w:hAnsi="Gadugi"/>
        </w:rPr>
      </w:pPr>
    </w:p>
    <w:p w:rsidR="009349DC" w:rsidRPr="00B96BD7" w:rsidRDefault="009349DC" w:rsidP="001A458D">
      <w:pPr>
        <w:pStyle w:val="Prrafodelista"/>
        <w:numPr>
          <w:ilvl w:val="1"/>
          <w:numId w:val="3"/>
        </w:numPr>
        <w:jc w:val="both"/>
        <w:rPr>
          <w:rFonts w:ascii="Gadugi" w:hAnsi="Gadugi"/>
          <w:b/>
          <w:sz w:val="20"/>
        </w:rPr>
      </w:pPr>
      <w:r w:rsidRPr="00B96BD7">
        <w:rPr>
          <w:rFonts w:ascii="Gadugi" w:hAnsi="Gadugi"/>
          <w:sz w:val="20"/>
        </w:rPr>
        <w:t>Formulación y Consolidación del Plan Anual de Contratación (PAC) de la Administración Central del Municipio del Distrito Metropolitano de Quito.</w:t>
      </w:r>
    </w:p>
    <w:p w:rsidR="00C94F2E" w:rsidRPr="00F11750" w:rsidRDefault="00C94F2E" w:rsidP="00C94F2E">
      <w:pPr>
        <w:jc w:val="center"/>
        <w:rPr>
          <w:rFonts w:ascii="Gadugi" w:hAnsi="Gadugi"/>
          <w:b/>
        </w:rPr>
      </w:pPr>
      <w:r w:rsidRPr="00F11750">
        <w:rPr>
          <w:rFonts w:ascii="Gadugi" w:hAnsi="Gadugi"/>
          <w:noProof/>
          <w:lang w:val="es-EC" w:eastAsia="es-EC"/>
        </w:rPr>
        <w:drawing>
          <wp:inline distT="0" distB="0" distL="0" distR="0" wp14:anchorId="3AC96AB7" wp14:editId="5651606D">
            <wp:extent cx="6103620" cy="4601639"/>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333" cy="4614239"/>
                    </a:xfrm>
                    <a:prstGeom prst="rect">
                      <a:avLst/>
                    </a:prstGeom>
                  </pic:spPr>
                </pic:pic>
              </a:graphicData>
            </a:graphic>
          </wp:inline>
        </w:drawing>
      </w:r>
    </w:p>
    <w:p w:rsidR="00C94F2E" w:rsidRPr="00B96BD7" w:rsidRDefault="00C94F2E" w:rsidP="00C94F2E">
      <w:pPr>
        <w:rPr>
          <w:rFonts w:ascii="Gadugi" w:hAnsi="Gadugi"/>
          <w:b/>
          <w:sz w:val="20"/>
        </w:rPr>
      </w:pPr>
      <w:r w:rsidRPr="00B96BD7">
        <w:rPr>
          <w:rFonts w:ascii="Gadugi" w:hAnsi="Gadugi"/>
          <w:sz w:val="20"/>
        </w:rPr>
        <w:t xml:space="preserve">Para mejor visualización del flujo, se adjunta el </w:t>
      </w:r>
      <w:r w:rsidRPr="00B96BD7">
        <w:rPr>
          <w:rFonts w:ascii="Gadugi" w:hAnsi="Gadugi"/>
          <w:b/>
          <w:sz w:val="20"/>
        </w:rPr>
        <w:t>ANEXO No. 4 – Flujo automatizable del proceso</w:t>
      </w:r>
    </w:p>
    <w:sectPr w:rsidR="00C94F2E" w:rsidRPr="00B96BD7" w:rsidSect="00BE7B7F">
      <w:pgSz w:w="16838" w:h="11906" w:orient="landscape" w:code="9"/>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EE4" w:rsidRDefault="008B3EE4" w:rsidP="00A91011">
      <w:pPr>
        <w:spacing w:after="0" w:line="240" w:lineRule="auto"/>
      </w:pPr>
      <w:r>
        <w:separator/>
      </w:r>
    </w:p>
  </w:endnote>
  <w:endnote w:type="continuationSeparator" w:id="0">
    <w:p w:rsidR="008B3EE4" w:rsidRDefault="008B3EE4"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42080"/>
      <w:docPartObj>
        <w:docPartGallery w:val="Page Numbers (Bottom of Page)"/>
        <w:docPartUnique/>
      </w:docPartObj>
    </w:sdtPr>
    <w:sdtEndPr/>
    <w:sdtContent>
      <w:p w:rsidR="00BE7B7F" w:rsidRDefault="008B3EE4" w:rsidP="00BE7B7F">
        <w:pPr>
          <w:pStyle w:val="Piedepgina"/>
          <w:ind w:left="2124" w:firstLine="4956"/>
          <w:jc w:val="center"/>
        </w:pPr>
        <w:sdt>
          <w:sdtPr>
            <w:id w:val="-1654915510"/>
            <w:docPartObj>
              <w:docPartGallery w:val="Page Numbers (Bottom of Page)"/>
              <w:docPartUnique/>
            </w:docPartObj>
          </w:sdtPr>
          <w:sdtEndPr/>
          <w:sdtContent>
            <w:r w:rsidR="00BE7B7F">
              <w:rPr>
                <w:color w:val="8496B0" w:themeColor="text2" w:themeTint="99"/>
                <w:spacing w:val="60"/>
                <w:sz w:val="24"/>
                <w:szCs w:val="24"/>
              </w:rPr>
              <w:t>Página</w:t>
            </w:r>
            <w:r w:rsidR="00BE7B7F">
              <w:rPr>
                <w:color w:val="8496B0" w:themeColor="text2" w:themeTint="99"/>
                <w:sz w:val="24"/>
                <w:szCs w:val="24"/>
              </w:rPr>
              <w:t xml:space="preserve"> </w:t>
            </w:r>
            <w:r w:rsidR="00BE7B7F">
              <w:rPr>
                <w:color w:val="323E4F" w:themeColor="text2" w:themeShade="BF"/>
                <w:sz w:val="24"/>
                <w:szCs w:val="24"/>
              </w:rPr>
              <w:fldChar w:fldCharType="begin"/>
            </w:r>
            <w:r w:rsidR="00BE7B7F">
              <w:rPr>
                <w:color w:val="323E4F" w:themeColor="text2" w:themeShade="BF"/>
                <w:sz w:val="24"/>
                <w:szCs w:val="24"/>
              </w:rPr>
              <w:instrText>PAGE   \* MERGEFORMAT</w:instrText>
            </w:r>
            <w:r w:rsidR="00BE7B7F">
              <w:rPr>
                <w:color w:val="323E4F" w:themeColor="text2" w:themeShade="BF"/>
                <w:sz w:val="24"/>
                <w:szCs w:val="24"/>
              </w:rPr>
              <w:fldChar w:fldCharType="separate"/>
            </w:r>
            <w:r w:rsidR="007E56F6">
              <w:rPr>
                <w:noProof/>
                <w:color w:val="323E4F" w:themeColor="text2" w:themeShade="BF"/>
                <w:sz w:val="24"/>
                <w:szCs w:val="24"/>
              </w:rPr>
              <w:t>1</w:t>
            </w:r>
            <w:r w:rsidR="00BE7B7F">
              <w:rPr>
                <w:color w:val="323E4F" w:themeColor="text2" w:themeShade="BF"/>
                <w:sz w:val="24"/>
                <w:szCs w:val="24"/>
              </w:rPr>
              <w:fldChar w:fldCharType="end"/>
            </w:r>
            <w:r w:rsidR="00BE7B7F">
              <w:rPr>
                <w:color w:val="323E4F" w:themeColor="text2" w:themeShade="BF"/>
                <w:sz w:val="24"/>
                <w:szCs w:val="24"/>
              </w:rPr>
              <w:t xml:space="preserve"> | </w:t>
            </w:r>
            <w:r w:rsidR="00BE7B7F">
              <w:rPr>
                <w:color w:val="323E4F" w:themeColor="text2" w:themeShade="BF"/>
                <w:sz w:val="24"/>
                <w:szCs w:val="24"/>
              </w:rPr>
              <w:fldChar w:fldCharType="begin"/>
            </w:r>
            <w:r w:rsidR="00BE7B7F">
              <w:rPr>
                <w:color w:val="323E4F" w:themeColor="text2" w:themeShade="BF"/>
                <w:sz w:val="24"/>
                <w:szCs w:val="24"/>
              </w:rPr>
              <w:instrText>NUMPAGES  \* Arabic  \* MERGEFORMAT</w:instrText>
            </w:r>
            <w:r w:rsidR="00BE7B7F">
              <w:rPr>
                <w:color w:val="323E4F" w:themeColor="text2" w:themeShade="BF"/>
                <w:sz w:val="24"/>
                <w:szCs w:val="24"/>
              </w:rPr>
              <w:fldChar w:fldCharType="separate"/>
            </w:r>
            <w:r w:rsidR="007E56F6">
              <w:rPr>
                <w:noProof/>
                <w:color w:val="323E4F" w:themeColor="text2" w:themeShade="BF"/>
                <w:sz w:val="24"/>
                <w:szCs w:val="24"/>
              </w:rPr>
              <w:t>10</w:t>
            </w:r>
            <w:r w:rsidR="00BE7B7F">
              <w:rPr>
                <w:color w:val="323E4F" w:themeColor="text2" w:themeShade="BF"/>
                <w:sz w:val="24"/>
                <w:szCs w:val="24"/>
              </w:rPr>
              <w:fldChar w:fldCharType="end"/>
            </w:r>
          </w:sdtContent>
        </w:sdt>
      </w:p>
    </w:sdtContent>
  </w:sdt>
  <w:p w:rsidR="00BE7B7F" w:rsidRDefault="00BE7B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EE4" w:rsidRDefault="008B3EE4" w:rsidP="00A91011">
      <w:pPr>
        <w:spacing w:after="0" w:line="240" w:lineRule="auto"/>
      </w:pPr>
      <w:r>
        <w:separator/>
      </w:r>
    </w:p>
  </w:footnote>
  <w:footnote w:type="continuationSeparator" w:id="0">
    <w:p w:rsidR="008B3EE4" w:rsidRDefault="008B3EE4"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609" w:rsidRDefault="009349DC">
    <w:pPr>
      <w:pStyle w:val="Encabezado"/>
    </w:pPr>
    <w:r>
      <w:rPr>
        <w:noProof/>
        <w:lang w:val="es-EC" w:eastAsia="es-EC"/>
      </w:rPr>
      <w:drawing>
        <wp:anchor distT="0" distB="0" distL="114300" distR="114300" simplePos="0" relativeHeight="251657216" behindDoc="1" locked="0" layoutInCell="1" allowOverlap="1" wp14:anchorId="6CDB8E9B" wp14:editId="3DFACABE">
          <wp:simplePos x="0" y="0"/>
          <wp:positionH relativeFrom="page">
            <wp:posOffset>0</wp:posOffset>
          </wp:positionH>
          <wp:positionV relativeFrom="paragraph">
            <wp:posOffset>-583566</wp:posOffset>
          </wp:positionV>
          <wp:extent cx="7342407" cy="1081087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5727" cy="108157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5F4239E5"/>
    <w:multiLevelType w:val="multilevel"/>
    <w:tmpl w:val="8F3ED55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758F4EB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8"/>
  </w:num>
  <w:num w:numId="4">
    <w:abstractNumId w:val="5"/>
  </w:num>
  <w:num w:numId="5">
    <w:abstractNumId w:val="9"/>
  </w:num>
  <w:num w:numId="6">
    <w:abstractNumId w:val="2"/>
  </w:num>
  <w:num w:numId="7">
    <w:abstractNumId w:val="0"/>
  </w:num>
  <w:num w:numId="8">
    <w:abstractNumId w:val="10"/>
  </w:num>
  <w:num w:numId="9">
    <w:abstractNumId w:val="7"/>
  </w:num>
  <w:num w:numId="10">
    <w:abstractNumId w:val="11"/>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043D"/>
    <w:rsid w:val="00026C35"/>
    <w:rsid w:val="00046EC8"/>
    <w:rsid w:val="00070691"/>
    <w:rsid w:val="000A791D"/>
    <w:rsid w:val="000B2925"/>
    <w:rsid w:val="000C6576"/>
    <w:rsid w:val="0011717B"/>
    <w:rsid w:val="00142048"/>
    <w:rsid w:val="001C4BF8"/>
    <w:rsid w:val="001E633B"/>
    <w:rsid w:val="0020770C"/>
    <w:rsid w:val="00213A91"/>
    <w:rsid w:val="0029112C"/>
    <w:rsid w:val="002B6F56"/>
    <w:rsid w:val="002D4833"/>
    <w:rsid w:val="00335DA2"/>
    <w:rsid w:val="00344003"/>
    <w:rsid w:val="003475F9"/>
    <w:rsid w:val="00365C92"/>
    <w:rsid w:val="00391D24"/>
    <w:rsid w:val="003A755F"/>
    <w:rsid w:val="003F0B17"/>
    <w:rsid w:val="00402752"/>
    <w:rsid w:val="00414366"/>
    <w:rsid w:val="004819A9"/>
    <w:rsid w:val="00495900"/>
    <w:rsid w:val="004E37F7"/>
    <w:rsid w:val="00521007"/>
    <w:rsid w:val="00545975"/>
    <w:rsid w:val="00562E44"/>
    <w:rsid w:val="005D1E9F"/>
    <w:rsid w:val="0061537E"/>
    <w:rsid w:val="00646955"/>
    <w:rsid w:val="00683B46"/>
    <w:rsid w:val="006A75CF"/>
    <w:rsid w:val="006C188D"/>
    <w:rsid w:val="006D2000"/>
    <w:rsid w:val="006D338D"/>
    <w:rsid w:val="006F18AD"/>
    <w:rsid w:val="007E56F6"/>
    <w:rsid w:val="008127A3"/>
    <w:rsid w:val="00823AB7"/>
    <w:rsid w:val="0083578C"/>
    <w:rsid w:val="00887609"/>
    <w:rsid w:val="008B0B55"/>
    <w:rsid w:val="008B3EE4"/>
    <w:rsid w:val="008B585A"/>
    <w:rsid w:val="00913635"/>
    <w:rsid w:val="00925E39"/>
    <w:rsid w:val="009349DC"/>
    <w:rsid w:val="00941B07"/>
    <w:rsid w:val="009907E6"/>
    <w:rsid w:val="009913B4"/>
    <w:rsid w:val="009B76C7"/>
    <w:rsid w:val="009F5ED7"/>
    <w:rsid w:val="00A71087"/>
    <w:rsid w:val="00A91011"/>
    <w:rsid w:val="00AD6454"/>
    <w:rsid w:val="00B6551D"/>
    <w:rsid w:val="00B65ECF"/>
    <w:rsid w:val="00B7678C"/>
    <w:rsid w:val="00B874BA"/>
    <w:rsid w:val="00B96469"/>
    <w:rsid w:val="00B96BD7"/>
    <w:rsid w:val="00BA17C8"/>
    <w:rsid w:val="00BC4D55"/>
    <w:rsid w:val="00BE198C"/>
    <w:rsid w:val="00BE7B7F"/>
    <w:rsid w:val="00C20E68"/>
    <w:rsid w:val="00C746E2"/>
    <w:rsid w:val="00C94F2E"/>
    <w:rsid w:val="00CD705A"/>
    <w:rsid w:val="00CF70CE"/>
    <w:rsid w:val="00D13F78"/>
    <w:rsid w:val="00D45675"/>
    <w:rsid w:val="00D66052"/>
    <w:rsid w:val="00D81BA9"/>
    <w:rsid w:val="00DA71C0"/>
    <w:rsid w:val="00E139D0"/>
    <w:rsid w:val="00E31912"/>
    <w:rsid w:val="00E35D5B"/>
    <w:rsid w:val="00E41A3D"/>
    <w:rsid w:val="00E5239B"/>
    <w:rsid w:val="00EF07B5"/>
    <w:rsid w:val="00F11750"/>
    <w:rsid w:val="00F20175"/>
    <w:rsid w:val="00F35896"/>
    <w:rsid w:val="00F556C0"/>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349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0C657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9349DC"/>
  </w:style>
  <w:style w:type="character" w:customStyle="1" w:styleId="Ttulo1Car">
    <w:name w:val="Título 1 Car"/>
    <w:basedOn w:val="Fuentedeprrafopredeter"/>
    <w:link w:val="Ttulo1"/>
    <w:uiPriority w:val="9"/>
    <w:rsid w:val="009349D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349DC"/>
    <w:pPr>
      <w:outlineLvl w:val="9"/>
    </w:pPr>
    <w:rPr>
      <w:lang w:val="es-EC" w:eastAsia="es-EC"/>
    </w:rPr>
  </w:style>
  <w:style w:type="paragraph" w:styleId="TDC1">
    <w:name w:val="toc 1"/>
    <w:basedOn w:val="Normal"/>
    <w:next w:val="Normal"/>
    <w:autoRedefine/>
    <w:uiPriority w:val="39"/>
    <w:unhideWhenUsed/>
    <w:rsid w:val="009349DC"/>
    <w:pPr>
      <w:spacing w:after="100"/>
    </w:pPr>
  </w:style>
  <w:style w:type="paragraph" w:styleId="TDC2">
    <w:name w:val="toc 2"/>
    <w:basedOn w:val="Normal"/>
    <w:next w:val="Normal"/>
    <w:autoRedefine/>
    <w:uiPriority w:val="39"/>
    <w:unhideWhenUsed/>
    <w:rsid w:val="009349DC"/>
    <w:pPr>
      <w:spacing w:after="100"/>
      <w:ind w:left="220"/>
    </w:pPr>
  </w:style>
  <w:style w:type="character" w:styleId="Hipervnculo">
    <w:name w:val="Hyperlink"/>
    <w:basedOn w:val="Fuentedeprrafopredeter"/>
    <w:uiPriority w:val="99"/>
    <w:unhideWhenUsed/>
    <w:rsid w:val="009349D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349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0C657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9349DC"/>
  </w:style>
  <w:style w:type="character" w:customStyle="1" w:styleId="Ttulo1Car">
    <w:name w:val="Título 1 Car"/>
    <w:basedOn w:val="Fuentedeprrafopredeter"/>
    <w:link w:val="Ttulo1"/>
    <w:uiPriority w:val="9"/>
    <w:rsid w:val="009349D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349DC"/>
    <w:pPr>
      <w:outlineLvl w:val="9"/>
    </w:pPr>
    <w:rPr>
      <w:lang w:val="es-EC" w:eastAsia="es-EC"/>
    </w:rPr>
  </w:style>
  <w:style w:type="paragraph" w:styleId="TDC1">
    <w:name w:val="toc 1"/>
    <w:basedOn w:val="Normal"/>
    <w:next w:val="Normal"/>
    <w:autoRedefine/>
    <w:uiPriority w:val="39"/>
    <w:unhideWhenUsed/>
    <w:rsid w:val="009349DC"/>
    <w:pPr>
      <w:spacing w:after="100"/>
    </w:pPr>
  </w:style>
  <w:style w:type="paragraph" w:styleId="TDC2">
    <w:name w:val="toc 2"/>
    <w:basedOn w:val="Normal"/>
    <w:next w:val="Normal"/>
    <w:autoRedefine/>
    <w:uiPriority w:val="39"/>
    <w:unhideWhenUsed/>
    <w:rsid w:val="009349DC"/>
    <w:pPr>
      <w:spacing w:after="100"/>
      <w:ind w:left="220"/>
    </w:pPr>
  </w:style>
  <w:style w:type="character" w:styleId="Hipervnculo">
    <w:name w:val="Hyperlink"/>
    <w:basedOn w:val="Fuentedeprrafopredeter"/>
    <w:uiPriority w:val="99"/>
    <w:unhideWhenUsed/>
    <w:rsid w:val="009349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0BE282-87EE-485E-AEE2-245950A22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983</Words>
  <Characters>5407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Título: Diagramas de Flujo de procesos adjetivos priorizados TO-BE automatizable en notación BPMN 2.0</vt:lpstr>
    </vt:vector>
  </TitlesOfParts>
  <Company>MicrElaborado</Company>
  <LinksUpToDate>false</LinksUpToDate>
  <CharactersWithSpaces>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Diagramas de Flujo de procesos adjetivos priorizados TO-BE automatizable en notación BPMN 2.0</dc:title>
  <dc:subject>Fase: Mejoramiento de Procesos Adjetivos</dc:subject>
  <dc:creator>Elaborado para:</dc:creator>
  <cp:keywords/>
  <dc:description/>
  <cp:lastModifiedBy>Jenn</cp:lastModifiedBy>
  <cp:revision>23</cp:revision>
  <cp:lastPrinted>2017-05-29T11:12:00Z</cp:lastPrinted>
  <dcterms:created xsi:type="dcterms:W3CDTF">2016-09-06T06:29:00Z</dcterms:created>
  <dcterms:modified xsi:type="dcterms:W3CDTF">2017-05-29T11:38:00Z</dcterms:modified>
</cp:coreProperties>
</file>