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C7" w:rsidRDefault="008574C7" w:rsidP="009B1EBA">
      <w:pPr>
        <w:jc w:val="center"/>
      </w:pPr>
    </w:p>
    <w:p w:rsidR="009B1EBA" w:rsidRDefault="009B1EBA" w:rsidP="009B1EBA">
      <w:pPr>
        <w:jc w:val="center"/>
        <w:rPr>
          <w:rFonts w:ascii="Arial" w:hAnsi="Arial" w:cs="Arial"/>
          <w:b/>
        </w:rPr>
      </w:pPr>
      <w:r w:rsidRPr="009B1EBA">
        <w:rPr>
          <w:rFonts w:ascii="Arial" w:hAnsi="Arial" w:cs="Arial"/>
          <w:b/>
        </w:rPr>
        <w:t>ÍNDICE DE ANEXOS</w:t>
      </w:r>
    </w:p>
    <w:p w:rsidR="00A147E1" w:rsidRPr="009B1EBA" w:rsidRDefault="00A147E1" w:rsidP="00A147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PRIMERA </w:t>
      </w:r>
      <w:r>
        <w:rPr>
          <w:rFonts w:ascii="Arial" w:hAnsi="Arial" w:cs="Arial"/>
          <w:b/>
        </w:rPr>
        <w:t>PARTE: ASPECTOS TÉCNICOS</w:t>
      </w:r>
    </w:p>
    <w:p w:rsidR="00A147E1" w:rsidRDefault="00A147E1" w:rsidP="00A14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 1</w:t>
      </w:r>
    </w:p>
    <w:p w:rsidR="00A147E1" w:rsidRPr="00A147E1" w:rsidRDefault="00A147E1" w:rsidP="00A147E1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A147E1">
        <w:rPr>
          <w:rFonts w:ascii="Arial" w:hAnsi="Arial" w:cs="Arial"/>
        </w:rPr>
        <w:t>Ordenanza Metropolitana No. 0237, discutida y aprobada por el Concejo Metropolitano el 12 de abril de 2012, sancionada por el Alcalde del Distrito Metropolitano de Quito el 27 del mismo mes y año</w:t>
      </w:r>
    </w:p>
    <w:p w:rsidR="00A147E1" w:rsidRPr="00A147E1" w:rsidRDefault="00A147E1" w:rsidP="00A147E1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A147E1">
        <w:rPr>
          <w:rFonts w:ascii="Arial" w:hAnsi="Arial" w:cs="Arial"/>
        </w:rPr>
        <w:t>Ordenanza Metropolitana No. 0383</w:t>
      </w:r>
      <w:r w:rsidRPr="00A147E1">
        <w:rPr>
          <w:rFonts w:ascii="Arial" w:hAnsi="Arial" w:cs="Arial"/>
        </w:rPr>
        <w:t>, discutida y aprobada po</w:t>
      </w:r>
      <w:r w:rsidRPr="00A147E1">
        <w:rPr>
          <w:rFonts w:ascii="Arial" w:hAnsi="Arial" w:cs="Arial"/>
        </w:rPr>
        <w:t>r el Concejo Metropolitano el 01</w:t>
      </w:r>
      <w:r w:rsidRPr="00A147E1">
        <w:rPr>
          <w:rFonts w:ascii="Arial" w:hAnsi="Arial" w:cs="Arial"/>
        </w:rPr>
        <w:t xml:space="preserve"> de abril de 2012, sancionada por el Alcalde del Distr</w:t>
      </w:r>
      <w:r w:rsidRPr="00A147E1">
        <w:rPr>
          <w:rFonts w:ascii="Arial" w:hAnsi="Arial" w:cs="Arial"/>
        </w:rPr>
        <w:t>ito Metropolitano de Quito el 02</w:t>
      </w:r>
      <w:r w:rsidRPr="00A147E1">
        <w:rPr>
          <w:rFonts w:ascii="Arial" w:hAnsi="Arial" w:cs="Arial"/>
        </w:rPr>
        <w:t xml:space="preserve"> del mismo mes y año</w:t>
      </w:r>
    </w:p>
    <w:p w:rsidR="00A147E1" w:rsidRPr="00A147E1" w:rsidRDefault="00A147E1" w:rsidP="00A14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 2</w:t>
      </w:r>
    </w:p>
    <w:p w:rsidR="00A147E1" w:rsidRDefault="00A147E1" w:rsidP="00A147E1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A147E1">
        <w:rPr>
          <w:rFonts w:ascii="Arial" w:hAnsi="Arial" w:cs="Arial"/>
        </w:rPr>
        <w:t>Ordenanza Metropolitana No. 323</w:t>
      </w:r>
      <w:r w:rsidRPr="00A147E1">
        <w:rPr>
          <w:rFonts w:ascii="Arial" w:hAnsi="Arial" w:cs="Arial"/>
        </w:rPr>
        <w:t>, aprobada por el Concejo Metropolitano el 14 de abril de 2010</w:t>
      </w:r>
      <w:r>
        <w:rPr>
          <w:rFonts w:ascii="Arial" w:hAnsi="Arial" w:cs="Arial"/>
        </w:rPr>
        <w:t xml:space="preserve"> y sancionada por el Alcalde del Distrito Metropolitano de Quito 18 de octubre del mismo mes y año.</w:t>
      </w:r>
    </w:p>
    <w:p w:rsidR="00A147E1" w:rsidRPr="00A147E1" w:rsidRDefault="00A147E1" w:rsidP="00A147E1">
      <w:pPr>
        <w:jc w:val="both"/>
        <w:rPr>
          <w:rFonts w:ascii="Arial" w:hAnsi="Arial" w:cs="Arial"/>
        </w:rPr>
      </w:pPr>
    </w:p>
    <w:p w:rsidR="00A147E1" w:rsidRDefault="00A147E1" w:rsidP="00A14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 3</w:t>
      </w:r>
    </w:p>
    <w:p w:rsidR="00A147E1" w:rsidRDefault="00A147E1" w:rsidP="00A147E1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Ordenanza Metropolitana No. 3</w:t>
      </w:r>
      <w:r w:rsidRPr="00A147E1">
        <w:rPr>
          <w:rFonts w:ascii="Arial" w:hAnsi="Arial" w:cs="Arial"/>
        </w:rPr>
        <w:t>3</w:t>
      </w:r>
      <w:r>
        <w:rPr>
          <w:rFonts w:ascii="Arial" w:hAnsi="Arial" w:cs="Arial"/>
        </w:rPr>
        <w:t>2</w:t>
      </w:r>
      <w:r w:rsidRPr="00A147E1">
        <w:rPr>
          <w:rFonts w:ascii="Arial" w:hAnsi="Arial" w:cs="Arial"/>
        </w:rPr>
        <w:t xml:space="preserve">, </w:t>
      </w:r>
      <w:r w:rsidRPr="00A147E1">
        <w:rPr>
          <w:rFonts w:ascii="Arial" w:hAnsi="Arial" w:cs="Arial"/>
          <w:highlight w:val="yellow"/>
        </w:rPr>
        <w:t>aprobada por el Concejo Metropolitano el 14 de abril de 2010 y sancionada por el Alcalde del Distrito Metropolitano de Quito 18 de octubre del mismo mes y año.</w:t>
      </w:r>
    </w:p>
    <w:p w:rsidR="00A147E1" w:rsidRPr="00A147E1" w:rsidRDefault="00A147E1" w:rsidP="00A147E1">
      <w:pPr>
        <w:pStyle w:val="Prrafodelista"/>
        <w:ind w:left="1440"/>
        <w:jc w:val="both"/>
        <w:rPr>
          <w:rFonts w:ascii="Arial" w:hAnsi="Arial" w:cs="Arial"/>
        </w:rPr>
      </w:pPr>
    </w:p>
    <w:p w:rsidR="00A147E1" w:rsidRPr="00A147E1" w:rsidRDefault="00A147E1" w:rsidP="00A147E1">
      <w:pPr>
        <w:jc w:val="both"/>
        <w:rPr>
          <w:rFonts w:ascii="Arial" w:hAnsi="Arial" w:cs="Arial"/>
        </w:rPr>
      </w:pPr>
      <w:r w:rsidRPr="00A147E1">
        <w:rPr>
          <w:rFonts w:ascii="Arial" w:hAnsi="Arial" w:cs="Arial"/>
        </w:rPr>
        <w:t>ANEXO 4</w:t>
      </w:r>
    </w:p>
    <w:p w:rsidR="00A147E1" w:rsidRPr="00A71E0E" w:rsidRDefault="00A147E1" w:rsidP="00A147E1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A147E1">
        <w:rPr>
          <w:rFonts w:ascii="Arial" w:hAnsi="Arial" w:cs="Arial"/>
        </w:rPr>
        <w:t>El</w:t>
      </w:r>
      <w:r w:rsidRPr="00A147E1">
        <w:rPr>
          <w:rFonts w:ascii="Arial" w:hAnsi="Arial" w:cs="Arial"/>
        </w:rPr>
        <w:t xml:space="preserve"> </w:t>
      </w:r>
      <w:r w:rsidRPr="00A147E1">
        <w:rPr>
          <w:rFonts w:ascii="Arial" w:hAnsi="Arial" w:cs="Arial"/>
        </w:rPr>
        <w:t>Convenio Interinstitucional de Cooperación Técnica</w:t>
      </w:r>
      <w:r w:rsidRPr="00A147E1">
        <w:rPr>
          <w:rFonts w:ascii="Arial" w:hAnsi="Arial" w:cs="Arial"/>
        </w:rPr>
        <w:t>, suscrito el</w:t>
      </w:r>
      <w:r w:rsidRPr="00A147E1">
        <w:rPr>
          <w:rFonts w:ascii="Arial" w:hAnsi="Arial" w:cs="Arial"/>
        </w:rPr>
        <w:t xml:space="preserve"> 22 de junio de 2015,</w:t>
      </w:r>
      <w:r w:rsidRPr="00A147E1">
        <w:rPr>
          <w:rFonts w:ascii="Arial" w:hAnsi="Arial" w:cs="Arial"/>
        </w:rPr>
        <w:t xml:space="preserve"> entre</w:t>
      </w:r>
      <w:r w:rsidRPr="00A147E1">
        <w:rPr>
          <w:rFonts w:ascii="Arial" w:hAnsi="Arial" w:cs="Arial"/>
        </w:rPr>
        <w:t xml:space="preserve"> la Empresa Pública Metropolitana Metro de Quito (EPMMQ) y la Empresa Pública Metropolitana de Gestión Integral de Residuos Sólidos (EMGIRS EP)</w:t>
      </w:r>
    </w:p>
    <w:p w:rsidR="00A147E1" w:rsidRDefault="00A147E1" w:rsidP="00A14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 5</w:t>
      </w:r>
    </w:p>
    <w:p w:rsidR="00A147E1" w:rsidRDefault="00A147E1" w:rsidP="00A147E1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A147E1">
        <w:rPr>
          <w:rFonts w:ascii="Arial" w:hAnsi="Arial" w:cs="Arial"/>
        </w:rPr>
        <w:t xml:space="preserve">El </w:t>
      </w:r>
      <w:r w:rsidRPr="00A147E1">
        <w:rPr>
          <w:rFonts w:ascii="Arial" w:hAnsi="Arial" w:cs="Arial"/>
        </w:rPr>
        <w:t>Convenio</w:t>
      </w:r>
      <w:r w:rsidRPr="00A147E1">
        <w:rPr>
          <w:rFonts w:ascii="Arial" w:hAnsi="Arial" w:cs="Arial"/>
        </w:rPr>
        <w:t xml:space="preserve"> para la Ejecución de la Primera Línea Metro de Quito, Fase 2 Construcción de las Obras Civiles, Provisión y Montaje del Sistema de Equipamiento e Instalaciones,</w:t>
      </w:r>
      <w:r w:rsidRPr="00A147E1">
        <w:rPr>
          <w:rFonts w:ascii="Arial" w:hAnsi="Arial" w:cs="Arial"/>
        </w:rPr>
        <w:t xml:space="preserve"> suscrito el </w:t>
      </w:r>
      <w:r w:rsidRPr="00A147E1">
        <w:rPr>
          <w:rFonts w:ascii="Arial" w:hAnsi="Arial" w:cs="Arial"/>
        </w:rPr>
        <w:t>26 de no</w:t>
      </w:r>
      <w:r w:rsidRPr="00A147E1">
        <w:rPr>
          <w:rFonts w:ascii="Arial" w:hAnsi="Arial" w:cs="Arial"/>
        </w:rPr>
        <w:t>viembre de 2015,</w:t>
      </w:r>
      <w:r w:rsidRPr="00A147E1">
        <w:rPr>
          <w:rFonts w:ascii="Arial" w:hAnsi="Arial" w:cs="Arial"/>
        </w:rPr>
        <w:t xml:space="preserve"> entre el Municipio del Distrito Metropolitano de Quito y el CONSORCIO LÍNEA 1 METRO DE QUITO: ACCIONA – ODEBRECHT (actualmente CONSORCIO LÍNEA 1 METRO DE QUITO: ACCIONA).</w:t>
      </w:r>
    </w:p>
    <w:p w:rsidR="00A147E1" w:rsidRPr="00A71E0E" w:rsidRDefault="00A147E1" w:rsidP="00A147E1">
      <w:pPr>
        <w:pStyle w:val="Prrafodelista"/>
        <w:ind w:left="1440"/>
        <w:jc w:val="both"/>
        <w:rPr>
          <w:rFonts w:ascii="Arial" w:hAnsi="Arial" w:cs="Arial"/>
        </w:rPr>
      </w:pPr>
    </w:p>
    <w:p w:rsidR="00A147E1" w:rsidRDefault="00A147E1" w:rsidP="00A14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 6</w:t>
      </w:r>
    </w:p>
    <w:p w:rsidR="00A147E1" w:rsidRPr="00A71E0E" w:rsidRDefault="00A147E1" w:rsidP="00A147E1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A147E1">
        <w:rPr>
          <w:rFonts w:ascii="Arial" w:hAnsi="Arial" w:cs="Arial"/>
        </w:rPr>
        <w:t>E</w:t>
      </w:r>
      <w:r w:rsidRPr="00A147E1">
        <w:rPr>
          <w:rFonts w:ascii="Arial" w:hAnsi="Arial" w:cs="Arial"/>
        </w:rPr>
        <w:t>l Acta de Inicio de Obra del Contrato de Ejecución de la Primera Línea del Metro de Quito, Fase 2: Construcción de las Obras Civiles y Provisión y Montaje del Sistema de Equipamiento e Instalaciones</w:t>
      </w:r>
      <w:r>
        <w:rPr>
          <w:rFonts w:ascii="Arial" w:hAnsi="Arial" w:cs="Arial"/>
        </w:rPr>
        <w:t>.</w:t>
      </w:r>
    </w:p>
    <w:p w:rsidR="00A147E1" w:rsidRPr="00130EBB" w:rsidRDefault="00A147E1" w:rsidP="00A14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7</w:t>
      </w:r>
    </w:p>
    <w:p w:rsidR="00E34311" w:rsidRPr="00A71E0E" w:rsidRDefault="00E34311" w:rsidP="00E34311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A147E1">
        <w:rPr>
          <w:rFonts w:ascii="Arial" w:hAnsi="Arial" w:cs="Arial"/>
        </w:rPr>
        <w:t xml:space="preserve">El Convenio Interinstitucional de Cooperación Técnica, suscrito el </w:t>
      </w:r>
      <w:r>
        <w:rPr>
          <w:rFonts w:ascii="Arial" w:hAnsi="Arial" w:cs="Arial"/>
        </w:rPr>
        <w:t>29</w:t>
      </w:r>
      <w:r w:rsidRPr="00A147E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2016</w:t>
      </w:r>
      <w:r w:rsidRPr="00A147E1">
        <w:rPr>
          <w:rFonts w:ascii="Arial" w:hAnsi="Arial" w:cs="Arial"/>
        </w:rPr>
        <w:t>, entre la Empresa Pública Metropolitana Metro de Quito (EPMMQ) y la Empresa Pública Metropolitana de Gestión Integral de Residuos Sólidos (EMGIRS EP)</w:t>
      </w:r>
    </w:p>
    <w:p w:rsidR="00A147E1" w:rsidRDefault="00A147E1" w:rsidP="00A147E1">
      <w:pPr>
        <w:jc w:val="both"/>
        <w:rPr>
          <w:rFonts w:ascii="Arial" w:hAnsi="Arial" w:cs="Arial"/>
        </w:rPr>
      </w:pPr>
    </w:p>
    <w:p w:rsidR="00A147E1" w:rsidRDefault="00A147E1" w:rsidP="00A14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 8</w:t>
      </w:r>
    </w:p>
    <w:p w:rsidR="00A147E1" w:rsidRDefault="00E34311" w:rsidP="00E34311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E34311">
        <w:rPr>
          <w:rFonts w:ascii="Arial" w:hAnsi="Arial" w:cs="Arial"/>
        </w:rPr>
        <w:t>E</w:t>
      </w:r>
      <w:r w:rsidRPr="00E34311">
        <w:rPr>
          <w:rFonts w:ascii="Arial" w:hAnsi="Arial" w:cs="Arial"/>
        </w:rPr>
        <w:t>l CONTRATO PARA LA PRESTACIÓN DEL SERVICIO DE TRATAMIENTO Y DISPOSICIÓN FINAL DE ESCOMBROS CL1 091-2016</w:t>
      </w:r>
      <w:r w:rsidRPr="00E34311">
        <w:rPr>
          <w:rFonts w:ascii="Arial" w:hAnsi="Arial" w:cs="Arial"/>
        </w:rPr>
        <w:t xml:space="preserve">, suscrito el </w:t>
      </w:r>
      <w:r w:rsidRPr="00E34311">
        <w:rPr>
          <w:rFonts w:ascii="Arial" w:hAnsi="Arial" w:cs="Arial"/>
        </w:rPr>
        <w:t>17 de enero de 2017, entre la Empresa Pública Metropolitana de Gestión Integral de Residuos Sólidos EMGIRS-EP y el Consorcio Línea 1 Metro de Quito</w:t>
      </w:r>
    </w:p>
    <w:p w:rsidR="00C85FB4" w:rsidRDefault="00C85FB4" w:rsidP="00A147E1">
      <w:pPr>
        <w:rPr>
          <w:rFonts w:ascii="Arial" w:hAnsi="Arial" w:cs="Arial"/>
        </w:rPr>
      </w:pPr>
    </w:p>
    <w:p w:rsidR="00A147E1" w:rsidRDefault="00A147E1" w:rsidP="00A147E1">
      <w:pPr>
        <w:rPr>
          <w:rFonts w:ascii="Arial" w:hAnsi="Arial" w:cs="Arial"/>
        </w:rPr>
      </w:pPr>
      <w:r>
        <w:rPr>
          <w:rFonts w:ascii="Arial" w:hAnsi="Arial" w:cs="Arial"/>
        </w:rPr>
        <w:t>ANEXO 9</w:t>
      </w:r>
    </w:p>
    <w:p w:rsidR="00A147E1" w:rsidRDefault="00E34311" w:rsidP="00E34311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E34311">
        <w:rPr>
          <w:rFonts w:ascii="Arial" w:hAnsi="Arial" w:cs="Arial"/>
        </w:rPr>
        <w:t xml:space="preserve">El Contrato No. EMGIRS EP-GGE-CJU-2017-008, </w:t>
      </w:r>
      <w:r w:rsidRPr="00E34311">
        <w:rPr>
          <w:rFonts w:ascii="Arial" w:hAnsi="Arial" w:cs="Arial"/>
        </w:rPr>
        <w:t>suscrito  el</w:t>
      </w:r>
      <w:r w:rsidRPr="00E34311">
        <w:rPr>
          <w:rFonts w:ascii="Arial" w:hAnsi="Arial" w:cs="Arial"/>
        </w:rPr>
        <w:t xml:space="preserve"> 6 de marzo de 2017</w:t>
      </w:r>
      <w:r w:rsidRPr="00E34311">
        <w:rPr>
          <w:rFonts w:ascii="Arial" w:hAnsi="Arial" w:cs="Arial"/>
        </w:rPr>
        <w:t>,</w:t>
      </w:r>
      <w:r w:rsidRPr="00E34311">
        <w:rPr>
          <w:rFonts w:ascii="Arial" w:hAnsi="Arial" w:cs="Arial"/>
        </w:rPr>
        <w:t xml:space="preserve"> </w:t>
      </w:r>
      <w:r w:rsidRPr="00E34311">
        <w:rPr>
          <w:rFonts w:ascii="Arial" w:hAnsi="Arial" w:cs="Arial"/>
        </w:rPr>
        <w:t xml:space="preserve">entre </w:t>
      </w:r>
      <w:r w:rsidRPr="00E34311">
        <w:rPr>
          <w:rFonts w:ascii="Arial" w:hAnsi="Arial" w:cs="Arial"/>
        </w:rPr>
        <w:t>la Empresa Pública Metropolitana de Gestión Integral de Residuos Sólidos EMGIRS-</w:t>
      </w:r>
      <w:r w:rsidRPr="00E34311">
        <w:rPr>
          <w:rFonts w:ascii="Arial" w:hAnsi="Arial" w:cs="Arial"/>
        </w:rPr>
        <w:t>EP</w:t>
      </w:r>
      <w:r w:rsidRPr="00E34311">
        <w:rPr>
          <w:rFonts w:ascii="Arial" w:hAnsi="Arial" w:cs="Arial"/>
        </w:rPr>
        <w:t xml:space="preserve"> y el Consorcio “EL TROJE OYACO</w:t>
      </w:r>
      <w:r w:rsidRPr="00E34311">
        <w:rPr>
          <w:rFonts w:ascii="Arial" w:hAnsi="Arial" w:cs="Arial"/>
        </w:rPr>
        <w:t>TO”.</w:t>
      </w:r>
    </w:p>
    <w:p w:rsidR="00C85FB4" w:rsidRDefault="00C85FB4" w:rsidP="00A147E1">
      <w:pPr>
        <w:rPr>
          <w:rFonts w:ascii="Arial" w:hAnsi="Arial" w:cs="Arial"/>
        </w:rPr>
      </w:pPr>
    </w:p>
    <w:p w:rsidR="00A147E1" w:rsidRDefault="00A147E1" w:rsidP="00A147E1">
      <w:pPr>
        <w:rPr>
          <w:rFonts w:ascii="Arial" w:hAnsi="Arial" w:cs="Arial"/>
        </w:rPr>
      </w:pPr>
      <w:r>
        <w:rPr>
          <w:rFonts w:ascii="Arial" w:hAnsi="Arial" w:cs="Arial"/>
        </w:rPr>
        <w:t>ANEXO 10</w:t>
      </w:r>
    </w:p>
    <w:p w:rsidR="00C85FB4" w:rsidRDefault="00C85FB4" w:rsidP="00C85FB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5FB4">
        <w:rPr>
          <w:rFonts w:ascii="Arial" w:hAnsi="Arial" w:cs="Arial"/>
        </w:rPr>
        <w:t>Oficio No. EMGIRS</w:t>
      </w:r>
      <w:r>
        <w:rPr>
          <w:rFonts w:ascii="Arial" w:hAnsi="Arial" w:cs="Arial"/>
        </w:rPr>
        <w:t xml:space="preserve"> EP –ADM.FIS-2017 -001 de </w:t>
      </w:r>
      <w:r w:rsidRPr="00C85FB4">
        <w:rPr>
          <w:rFonts w:ascii="Arial" w:hAnsi="Arial" w:cs="Arial"/>
        </w:rPr>
        <w:t>19 de mayo de 2017</w:t>
      </w:r>
      <w:r w:rsidRPr="00C85FB4">
        <w:rPr>
          <w:rFonts w:ascii="Arial" w:hAnsi="Arial" w:cs="Arial"/>
        </w:rPr>
        <w:t>.</w:t>
      </w:r>
      <w:r w:rsidRPr="00C85FB4">
        <w:rPr>
          <w:rFonts w:ascii="Arial" w:hAnsi="Arial" w:cs="Arial"/>
        </w:rPr>
        <w:t xml:space="preserve"> </w:t>
      </w:r>
    </w:p>
    <w:p w:rsidR="00C85FB4" w:rsidRDefault="00C85FB4" w:rsidP="00C85FB4">
      <w:pPr>
        <w:rPr>
          <w:rFonts w:ascii="Arial" w:hAnsi="Arial" w:cs="Arial"/>
        </w:rPr>
      </w:pPr>
    </w:p>
    <w:p w:rsidR="00C85FB4" w:rsidRPr="00C85FB4" w:rsidRDefault="00C85FB4" w:rsidP="00C85FB4">
      <w:pPr>
        <w:rPr>
          <w:rFonts w:ascii="Arial" w:hAnsi="Arial" w:cs="Arial"/>
        </w:rPr>
      </w:pPr>
      <w:r>
        <w:rPr>
          <w:rFonts w:ascii="Arial" w:hAnsi="Arial" w:cs="Arial"/>
        </w:rPr>
        <w:t>ANEXO 11</w:t>
      </w:r>
    </w:p>
    <w:p w:rsidR="00C85FB4" w:rsidRDefault="00C85FB4" w:rsidP="00C85FB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MEMORANDO No. GGE-GOP-CES-2017-449 de 08 de diciembre de 2017.</w:t>
      </w:r>
    </w:p>
    <w:p w:rsidR="00C85FB4" w:rsidRDefault="00C85FB4" w:rsidP="00C85FB4">
      <w:pPr>
        <w:rPr>
          <w:rFonts w:ascii="Arial" w:hAnsi="Arial" w:cs="Arial"/>
        </w:rPr>
      </w:pPr>
    </w:p>
    <w:p w:rsidR="00C85FB4" w:rsidRDefault="00C85FB4" w:rsidP="00C85FB4">
      <w:pPr>
        <w:rPr>
          <w:rFonts w:ascii="Arial" w:hAnsi="Arial" w:cs="Arial"/>
        </w:rPr>
      </w:pPr>
      <w:r>
        <w:rPr>
          <w:rFonts w:ascii="Arial" w:hAnsi="Arial" w:cs="Arial"/>
        </w:rPr>
        <w:t>ANEXO 12</w:t>
      </w:r>
    </w:p>
    <w:p w:rsidR="00C85FB4" w:rsidRPr="00C85FB4" w:rsidRDefault="00C85FB4" w:rsidP="00C85FB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MEMORANDO No.</w:t>
      </w:r>
      <w:r>
        <w:rPr>
          <w:rFonts w:ascii="Arial" w:hAnsi="Arial" w:cs="Arial"/>
        </w:rPr>
        <w:t xml:space="preserve"> CVD-TROJE4-GGE-2017-01 de 11 de diciembre de 2017.</w:t>
      </w:r>
    </w:p>
    <w:p w:rsidR="00A147E1" w:rsidRDefault="00A147E1" w:rsidP="009B1EBA">
      <w:pPr>
        <w:jc w:val="center"/>
        <w:rPr>
          <w:rFonts w:ascii="Arial" w:hAnsi="Arial" w:cs="Arial"/>
          <w:b/>
        </w:rPr>
      </w:pPr>
    </w:p>
    <w:p w:rsidR="00A71E0E" w:rsidRPr="009B1EBA" w:rsidRDefault="00A71E0E" w:rsidP="009B1E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SEGUNDA PARTE: ASPECTOS TÉCNICOS</w:t>
      </w:r>
    </w:p>
    <w:p w:rsidR="00A71E0E" w:rsidRDefault="00A71E0E" w:rsidP="00A71E0E">
      <w:pPr>
        <w:rPr>
          <w:rFonts w:ascii="Arial" w:hAnsi="Arial" w:cs="Arial"/>
        </w:rPr>
      </w:pPr>
    </w:p>
    <w:p w:rsidR="008574C7" w:rsidRDefault="008574C7" w:rsidP="003E73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 1</w:t>
      </w:r>
    </w:p>
    <w:p w:rsidR="009B1EBA" w:rsidRDefault="008574C7" w:rsidP="009B1EB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574C7">
        <w:rPr>
          <w:rFonts w:ascii="Arial" w:hAnsi="Arial" w:cs="Arial"/>
        </w:rPr>
        <w:t xml:space="preserve">OF. </w:t>
      </w:r>
      <w:r>
        <w:rPr>
          <w:rFonts w:ascii="Arial" w:hAnsi="Arial" w:cs="Arial"/>
        </w:rPr>
        <w:t>EPMMQ-GG-C-0905-2018 del 18 de junio de 2018</w:t>
      </w:r>
      <w:r w:rsidR="0009242F">
        <w:rPr>
          <w:rFonts w:ascii="Arial" w:hAnsi="Arial" w:cs="Arial"/>
        </w:rPr>
        <w:t xml:space="preserve">. Contiene: </w:t>
      </w:r>
    </w:p>
    <w:p w:rsidR="009B1EBA" w:rsidRPr="009B1EBA" w:rsidRDefault="009B1EBA" w:rsidP="009B1EBA">
      <w:pPr>
        <w:pStyle w:val="Prrafodelista"/>
        <w:jc w:val="both"/>
        <w:rPr>
          <w:rFonts w:ascii="Arial" w:hAnsi="Arial" w:cs="Arial"/>
        </w:rPr>
      </w:pPr>
    </w:p>
    <w:p w:rsidR="009B1EBA" w:rsidRDefault="009B1EBA" w:rsidP="009B1EB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Disco 1:</w:t>
      </w:r>
    </w:p>
    <w:p w:rsidR="009B1EBA" w:rsidRDefault="009B1EBA" w:rsidP="00A71E0E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Comisión Especial de Investigación Troje IV: Hoja Guía de Comunicaciones enviadas a la Comisión de Investigación Troje IV.</w:t>
      </w:r>
    </w:p>
    <w:p w:rsidR="009B1EBA" w:rsidRDefault="009B1EBA" w:rsidP="00A71E0E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Cinco testimonios presentados por los conductores por las volquetas del Consorcio Línea 1.</w:t>
      </w:r>
    </w:p>
    <w:p w:rsidR="009B1EBA" w:rsidRDefault="009B1EBA" w:rsidP="009B1EBA">
      <w:pPr>
        <w:pStyle w:val="Prrafodelista"/>
        <w:ind w:left="1800"/>
        <w:jc w:val="both"/>
        <w:rPr>
          <w:rFonts w:ascii="Arial" w:hAnsi="Arial" w:cs="Arial"/>
        </w:rPr>
      </w:pPr>
    </w:p>
    <w:p w:rsidR="009B1EBA" w:rsidRDefault="009B1EBA" w:rsidP="009B1EB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Disco 2:</w:t>
      </w:r>
    </w:p>
    <w:p w:rsidR="009B1EBA" w:rsidRDefault="009B1EBA" w:rsidP="00A71E0E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Primer Informe Semestral de Cumplimiento del Plan de Manejo Ambiental</w:t>
      </w:r>
    </w:p>
    <w:p w:rsidR="009B1EBA" w:rsidRDefault="009B1EBA" w:rsidP="00A71E0E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Segundo Informe Semestral de Cumplimiento del Plan de Manejo Ambiental</w:t>
      </w:r>
    </w:p>
    <w:p w:rsidR="009B1EBA" w:rsidRDefault="009B1EBA" w:rsidP="00A71E0E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Tercer Informe Semestral de Cumplimiento del Plan de Manejo Ambiental</w:t>
      </w:r>
    </w:p>
    <w:p w:rsidR="009B1EBA" w:rsidRDefault="009B1EBA" w:rsidP="00A71E0E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Cuarto Informe Semestral de Cumplimiento del Plan de Manejo Ambiental</w:t>
      </w:r>
    </w:p>
    <w:p w:rsidR="009B1EBA" w:rsidRDefault="009B1EBA" w:rsidP="00A71E0E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&amp; Cumplimiento del Plan de Manejo Ambiental - Ingresos de Informes y Aprobaciones al Ministerio de Ambiente</w:t>
      </w:r>
    </w:p>
    <w:p w:rsidR="009B1EBA" w:rsidRDefault="009B1EBA" w:rsidP="009B1EBA">
      <w:pPr>
        <w:pStyle w:val="Prrafodelista"/>
        <w:ind w:left="1800"/>
        <w:jc w:val="both"/>
        <w:rPr>
          <w:rFonts w:ascii="Arial" w:hAnsi="Arial" w:cs="Arial"/>
        </w:rPr>
      </w:pPr>
    </w:p>
    <w:p w:rsidR="009B1EBA" w:rsidRDefault="009B1EBA" w:rsidP="009B1EB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Disco 3:</w:t>
      </w:r>
    </w:p>
    <w:p w:rsidR="009B1EBA" w:rsidRDefault="009B1EBA" w:rsidP="00A71E0E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9B1EBA">
        <w:rPr>
          <w:rFonts w:ascii="Arial" w:hAnsi="Arial" w:cs="Arial"/>
        </w:rPr>
        <w:t>OF. EPMMQ-GG-0191-2018 del 06 de febrero de 2018</w:t>
      </w:r>
    </w:p>
    <w:p w:rsidR="009B1EBA" w:rsidRDefault="009B1EBA" w:rsidP="00A71E0E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9B1EBA">
        <w:rPr>
          <w:rFonts w:ascii="Arial" w:hAnsi="Arial" w:cs="Arial"/>
        </w:rPr>
        <w:t>OF. EPMMQ-GG-0229-2018 del 16 de febrero de 2018</w:t>
      </w:r>
    </w:p>
    <w:p w:rsidR="009B1EBA" w:rsidRDefault="009B1EBA" w:rsidP="00A71E0E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9B1EBA">
        <w:rPr>
          <w:rFonts w:ascii="Arial" w:hAnsi="Arial" w:cs="Arial"/>
        </w:rPr>
        <w:t>OF. EPMMQ-GG-0321-2018 del 02 de marzo de 2018</w:t>
      </w:r>
    </w:p>
    <w:p w:rsidR="009B1EBA" w:rsidRDefault="009B1EBA" w:rsidP="00A71E0E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9B1EBA">
        <w:rPr>
          <w:rFonts w:ascii="Arial" w:hAnsi="Arial" w:cs="Arial"/>
        </w:rPr>
        <w:t>OF. EPMMQ-GG-0351-2018 del 08 de marzo de 2018</w:t>
      </w:r>
    </w:p>
    <w:p w:rsidR="009B1EBA" w:rsidRDefault="009B1EBA" w:rsidP="00A71E0E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9B1EBA">
        <w:rPr>
          <w:rFonts w:ascii="Arial" w:hAnsi="Arial" w:cs="Arial"/>
        </w:rPr>
        <w:t>OF. EPMMQ-GG-0470-2018 del 23 de marzo de 2018</w:t>
      </w:r>
    </w:p>
    <w:p w:rsidR="009B1EBA" w:rsidRDefault="009B1EBA" w:rsidP="00A71E0E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9B1EBA">
        <w:rPr>
          <w:rFonts w:ascii="Arial" w:hAnsi="Arial" w:cs="Arial"/>
        </w:rPr>
        <w:t>OF. EPMMQ-GG-0714-2018 del 14 de mayo de 2018</w:t>
      </w:r>
    </w:p>
    <w:p w:rsidR="009B1EBA" w:rsidRDefault="009B1EBA" w:rsidP="00A71E0E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9B1EBA">
        <w:rPr>
          <w:rFonts w:ascii="Arial" w:hAnsi="Arial" w:cs="Arial"/>
        </w:rPr>
        <w:t>OF. EPMMQ-SG-C-0752-2018 del 17 de mayo de 2018</w:t>
      </w:r>
    </w:p>
    <w:p w:rsidR="00A71E0E" w:rsidRPr="009B1EBA" w:rsidRDefault="00A71E0E" w:rsidP="00A71E0E">
      <w:pPr>
        <w:pStyle w:val="Prrafodelista"/>
        <w:ind w:left="1776"/>
        <w:jc w:val="both"/>
        <w:rPr>
          <w:rFonts w:ascii="Arial" w:hAnsi="Arial" w:cs="Arial"/>
        </w:rPr>
      </w:pPr>
    </w:p>
    <w:p w:rsidR="009E14C3" w:rsidRDefault="009E14C3" w:rsidP="003E73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 2</w:t>
      </w:r>
    </w:p>
    <w:p w:rsidR="009E14C3" w:rsidRDefault="009E14C3" w:rsidP="003E73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OF. EPMMQ-GG-0321-2018 del 02 de marzo de 2018</w:t>
      </w:r>
      <w:r w:rsidR="0009242F">
        <w:rPr>
          <w:rFonts w:ascii="Arial" w:hAnsi="Arial" w:cs="Arial"/>
        </w:rPr>
        <w:t>. Contiene:</w:t>
      </w:r>
    </w:p>
    <w:p w:rsidR="0009242F" w:rsidRDefault="0009242F" w:rsidP="003E7336">
      <w:pPr>
        <w:pStyle w:val="Prrafodelista"/>
        <w:jc w:val="both"/>
        <w:rPr>
          <w:rFonts w:ascii="Arial" w:hAnsi="Arial" w:cs="Arial"/>
        </w:rPr>
      </w:pPr>
    </w:p>
    <w:p w:rsidR="009E14C3" w:rsidRDefault="009E14C3" w:rsidP="003E7336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Contiene la información relativa al proceso que lleva la Comisión Especial</w:t>
      </w:r>
      <w:r w:rsidR="0009242F">
        <w:rPr>
          <w:rFonts w:ascii="Arial" w:hAnsi="Arial" w:cs="Arial"/>
        </w:rPr>
        <w:t xml:space="preserve"> sobre la escombrera Troje IV, a propósito del accidente suscitado en el mes de diciembre de 2017. </w:t>
      </w:r>
    </w:p>
    <w:p w:rsidR="0009242F" w:rsidRDefault="0009242F" w:rsidP="003E7336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Argumentación respecto a la inertización al material proveniente de la construcción de la PLMQ</w:t>
      </w:r>
    </w:p>
    <w:p w:rsidR="00A71E0E" w:rsidRDefault="00A71E0E" w:rsidP="00A71E0E">
      <w:pPr>
        <w:pStyle w:val="Prrafodelista"/>
        <w:ind w:left="1440"/>
        <w:jc w:val="both"/>
        <w:rPr>
          <w:rFonts w:ascii="Arial" w:hAnsi="Arial" w:cs="Arial"/>
        </w:rPr>
      </w:pPr>
    </w:p>
    <w:p w:rsidR="00A71E0E" w:rsidRDefault="00A71E0E" w:rsidP="00A71E0E">
      <w:pPr>
        <w:pStyle w:val="Prrafodelista"/>
        <w:ind w:left="1440"/>
        <w:jc w:val="both"/>
        <w:rPr>
          <w:rFonts w:ascii="Arial" w:hAnsi="Arial" w:cs="Arial"/>
        </w:rPr>
      </w:pPr>
    </w:p>
    <w:p w:rsidR="0009242F" w:rsidRDefault="0009242F" w:rsidP="003E73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 3</w:t>
      </w:r>
    </w:p>
    <w:p w:rsidR="0009242F" w:rsidRDefault="0009242F" w:rsidP="003E73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OF. EPMMQ-GG-</w:t>
      </w:r>
      <w:r w:rsidR="00BD604F">
        <w:rPr>
          <w:rFonts w:ascii="Arial" w:hAnsi="Arial" w:cs="Arial"/>
        </w:rPr>
        <w:t>0255-2018 del 20 de febrero de 2018. Contiene:</w:t>
      </w:r>
    </w:p>
    <w:p w:rsidR="00BD604F" w:rsidRDefault="00BD604F" w:rsidP="003E7336">
      <w:pPr>
        <w:pStyle w:val="Prrafodelista"/>
        <w:jc w:val="both"/>
        <w:rPr>
          <w:rFonts w:ascii="Arial" w:hAnsi="Arial" w:cs="Arial"/>
        </w:rPr>
      </w:pPr>
    </w:p>
    <w:p w:rsidR="00BD604F" w:rsidRDefault="00BD604F" w:rsidP="003E7336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Informes de Monitoreo Ambiental del Material de Excavación de la PLMQ ingresada a la escombrera Troje IV desde abril a noviembre de 2017.</w:t>
      </w:r>
    </w:p>
    <w:p w:rsidR="00BD604F" w:rsidRDefault="00BD604F" w:rsidP="003E7336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Diseño Definitivo de Obra Civil. Pliegos de Prescripción Técnica, Capítulo 3, sección 1.1. sección 1.1.1, página 1 a 3.</w:t>
      </w:r>
    </w:p>
    <w:p w:rsidR="00A71E0E" w:rsidRDefault="00A71E0E" w:rsidP="00A71E0E">
      <w:pPr>
        <w:pStyle w:val="Prrafodelista"/>
        <w:ind w:left="1440"/>
        <w:jc w:val="both"/>
        <w:rPr>
          <w:rFonts w:ascii="Arial" w:hAnsi="Arial" w:cs="Arial"/>
        </w:rPr>
      </w:pPr>
    </w:p>
    <w:p w:rsidR="00BD604F" w:rsidRDefault="00BD604F" w:rsidP="003E73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 4</w:t>
      </w:r>
    </w:p>
    <w:p w:rsidR="00BD604F" w:rsidRDefault="00BD604F" w:rsidP="003E73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OF. EPMMQ-GG-0229-2018 del 16 de febrero de 2018. Contiene:</w:t>
      </w:r>
    </w:p>
    <w:p w:rsidR="00BD604F" w:rsidRDefault="00BD604F" w:rsidP="003E7336">
      <w:pPr>
        <w:pStyle w:val="Prrafodelista"/>
        <w:jc w:val="both"/>
        <w:rPr>
          <w:rFonts w:ascii="Arial" w:hAnsi="Arial" w:cs="Arial"/>
        </w:rPr>
      </w:pPr>
    </w:p>
    <w:p w:rsidR="00BD604F" w:rsidRDefault="00BD604F" w:rsidP="003E7336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Comunicaciones entre EMGIRS-EP y EPMMQ a lo largo del año 2016 y 2017</w:t>
      </w:r>
    </w:p>
    <w:p w:rsidR="00BD604F" w:rsidRDefault="00BD604F" w:rsidP="003E7336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Ayudas Memorias de las misiones de supervisión de los Organismo Multilaterales de Financiamiento en referencia a temas del Troje IV</w:t>
      </w:r>
    </w:p>
    <w:p w:rsidR="00BD604F" w:rsidRDefault="00BD604F" w:rsidP="003E7336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al Plan de Acción Correctivo del Proyecto Metro de Quito y facilidades asociadas y su cumplimiento en referencia a EMGIRS</w:t>
      </w:r>
      <w:r w:rsidR="00D3747F">
        <w:rPr>
          <w:rFonts w:ascii="Arial" w:hAnsi="Arial" w:cs="Arial"/>
        </w:rPr>
        <w:t>-EP</w:t>
      </w:r>
      <w:r w:rsidR="00A71E0E">
        <w:rPr>
          <w:rFonts w:ascii="Arial" w:hAnsi="Arial" w:cs="Arial"/>
        </w:rPr>
        <w:t>.</w:t>
      </w:r>
    </w:p>
    <w:p w:rsidR="00A71E0E" w:rsidRPr="00A71E0E" w:rsidRDefault="00A71E0E" w:rsidP="00A71E0E">
      <w:pPr>
        <w:pStyle w:val="Prrafodelista"/>
        <w:ind w:left="1440"/>
        <w:jc w:val="both"/>
        <w:rPr>
          <w:rFonts w:ascii="Arial" w:hAnsi="Arial" w:cs="Arial"/>
        </w:rPr>
      </w:pPr>
    </w:p>
    <w:p w:rsidR="00130EBB" w:rsidRDefault="00130EBB" w:rsidP="003E73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 5</w:t>
      </w:r>
    </w:p>
    <w:p w:rsidR="00130EBB" w:rsidRDefault="00130EBB" w:rsidP="003E73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OF. EPMMQ-GG-C-0752-2018 del 17 de mayo de 2018. Contiene:</w:t>
      </w:r>
    </w:p>
    <w:p w:rsidR="00130EBB" w:rsidRDefault="00130EBB" w:rsidP="003E7336">
      <w:pPr>
        <w:pStyle w:val="Prrafodelista"/>
        <w:jc w:val="both"/>
        <w:rPr>
          <w:rFonts w:ascii="Arial" w:hAnsi="Arial" w:cs="Arial"/>
        </w:rPr>
      </w:pPr>
    </w:p>
    <w:p w:rsidR="00130EBB" w:rsidRDefault="00130EBB" w:rsidP="003E7336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“Informe respecto al deslizamiento de tierras en la escombrera el Troje IV” elaborado por la EPMMQ</w:t>
      </w:r>
      <w:r w:rsidR="00F27EE0">
        <w:rPr>
          <w:rFonts w:ascii="Arial" w:hAnsi="Arial" w:cs="Arial"/>
        </w:rPr>
        <w:t xml:space="preserve"> el mismo que contiene los Términos de Referencia de licitación del contrato suscrito entre EMGIRS</w:t>
      </w:r>
      <w:r w:rsidR="00D3747F">
        <w:rPr>
          <w:rFonts w:ascii="Arial" w:hAnsi="Arial" w:cs="Arial"/>
        </w:rPr>
        <w:t>-EP</w:t>
      </w:r>
      <w:r w:rsidR="00F27EE0">
        <w:rPr>
          <w:rFonts w:ascii="Arial" w:hAnsi="Arial" w:cs="Arial"/>
        </w:rPr>
        <w:t xml:space="preserve"> y el Consorcio Troje-Oyacoto</w:t>
      </w:r>
      <w:r w:rsidR="00A71E0E">
        <w:rPr>
          <w:rFonts w:ascii="Arial" w:hAnsi="Arial" w:cs="Arial"/>
        </w:rPr>
        <w:t>.</w:t>
      </w:r>
    </w:p>
    <w:p w:rsidR="00A71E0E" w:rsidRPr="00A71E0E" w:rsidRDefault="00A71E0E" w:rsidP="00A71E0E">
      <w:pPr>
        <w:pStyle w:val="Prrafodelista"/>
        <w:ind w:left="1440"/>
        <w:jc w:val="both"/>
        <w:rPr>
          <w:rFonts w:ascii="Arial" w:hAnsi="Arial" w:cs="Arial"/>
        </w:rPr>
      </w:pPr>
    </w:p>
    <w:p w:rsidR="00130EBB" w:rsidRDefault="00130EBB" w:rsidP="003E73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 6</w:t>
      </w:r>
    </w:p>
    <w:p w:rsidR="00130EBB" w:rsidRDefault="00130EBB" w:rsidP="003E73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Cronograma de avance de las tuneladoras del Proyecto Metro de Quito de marzo 2017 a febrero 2018.</w:t>
      </w:r>
    </w:p>
    <w:p w:rsidR="00A71E0E" w:rsidRPr="00A71E0E" w:rsidRDefault="00A71E0E" w:rsidP="00A71E0E">
      <w:pPr>
        <w:pStyle w:val="Prrafodelista"/>
        <w:jc w:val="both"/>
        <w:rPr>
          <w:rFonts w:ascii="Arial" w:hAnsi="Arial" w:cs="Arial"/>
        </w:rPr>
      </w:pPr>
    </w:p>
    <w:p w:rsidR="00130EBB" w:rsidRPr="00130EBB" w:rsidRDefault="00130EBB" w:rsidP="003E73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 7</w:t>
      </w:r>
    </w:p>
    <w:p w:rsidR="00130EBB" w:rsidRDefault="00F27EE0" w:rsidP="003E73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OF. EPMMQ-GG-0714-2018 de</w:t>
      </w:r>
      <w:r w:rsidR="00A10FC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A10FC8">
        <w:rPr>
          <w:rFonts w:ascii="Arial" w:hAnsi="Arial" w:cs="Arial"/>
        </w:rPr>
        <w:t>14 de mayo de 2018. Contiene:</w:t>
      </w:r>
    </w:p>
    <w:p w:rsidR="00A10FC8" w:rsidRDefault="00A10FC8" w:rsidP="003E7336">
      <w:pPr>
        <w:pStyle w:val="Prrafodelista"/>
        <w:jc w:val="both"/>
        <w:rPr>
          <w:rFonts w:ascii="Arial" w:hAnsi="Arial" w:cs="Arial"/>
        </w:rPr>
      </w:pPr>
    </w:p>
    <w:p w:rsidR="00A10FC8" w:rsidRDefault="00A10FC8" w:rsidP="003E7336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Tomo I: </w:t>
      </w:r>
    </w:p>
    <w:p w:rsidR="00A10FC8" w:rsidRDefault="00A10FC8" w:rsidP="003E7336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Licencia Ambiental y Plan de Manejo Ambiental Actualizado para la PLMQ</w:t>
      </w:r>
    </w:p>
    <w:p w:rsidR="00A10FC8" w:rsidRDefault="00A10FC8" w:rsidP="003E7336">
      <w:pPr>
        <w:pStyle w:val="Prrafodelista"/>
        <w:ind w:left="2160"/>
        <w:jc w:val="both"/>
        <w:rPr>
          <w:rFonts w:ascii="Arial" w:hAnsi="Arial" w:cs="Arial"/>
        </w:rPr>
      </w:pPr>
    </w:p>
    <w:p w:rsidR="00A10FC8" w:rsidRDefault="00A10FC8" w:rsidP="003E7336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Tomo II y III</w:t>
      </w:r>
    </w:p>
    <w:p w:rsidR="00A10FC8" w:rsidRDefault="00A10FC8" w:rsidP="003E7336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Pliegos de Prescripciones Técnicas</w:t>
      </w:r>
    </w:p>
    <w:p w:rsidR="00A10FC8" w:rsidRDefault="00A10FC8" w:rsidP="003E7336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de licitación Fase 2</w:t>
      </w:r>
    </w:p>
    <w:p w:rsidR="00A71E0E" w:rsidRDefault="00A71E0E" w:rsidP="00A71E0E">
      <w:pPr>
        <w:pStyle w:val="Prrafodelista"/>
        <w:ind w:left="2160"/>
        <w:jc w:val="both"/>
        <w:rPr>
          <w:rFonts w:ascii="Arial" w:hAnsi="Arial" w:cs="Arial"/>
        </w:rPr>
      </w:pPr>
    </w:p>
    <w:p w:rsidR="00A71E0E" w:rsidRDefault="00A71E0E" w:rsidP="00A71E0E">
      <w:pPr>
        <w:pStyle w:val="Prrafodelista"/>
        <w:ind w:left="2160"/>
        <w:jc w:val="both"/>
        <w:rPr>
          <w:rFonts w:ascii="Arial" w:hAnsi="Arial" w:cs="Arial"/>
        </w:rPr>
      </w:pPr>
    </w:p>
    <w:p w:rsidR="00A10FC8" w:rsidRDefault="00A10FC8" w:rsidP="003E7336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Tomo IV, V y VI</w:t>
      </w:r>
    </w:p>
    <w:p w:rsidR="00A71E0E" w:rsidRDefault="00A71E0E" w:rsidP="00A71E0E">
      <w:pPr>
        <w:pStyle w:val="Prrafodelista"/>
        <w:ind w:left="1440"/>
        <w:jc w:val="both"/>
        <w:rPr>
          <w:rFonts w:ascii="Arial" w:hAnsi="Arial" w:cs="Arial"/>
        </w:rPr>
      </w:pPr>
    </w:p>
    <w:p w:rsidR="00A10FC8" w:rsidRDefault="00A10FC8" w:rsidP="003E7336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de licitación para la contratación de: Ejecución de la PLMQ Fase 2: Construcció</w:t>
      </w:r>
      <w:r w:rsidR="00050A45">
        <w:rPr>
          <w:rFonts w:ascii="Arial" w:hAnsi="Arial" w:cs="Arial"/>
        </w:rPr>
        <w:t>n de Obras Civiles &amp; Provisión &amp;</w:t>
      </w:r>
      <w:r>
        <w:rPr>
          <w:rFonts w:ascii="Arial" w:hAnsi="Arial" w:cs="Arial"/>
        </w:rPr>
        <w:t xml:space="preserve"> Montaje del Sistema de Equipamiento e Instalaciones. Licitación Pública Internacional No. RELI01.2013 METRO DE QUITO-BID-CAF-BEI</w:t>
      </w:r>
    </w:p>
    <w:p w:rsidR="00A10FC8" w:rsidRDefault="00050A45" w:rsidP="003E7336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Contrato de Ejecución de la PLMQ Fase 2: Construcción de Obras Civiles &amp; Provisión &amp; Montaje del Sistema de Equipamiento e Instalaciones</w:t>
      </w:r>
    </w:p>
    <w:p w:rsidR="00050A45" w:rsidRDefault="00050A45" w:rsidP="003E7336">
      <w:pPr>
        <w:jc w:val="both"/>
        <w:rPr>
          <w:rFonts w:ascii="Arial" w:hAnsi="Arial" w:cs="Arial"/>
        </w:rPr>
      </w:pPr>
    </w:p>
    <w:p w:rsidR="00050A45" w:rsidRDefault="00050A45" w:rsidP="003E73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 8</w:t>
      </w:r>
    </w:p>
    <w:p w:rsidR="00050A45" w:rsidRDefault="00050A45" w:rsidP="003E73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OF. EPMMQ-GG-0544-2018  de 06 de abril de 2018. Contiene:</w:t>
      </w:r>
    </w:p>
    <w:p w:rsidR="00773E39" w:rsidRDefault="00773E39" w:rsidP="00773E39">
      <w:pPr>
        <w:pStyle w:val="Prrafodelista"/>
        <w:jc w:val="both"/>
        <w:rPr>
          <w:rFonts w:ascii="Arial" w:hAnsi="Arial" w:cs="Arial"/>
        </w:rPr>
      </w:pPr>
    </w:p>
    <w:p w:rsidR="00773E39" w:rsidRDefault="00773E39" w:rsidP="00773E39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OF. No. EMGIRS-EP-GGE-2017-CES-1017 del 04 de enero de 2018 dirigido a la EPMMQ, mismo que dentro de sus anexos contiene:</w:t>
      </w:r>
    </w:p>
    <w:p w:rsidR="00773E39" w:rsidRDefault="00773E39" w:rsidP="00773E39">
      <w:pPr>
        <w:pStyle w:val="Prrafodelista"/>
        <w:ind w:left="1440"/>
        <w:jc w:val="both"/>
        <w:rPr>
          <w:rFonts w:ascii="Arial" w:hAnsi="Arial" w:cs="Arial"/>
        </w:rPr>
      </w:pPr>
    </w:p>
    <w:p w:rsidR="00773E39" w:rsidRDefault="003E7336" w:rsidP="00773E39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773E39">
        <w:rPr>
          <w:rFonts w:ascii="Arial" w:hAnsi="Arial" w:cs="Arial"/>
        </w:rPr>
        <w:t>Memorando No. GGE-GOP-CES-2017-449 del 08 de diciembre de 2017 de ING. GALO MALDONADO ADMINISTRADOR DE CONTRATO NO. EMGIRS-EP-GGE-CJU-2017-008 para el ING. MARTÍN NUÑEZ FISCALIZADOR DEL CONTRATO NO. EMGIRS-EP-GGE-CJU-2017-008.</w:t>
      </w:r>
    </w:p>
    <w:p w:rsidR="00773E39" w:rsidRPr="00773E39" w:rsidRDefault="00773E39" w:rsidP="00773E39">
      <w:pPr>
        <w:pStyle w:val="Prrafodelista"/>
        <w:ind w:left="2160"/>
        <w:jc w:val="both"/>
        <w:rPr>
          <w:rFonts w:ascii="Arial" w:hAnsi="Arial" w:cs="Arial"/>
        </w:rPr>
      </w:pPr>
    </w:p>
    <w:p w:rsidR="003E7336" w:rsidRPr="00773E39" w:rsidRDefault="00050A45" w:rsidP="00773E39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773E39">
        <w:rPr>
          <w:rFonts w:ascii="Arial" w:hAnsi="Arial" w:cs="Arial"/>
        </w:rPr>
        <w:t>Memorando No. CVD-TROJE4-GGE-2017-01</w:t>
      </w:r>
      <w:r w:rsidR="003E7336" w:rsidRPr="00773E39">
        <w:rPr>
          <w:rFonts w:ascii="Arial" w:hAnsi="Arial" w:cs="Arial"/>
        </w:rPr>
        <w:t xml:space="preserve"> del 11 de diciembre de 2017 de la COMISIÓN TÉCNICA VALORACIÓN DESLIZAMIENTO Troje IV para el ING. SANTIAGO ANDRADE GERENTE GENERAL DE LA EMGIRS:</w:t>
      </w:r>
    </w:p>
    <w:p w:rsidR="00050A45" w:rsidRPr="00DA244B" w:rsidRDefault="003E7336" w:rsidP="00773E39">
      <w:pPr>
        <w:ind w:left="2124" w:firstLine="36"/>
        <w:jc w:val="both"/>
        <w:rPr>
          <w:rFonts w:ascii="Arial" w:hAnsi="Arial" w:cs="Arial"/>
        </w:rPr>
      </w:pPr>
      <w:r w:rsidRPr="003E7336">
        <w:rPr>
          <w:rFonts w:ascii="Arial" w:hAnsi="Arial" w:cs="Arial"/>
          <w:i/>
        </w:rPr>
        <w:t>“</w:t>
      </w:r>
      <w:r w:rsidR="00050A45" w:rsidRPr="003E7336">
        <w:rPr>
          <w:rFonts w:ascii="Arial" w:hAnsi="Arial" w:cs="Arial"/>
          <w:i/>
        </w:rPr>
        <w:t>Informe Técnico Posibles Causales de Deslizamiento de Tierras en la escombrera el Troje IV</w:t>
      </w:r>
      <w:r w:rsidR="00DA244B">
        <w:rPr>
          <w:rFonts w:ascii="Arial" w:hAnsi="Arial" w:cs="Arial"/>
          <w:i/>
        </w:rPr>
        <w:t xml:space="preserve">”. </w:t>
      </w:r>
    </w:p>
    <w:p w:rsidR="00E53CFA" w:rsidRDefault="00E53CFA" w:rsidP="00773E39">
      <w:pPr>
        <w:rPr>
          <w:rFonts w:ascii="Arial" w:hAnsi="Arial" w:cs="Arial"/>
        </w:rPr>
      </w:pPr>
    </w:p>
    <w:p w:rsidR="00773E39" w:rsidRDefault="00DA244B" w:rsidP="00773E39">
      <w:pPr>
        <w:rPr>
          <w:rFonts w:ascii="Arial" w:hAnsi="Arial" w:cs="Arial"/>
        </w:rPr>
      </w:pPr>
      <w:r>
        <w:rPr>
          <w:rFonts w:ascii="Arial" w:hAnsi="Arial" w:cs="Arial"/>
        </w:rPr>
        <w:t>ANEXO 9</w:t>
      </w:r>
    </w:p>
    <w:p w:rsidR="0047611C" w:rsidRDefault="00DA244B" w:rsidP="0047611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OF. </w:t>
      </w:r>
      <w:r w:rsidR="0047611C">
        <w:rPr>
          <w:rFonts w:ascii="Arial" w:hAnsi="Arial" w:cs="Arial"/>
        </w:rPr>
        <w:t>EPMMQ-GG-0216-2018 del 09 de febrero de 2018. Contiene:</w:t>
      </w:r>
    </w:p>
    <w:p w:rsidR="0047611C" w:rsidRPr="0047611C" w:rsidRDefault="0047611C" w:rsidP="0047611C">
      <w:pPr>
        <w:pStyle w:val="Prrafodelista"/>
        <w:rPr>
          <w:rFonts w:ascii="Arial" w:hAnsi="Arial" w:cs="Arial"/>
        </w:rPr>
      </w:pPr>
    </w:p>
    <w:p w:rsidR="0047611C" w:rsidRDefault="0047611C" w:rsidP="0047611C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Convenio de cooperación interinstitucional entre la EMGIRS</w:t>
      </w:r>
      <w:r w:rsidR="00D3747F">
        <w:rPr>
          <w:rFonts w:ascii="Arial" w:hAnsi="Arial" w:cs="Arial"/>
        </w:rPr>
        <w:t>-EP</w:t>
      </w:r>
      <w:r>
        <w:rPr>
          <w:rFonts w:ascii="Arial" w:hAnsi="Arial" w:cs="Arial"/>
        </w:rPr>
        <w:t xml:space="preserve"> y la EPMMQ</w:t>
      </w:r>
    </w:p>
    <w:p w:rsidR="00DA244B" w:rsidRDefault="00DA244B" w:rsidP="00DA244B">
      <w:pPr>
        <w:rPr>
          <w:rFonts w:ascii="Arial" w:hAnsi="Arial" w:cs="Arial"/>
        </w:rPr>
      </w:pPr>
    </w:p>
    <w:p w:rsidR="00DA244B" w:rsidRDefault="00DA244B" w:rsidP="00DA244B">
      <w:pPr>
        <w:rPr>
          <w:rFonts w:ascii="Arial" w:hAnsi="Arial" w:cs="Arial"/>
        </w:rPr>
      </w:pPr>
      <w:r>
        <w:rPr>
          <w:rFonts w:ascii="Arial" w:hAnsi="Arial" w:cs="Arial"/>
        </w:rPr>
        <w:t>ANEXO 10</w:t>
      </w:r>
    </w:p>
    <w:p w:rsidR="00DA244B" w:rsidRPr="00DA244B" w:rsidRDefault="00DA244B" w:rsidP="00DA244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OF. EMGIRS-EP-GGE-2018-CJU-195 del 20 de marzo de 2018</w:t>
      </w:r>
      <w:bookmarkStart w:id="0" w:name="_GoBack"/>
      <w:bookmarkEnd w:id="0"/>
    </w:p>
    <w:sectPr w:rsidR="00DA244B" w:rsidRPr="00DA244B" w:rsidSect="00E53CF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CA" w:rsidRDefault="00071ECA" w:rsidP="00E90024">
      <w:pPr>
        <w:spacing w:after="0" w:line="240" w:lineRule="auto"/>
      </w:pPr>
      <w:r>
        <w:separator/>
      </w:r>
    </w:p>
  </w:endnote>
  <w:endnote w:type="continuationSeparator" w:id="0">
    <w:p w:rsidR="00071ECA" w:rsidRDefault="00071ECA" w:rsidP="00E9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24" w:rsidRDefault="00754AA5">
    <w:pPr>
      <w:pStyle w:val="Piedepgina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B7A9DB" wp14:editId="2DFC3A6F">
              <wp:simplePos x="0" y="0"/>
              <wp:positionH relativeFrom="column">
                <wp:posOffset>2171700</wp:posOffset>
              </wp:positionH>
              <wp:positionV relativeFrom="paragraph">
                <wp:posOffset>100965</wp:posOffset>
              </wp:positionV>
              <wp:extent cx="4229100" cy="4572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02EB" w:rsidRPr="00754AA5" w:rsidRDefault="009802EB" w:rsidP="00754AA5">
                          <w:pPr>
                            <w:pStyle w:val="Sinespaciado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</w:pPr>
                          <w:r w:rsidRPr="00754AA5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 xml:space="preserve">Av. Amazonas N79-39 </w:t>
                          </w:r>
                          <w:r w:rsidR="00754AA5" w:rsidRPr="00754AA5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y</w:t>
                          </w:r>
                          <w:r w:rsidRPr="00754AA5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 xml:space="preserve"> Av. La Prensa  | PBX 023827860 – 023827860</w:t>
                          </w:r>
                        </w:p>
                        <w:p w:rsidR="00754AA5" w:rsidRPr="00754AA5" w:rsidRDefault="00754AA5" w:rsidP="00754AA5">
                          <w:pPr>
                            <w:pStyle w:val="Sinespaciado"/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 w:rsidRPr="00754AA5">
                            <w:rPr>
                              <w:rFonts w:ascii="Arial" w:hAnsi="Arial"/>
                              <w:color w:val="FF00FF"/>
                              <w:sz w:val="18"/>
                            </w:rPr>
                            <w:t>www.</w:t>
                          </w:r>
                          <w:r w:rsidRPr="00754AA5">
                            <w:rPr>
                              <w:rFonts w:ascii="Arial" w:hAnsi="Arial"/>
                              <w:color w:val="00FFFF"/>
                              <w:sz w:val="18"/>
                            </w:rPr>
                            <w:t>metrodequito.</w:t>
                          </w:r>
                          <w:r w:rsidRPr="00754AA5">
                            <w:rPr>
                              <w:rFonts w:ascii="Arial" w:hAnsi="Arial"/>
                              <w:color w:val="00FF00"/>
                              <w:sz w:val="18"/>
                            </w:rPr>
                            <w:t>gob.</w:t>
                          </w:r>
                          <w:r w:rsidRPr="00754AA5">
                            <w:rPr>
                              <w:rFonts w:ascii="Arial" w:hAnsi="Arial"/>
                              <w:color w:val="FF8000"/>
                              <w:sz w:val="18"/>
                            </w:rPr>
                            <w:t>ec</w:t>
                          </w:r>
                        </w:p>
                        <w:p w:rsidR="00754AA5" w:rsidRPr="00754AA5" w:rsidRDefault="00754AA5" w:rsidP="009802EB">
                          <w:pPr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7A9D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71pt;margin-top:7.95pt;width:33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LhqgIAAKoFAAAOAAAAZHJzL2Uyb0RvYy54bWysVFtv0zAUfkfiP1h+75JU2aXR0inrVIQ0&#10;jYkN7dl17DXC8TG226Yg/jvHTtKVwcsQL87JuZ/vXC6vulaRrbCuAV3S7CSlRGgOdaOfS/rlcTm5&#10;oMR5pmumQIuS7oWjV/P37y53phBTWIOqhSXoRLtiZ0q69t4USeL4WrTMnYARGoUSbMs8/trnpLZs&#10;h95blUzT9CzZga2NBS6cQ+5NL6Tz6F9Kwf0nKZ3wRJUUc/PxtfFdhTeZX7Li2TKzbviQBvuHLFrW&#10;aAx6cHXDPCMb2/zhqm24BQfSn3BoE5Cy4SLWgNVk6atqHtbMiFgLguPMASb3/9zyu+29JU1d0pwS&#10;zVps0WLDagukFsSLzgPJA0g74wrUfTCo7btr6LDZI98hM9TeSduGL1ZFUI5w7w8QoyfCkZlPp7Ms&#10;RRFHWX56jj0MbpIXa2Od/yCgJYEoqcUWRmTZ9tb5XnVUCcE0LBulYhuV/o2BPnuOiHPQW7MCM0Ey&#10;aIacYo9+LDCR6vx0NjmrTrNJnqUXk6pKp5ObZZVWab5czPLrn0Oeo30SIOlLj5TfKxG8Kv1ZSEQ0&#10;IhAYcZbFQlmyZTiFjHOhfQQvZojaQUtiFW8xHPRjHbG+txj3iIyRQfuDcdtosBHvV2nXX8eUZa+P&#10;TTuqO5C+W3XDqKyg3uOkWOgXzhm+bLCdt8z5e2Zxw3AC8Gr4T/hIBbuSwkBRsgb7/W/8oI+Dj1JK&#10;drixJXXfNswKStRHjSsxy/I8rHj8iaNFiT2WrI4letMuANuR4X0yPJJobL0aSWmhfcLjUoWoKGKa&#10;Y+yS+pFc+P6O4HHioqqiEi61Yf5WPxgeXIfuhGF97J6YNcNEh626g3G3WfFqsHvdYKmh2niQTZz6&#10;AHCP6gA8HoS4N8PxChfn+D9qvZzY+S8AAAD//wMAUEsDBBQABgAIAAAAIQBPO7Tn3gAAAAoBAAAP&#10;AAAAZHJzL2Rvd25yZXYueG1sTI/NTsMwEITvSLyDtUjcqE3pTxLiVBWIK6iFInFz420SNV5HsduE&#10;t2d7osedGc1+k69G14oz9qHxpOFxokAgld42VGn4+nx7SECEaMia1hNq+MUAq+L2JjeZ9QNt8LyN&#10;leASCpnRUMfYZVKGskZnwsR3SOwdfO9M5LOvpO3NwOWulVOlFtKZhvhDbTp8qbE8bk9Ow+798PM9&#10;Ux/Vq5t3gx+VJJdKre/vxvUziIhj/A/DBZ/RoWCmvT+RDaLV8DSb8pbIxjwFcQkolbCy15AsU5BF&#10;Lq8nFH8AAAD//wMAUEsBAi0AFAAGAAgAAAAhALaDOJL+AAAA4QEAABMAAAAAAAAAAAAAAAAAAAAA&#10;AFtDb250ZW50X1R5cGVzXS54bWxQSwECLQAUAAYACAAAACEAOP0h/9YAAACUAQAACwAAAAAAAAAA&#10;AAAAAAAvAQAAX3JlbHMvLnJlbHNQSwECLQAUAAYACAAAACEActFC4aoCAACqBQAADgAAAAAAAAAA&#10;AAAAAAAuAgAAZHJzL2Uyb0RvYy54bWxQSwECLQAUAAYACAAAACEATzu0594AAAAKAQAADwAAAAAA&#10;AAAAAAAAAAAEBQAAZHJzL2Rvd25yZXYueG1sUEsFBgAAAAAEAAQA8wAAAA8GAAAAAA==&#10;" filled="f" stroked="f">
              <v:textbox>
                <w:txbxContent>
                  <w:p w:rsidR="009802EB" w:rsidRPr="00754AA5" w:rsidRDefault="009802EB" w:rsidP="00754AA5">
                    <w:pPr>
                      <w:pStyle w:val="Sinespaciado"/>
                      <w:jc w:val="right"/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</w:pPr>
                    <w:r w:rsidRPr="00754AA5"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 xml:space="preserve">Av. Amazonas N79-39 </w:t>
                    </w:r>
                    <w:r w:rsidR="00754AA5" w:rsidRPr="00754AA5"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y</w:t>
                    </w:r>
                    <w:r w:rsidRPr="00754AA5"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 xml:space="preserve"> Av. La Prensa  | PBX 023827860 – 023827860</w:t>
                    </w:r>
                  </w:p>
                  <w:p w:rsidR="00754AA5" w:rsidRPr="00754AA5" w:rsidRDefault="00754AA5" w:rsidP="00754AA5">
                    <w:pPr>
                      <w:pStyle w:val="Sinespaciado"/>
                      <w:jc w:val="right"/>
                      <w:rPr>
                        <w:rFonts w:ascii="Arial" w:hAnsi="Arial"/>
                        <w:sz w:val="18"/>
                      </w:rPr>
                    </w:pPr>
                    <w:r w:rsidRPr="00754AA5">
                      <w:rPr>
                        <w:rFonts w:ascii="Arial" w:hAnsi="Arial"/>
                        <w:color w:val="FF00FF"/>
                        <w:sz w:val="18"/>
                      </w:rPr>
                      <w:t>www.</w:t>
                    </w:r>
                    <w:r w:rsidRPr="00754AA5">
                      <w:rPr>
                        <w:rFonts w:ascii="Arial" w:hAnsi="Arial"/>
                        <w:color w:val="00FFFF"/>
                        <w:sz w:val="18"/>
                      </w:rPr>
                      <w:t>metrodequito.</w:t>
                    </w:r>
                    <w:r w:rsidRPr="00754AA5">
                      <w:rPr>
                        <w:rFonts w:ascii="Arial" w:hAnsi="Arial"/>
                        <w:color w:val="00FF00"/>
                        <w:sz w:val="18"/>
                      </w:rPr>
                      <w:t>gob.</w:t>
                    </w:r>
                    <w:r w:rsidRPr="00754AA5">
                      <w:rPr>
                        <w:rFonts w:ascii="Arial" w:hAnsi="Arial"/>
                        <w:color w:val="FF8000"/>
                        <w:sz w:val="18"/>
                      </w:rPr>
                      <w:t>ec</w:t>
                    </w:r>
                  </w:p>
                  <w:p w:rsidR="00754AA5" w:rsidRPr="00754AA5" w:rsidRDefault="00754AA5" w:rsidP="009802EB">
                    <w:pPr>
                      <w:jc w:val="right"/>
                      <w:rPr>
                        <w:color w:val="808080" w:themeColor="background1" w:themeShade="80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51FDBD54" wp14:editId="0E551948">
          <wp:simplePos x="0" y="0"/>
          <wp:positionH relativeFrom="column">
            <wp:posOffset>5486400</wp:posOffset>
          </wp:positionH>
          <wp:positionV relativeFrom="paragraph">
            <wp:posOffset>-127635</wp:posOffset>
          </wp:positionV>
          <wp:extent cx="835660" cy="227965"/>
          <wp:effectExtent l="0" t="0" r="254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2EB"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074BD27C" wp14:editId="02D6A6AF">
          <wp:simplePos x="0" y="0"/>
          <wp:positionH relativeFrom="column">
            <wp:posOffset>-342900</wp:posOffset>
          </wp:positionH>
          <wp:positionV relativeFrom="paragraph">
            <wp:posOffset>-241935</wp:posOffset>
          </wp:positionV>
          <wp:extent cx="2216150" cy="6858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0ani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CA" w:rsidRDefault="00071ECA" w:rsidP="00E90024">
      <w:pPr>
        <w:spacing w:after="0" w:line="240" w:lineRule="auto"/>
      </w:pPr>
      <w:r>
        <w:separator/>
      </w:r>
    </w:p>
  </w:footnote>
  <w:footnote w:type="continuationSeparator" w:id="0">
    <w:p w:rsidR="00071ECA" w:rsidRDefault="00071ECA" w:rsidP="00E9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95" w:rsidRDefault="00275395" w:rsidP="00275395">
    <w:pPr>
      <w:pStyle w:val="Encabezado"/>
      <w:jc w:val="right"/>
    </w:pPr>
    <w:r>
      <w:rPr>
        <w:noProof/>
        <w:lang w:val="es-EC" w:eastAsia="es-EC"/>
      </w:rPr>
      <w:drawing>
        <wp:inline distT="0" distB="0" distL="0" distR="0">
          <wp:extent cx="1393190" cy="692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024" w:rsidRDefault="00E900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1CE1"/>
    <w:multiLevelType w:val="hybridMultilevel"/>
    <w:tmpl w:val="459E387E"/>
    <w:lvl w:ilvl="0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C3C8F"/>
    <w:multiLevelType w:val="hybridMultilevel"/>
    <w:tmpl w:val="E4BE0E36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C14921"/>
    <w:multiLevelType w:val="hybridMultilevel"/>
    <w:tmpl w:val="60C6E686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3573C6"/>
    <w:multiLevelType w:val="hybridMultilevel"/>
    <w:tmpl w:val="8A38138C"/>
    <w:lvl w:ilvl="0" w:tplc="30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1316D04"/>
    <w:multiLevelType w:val="hybridMultilevel"/>
    <w:tmpl w:val="0CE4FD9A"/>
    <w:lvl w:ilvl="0" w:tplc="300A000F">
      <w:start w:val="1"/>
      <w:numFmt w:val="decimal"/>
      <w:lvlText w:val="%1."/>
      <w:lvlJc w:val="left"/>
      <w:pPr>
        <w:ind w:left="1776" w:hanging="360"/>
      </w:p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D60325A"/>
    <w:multiLevelType w:val="hybridMultilevel"/>
    <w:tmpl w:val="CEFEA086"/>
    <w:lvl w:ilvl="0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1A2271"/>
    <w:multiLevelType w:val="hybridMultilevel"/>
    <w:tmpl w:val="0B96B5D8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BE81833"/>
    <w:multiLevelType w:val="hybridMultilevel"/>
    <w:tmpl w:val="A7C4A9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A7E29"/>
    <w:multiLevelType w:val="hybridMultilevel"/>
    <w:tmpl w:val="A3A8106A"/>
    <w:lvl w:ilvl="0" w:tplc="300A000F">
      <w:start w:val="1"/>
      <w:numFmt w:val="decimal"/>
      <w:lvlText w:val="%1."/>
      <w:lvlJc w:val="left"/>
      <w:pPr>
        <w:ind w:left="1776" w:hanging="360"/>
      </w:p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E9F69A6"/>
    <w:multiLevelType w:val="hybridMultilevel"/>
    <w:tmpl w:val="E000FC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95"/>
    <w:rsid w:val="00050A45"/>
    <w:rsid w:val="00071ECA"/>
    <w:rsid w:val="0009242F"/>
    <w:rsid w:val="00116206"/>
    <w:rsid w:val="00130EBB"/>
    <w:rsid w:val="001D67F8"/>
    <w:rsid w:val="00275395"/>
    <w:rsid w:val="002C5B81"/>
    <w:rsid w:val="002D6B27"/>
    <w:rsid w:val="003329DE"/>
    <w:rsid w:val="003D1C35"/>
    <w:rsid w:val="003E7336"/>
    <w:rsid w:val="00415F4A"/>
    <w:rsid w:val="004471B5"/>
    <w:rsid w:val="0047611C"/>
    <w:rsid w:val="005931EC"/>
    <w:rsid w:val="00695DA1"/>
    <w:rsid w:val="006A3BE9"/>
    <w:rsid w:val="006E7E71"/>
    <w:rsid w:val="00746A8B"/>
    <w:rsid w:val="00754AA5"/>
    <w:rsid w:val="00760255"/>
    <w:rsid w:val="00773E39"/>
    <w:rsid w:val="00782742"/>
    <w:rsid w:val="008574C7"/>
    <w:rsid w:val="009802EB"/>
    <w:rsid w:val="009B1EBA"/>
    <w:rsid w:val="009E14C3"/>
    <w:rsid w:val="00A10FC8"/>
    <w:rsid w:val="00A147E1"/>
    <w:rsid w:val="00A37010"/>
    <w:rsid w:val="00A503BE"/>
    <w:rsid w:val="00A7056B"/>
    <w:rsid w:val="00A71E0E"/>
    <w:rsid w:val="00B10D6C"/>
    <w:rsid w:val="00BD604F"/>
    <w:rsid w:val="00C85FB4"/>
    <w:rsid w:val="00D3747F"/>
    <w:rsid w:val="00DA244B"/>
    <w:rsid w:val="00E34311"/>
    <w:rsid w:val="00E53CFA"/>
    <w:rsid w:val="00E90024"/>
    <w:rsid w:val="00F03162"/>
    <w:rsid w:val="00F27EE0"/>
    <w:rsid w:val="00F4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F8C8D8C-44A0-4C37-85CE-4CFAA00C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0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024"/>
  </w:style>
  <w:style w:type="paragraph" w:styleId="Piedepgina">
    <w:name w:val="footer"/>
    <w:basedOn w:val="Normal"/>
    <w:link w:val="PiedepginaCar"/>
    <w:uiPriority w:val="99"/>
    <w:unhideWhenUsed/>
    <w:rsid w:val="00E9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024"/>
  </w:style>
  <w:style w:type="paragraph" w:styleId="Sinespaciado">
    <w:name w:val="No Spacing"/>
    <w:uiPriority w:val="1"/>
    <w:qFormat/>
    <w:rsid w:val="00754AA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as.paredes\Documents\Documentos\0.%20Formatos\Hoja%20Membretada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2018</Template>
  <TotalTime>110</TotalTime>
  <Pages>5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Matías Paredes</dc:creator>
  <cp:lastModifiedBy>Daniela Moreno</cp:lastModifiedBy>
  <cp:revision>18</cp:revision>
  <cp:lastPrinted>2017-07-04T22:22:00Z</cp:lastPrinted>
  <dcterms:created xsi:type="dcterms:W3CDTF">2018-08-15T18:12:00Z</dcterms:created>
  <dcterms:modified xsi:type="dcterms:W3CDTF">2018-08-15T20:10:00Z</dcterms:modified>
</cp:coreProperties>
</file>