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7" w:rsidRPr="009A6D29" w:rsidRDefault="00736ED7" w:rsidP="00736ED7">
      <w:pPr>
        <w:spacing w:after="0"/>
        <w:jc w:val="center"/>
        <w:rPr>
          <w:b/>
          <w:sz w:val="28"/>
          <w:szCs w:val="28"/>
        </w:rPr>
      </w:pPr>
    </w:p>
    <w:p w:rsidR="00736ED7" w:rsidRPr="009A6D29" w:rsidRDefault="00736ED7" w:rsidP="00736ED7">
      <w:pPr>
        <w:spacing w:after="0"/>
        <w:jc w:val="center"/>
        <w:rPr>
          <w:b/>
          <w:sz w:val="28"/>
          <w:szCs w:val="28"/>
        </w:rPr>
      </w:pPr>
      <w:r w:rsidRPr="009A6D29">
        <w:rPr>
          <w:b/>
          <w:sz w:val="28"/>
          <w:szCs w:val="28"/>
        </w:rPr>
        <w:t>CONTRATO No. 005-2015</w:t>
      </w:r>
    </w:p>
    <w:p w:rsidR="00736ED7" w:rsidRPr="009A6D29" w:rsidRDefault="00736ED7" w:rsidP="00736ED7">
      <w:pPr>
        <w:spacing w:after="0"/>
        <w:jc w:val="center"/>
        <w:rPr>
          <w:b/>
          <w:sz w:val="28"/>
          <w:szCs w:val="28"/>
        </w:rPr>
      </w:pPr>
    </w:p>
    <w:p w:rsidR="00736ED7" w:rsidRPr="009A6D29" w:rsidRDefault="00736ED7" w:rsidP="00736ED7">
      <w:pPr>
        <w:spacing w:after="0"/>
        <w:jc w:val="center"/>
        <w:rPr>
          <w:b/>
          <w:sz w:val="28"/>
          <w:szCs w:val="28"/>
        </w:rPr>
      </w:pPr>
      <w:r w:rsidRPr="009A6D29">
        <w:rPr>
          <w:b/>
          <w:sz w:val="28"/>
          <w:szCs w:val="28"/>
        </w:rPr>
        <w:t>“CONTRATACIÓN DE UNA PERSONA JURÍDICA QUE PRESTE LOS SERVICIOS DE FISCALIZACIÓN DEL CONTRATO PARA MODERNIZAR DE MANERA INTEGRAL EL REGISTRO DE LA PROPIEDAD DEL DISTRITO METROPOLITANO DE QUITO”</w:t>
      </w:r>
    </w:p>
    <w:p w:rsidR="00736ED7" w:rsidRPr="009A6D29" w:rsidRDefault="00736ED7" w:rsidP="00736ED7">
      <w:pPr>
        <w:spacing w:after="0"/>
        <w:jc w:val="center"/>
        <w:rPr>
          <w:b/>
          <w:sz w:val="28"/>
          <w:szCs w:val="28"/>
        </w:rPr>
      </w:pPr>
    </w:p>
    <w:p w:rsidR="007F5693" w:rsidRPr="009A6D29" w:rsidRDefault="001E3DDE" w:rsidP="00736ED7">
      <w:pPr>
        <w:spacing w:after="0"/>
        <w:jc w:val="center"/>
        <w:rPr>
          <w:b/>
          <w:sz w:val="28"/>
          <w:szCs w:val="28"/>
        </w:rPr>
      </w:pPr>
      <w:r w:rsidRPr="009A6D29">
        <w:rPr>
          <w:b/>
          <w:sz w:val="28"/>
          <w:szCs w:val="28"/>
        </w:rPr>
        <w:t xml:space="preserve">INFORME DE </w:t>
      </w:r>
      <w:r w:rsidR="00736ED7" w:rsidRPr="009A6D29">
        <w:rPr>
          <w:b/>
          <w:sz w:val="28"/>
          <w:szCs w:val="28"/>
        </w:rPr>
        <w:t xml:space="preserve">PRODUCTOS ENTREGADOS PARA </w:t>
      </w:r>
      <w:r w:rsidR="00C35879">
        <w:rPr>
          <w:b/>
          <w:sz w:val="28"/>
          <w:szCs w:val="28"/>
        </w:rPr>
        <w:t>3er</w:t>
      </w:r>
      <w:r w:rsidR="001C6152" w:rsidRPr="009A6D29">
        <w:rPr>
          <w:b/>
          <w:sz w:val="28"/>
          <w:szCs w:val="28"/>
        </w:rPr>
        <w:t>.</w:t>
      </w:r>
      <w:r w:rsidR="007F5693" w:rsidRPr="009A6D29">
        <w:rPr>
          <w:b/>
          <w:sz w:val="28"/>
          <w:szCs w:val="28"/>
        </w:rPr>
        <w:t xml:space="preserve"> PAGO</w:t>
      </w:r>
    </w:p>
    <w:p w:rsidR="001E3DDE" w:rsidRPr="009A6D29" w:rsidRDefault="001E3DDE" w:rsidP="00736ED7">
      <w:pPr>
        <w:spacing w:after="0"/>
        <w:jc w:val="both"/>
      </w:pPr>
    </w:p>
    <w:p w:rsidR="00275DD8" w:rsidRDefault="00275DD8" w:rsidP="00736ED7">
      <w:pPr>
        <w:spacing w:after="0"/>
        <w:jc w:val="right"/>
      </w:pPr>
    </w:p>
    <w:p w:rsidR="00D11B7A" w:rsidRPr="009A6D29" w:rsidRDefault="00D11B7A" w:rsidP="00736ED7">
      <w:pPr>
        <w:spacing w:after="0"/>
        <w:jc w:val="right"/>
      </w:pPr>
      <w:r w:rsidRPr="009A6D29">
        <w:t xml:space="preserve">Quito, </w:t>
      </w:r>
      <w:r w:rsidR="00C35879">
        <w:t>1</w:t>
      </w:r>
      <w:r w:rsidR="00B73BFB">
        <w:t>7</w:t>
      </w:r>
      <w:bookmarkStart w:id="0" w:name="_GoBack"/>
      <w:bookmarkEnd w:id="0"/>
      <w:r w:rsidR="00C35879">
        <w:t xml:space="preserve"> de diciembre</w:t>
      </w:r>
      <w:r w:rsidRPr="009A6D29">
        <w:t xml:space="preserve"> de 2015</w:t>
      </w:r>
    </w:p>
    <w:p w:rsidR="00D11B7A" w:rsidRDefault="00D11B7A" w:rsidP="00736ED7">
      <w:pPr>
        <w:spacing w:after="0"/>
        <w:jc w:val="both"/>
      </w:pPr>
    </w:p>
    <w:p w:rsidR="00275DD8" w:rsidRPr="009A6D29" w:rsidRDefault="00275DD8" w:rsidP="00736ED7">
      <w:pPr>
        <w:spacing w:after="0"/>
        <w:jc w:val="both"/>
      </w:pPr>
    </w:p>
    <w:p w:rsidR="001E3DDE" w:rsidRPr="009A6D29" w:rsidRDefault="007F5693" w:rsidP="00736ED7">
      <w:pPr>
        <w:spacing w:after="0"/>
        <w:jc w:val="both"/>
        <w:rPr>
          <w:b/>
        </w:rPr>
      </w:pPr>
      <w:r w:rsidRPr="009A6D29">
        <w:rPr>
          <w:b/>
        </w:rPr>
        <w:t>ANTECEDENTE</w:t>
      </w:r>
      <w:r w:rsidR="00736ED7" w:rsidRPr="009A6D29">
        <w:rPr>
          <w:b/>
        </w:rPr>
        <w:t>S</w:t>
      </w:r>
    </w:p>
    <w:p w:rsidR="007F5693" w:rsidRPr="009A6D29" w:rsidRDefault="007F5693" w:rsidP="00736ED7">
      <w:pPr>
        <w:spacing w:after="0"/>
        <w:jc w:val="both"/>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 xml:space="preserve">Con fecha 22 de diciembre de 2014, se suscribió el CONTRATO No. 19-2014 </w:t>
      </w:r>
      <w:r w:rsidRPr="009A6D29">
        <w:rPr>
          <w:rFonts w:cstheme="minorHAnsi"/>
        </w:rPr>
        <w:t>– denominado como Contrato Principal –</w:t>
      </w:r>
      <w:r w:rsidRPr="009A6D29">
        <w:rPr>
          <w:rFonts w:cstheme="minorHAnsi"/>
          <w:color w:val="000000" w:themeColor="text1"/>
        </w:rPr>
        <w:t xml:space="preserve"> cuyo objetivo es “Modernizar de manera integral el Registro de la Propiedad del Distrito Metropolitano de Quito” entre el Registro de la Propiedad del Distrito Metropolitano de Quito y el Consorcio Archivos Digitales </w:t>
      </w:r>
      <w:proofErr w:type="spellStart"/>
      <w:r w:rsidRPr="009A6D29">
        <w:rPr>
          <w:rFonts w:cstheme="minorHAnsi"/>
          <w:color w:val="000000" w:themeColor="text1"/>
        </w:rPr>
        <w:t>Meb</w:t>
      </w:r>
      <w:proofErr w:type="spellEnd"/>
      <w:r w:rsidRPr="009A6D29">
        <w:rPr>
          <w:rFonts w:cstheme="minorHAnsi"/>
          <w:color w:val="000000" w:themeColor="text1"/>
        </w:rPr>
        <w:t xml:space="preserve"> </w:t>
      </w:r>
      <w:proofErr w:type="spellStart"/>
      <w:r w:rsidRPr="009A6D29">
        <w:rPr>
          <w:rFonts w:cstheme="minorHAnsi"/>
          <w:color w:val="000000" w:themeColor="text1"/>
        </w:rPr>
        <w:t>Seventeenmile</w:t>
      </w:r>
      <w:proofErr w:type="spellEnd"/>
      <w:r w:rsidRPr="009A6D29">
        <w:rPr>
          <w:rFonts w:cstheme="minorHAnsi"/>
          <w:color w:val="000000" w:themeColor="text1"/>
        </w:rPr>
        <w:t>.</w:t>
      </w: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contados a partir de la suscripción del contrato.</w:t>
      </w:r>
    </w:p>
    <w:p w:rsidR="00736ED7" w:rsidRPr="009A6D29" w:rsidRDefault="00736ED7" w:rsidP="00736ED7">
      <w:pPr>
        <w:spacing w:after="0"/>
        <w:ind w:left="360"/>
        <w:jc w:val="both"/>
        <w:rPr>
          <w:rFonts w:cstheme="minorHAnsi"/>
          <w:color w:val="000000" w:themeColor="text1"/>
          <w:highlight w:val="yellow"/>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Mediante memorando RPDMQ-DESPACHO-*2015-027*-M de 16 de marzo de 2015, el señor Registrador de la Propiedad (E), designó al Ing. Andrés Eguiguren Eguiguren en calidad de administrador de contrato, quien velará por el cabal y oportuno cumplimiento de la ejecución del contrato.</w:t>
      </w: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El CONTRATO No. 005-2015 contiene, en su Cláusula Séptima.- FORMA DE PAGO:</w:t>
      </w: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7.1. La CONTRATANTE entregará al CONTRATISTA, un 20% del valor total del contrato en calidad de anticipo, previa la entrega de las garantías correspondientes.</w:t>
      </w: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18"/>
        <w:gridCol w:w="6095"/>
      </w:tblGrid>
      <w:tr w:rsidR="00736ED7" w:rsidRPr="009A6D29" w:rsidTr="00736ED7">
        <w:trPr>
          <w:trHeight w:val="85"/>
        </w:trPr>
        <w:tc>
          <w:tcPr>
            <w:tcW w:w="981" w:type="dxa"/>
            <w:shd w:val="clear" w:color="auto" w:fill="auto"/>
            <w:vAlign w:val="center"/>
            <w:hideMark/>
          </w:tcPr>
          <w:p w:rsidR="00736ED7" w:rsidRPr="009A6D29" w:rsidRDefault="00736ED7" w:rsidP="00736ED7">
            <w:pPr>
              <w:keepNext/>
              <w:spacing w:after="0"/>
              <w:outlineLvl w:val="6"/>
              <w:rPr>
                <w:rFonts w:cs="Arial"/>
                <w:b/>
                <w:sz w:val="20"/>
                <w:szCs w:val="20"/>
              </w:rPr>
            </w:pPr>
            <w:r w:rsidRPr="009A6D29">
              <w:rPr>
                <w:rFonts w:cs="Arial"/>
                <w:b/>
                <w:sz w:val="20"/>
                <w:szCs w:val="20"/>
              </w:rPr>
              <w:lastRenderedPageBreak/>
              <w:t>PAGO</w:t>
            </w:r>
          </w:p>
        </w:tc>
        <w:tc>
          <w:tcPr>
            <w:tcW w:w="1418" w:type="dxa"/>
            <w:shd w:val="clear" w:color="auto" w:fill="auto"/>
            <w:vAlign w:val="center"/>
            <w:hideMark/>
          </w:tcPr>
          <w:p w:rsidR="00736ED7" w:rsidRPr="009A6D29" w:rsidRDefault="00736ED7" w:rsidP="00736ED7">
            <w:pPr>
              <w:spacing w:after="0"/>
              <w:rPr>
                <w:rFonts w:cs="Arial"/>
                <w:b/>
                <w:sz w:val="20"/>
                <w:szCs w:val="20"/>
              </w:rPr>
            </w:pPr>
            <w:r w:rsidRPr="009A6D29">
              <w:rPr>
                <w:rFonts w:cs="Arial"/>
                <w:b/>
                <w:sz w:val="20"/>
                <w:szCs w:val="20"/>
              </w:rPr>
              <w:t>%</w:t>
            </w:r>
          </w:p>
        </w:tc>
        <w:tc>
          <w:tcPr>
            <w:tcW w:w="6095" w:type="dxa"/>
            <w:shd w:val="clear" w:color="auto" w:fill="auto"/>
            <w:vAlign w:val="center"/>
          </w:tcPr>
          <w:p w:rsidR="00736ED7" w:rsidRPr="009A6D29" w:rsidRDefault="00736ED7" w:rsidP="00736ED7">
            <w:pPr>
              <w:spacing w:after="0"/>
              <w:rPr>
                <w:rFonts w:cs="Arial"/>
                <w:b/>
                <w:sz w:val="20"/>
                <w:szCs w:val="20"/>
              </w:rPr>
            </w:pPr>
            <w:r w:rsidRPr="009A6D29">
              <w:rPr>
                <w:rFonts w:cs="Arial"/>
                <w:b/>
                <w:sz w:val="20"/>
                <w:szCs w:val="20"/>
              </w:rPr>
              <w:t>FECHAS Y CONCEPTO</w:t>
            </w:r>
          </w:p>
        </w:tc>
      </w:tr>
      <w:tr w:rsidR="00736ED7" w:rsidRPr="009A6D29" w:rsidTr="00736ED7">
        <w:trPr>
          <w:trHeight w:val="1050"/>
        </w:trPr>
        <w:tc>
          <w:tcPr>
            <w:tcW w:w="981" w:type="dxa"/>
            <w:shd w:val="clear" w:color="auto" w:fill="auto"/>
            <w:vAlign w:val="center"/>
            <w:hideMark/>
          </w:tcPr>
          <w:p w:rsidR="00736ED7" w:rsidRPr="009A6D29" w:rsidRDefault="00736ED7" w:rsidP="00736ED7">
            <w:pPr>
              <w:spacing w:after="0"/>
              <w:rPr>
                <w:rFonts w:cs="Arial"/>
                <w:sz w:val="20"/>
                <w:szCs w:val="20"/>
              </w:rPr>
            </w:pPr>
            <w:r w:rsidRPr="009A6D29">
              <w:rPr>
                <w:rFonts w:cs="Arial"/>
                <w:sz w:val="20"/>
                <w:szCs w:val="20"/>
              </w:rPr>
              <w:t>1</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A los 90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25"/>
        </w:trPr>
        <w:tc>
          <w:tcPr>
            <w:tcW w:w="981" w:type="dxa"/>
            <w:shd w:val="clear" w:color="auto" w:fill="C0C0C0"/>
            <w:vAlign w:val="center"/>
            <w:hideMark/>
          </w:tcPr>
          <w:p w:rsidR="00736ED7" w:rsidRPr="009A6D29" w:rsidRDefault="00736ED7" w:rsidP="00736ED7">
            <w:pPr>
              <w:spacing w:after="0"/>
              <w:rPr>
                <w:rFonts w:cs="Arial"/>
                <w:sz w:val="20"/>
                <w:szCs w:val="20"/>
              </w:rPr>
            </w:pPr>
            <w:r w:rsidRPr="009A6D29">
              <w:rPr>
                <w:rFonts w:cs="Arial"/>
                <w:sz w:val="20"/>
                <w:szCs w:val="20"/>
              </w:rPr>
              <w:t>2</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C0C0C0"/>
            <w:vAlign w:val="center"/>
          </w:tcPr>
          <w:p w:rsidR="00736ED7" w:rsidRPr="009A6D29" w:rsidRDefault="00736ED7" w:rsidP="00822C0D">
            <w:pPr>
              <w:spacing w:after="0"/>
              <w:rPr>
                <w:rFonts w:cs="Arial"/>
                <w:sz w:val="20"/>
                <w:szCs w:val="20"/>
              </w:rPr>
            </w:pPr>
            <w:r w:rsidRPr="009A6D29">
              <w:rPr>
                <w:rFonts w:cs="Arial"/>
                <w:sz w:val="20"/>
                <w:szCs w:val="20"/>
              </w:rPr>
              <w:t xml:space="preserve">A los 180 días contra presentación de 3 informes, que corresponderá a un informe de avance mensual y de los informes de fiscalización de productos que se entreguen hasta esa fecha, los cuales se encuentran previstos en el contrato fiscalizado. </w:t>
            </w:r>
          </w:p>
        </w:tc>
      </w:tr>
      <w:tr w:rsidR="00736ED7" w:rsidRPr="009A6D29" w:rsidTr="00736ED7">
        <w:trPr>
          <w:trHeight w:val="555"/>
        </w:trPr>
        <w:tc>
          <w:tcPr>
            <w:tcW w:w="981" w:type="dxa"/>
            <w:shd w:val="clear" w:color="auto" w:fill="auto"/>
            <w:vAlign w:val="center"/>
            <w:hideMark/>
          </w:tcPr>
          <w:p w:rsidR="00736ED7" w:rsidRPr="009A6D29" w:rsidRDefault="00736ED7" w:rsidP="00736ED7">
            <w:pPr>
              <w:spacing w:after="0"/>
              <w:rPr>
                <w:rFonts w:cs="Arial"/>
                <w:sz w:val="20"/>
                <w:szCs w:val="20"/>
              </w:rPr>
            </w:pPr>
            <w:r w:rsidRPr="009A6D29">
              <w:rPr>
                <w:rFonts w:cs="Arial"/>
                <w:sz w:val="20"/>
                <w:szCs w:val="20"/>
              </w:rPr>
              <w:t>3</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 xml:space="preserve">A los 270 días contra presentación de 3 informes, que corresponderá a un informe de avance mensual y de los informes de fiscalización de productos que se entreguen hasta esa fecha, los cuales se encuentran previstos en el contrato fiscalizado. </w:t>
            </w:r>
          </w:p>
        </w:tc>
      </w:tr>
      <w:tr w:rsidR="00736ED7" w:rsidRPr="009A6D29" w:rsidTr="00736ED7">
        <w:trPr>
          <w:trHeight w:val="555"/>
        </w:trPr>
        <w:tc>
          <w:tcPr>
            <w:tcW w:w="981"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4</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A los 360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5</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A los 450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6</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A los 540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7</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A los 630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8</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30%</w:t>
            </w:r>
          </w:p>
        </w:tc>
        <w:tc>
          <w:tcPr>
            <w:tcW w:w="6095"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A los 730 días contra presentación de 3 informes, que corresponderá a un informe de avance mensual y de los informes de fiscalización de productos que se entreguen hasta esa fecha, los cuales se encuentran previstos en el contrato fiscalizado, informe final de la fiscalización así como la firma a satisfacción del acta de entrega y recepción definitiva de la fiscalización.</w:t>
            </w:r>
          </w:p>
        </w:tc>
      </w:tr>
    </w:tbl>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Y en su Cláusula Décima Tercera.- ACTAS DE ENTREGA PARCIAL Y DEFINITIVA</w:t>
      </w: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Se realizará la suscripción de actas de entrega recepción parcial por cada tres informes entregados y a la conclusión de la Consultoría el acta de entrega recepción definitiva.</w:t>
      </w:r>
    </w:p>
    <w:p w:rsidR="00736ED7" w:rsidRPr="009A6D29" w:rsidRDefault="00736ED7" w:rsidP="00736ED7">
      <w:pPr>
        <w:spacing w:after="0"/>
        <w:ind w:left="360"/>
        <w:jc w:val="both"/>
        <w:rPr>
          <w:rFonts w:cstheme="minorHAnsi"/>
          <w:color w:val="000000" w:themeColor="text1"/>
        </w:rPr>
      </w:pPr>
    </w:p>
    <w:p w:rsidR="0018274B" w:rsidRPr="009A6D29" w:rsidRDefault="0018274B" w:rsidP="00736ED7">
      <w:pPr>
        <w:spacing w:after="0"/>
        <w:jc w:val="both"/>
      </w:pPr>
    </w:p>
    <w:p w:rsidR="007F5693" w:rsidRPr="009A6D29" w:rsidRDefault="007F5693" w:rsidP="00736ED7">
      <w:pPr>
        <w:spacing w:after="0"/>
        <w:jc w:val="both"/>
        <w:rPr>
          <w:b/>
        </w:rPr>
      </w:pPr>
      <w:r w:rsidRPr="009A6D29">
        <w:rPr>
          <w:b/>
        </w:rPr>
        <w:t xml:space="preserve">ESTADO </w:t>
      </w:r>
      <w:r w:rsidR="00B916CA" w:rsidRPr="009A6D29">
        <w:rPr>
          <w:b/>
        </w:rPr>
        <w:t>PRODUCTOS</w:t>
      </w:r>
      <w:r w:rsidRPr="009A6D29">
        <w:rPr>
          <w:b/>
        </w:rPr>
        <w:t xml:space="preserve"> APROBADOS</w:t>
      </w:r>
    </w:p>
    <w:p w:rsidR="007F5693" w:rsidRPr="009A6D29" w:rsidRDefault="007F5693" w:rsidP="00736ED7">
      <w:pPr>
        <w:spacing w:after="0"/>
        <w:jc w:val="both"/>
      </w:pPr>
    </w:p>
    <w:p w:rsidR="007F5693" w:rsidRPr="009A6D29" w:rsidRDefault="008B6FE5" w:rsidP="00736ED7">
      <w:pPr>
        <w:spacing w:after="0"/>
        <w:jc w:val="both"/>
      </w:pPr>
      <w:r w:rsidRPr="009A6D29">
        <w:t xml:space="preserve">A continuación se indican los </w:t>
      </w:r>
      <w:r w:rsidR="00B916CA" w:rsidRPr="009A6D29">
        <w:t>Productos</w:t>
      </w:r>
      <w:r w:rsidRPr="009A6D29">
        <w:t xml:space="preserve"> aprobados y recibidos por el RPDMQ</w:t>
      </w:r>
      <w:r w:rsidR="00672679" w:rsidRPr="009A6D29">
        <w:t xml:space="preserve">, los cuales constituyen el sustento para la gestión del </w:t>
      </w:r>
      <w:r w:rsidR="00C35879">
        <w:t>3er</w:t>
      </w:r>
      <w:r w:rsidR="00672679" w:rsidRPr="009A6D29">
        <w:t xml:space="preserve"> PAGO relacionado con el Contrato 0</w:t>
      </w:r>
      <w:r w:rsidR="00B916CA" w:rsidRPr="009A6D29">
        <w:t>05</w:t>
      </w:r>
      <w:r w:rsidR="00672679" w:rsidRPr="009A6D29">
        <w:t>-201</w:t>
      </w:r>
      <w:r w:rsidR="00B916CA" w:rsidRPr="009A6D29">
        <w:t>5</w:t>
      </w:r>
      <w:r w:rsidRPr="009A6D29">
        <w:t>:</w:t>
      </w:r>
    </w:p>
    <w:p w:rsidR="00B916CA" w:rsidRPr="009A6D29" w:rsidRDefault="00B916CA" w:rsidP="00736ED7">
      <w:pPr>
        <w:spacing w:after="0"/>
        <w:jc w:val="both"/>
      </w:pPr>
    </w:p>
    <w:p w:rsidR="000050EB" w:rsidRDefault="000050EB" w:rsidP="000050EB">
      <w:pPr>
        <w:spacing w:after="0"/>
        <w:jc w:val="both"/>
      </w:pPr>
      <w:r>
        <w:lastRenderedPageBreak/>
        <w:t xml:space="preserve">El fiscalizador con oficio No. DEMPILE-RPQ-060-2015 de 12 de octubre de 2015, suscrito por el Abg. Leonardo </w:t>
      </w:r>
      <w:proofErr w:type="spellStart"/>
      <w:r>
        <w:t>Sempértegui</w:t>
      </w:r>
      <w:proofErr w:type="spellEnd"/>
      <w:r>
        <w:t xml:space="preserve"> en calidad de Gerente General de DEMPILE S.A. entregó a la entidad contratante el séptimo Informe mensual de avance de Fiscalización.</w:t>
      </w:r>
    </w:p>
    <w:p w:rsidR="000050EB" w:rsidRDefault="000050EB" w:rsidP="000050EB">
      <w:pPr>
        <w:spacing w:after="0"/>
        <w:jc w:val="both"/>
      </w:pPr>
    </w:p>
    <w:p w:rsidR="000050EB" w:rsidRDefault="000050EB" w:rsidP="000050EB">
      <w:pPr>
        <w:spacing w:after="0"/>
        <w:jc w:val="both"/>
      </w:pPr>
      <w:r>
        <w:t xml:space="preserve">El fiscalizador con oficio No. DEMPILE-RPQ-065-2015 de 11 de noviembre de 2015, suscrito por el Abg. Leonardo </w:t>
      </w:r>
      <w:proofErr w:type="spellStart"/>
      <w:r>
        <w:t>Sempértegui</w:t>
      </w:r>
      <w:proofErr w:type="spellEnd"/>
      <w:r>
        <w:t xml:space="preserve"> en calidad de Gerente General de DEMPILE S.A. entregó a la entidad contratante el octavo Informe mensual de avance de Fiscalización.</w:t>
      </w:r>
    </w:p>
    <w:p w:rsidR="000050EB" w:rsidRDefault="000050EB" w:rsidP="000050EB">
      <w:pPr>
        <w:spacing w:after="0"/>
        <w:jc w:val="both"/>
      </w:pPr>
    </w:p>
    <w:p w:rsidR="00E9036A" w:rsidRDefault="000050EB" w:rsidP="000050EB">
      <w:pPr>
        <w:spacing w:after="0"/>
        <w:jc w:val="both"/>
      </w:pPr>
      <w:r>
        <w:t>El fiscalizador con oficio No. DEMPILE-RPQ-</w:t>
      </w:r>
      <w:r w:rsidRPr="00915A56">
        <w:t>0</w:t>
      </w:r>
      <w:r w:rsidR="00915A56">
        <w:t>70</w:t>
      </w:r>
      <w:r>
        <w:t xml:space="preserve">-2015 de 11 de diciembre de 2015, suscrito por el Abg. Leonardo </w:t>
      </w:r>
      <w:proofErr w:type="spellStart"/>
      <w:r>
        <w:t>Sempértegui</w:t>
      </w:r>
      <w:proofErr w:type="spellEnd"/>
      <w:r>
        <w:t xml:space="preserve"> en calidad de Gerente General de DEMPILE S.A. entregó a la entidad contratante el noveno Informe mensual de avance de Fiscalización, el cual completa el conjunto de informes mensuales del tercer trimestre.</w:t>
      </w:r>
    </w:p>
    <w:p w:rsidR="000050EB" w:rsidRPr="009A6D29" w:rsidRDefault="000050EB" w:rsidP="000050EB">
      <w:pPr>
        <w:spacing w:after="0"/>
        <w:jc w:val="both"/>
      </w:pPr>
    </w:p>
    <w:p w:rsidR="00B916CA" w:rsidRDefault="00B916CA" w:rsidP="00B916CA">
      <w:pPr>
        <w:spacing w:after="0"/>
        <w:jc w:val="both"/>
      </w:pPr>
      <w:r w:rsidRPr="009A6D29">
        <w:t xml:space="preserve">Dichos informes resumen las actividades relacionadas con fiscalización desarrolladas en el período </w:t>
      </w:r>
      <w:r w:rsidR="00C35879">
        <w:t>oct</w:t>
      </w:r>
      <w:r w:rsidRPr="009A6D29">
        <w:t xml:space="preserve">-2015 al </w:t>
      </w:r>
      <w:r w:rsidR="00C35879">
        <w:t>dic</w:t>
      </w:r>
      <w:r w:rsidRPr="009A6D29">
        <w:t>-2015 que son las siguientes:</w:t>
      </w:r>
    </w:p>
    <w:p w:rsidR="00915A56" w:rsidRDefault="00915A56" w:rsidP="00B916CA">
      <w:pPr>
        <w:spacing w:after="0"/>
        <w:jc w:val="both"/>
      </w:pPr>
    </w:p>
    <w:p w:rsidR="00915A56" w:rsidRDefault="00915A56" w:rsidP="00B916CA">
      <w:pPr>
        <w:spacing w:after="0"/>
        <w:jc w:val="both"/>
      </w:pPr>
      <w:r>
        <w:t>En este periodo no se ha realizado informes sobre productos específicos. En su lugar se ha revisado algunos procedimientos que se detallan a continuación:</w:t>
      </w:r>
    </w:p>
    <w:p w:rsidR="00915A56" w:rsidRDefault="00915A56" w:rsidP="00B916CA">
      <w:pPr>
        <w:spacing w:after="0"/>
        <w:jc w:val="both"/>
      </w:pPr>
    </w:p>
    <w:tbl>
      <w:tblPr>
        <w:tblStyle w:val="Tablaconcuadrcula"/>
        <w:tblW w:w="0" w:type="auto"/>
        <w:tblLook w:val="04A0" w:firstRow="1" w:lastRow="0" w:firstColumn="1" w:lastColumn="0" w:noHBand="0" w:noVBand="1"/>
      </w:tblPr>
      <w:tblGrid>
        <w:gridCol w:w="2881"/>
        <w:gridCol w:w="2881"/>
        <w:gridCol w:w="2882"/>
      </w:tblGrid>
      <w:tr w:rsidR="00915A56" w:rsidRPr="00915A56" w:rsidTr="00915A56">
        <w:tc>
          <w:tcPr>
            <w:tcW w:w="2881" w:type="dxa"/>
            <w:shd w:val="clear" w:color="auto" w:fill="D9D9D9" w:themeFill="background1" w:themeFillShade="D9"/>
          </w:tcPr>
          <w:p w:rsidR="00915A56" w:rsidRPr="00915A56" w:rsidRDefault="00915A56" w:rsidP="00915A56">
            <w:pPr>
              <w:jc w:val="center"/>
              <w:rPr>
                <w:b/>
              </w:rPr>
            </w:pPr>
            <w:r w:rsidRPr="00915A56">
              <w:rPr>
                <w:b/>
              </w:rPr>
              <w:t>INFORME</w:t>
            </w:r>
          </w:p>
        </w:tc>
        <w:tc>
          <w:tcPr>
            <w:tcW w:w="2881" w:type="dxa"/>
            <w:shd w:val="clear" w:color="auto" w:fill="D9D9D9" w:themeFill="background1" w:themeFillShade="D9"/>
          </w:tcPr>
          <w:p w:rsidR="00915A56" w:rsidRPr="00915A56" w:rsidRDefault="00915A56" w:rsidP="00915A56">
            <w:pPr>
              <w:jc w:val="center"/>
              <w:rPr>
                <w:b/>
              </w:rPr>
            </w:pPr>
            <w:r w:rsidRPr="00915A56">
              <w:rPr>
                <w:b/>
              </w:rPr>
              <w:t>OFICIO</w:t>
            </w:r>
          </w:p>
        </w:tc>
        <w:tc>
          <w:tcPr>
            <w:tcW w:w="2882" w:type="dxa"/>
            <w:shd w:val="clear" w:color="auto" w:fill="D9D9D9" w:themeFill="background1" w:themeFillShade="D9"/>
          </w:tcPr>
          <w:p w:rsidR="00915A56" w:rsidRPr="00915A56" w:rsidRDefault="00915A56" w:rsidP="00915A56">
            <w:pPr>
              <w:jc w:val="center"/>
              <w:rPr>
                <w:b/>
              </w:rPr>
            </w:pPr>
            <w:r w:rsidRPr="00915A56">
              <w:rPr>
                <w:b/>
              </w:rPr>
              <w:t>FECHA</w:t>
            </w:r>
          </w:p>
        </w:tc>
      </w:tr>
      <w:tr w:rsidR="00915A56" w:rsidRPr="00915A56" w:rsidTr="00915A56">
        <w:tc>
          <w:tcPr>
            <w:tcW w:w="2881" w:type="dxa"/>
          </w:tcPr>
          <w:p w:rsidR="00915A56" w:rsidRPr="00915A56" w:rsidRDefault="00915A56" w:rsidP="00D56F3D">
            <w:pPr>
              <w:jc w:val="both"/>
            </w:pPr>
            <w:r w:rsidRPr="00915A56">
              <w:t>Informe sobre Matriz de Homologación de Criterios Jurídicos.</w:t>
            </w:r>
          </w:p>
        </w:tc>
        <w:tc>
          <w:tcPr>
            <w:tcW w:w="2881" w:type="dxa"/>
          </w:tcPr>
          <w:p w:rsidR="00915A56" w:rsidRPr="00915A56" w:rsidRDefault="00915A56" w:rsidP="00D56F3D">
            <w:pPr>
              <w:jc w:val="both"/>
            </w:pPr>
            <w:r w:rsidRPr="00915A56">
              <w:t>Oficio: DEMPILE-RPQ-00057-2015</w:t>
            </w:r>
          </w:p>
        </w:tc>
        <w:tc>
          <w:tcPr>
            <w:tcW w:w="2882" w:type="dxa"/>
          </w:tcPr>
          <w:p w:rsidR="00915A56" w:rsidRPr="00915A56" w:rsidRDefault="00915A56" w:rsidP="00D56F3D">
            <w:pPr>
              <w:jc w:val="both"/>
            </w:pPr>
            <w:r w:rsidRPr="00915A56">
              <w:t>12 de octubre de 2015</w:t>
            </w:r>
          </w:p>
        </w:tc>
      </w:tr>
      <w:tr w:rsidR="00915A56" w:rsidRPr="00915A56" w:rsidTr="00915A56">
        <w:tc>
          <w:tcPr>
            <w:tcW w:w="2881" w:type="dxa"/>
          </w:tcPr>
          <w:p w:rsidR="00915A56" w:rsidRPr="00915A56" w:rsidRDefault="00915A56" w:rsidP="00D56F3D">
            <w:pPr>
              <w:jc w:val="both"/>
            </w:pPr>
            <w:r w:rsidRPr="00915A56">
              <w:t xml:space="preserve">Informe sobre Matriz de Catálogo de Actos que </w:t>
            </w:r>
            <w:proofErr w:type="gramStart"/>
            <w:r w:rsidRPr="00915A56">
              <w:t>generen</w:t>
            </w:r>
            <w:proofErr w:type="gramEnd"/>
            <w:r w:rsidRPr="00915A56">
              <w:t xml:space="preserve"> Folio Real.</w:t>
            </w:r>
          </w:p>
        </w:tc>
        <w:tc>
          <w:tcPr>
            <w:tcW w:w="2881" w:type="dxa"/>
          </w:tcPr>
          <w:p w:rsidR="00915A56" w:rsidRPr="00915A56" w:rsidRDefault="00915A56" w:rsidP="00D56F3D">
            <w:pPr>
              <w:jc w:val="both"/>
            </w:pPr>
            <w:r w:rsidRPr="00915A56">
              <w:t>Oficio: DEMPILE-RPQ-00058-2015</w:t>
            </w:r>
          </w:p>
        </w:tc>
        <w:tc>
          <w:tcPr>
            <w:tcW w:w="2882" w:type="dxa"/>
          </w:tcPr>
          <w:p w:rsidR="00915A56" w:rsidRPr="00915A56" w:rsidRDefault="00915A56" w:rsidP="00D56F3D">
            <w:pPr>
              <w:jc w:val="both"/>
            </w:pPr>
            <w:r w:rsidRPr="00915A56">
              <w:t>12 de octubre de 2015</w:t>
            </w:r>
          </w:p>
        </w:tc>
      </w:tr>
      <w:tr w:rsidR="00915A56" w:rsidRPr="00915A56" w:rsidTr="00915A56">
        <w:tc>
          <w:tcPr>
            <w:tcW w:w="2881" w:type="dxa"/>
          </w:tcPr>
          <w:p w:rsidR="00915A56" w:rsidRPr="00915A56" w:rsidRDefault="00915A56" w:rsidP="00D56F3D">
            <w:pPr>
              <w:jc w:val="both"/>
            </w:pPr>
            <w:r w:rsidRPr="00915A56">
              <w:t>Informe sobre Fiscalización de la Digitalización.</w:t>
            </w:r>
          </w:p>
        </w:tc>
        <w:tc>
          <w:tcPr>
            <w:tcW w:w="2881" w:type="dxa"/>
          </w:tcPr>
          <w:p w:rsidR="00915A56" w:rsidRPr="00915A56" w:rsidRDefault="00915A56" w:rsidP="00D56F3D">
            <w:pPr>
              <w:jc w:val="both"/>
            </w:pPr>
            <w:r w:rsidRPr="00915A56">
              <w:t>Oficio: DEMPILE-RPQ-00059-2015</w:t>
            </w:r>
          </w:p>
        </w:tc>
        <w:tc>
          <w:tcPr>
            <w:tcW w:w="2882" w:type="dxa"/>
          </w:tcPr>
          <w:p w:rsidR="00915A56" w:rsidRPr="00915A56" w:rsidRDefault="00915A56" w:rsidP="00D56F3D">
            <w:pPr>
              <w:jc w:val="both"/>
            </w:pPr>
            <w:r w:rsidRPr="00915A56">
              <w:t>12 de octubre de 2015</w:t>
            </w:r>
          </w:p>
        </w:tc>
      </w:tr>
      <w:tr w:rsidR="00915A56" w:rsidRPr="00915A56" w:rsidTr="00915A56">
        <w:tc>
          <w:tcPr>
            <w:tcW w:w="2881" w:type="dxa"/>
          </w:tcPr>
          <w:p w:rsidR="00915A56" w:rsidRPr="00915A56" w:rsidRDefault="00915A56" w:rsidP="00D56F3D">
            <w:pPr>
              <w:jc w:val="both"/>
            </w:pPr>
            <w:r w:rsidRPr="00915A56">
              <w:t>Informe sobre implementación de procesos.</w:t>
            </w:r>
          </w:p>
        </w:tc>
        <w:tc>
          <w:tcPr>
            <w:tcW w:w="2881" w:type="dxa"/>
          </w:tcPr>
          <w:p w:rsidR="00915A56" w:rsidRPr="00915A56" w:rsidRDefault="00915A56" w:rsidP="00D56F3D">
            <w:pPr>
              <w:jc w:val="both"/>
            </w:pPr>
            <w:r w:rsidRPr="00915A56">
              <w:t>Oficio: DEMPILE-RPQ-00062-2015</w:t>
            </w:r>
          </w:p>
        </w:tc>
        <w:tc>
          <w:tcPr>
            <w:tcW w:w="2882" w:type="dxa"/>
          </w:tcPr>
          <w:p w:rsidR="00915A56" w:rsidRPr="00915A56" w:rsidRDefault="00915A56" w:rsidP="00D56F3D">
            <w:pPr>
              <w:jc w:val="both"/>
            </w:pPr>
            <w:r w:rsidRPr="00915A56">
              <w:t>10 de noviembre de 2015</w:t>
            </w:r>
          </w:p>
        </w:tc>
      </w:tr>
      <w:tr w:rsidR="00915A56" w:rsidRPr="00915A56" w:rsidTr="00915A56">
        <w:tc>
          <w:tcPr>
            <w:tcW w:w="2881" w:type="dxa"/>
          </w:tcPr>
          <w:p w:rsidR="00915A56" w:rsidRPr="00915A56" w:rsidRDefault="00915A56" w:rsidP="00D56F3D">
            <w:pPr>
              <w:jc w:val="both"/>
            </w:pPr>
            <w:r w:rsidRPr="00915A56">
              <w:t>Informe sobre matriz de metadatos.</w:t>
            </w:r>
          </w:p>
        </w:tc>
        <w:tc>
          <w:tcPr>
            <w:tcW w:w="2881" w:type="dxa"/>
          </w:tcPr>
          <w:p w:rsidR="00915A56" w:rsidRPr="00915A56" w:rsidRDefault="00915A56" w:rsidP="00D56F3D">
            <w:pPr>
              <w:jc w:val="both"/>
            </w:pPr>
            <w:r w:rsidRPr="00915A56">
              <w:t>Oficio: DEMPILE-RPQ-00062-2015</w:t>
            </w:r>
          </w:p>
        </w:tc>
        <w:tc>
          <w:tcPr>
            <w:tcW w:w="2882" w:type="dxa"/>
          </w:tcPr>
          <w:p w:rsidR="00915A56" w:rsidRPr="00915A56" w:rsidRDefault="00915A56" w:rsidP="00D56F3D">
            <w:pPr>
              <w:jc w:val="both"/>
            </w:pPr>
            <w:r w:rsidRPr="00915A56">
              <w:t>10 de noviembre de 2015</w:t>
            </w:r>
          </w:p>
        </w:tc>
      </w:tr>
      <w:tr w:rsidR="00915A56" w:rsidRPr="00915A56" w:rsidTr="00915A56">
        <w:tc>
          <w:tcPr>
            <w:tcW w:w="2881" w:type="dxa"/>
          </w:tcPr>
          <w:p w:rsidR="00915A56" w:rsidRPr="00915A56" w:rsidRDefault="00915A56" w:rsidP="00D56F3D">
            <w:pPr>
              <w:jc w:val="both"/>
            </w:pPr>
            <w:r w:rsidRPr="00915A56">
              <w:t>Informe sobre implementación de piloto.</w:t>
            </w:r>
          </w:p>
        </w:tc>
        <w:tc>
          <w:tcPr>
            <w:tcW w:w="2881" w:type="dxa"/>
          </w:tcPr>
          <w:p w:rsidR="00915A56" w:rsidRPr="00915A56" w:rsidRDefault="00915A56" w:rsidP="00D56F3D">
            <w:pPr>
              <w:jc w:val="both"/>
            </w:pPr>
            <w:r w:rsidRPr="00915A56">
              <w:t>Oficio: DEMPILE-RPQ-00062-2015</w:t>
            </w:r>
          </w:p>
        </w:tc>
        <w:tc>
          <w:tcPr>
            <w:tcW w:w="2882" w:type="dxa"/>
          </w:tcPr>
          <w:p w:rsidR="00915A56" w:rsidRPr="00915A56" w:rsidRDefault="00915A56" w:rsidP="00D56F3D">
            <w:pPr>
              <w:jc w:val="both"/>
            </w:pPr>
            <w:r w:rsidRPr="00915A56">
              <w:t>10 de noviembre de 2015</w:t>
            </w:r>
          </w:p>
        </w:tc>
      </w:tr>
      <w:tr w:rsidR="00915A56" w:rsidRPr="00915A56" w:rsidTr="00915A56">
        <w:tc>
          <w:tcPr>
            <w:tcW w:w="2881" w:type="dxa"/>
          </w:tcPr>
          <w:p w:rsidR="00915A56" w:rsidRPr="00915A56" w:rsidRDefault="00915A56" w:rsidP="00D56F3D">
            <w:pPr>
              <w:jc w:val="both"/>
            </w:pPr>
            <w:r w:rsidRPr="00915A56">
              <w:t>Informe sobre propuesta de estructura orgánica</w:t>
            </w:r>
          </w:p>
        </w:tc>
        <w:tc>
          <w:tcPr>
            <w:tcW w:w="2881" w:type="dxa"/>
          </w:tcPr>
          <w:p w:rsidR="00915A56" w:rsidRPr="00915A56" w:rsidRDefault="00915A56" w:rsidP="00D56F3D">
            <w:pPr>
              <w:jc w:val="both"/>
            </w:pPr>
            <w:r w:rsidRPr="00915A56">
              <w:t>Oficio: DEMPILE-RPQ-00067-2015</w:t>
            </w:r>
          </w:p>
        </w:tc>
        <w:tc>
          <w:tcPr>
            <w:tcW w:w="2882" w:type="dxa"/>
          </w:tcPr>
          <w:p w:rsidR="00915A56" w:rsidRPr="00915A56" w:rsidRDefault="00915A56" w:rsidP="00D56F3D">
            <w:pPr>
              <w:jc w:val="both"/>
            </w:pPr>
            <w:r w:rsidRPr="00915A56">
              <w:t xml:space="preserve"> 10 de diciembre de 2015</w:t>
            </w:r>
          </w:p>
        </w:tc>
      </w:tr>
      <w:tr w:rsidR="00915A56" w:rsidRPr="00915A56" w:rsidTr="00915A56">
        <w:tc>
          <w:tcPr>
            <w:tcW w:w="2881" w:type="dxa"/>
          </w:tcPr>
          <w:p w:rsidR="00915A56" w:rsidRPr="00915A56" w:rsidRDefault="00915A56" w:rsidP="00D56F3D">
            <w:pPr>
              <w:jc w:val="both"/>
            </w:pPr>
            <w:r w:rsidRPr="00915A56">
              <w:t>Informe sobre avances en capacitación de procesos registrales.</w:t>
            </w:r>
          </w:p>
        </w:tc>
        <w:tc>
          <w:tcPr>
            <w:tcW w:w="2881" w:type="dxa"/>
          </w:tcPr>
          <w:p w:rsidR="00915A56" w:rsidRPr="00915A56" w:rsidRDefault="00915A56" w:rsidP="00D56F3D">
            <w:pPr>
              <w:jc w:val="both"/>
            </w:pPr>
            <w:r w:rsidRPr="00915A56">
              <w:t>Oficio: DEMPILE-RPQ-00068-2015</w:t>
            </w:r>
          </w:p>
        </w:tc>
        <w:tc>
          <w:tcPr>
            <w:tcW w:w="2882" w:type="dxa"/>
          </w:tcPr>
          <w:p w:rsidR="00915A56" w:rsidRPr="00915A56" w:rsidRDefault="00915A56" w:rsidP="00D56F3D">
            <w:pPr>
              <w:jc w:val="both"/>
            </w:pPr>
            <w:r w:rsidRPr="00915A56">
              <w:t>10 de diciembre de 2015</w:t>
            </w:r>
          </w:p>
        </w:tc>
      </w:tr>
      <w:tr w:rsidR="00915A56" w:rsidRPr="00915A56" w:rsidTr="00915A56">
        <w:tc>
          <w:tcPr>
            <w:tcW w:w="2881" w:type="dxa"/>
          </w:tcPr>
          <w:p w:rsidR="00915A56" w:rsidRPr="00915A56" w:rsidRDefault="00915A56" w:rsidP="00D56F3D">
            <w:pPr>
              <w:jc w:val="both"/>
            </w:pPr>
            <w:r w:rsidRPr="00915A56">
              <w:t>Informe sobre instalación de piloto</w:t>
            </w:r>
          </w:p>
        </w:tc>
        <w:tc>
          <w:tcPr>
            <w:tcW w:w="2881" w:type="dxa"/>
          </w:tcPr>
          <w:p w:rsidR="00915A56" w:rsidRPr="00915A56" w:rsidRDefault="00915A56" w:rsidP="00D56F3D">
            <w:pPr>
              <w:jc w:val="both"/>
            </w:pPr>
            <w:r w:rsidRPr="00915A56">
              <w:t>Oficio: DEMPILE-RPQ-00069-2015</w:t>
            </w:r>
          </w:p>
        </w:tc>
        <w:tc>
          <w:tcPr>
            <w:tcW w:w="2882" w:type="dxa"/>
          </w:tcPr>
          <w:p w:rsidR="00915A56" w:rsidRPr="00915A56" w:rsidRDefault="00915A56" w:rsidP="00D56F3D">
            <w:pPr>
              <w:jc w:val="both"/>
            </w:pPr>
            <w:r w:rsidRPr="00915A56">
              <w:t>10 de diciembre de 2015</w:t>
            </w:r>
          </w:p>
        </w:tc>
      </w:tr>
    </w:tbl>
    <w:p w:rsidR="00915A56" w:rsidRPr="009A6D29" w:rsidRDefault="00915A56" w:rsidP="00B916CA">
      <w:pPr>
        <w:spacing w:after="0"/>
        <w:jc w:val="both"/>
      </w:pPr>
    </w:p>
    <w:p w:rsidR="008B6FE5" w:rsidRPr="009A6D29" w:rsidRDefault="008B6FE5" w:rsidP="00736ED7">
      <w:pPr>
        <w:spacing w:after="0"/>
        <w:jc w:val="both"/>
      </w:pPr>
    </w:p>
    <w:p w:rsidR="008B6FE5" w:rsidRPr="009A6D29" w:rsidRDefault="008B6FE5" w:rsidP="00736ED7">
      <w:pPr>
        <w:spacing w:after="0"/>
        <w:jc w:val="both"/>
      </w:pPr>
    </w:p>
    <w:p w:rsidR="00B916CA" w:rsidRPr="009A6D29" w:rsidRDefault="00B916CA" w:rsidP="00736ED7">
      <w:pPr>
        <w:spacing w:after="0"/>
        <w:jc w:val="both"/>
      </w:pPr>
    </w:p>
    <w:p w:rsidR="00B916CA" w:rsidRPr="009A6D29" w:rsidRDefault="00B916CA" w:rsidP="00B916CA">
      <w:pPr>
        <w:spacing w:after="0"/>
        <w:jc w:val="both"/>
      </w:pPr>
    </w:p>
    <w:p w:rsidR="00431F35" w:rsidRPr="009A6D29" w:rsidRDefault="00431F35" w:rsidP="00431F35">
      <w:pPr>
        <w:ind w:left="360"/>
        <w:jc w:val="both"/>
        <w:rPr>
          <w:rFonts w:cstheme="minorHAnsi"/>
          <w:color w:val="000000" w:themeColor="text1"/>
        </w:rPr>
      </w:pPr>
    </w:p>
    <w:p w:rsidR="00431F35" w:rsidRPr="009A6D29" w:rsidRDefault="00431F35" w:rsidP="00431F35">
      <w:pPr>
        <w:ind w:left="360"/>
        <w:jc w:val="both"/>
        <w:rPr>
          <w:rFonts w:cstheme="minorHAnsi"/>
          <w:color w:val="000000" w:themeColor="text1"/>
        </w:rPr>
      </w:pPr>
      <w:r w:rsidRPr="009A6D29">
        <w:rPr>
          <w:rFonts w:cstheme="minorHAnsi"/>
          <w:color w:val="000000" w:themeColor="text1"/>
        </w:rPr>
        <w:lastRenderedPageBreak/>
        <w:t>REUNIONES QUINCENALES Y MENSUALES</w:t>
      </w:r>
    </w:p>
    <w:tbl>
      <w:tblPr>
        <w:tblStyle w:val="Tablaconcuadrcula"/>
        <w:tblW w:w="0" w:type="auto"/>
        <w:tblInd w:w="360" w:type="dxa"/>
        <w:tblLook w:val="04A0" w:firstRow="1" w:lastRow="0" w:firstColumn="1" w:lastColumn="0" w:noHBand="0" w:noVBand="1"/>
      </w:tblPr>
      <w:tblGrid>
        <w:gridCol w:w="5277"/>
        <w:gridCol w:w="2976"/>
      </w:tblGrid>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13</w:t>
            </w:r>
            <w:r w:rsidRPr="009A6D29">
              <w:rPr>
                <w:rFonts w:cstheme="minorHAnsi"/>
                <w:color w:val="000000" w:themeColor="text1"/>
              </w:rPr>
              <w:t xml:space="preserve"> del área temática: Procesos, Comunicación y Talento Humano. </w:t>
            </w:r>
          </w:p>
        </w:tc>
        <w:tc>
          <w:tcPr>
            <w:tcW w:w="2976" w:type="dxa"/>
          </w:tcPr>
          <w:p w:rsidR="006C1DCD" w:rsidRPr="00DC66BA" w:rsidRDefault="00DC66BA" w:rsidP="000B7B58">
            <w:pPr>
              <w:spacing w:line="276" w:lineRule="auto"/>
              <w:jc w:val="both"/>
              <w:rPr>
                <w:rFonts w:cstheme="minorHAnsi"/>
                <w:color w:val="000000" w:themeColor="text1"/>
              </w:rPr>
            </w:pPr>
            <w:r w:rsidRPr="00DC66BA">
              <w:rPr>
                <w:rFonts w:cstheme="minorHAnsi"/>
                <w:color w:val="000000" w:themeColor="text1"/>
              </w:rPr>
              <w:t>9 de septiembre</w:t>
            </w:r>
            <w:r w:rsidR="006C1DCD" w:rsidRPr="00DC66BA">
              <w:rPr>
                <w:rFonts w:cstheme="minorHAnsi"/>
                <w:color w:val="000000" w:themeColor="text1"/>
              </w:rPr>
              <w:t xml:space="preserv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14</w:t>
            </w:r>
            <w:r w:rsidRPr="009A6D29">
              <w:rPr>
                <w:rFonts w:cstheme="minorHAnsi"/>
                <w:color w:val="000000" w:themeColor="text1"/>
              </w:rPr>
              <w:t xml:space="preserve"> del área temática: Procesos, Comunicación y Talento Humano. </w:t>
            </w:r>
          </w:p>
        </w:tc>
        <w:tc>
          <w:tcPr>
            <w:tcW w:w="2976" w:type="dxa"/>
          </w:tcPr>
          <w:p w:rsidR="006C1DCD" w:rsidRPr="00DC66BA" w:rsidRDefault="00DC66BA" w:rsidP="000B7B58">
            <w:pPr>
              <w:spacing w:line="276" w:lineRule="auto"/>
              <w:jc w:val="both"/>
              <w:rPr>
                <w:rFonts w:cstheme="minorHAnsi"/>
                <w:color w:val="000000" w:themeColor="text1"/>
              </w:rPr>
            </w:pPr>
            <w:r w:rsidRPr="00DC66BA">
              <w:rPr>
                <w:rFonts w:cstheme="minorHAnsi"/>
                <w:color w:val="000000" w:themeColor="text1"/>
              </w:rPr>
              <w:t>22 de septiembre</w:t>
            </w:r>
            <w:r w:rsidR="006C1DCD" w:rsidRPr="00DC66BA">
              <w:rPr>
                <w:rFonts w:cstheme="minorHAnsi"/>
                <w:color w:val="000000" w:themeColor="text1"/>
              </w:rPr>
              <w:t xml:space="preserv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13</w:t>
            </w:r>
            <w:r w:rsidRPr="009A6D29">
              <w:rPr>
                <w:rFonts w:cstheme="minorHAnsi"/>
                <w:color w:val="000000" w:themeColor="text1"/>
              </w:rPr>
              <w:t xml:space="preserve"> del área temática: Informática y Tecnológica </w:t>
            </w:r>
          </w:p>
        </w:tc>
        <w:tc>
          <w:tcPr>
            <w:tcW w:w="2976" w:type="dxa"/>
          </w:tcPr>
          <w:p w:rsidR="006C1DCD" w:rsidRPr="00DC66BA" w:rsidRDefault="00DC66BA" w:rsidP="00DC66BA">
            <w:pPr>
              <w:spacing w:line="276" w:lineRule="auto"/>
              <w:jc w:val="both"/>
              <w:rPr>
                <w:rFonts w:cstheme="minorHAnsi"/>
                <w:color w:val="000000" w:themeColor="text1"/>
              </w:rPr>
            </w:pPr>
            <w:r w:rsidRPr="00DC66BA">
              <w:rPr>
                <w:rFonts w:cstheme="minorHAnsi"/>
                <w:color w:val="000000" w:themeColor="text1"/>
              </w:rPr>
              <w:t xml:space="preserve">21 de septiembre </w:t>
            </w:r>
            <w:r w:rsidR="006C1DCD" w:rsidRPr="00DC66BA">
              <w:rPr>
                <w:rFonts w:cstheme="minorHAnsi"/>
                <w:color w:val="000000" w:themeColor="text1"/>
              </w:rPr>
              <w:t>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14</w:t>
            </w:r>
            <w:r w:rsidRPr="009A6D29">
              <w:rPr>
                <w:rFonts w:cstheme="minorHAnsi"/>
                <w:color w:val="000000" w:themeColor="text1"/>
              </w:rPr>
              <w:t xml:space="preserve"> del área temática: Informática y Tecnológica </w:t>
            </w:r>
          </w:p>
        </w:tc>
        <w:tc>
          <w:tcPr>
            <w:tcW w:w="2976" w:type="dxa"/>
          </w:tcPr>
          <w:p w:rsidR="006C1DCD" w:rsidRPr="00DC66BA" w:rsidRDefault="00DC66BA" w:rsidP="000B7B58">
            <w:pPr>
              <w:spacing w:line="276" w:lineRule="auto"/>
              <w:jc w:val="both"/>
              <w:rPr>
                <w:rFonts w:cstheme="minorHAnsi"/>
                <w:color w:val="000000" w:themeColor="text1"/>
              </w:rPr>
            </w:pPr>
            <w:r w:rsidRPr="00DC66BA">
              <w:rPr>
                <w:rFonts w:cstheme="minorHAnsi"/>
                <w:color w:val="000000" w:themeColor="text1"/>
              </w:rPr>
              <w:t>5 de octubre</w:t>
            </w:r>
            <w:r w:rsidR="006C1DCD" w:rsidRPr="00DC66BA">
              <w:rPr>
                <w:rFonts w:cstheme="minorHAnsi"/>
                <w:color w:val="000000" w:themeColor="text1"/>
              </w:rPr>
              <w:t xml:space="preserv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13</w:t>
            </w:r>
            <w:r w:rsidRPr="009A6D29">
              <w:rPr>
                <w:rFonts w:cstheme="minorHAnsi"/>
                <w:color w:val="000000" w:themeColor="text1"/>
              </w:rPr>
              <w:t xml:space="preserve"> del área temática: Jurídica </w:t>
            </w:r>
          </w:p>
        </w:tc>
        <w:tc>
          <w:tcPr>
            <w:tcW w:w="2976" w:type="dxa"/>
          </w:tcPr>
          <w:p w:rsidR="006C1DCD" w:rsidRPr="00DC66BA" w:rsidRDefault="00DC66BA" w:rsidP="000B7B58">
            <w:pPr>
              <w:spacing w:line="276" w:lineRule="auto"/>
              <w:jc w:val="both"/>
              <w:rPr>
                <w:rFonts w:cstheme="minorHAnsi"/>
                <w:color w:val="000000" w:themeColor="text1"/>
              </w:rPr>
            </w:pPr>
            <w:r w:rsidRPr="00DC66BA">
              <w:rPr>
                <w:rFonts w:cstheme="minorHAnsi"/>
                <w:color w:val="000000" w:themeColor="text1"/>
              </w:rPr>
              <w:t>22 de septiembre</w:t>
            </w:r>
            <w:r w:rsidR="006C1DCD" w:rsidRPr="00DC66BA">
              <w:rPr>
                <w:rFonts w:cstheme="minorHAnsi"/>
                <w:color w:val="000000" w:themeColor="text1"/>
              </w:rPr>
              <w:t xml:space="preserv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14</w:t>
            </w:r>
            <w:r w:rsidRPr="009A6D29">
              <w:rPr>
                <w:rFonts w:cstheme="minorHAnsi"/>
                <w:color w:val="000000" w:themeColor="text1"/>
              </w:rPr>
              <w:t xml:space="preserve"> del área temática: Jurídica</w:t>
            </w:r>
          </w:p>
        </w:tc>
        <w:tc>
          <w:tcPr>
            <w:tcW w:w="2976" w:type="dxa"/>
          </w:tcPr>
          <w:p w:rsidR="006C1DCD" w:rsidRPr="00DC66BA" w:rsidRDefault="00DC66BA" w:rsidP="000B7B58">
            <w:pPr>
              <w:spacing w:line="276" w:lineRule="auto"/>
              <w:jc w:val="both"/>
              <w:rPr>
                <w:rFonts w:cstheme="minorHAnsi"/>
                <w:color w:val="000000" w:themeColor="text1"/>
              </w:rPr>
            </w:pPr>
            <w:r w:rsidRPr="00DC66BA">
              <w:rPr>
                <w:rFonts w:cstheme="minorHAnsi"/>
                <w:color w:val="000000" w:themeColor="text1"/>
              </w:rPr>
              <w:t>5 de octubre</w:t>
            </w:r>
            <w:r w:rsidR="006C1DCD" w:rsidRPr="00DC66BA">
              <w:rPr>
                <w:rFonts w:cstheme="minorHAnsi"/>
                <w:color w:val="000000" w:themeColor="text1"/>
              </w:rPr>
              <w:t xml:space="preserv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Mensual Ordinaria </w:t>
            </w:r>
            <w:r w:rsidR="00C35879">
              <w:rPr>
                <w:rFonts w:cstheme="minorHAnsi"/>
                <w:color w:val="000000" w:themeColor="text1"/>
              </w:rPr>
              <w:t>7</w:t>
            </w:r>
            <w:r w:rsidRPr="009A6D29">
              <w:rPr>
                <w:rFonts w:cstheme="minorHAnsi"/>
                <w:color w:val="000000" w:themeColor="text1"/>
              </w:rPr>
              <w:t xml:space="preserve"> </w:t>
            </w:r>
          </w:p>
        </w:tc>
        <w:tc>
          <w:tcPr>
            <w:tcW w:w="2976" w:type="dxa"/>
          </w:tcPr>
          <w:p w:rsidR="006C1DCD" w:rsidRPr="00DC66BA" w:rsidRDefault="00DC66BA" w:rsidP="000B7B58">
            <w:pPr>
              <w:spacing w:line="276" w:lineRule="auto"/>
              <w:jc w:val="both"/>
              <w:rPr>
                <w:rFonts w:cstheme="minorHAnsi"/>
                <w:color w:val="000000" w:themeColor="text1"/>
              </w:rPr>
            </w:pPr>
            <w:r w:rsidRPr="00DC66BA">
              <w:rPr>
                <w:rFonts w:cstheme="minorHAnsi"/>
                <w:color w:val="000000" w:themeColor="text1"/>
              </w:rPr>
              <w:t>8 de octubre</w:t>
            </w:r>
            <w:r w:rsidR="006C1DCD" w:rsidRPr="00DC66BA">
              <w:rPr>
                <w:rFonts w:cstheme="minorHAnsi"/>
                <w:color w:val="000000" w:themeColor="text1"/>
              </w:rPr>
              <w:t xml:space="preserv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15</w:t>
            </w:r>
            <w:r w:rsidRPr="009A6D29">
              <w:rPr>
                <w:rFonts w:cstheme="minorHAnsi"/>
                <w:color w:val="000000" w:themeColor="text1"/>
              </w:rPr>
              <w:t xml:space="preserve"> del área temática: Procesos, Comunicación y Talento Humano.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13 de octubre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16</w:t>
            </w:r>
            <w:r w:rsidRPr="009A6D29">
              <w:rPr>
                <w:rFonts w:cstheme="minorHAnsi"/>
                <w:color w:val="000000" w:themeColor="text1"/>
              </w:rPr>
              <w:t xml:space="preserve"> del área temática: Procesos, Comunicación y Talento Humano</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27 de octubre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15</w:t>
            </w:r>
            <w:r w:rsidRPr="009A6D29">
              <w:rPr>
                <w:rFonts w:cstheme="minorHAnsi"/>
                <w:color w:val="000000" w:themeColor="text1"/>
              </w:rPr>
              <w:t xml:space="preserve"> del área temática: Informática y Tecnológica</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19 de octubre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16</w:t>
            </w:r>
            <w:r w:rsidRPr="009A6D29">
              <w:rPr>
                <w:rFonts w:cstheme="minorHAnsi"/>
                <w:color w:val="000000" w:themeColor="text1"/>
              </w:rPr>
              <w:t xml:space="preserve"> del área temática: Informática y Tecnológica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6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15</w:t>
            </w:r>
            <w:r w:rsidRPr="009A6D29">
              <w:rPr>
                <w:rFonts w:cstheme="minorHAnsi"/>
                <w:color w:val="000000" w:themeColor="text1"/>
              </w:rPr>
              <w:t xml:space="preserve"> del área temática: Jurídica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23 de octubre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16</w:t>
            </w:r>
            <w:r w:rsidRPr="009A6D29">
              <w:rPr>
                <w:rFonts w:cstheme="minorHAnsi"/>
                <w:color w:val="000000" w:themeColor="text1"/>
              </w:rPr>
              <w:t xml:space="preserve"> del área temática: Jurídica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5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Mensual Ordinaria </w:t>
            </w:r>
            <w:r w:rsidR="00C35879">
              <w:rPr>
                <w:rFonts w:cstheme="minorHAnsi"/>
                <w:color w:val="000000" w:themeColor="text1"/>
              </w:rPr>
              <w:t>8</w:t>
            </w:r>
            <w:r w:rsidRPr="009A6D29">
              <w:rPr>
                <w:rFonts w:cstheme="minorHAnsi"/>
                <w:color w:val="000000" w:themeColor="text1"/>
              </w:rPr>
              <w:t xml:space="preserve">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10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Quincenal Ordinaria </w:t>
            </w:r>
            <w:r w:rsidR="00C35879">
              <w:rPr>
                <w:rFonts w:cstheme="minorHAnsi"/>
                <w:color w:val="000000" w:themeColor="text1"/>
              </w:rPr>
              <w:t>17</w:t>
            </w:r>
            <w:r w:rsidRPr="009A6D29">
              <w:rPr>
                <w:rFonts w:cstheme="minorHAnsi"/>
                <w:color w:val="000000" w:themeColor="text1"/>
              </w:rPr>
              <w:t xml:space="preserve"> del área temática: Procesos, Comunicación y Talento Humano.</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10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Reunión Quincenal Ordinaria 1</w:t>
            </w:r>
            <w:r w:rsidR="00C35879">
              <w:rPr>
                <w:rFonts w:cstheme="minorHAnsi"/>
                <w:color w:val="000000" w:themeColor="text1"/>
              </w:rPr>
              <w:t>8</w:t>
            </w:r>
            <w:r w:rsidRPr="009A6D29">
              <w:rPr>
                <w:rFonts w:cstheme="minorHAnsi"/>
                <w:color w:val="000000" w:themeColor="text1"/>
              </w:rPr>
              <w:t xml:space="preserve"> del área temática: Procesos, Comunicación y Talento Humano.</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24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Reunión Quincenal Ordinaria 1</w:t>
            </w:r>
            <w:r w:rsidR="00C35879">
              <w:rPr>
                <w:rFonts w:cstheme="minorHAnsi"/>
                <w:color w:val="000000" w:themeColor="text1"/>
              </w:rPr>
              <w:t>7</w:t>
            </w:r>
            <w:r w:rsidRPr="009A6D29">
              <w:rPr>
                <w:rFonts w:cstheme="minorHAnsi"/>
                <w:color w:val="000000" w:themeColor="text1"/>
              </w:rPr>
              <w:t xml:space="preserve"> del área temática: Informática y Tecnológica</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20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Reunión Quincenal Ordinaria 1</w:t>
            </w:r>
            <w:r w:rsidR="00C35879">
              <w:rPr>
                <w:rFonts w:cstheme="minorHAnsi"/>
                <w:color w:val="000000" w:themeColor="text1"/>
              </w:rPr>
              <w:t>8</w:t>
            </w:r>
            <w:r w:rsidRPr="009A6D29">
              <w:rPr>
                <w:rFonts w:cstheme="minorHAnsi"/>
                <w:color w:val="000000" w:themeColor="text1"/>
              </w:rPr>
              <w:t xml:space="preserve"> del área temática: Informática y Tecnológica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27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Reunión Quincenal Ordinaria 1</w:t>
            </w:r>
            <w:r w:rsidR="00C35879">
              <w:rPr>
                <w:rFonts w:cstheme="minorHAnsi"/>
                <w:color w:val="000000" w:themeColor="text1"/>
              </w:rPr>
              <w:t>7</w:t>
            </w:r>
            <w:r w:rsidRPr="009A6D29">
              <w:rPr>
                <w:rFonts w:cstheme="minorHAnsi"/>
                <w:color w:val="000000" w:themeColor="text1"/>
              </w:rPr>
              <w:t xml:space="preserve"> del área temática: Jurídica</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19 de noviembre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Reunión Quincenal Ordinaria 1</w:t>
            </w:r>
            <w:r w:rsidR="00C35879">
              <w:rPr>
                <w:rFonts w:cstheme="minorHAnsi"/>
                <w:color w:val="000000" w:themeColor="text1"/>
              </w:rPr>
              <w:t>8</w:t>
            </w:r>
            <w:r w:rsidRPr="009A6D29">
              <w:rPr>
                <w:rFonts w:cstheme="minorHAnsi"/>
                <w:color w:val="000000" w:themeColor="text1"/>
              </w:rPr>
              <w:t xml:space="preserve"> del área temática: Jurídica</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3 de diciembre de 2015</w:t>
            </w:r>
          </w:p>
        </w:tc>
      </w:tr>
      <w:tr w:rsidR="006C1DCD" w:rsidRPr="009A6D29" w:rsidTr="006C1DCD">
        <w:tc>
          <w:tcPr>
            <w:tcW w:w="5277" w:type="dxa"/>
          </w:tcPr>
          <w:p w:rsidR="006C1DCD" w:rsidRPr="009A6D29" w:rsidRDefault="006C1DCD" w:rsidP="00C35879">
            <w:pPr>
              <w:spacing w:line="276" w:lineRule="auto"/>
              <w:jc w:val="both"/>
              <w:rPr>
                <w:rFonts w:cstheme="minorHAnsi"/>
                <w:color w:val="000000" w:themeColor="text1"/>
              </w:rPr>
            </w:pPr>
            <w:r w:rsidRPr="009A6D29">
              <w:rPr>
                <w:rFonts w:cstheme="minorHAnsi"/>
                <w:color w:val="000000" w:themeColor="text1"/>
              </w:rPr>
              <w:t xml:space="preserve">Reunión Mensual Ordinaria </w:t>
            </w:r>
            <w:r w:rsidR="00C35879">
              <w:rPr>
                <w:rFonts w:cstheme="minorHAnsi"/>
                <w:color w:val="000000" w:themeColor="text1"/>
              </w:rPr>
              <w:t>9</w:t>
            </w:r>
            <w:r w:rsidRPr="009A6D29">
              <w:rPr>
                <w:rFonts w:cstheme="minorHAnsi"/>
                <w:color w:val="000000" w:themeColor="text1"/>
              </w:rPr>
              <w:t xml:space="preserve"> </w:t>
            </w:r>
          </w:p>
        </w:tc>
        <w:tc>
          <w:tcPr>
            <w:tcW w:w="2976" w:type="dxa"/>
          </w:tcPr>
          <w:p w:rsidR="006C1DCD" w:rsidRPr="00C35879" w:rsidRDefault="004D6A99" w:rsidP="000B7B58">
            <w:pPr>
              <w:spacing w:line="276" w:lineRule="auto"/>
              <w:jc w:val="both"/>
              <w:rPr>
                <w:rFonts w:cstheme="minorHAnsi"/>
                <w:color w:val="000000" w:themeColor="text1"/>
                <w:highlight w:val="yellow"/>
              </w:rPr>
            </w:pPr>
            <w:r w:rsidRPr="004D6A99">
              <w:rPr>
                <w:rFonts w:cstheme="minorHAnsi"/>
                <w:color w:val="000000" w:themeColor="text1"/>
              </w:rPr>
              <w:t>10 de diciembre de 2015</w:t>
            </w:r>
          </w:p>
        </w:tc>
      </w:tr>
    </w:tbl>
    <w:p w:rsidR="006C1DCD" w:rsidRPr="009A6D29" w:rsidRDefault="006C1DCD" w:rsidP="00431F35">
      <w:pPr>
        <w:ind w:left="360"/>
        <w:jc w:val="both"/>
        <w:rPr>
          <w:rFonts w:cstheme="minorHAnsi"/>
          <w:color w:val="000000" w:themeColor="text1"/>
        </w:rPr>
      </w:pPr>
    </w:p>
    <w:p w:rsidR="00431F35" w:rsidRPr="009A6D29" w:rsidRDefault="00431F35" w:rsidP="00431F35">
      <w:pPr>
        <w:ind w:left="360"/>
        <w:jc w:val="both"/>
        <w:rPr>
          <w:rFonts w:cstheme="minorHAnsi"/>
          <w:color w:val="000000" w:themeColor="text1"/>
        </w:rPr>
      </w:pPr>
      <w:r w:rsidRPr="009A6D29">
        <w:rPr>
          <w:rFonts w:cstheme="minorHAnsi"/>
          <w:color w:val="000000" w:themeColor="text1"/>
        </w:rPr>
        <w:lastRenderedPageBreak/>
        <w:t>La fiscalización de actas digitalizadas se la realiza en forma permanente desde el 6 de mayo de 2015, como muestran las bitácoras de trabajo que incluyeron en el informe trimestral como anexo.</w:t>
      </w:r>
    </w:p>
    <w:p w:rsidR="00431F35" w:rsidRPr="009A6D29" w:rsidRDefault="00431F35" w:rsidP="00B916CA">
      <w:pPr>
        <w:spacing w:after="0"/>
        <w:rPr>
          <w:b/>
        </w:rPr>
      </w:pPr>
    </w:p>
    <w:p w:rsidR="007F5693" w:rsidRPr="009A6D29" w:rsidRDefault="00B916CA" w:rsidP="00736ED7">
      <w:pPr>
        <w:spacing w:after="0"/>
        <w:jc w:val="both"/>
        <w:rPr>
          <w:b/>
        </w:rPr>
      </w:pPr>
      <w:r w:rsidRPr="009A6D29">
        <w:rPr>
          <w:b/>
        </w:rPr>
        <w:t>DESGLOSE ECONÓMICO</w:t>
      </w:r>
    </w:p>
    <w:p w:rsidR="007F5693" w:rsidRPr="009A6D29" w:rsidRDefault="007F5693" w:rsidP="00736ED7">
      <w:pPr>
        <w:spacing w:after="0"/>
        <w:jc w:val="both"/>
      </w:pPr>
    </w:p>
    <w:p w:rsidR="00B916CA" w:rsidRPr="009A6D29" w:rsidRDefault="00B916CA" w:rsidP="00B916CA">
      <w:pPr>
        <w:spacing w:after="0"/>
        <w:ind w:left="360"/>
        <w:jc w:val="both"/>
        <w:rPr>
          <w:rFonts w:cstheme="minorHAnsi"/>
          <w:color w:val="000000" w:themeColor="text1"/>
        </w:rPr>
      </w:pPr>
      <w:r w:rsidRPr="009A6D29">
        <w:rPr>
          <w:rFonts w:cstheme="minorHAnsi"/>
          <w:color w:val="000000" w:themeColor="text1"/>
        </w:rPr>
        <w:t>Valoración:</w:t>
      </w:r>
    </w:p>
    <w:p w:rsidR="00B916CA" w:rsidRPr="009A6D29" w:rsidRDefault="00B916CA" w:rsidP="00B916CA">
      <w:pPr>
        <w:spacing w:after="0"/>
        <w:ind w:left="360"/>
        <w:jc w:val="both"/>
        <w:rPr>
          <w:rFonts w:cstheme="minorHAnsi"/>
          <w:color w:val="000000" w:themeColor="text1"/>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B916CA" w:rsidRPr="009A6D29" w:rsidTr="00DC66BA">
        <w:trPr>
          <w:trHeight w:val="85"/>
        </w:trPr>
        <w:tc>
          <w:tcPr>
            <w:tcW w:w="992" w:type="dxa"/>
            <w:shd w:val="clear" w:color="auto" w:fill="auto"/>
            <w:vAlign w:val="center"/>
            <w:hideMark/>
          </w:tcPr>
          <w:p w:rsidR="00B916CA" w:rsidRPr="009A6D29" w:rsidRDefault="00B916CA" w:rsidP="00B916CA">
            <w:pPr>
              <w:keepNext/>
              <w:spacing w:after="0"/>
              <w:outlineLvl w:val="6"/>
              <w:rPr>
                <w:rFonts w:cs="Arial"/>
                <w:b/>
              </w:rPr>
            </w:pPr>
            <w:r w:rsidRPr="009A6D29">
              <w:rPr>
                <w:rFonts w:cs="Arial"/>
                <w:b/>
              </w:rPr>
              <w:t>PAGO</w:t>
            </w:r>
          </w:p>
        </w:tc>
        <w:tc>
          <w:tcPr>
            <w:tcW w:w="992" w:type="dxa"/>
            <w:shd w:val="clear" w:color="auto" w:fill="auto"/>
            <w:vAlign w:val="center"/>
            <w:hideMark/>
          </w:tcPr>
          <w:p w:rsidR="00B916CA" w:rsidRPr="009A6D29" w:rsidRDefault="00B916CA" w:rsidP="00B916CA">
            <w:pPr>
              <w:spacing w:after="0"/>
              <w:rPr>
                <w:rFonts w:cs="Arial"/>
                <w:b/>
              </w:rPr>
            </w:pPr>
            <w:r w:rsidRPr="009A6D29">
              <w:rPr>
                <w:rFonts w:cs="Arial"/>
                <w:b/>
              </w:rPr>
              <w:t>%</w:t>
            </w:r>
          </w:p>
        </w:tc>
        <w:tc>
          <w:tcPr>
            <w:tcW w:w="6804" w:type="dxa"/>
            <w:shd w:val="clear" w:color="auto" w:fill="auto"/>
            <w:vAlign w:val="center"/>
          </w:tcPr>
          <w:p w:rsidR="00B916CA" w:rsidRPr="009A6D29" w:rsidRDefault="00B916CA" w:rsidP="00B916CA">
            <w:pPr>
              <w:spacing w:after="0"/>
              <w:rPr>
                <w:rFonts w:cs="Arial"/>
                <w:b/>
              </w:rPr>
            </w:pPr>
            <w:r w:rsidRPr="009A6D29">
              <w:rPr>
                <w:rFonts w:cs="Arial"/>
                <w:b/>
              </w:rPr>
              <w:t>Valor</w:t>
            </w:r>
          </w:p>
        </w:tc>
      </w:tr>
      <w:tr w:rsidR="00B916CA" w:rsidRPr="009A6D29" w:rsidTr="00DC66BA">
        <w:trPr>
          <w:trHeight w:val="396"/>
        </w:trPr>
        <w:tc>
          <w:tcPr>
            <w:tcW w:w="992" w:type="dxa"/>
            <w:shd w:val="clear" w:color="auto" w:fill="auto"/>
            <w:vAlign w:val="center"/>
            <w:hideMark/>
          </w:tcPr>
          <w:p w:rsidR="00B916CA" w:rsidRPr="009A6D29" w:rsidRDefault="00C35879" w:rsidP="00B916CA">
            <w:pPr>
              <w:spacing w:after="0"/>
              <w:rPr>
                <w:rFonts w:cs="Arial"/>
              </w:rPr>
            </w:pPr>
            <w:r>
              <w:rPr>
                <w:rFonts w:cs="Arial"/>
              </w:rPr>
              <w:t>3</w:t>
            </w:r>
          </w:p>
        </w:tc>
        <w:tc>
          <w:tcPr>
            <w:tcW w:w="992" w:type="dxa"/>
            <w:shd w:val="clear" w:color="auto" w:fill="auto"/>
            <w:vAlign w:val="center"/>
          </w:tcPr>
          <w:p w:rsidR="00B916CA" w:rsidRPr="009A6D29" w:rsidRDefault="00B916CA" w:rsidP="00B916CA">
            <w:pPr>
              <w:spacing w:after="0"/>
              <w:rPr>
                <w:rFonts w:cs="Arial"/>
              </w:rPr>
            </w:pPr>
            <w:r w:rsidRPr="009A6D29">
              <w:rPr>
                <w:rFonts w:cs="Arial"/>
              </w:rPr>
              <w:t>10%</w:t>
            </w:r>
          </w:p>
        </w:tc>
        <w:tc>
          <w:tcPr>
            <w:tcW w:w="6804" w:type="dxa"/>
            <w:shd w:val="clear" w:color="auto" w:fill="auto"/>
            <w:vAlign w:val="center"/>
          </w:tcPr>
          <w:p w:rsidR="00B916CA" w:rsidRPr="009A6D29" w:rsidRDefault="00B916CA" w:rsidP="00B916CA">
            <w:pPr>
              <w:spacing w:after="0"/>
              <w:rPr>
                <w:rFonts w:cs="Arial"/>
              </w:rPr>
            </w:pPr>
            <w:r w:rsidRPr="009A6D29">
              <w:rPr>
                <w:rFonts w:cs="Arial"/>
              </w:rPr>
              <w:t>$ 37.500,00</w:t>
            </w:r>
          </w:p>
        </w:tc>
      </w:tr>
    </w:tbl>
    <w:p w:rsidR="00B916CA" w:rsidRPr="009A6D29" w:rsidRDefault="00B916CA" w:rsidP="00B916CA">
      <w:pPr>
        <w:spacing w:after="0"/>
        <w:ind w:left="360"/>
        <w:jc w:val="both"/>
        <w:rPr>
          <w:rFonts w:cstheme="minorHAnsi"/>
          <w:color w:val="000000" w:themeColor="text1"/>
        </w:rPr>
      </w:pPr>
    </w:p>
    <w:p w:rsidR="00CB190A" w:rsidRPr="009A6D29" w:rsidRDefault="00CB190A" w:rsidP="00B916CA">
      <w:pPr>
        <w:spacing w:after="0"/>
        <w:jc w:val="both"/>
      </w:pPr>
    </w:p>
    <w:p w:rsidR="00B916CA" w:rsidRPr="009A6D29" w:rsidRDefault="00B916CA" w:rsidP="00B916CA">
      <w:pPr>
        <w:spacing w:after="0"/>
        <w:ind w:left="360"/>
        <w:jc w:val="both"/>
        <w:rPr>
          <w:rFonts w:cstheme="minorHAnsi"/>
          <w:color w:val="000000" w:themeColor="text1"/>
        </w:rPr>
      </w:pPr>
      <w:r w:rsidRPr="009A6D29">
        <w:rPr>
          <w:rFonts w:cstheme="minorHAnsi"/>
          <w:color w:val="000000" w:themeColor="text1"/>
        </w:rPr>
        <w:t xml:space="preserve">En la Cláusula Séptima se establece que “la CONTRATANTE entregará al CONTRATISTA, un 20% del valor total del contrato en calidad de anticipo, previa la entrega de las garantías </w:t>
      </w:r>
      <w:proofErr w:type="gramStart"/>
      <w:r w:rsidRPr="009A6D29">
        <w:rPr>
          <w:rFonts w:cstheme="minorHAnsi"/>
          <w:color w:val="000000" w:themeColor="text1"/>
        </w:rPr>
        <w:t>correspondientes …</w:t>
      </w:r>
      <w:proofErr w:type="gramEnd"/>
      <w:r w:rsidRPr="009A6D29">
        <w:rPr>
          <w:rFonts w:cstheme="minorHAnsi"/>
          <w:color w:val="000000" w:themeColor="text1"/>
        </w:rPr>
        <w:t xml:space="preserve"> El anticipo se amortizará en los tres primeros pagos”; ante lo cual, el RPDMQ efectuará la gestión financiera correspondiente para el registro de Anticipo devengado como parte del debido proceso del Pago contractual.</w:t>
      </w:r>
    </w:p>
    <w:p w:rsidR="00B916CA" w:rsidRPr="009A6D29" w:rsidRDefault="00B916CA" w:rsidP="00B916CA">
      <w:pPr>
        <w:spacing w:after="0"/>
        <w:ind w:left="360"/>
        <w:jc w:val="both"/>
        <w:rPr>
          <w:rFonts w:cstheme="minorHAnsi"/>
          <w:color w:val="000000" w:themeColor="text1"/>
        </w:rPr>
      </w:pPr>
    </w:p>
    <w:p w:rsidR="00B916CA" w:rsidRPr="009A6D29" w:rsidRDefault="00B916CA" w:rsidP="00B916CA">
      <w:pPr>
        <w:spacing w:after="0"/>
        <w:ind w:left="360"/>
        <w:jc w:val="both"/>
        <w:rPr>
          <w:rFonts w:cstheme="minorHAnsi"/>
          <w:color w:val="000000" w:themeColor="text1"/>
        </w:rPr>
      </w:pPr>
      <w:r w:rsidRPr="009A6D29">
        <w:rPr>
          <w:rFonts w:cstheme="minorHAnsi"/>
          <w:color w:val="000000" w:themeColor="text1"/>
        </w:rPr>
        <w:t xml:space="preserve">Se encuentran vigentes las Garantías de Buen Uso del Anticipo (hasta </w:t>
      </w:r>
      <w:r w:rsidR="00C35879">
        <w:rPr>
          <w:rFonts w:cstheme="minorHAnsi"/>
          <w:color w:val="000000" w:themeColor="text1"/>
        </w:rPr>
        <w:t>20/01</w:t>
      </w:r>
      <w:r w:rsidRPr="009A6D29">
        <w:rPr>
          <w:rFonts w:cstheme="minorHAnsi"/>
          <w:color w:val="000000" w:themeColor="text1"/>
        </w:rPr>
        <w:t>/201</w:t>
      </w:r>
      <w:r w:rsidR="00C35879">
        <w:rPr>
          <w:rFonts w:cstheme="minorHAnsi"/>
          <w:color w:val="000000" w:themeColor="text1"/>
        </w:rPr>
        <w:t>6</w:t>
      </w:r>
      <w:r w:rsidRPr="009A6D29">
        <w:rPr>
          <w:rFonts w:cstheme="minorHAnsi"/>
          <w:color w:val="000000" w:themeColor="text1"/>
        </w:rPr>
        <w:t>) y de Fiel Cumplimiento del Contrato (hasta 15/03/2017)</w:t>
      </w:r>
    </w:p>
    <w:p w:rsidR="00B916CA" w:rsidRPr="009A6D29" w:rsidRDefault="00B916CA" w:rsidP="00B916CA">
      <w:pPr>
        <w:spacing w:after="0"/>
        <w:ind w:left="360"/>
        <w:jc w:val="both"/>
        <w:rPr>
          <w:rFonts w:cstheme="minorHAnsi"/>
          <w:color w:val="000000" w:themeColor="text1"/>
        </w:rPr>
      </w:pPr>
    </w:p>
    <w:p w:rsidR="00B916CA" w:rsidRPr="009A6D29" w:rsidRDefault="00B916CA" w:rsidP="00B916CA">
      <w:pPr>
        <w:spacing w:after="0"/>
        <w:ind w:left="426"/>
        <w:jc w:val="both"/>
        <w:rPr>
          <w:rFonts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B916CA" w:rsidRPr="009A6D29" w:rsidTr="00DC66BA">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B916CA" w:rsidRPr="009A6D29" w:rsidRDefault="00B916CA" w:rsidP="00B916CA">
            <w:pPr>
              <w:spacing w:after="0"/>
              <w:jc w:val="center"/>
              <w:rPr>
                <w:rFonts w:cstheme="minorHAnsi"/>
                <w:b/>
                <w:bCs/>
              </w:rPr>
            </w:pPr>
            <w:r w:rsidRPr="009A6D29">
              <w:rPr>
                <w:rFonts w:cstheme="minorHAnsi"/>
                <w:b/>
                <w:bCs/>
              </w:rPr>
              <w:t>ANTICIPO</w:t>
            </w:r>
          </w:p>
        </w:tc>
      </w:tr>
      <w:tr w:rsidR="00B916CA" w:rsidRPr="009A6D29" w:rsidTr="00DC66BA">
        <w:trPr>
          <w:trHeight w:hRule="exact" w:val="245"/>
        </w:trPr>
        <w:tc>
          <w:tcPr>
            <w:tcW w:w="1261"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Valor</w:t>
            </w:r>
          </w:p>
        </w:tc>
        <w:tc>
          <w:tcPr>
            <w:tcW w:w="3485"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Fecha de Pago</w:t>
            </w:r>
          </w:p>
        </w:tc>
        <w:tc>
          <w:tcPr>
            <w:tcW w:w="1291"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Estado</w:t>
            </w:r>
          </w:p>
        </w:tc>
      </w:tr>
      <w:tr w:rsidR="00B916CA" w:rsidRPr="009A6D29" w:rsidTr="00DC66B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75.000,00</w:t>
            </w:r>
          </w:p>
        </w:tc>
        <w:tc>
          <w:tcPr>
            <w:tcW w:w="3485" w:type="dxa"/>
            <w:tcBorders>
              <w:top w:val="single" w:sz="4" w:space="0" w:color="auto"/>
              <w:left w:val="single" w:sz="4" w:space="0" w:color="auto"/>
              <w:bottom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27/03/2015</w:t>
            </w:r>
          </w:p>
        </w:tc>
        <w:tc>
          <w:tcPr>
            <w:tcW w:w="1291" w:type="dxa"/>
            <w:tcBorders>
              <w:top w:val="single" w:sz="4" w:space="0" w:color="auto"/>
              <w:left w:val="single" w:sz="4" w:space="0" w:color="auto"/>
              <w:bottom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20%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Pagado</w:t>
            </w:r>
          </w:p>
        </w:tc>
      </w:tr>
    </w:tbl>
    <w:p w:rsidR="00B916CA" w:rsidRPr="009A6D29" w:rsidRDefault="00B916CA" w:rsidP="00B916CA">
      <w:pPr>
        <w:spacing w:after="0"/>
        <w:ind w:left="426"/>
        <w:jc w:val="both"/>
        <w:rPr>
          <w:rFonts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B916CA" w:rsidRPr="009A6D29" w:rsidTr="00DC66BA">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B916CA" w:rsidRPr="009A6D29" w:rsidRDefault="00B916CA" w:rsidP="00B916CA">
            <w:pPr>
              <w:spacing w:after="0"/>
              <w:jc w:val="center"/>
              <w:rPr>
                <w:rFonts w:cstheme="minorHAnsi"/>
                <w:b/>
                <w:bCs/>
              </w:rPr>
            </w:pPr>
            <w:r w:rsidRPr="009A6D29">
              <w:rPr>
                <w:rFonts w:cstheme="minorHAnsi"/>
                <w:b/>
                <w:bCs/>
                <w:lang w:val="fr-FR"/>
              </w:rPr>
              <w:t>ENTREGABLES</w:t>
            </w:r>
          </w:p>
        </w:tc>
      </w:tr>
      <w:tr w:rsidR="00B916CA" w:rsidRPr="009A6D29" w:rsidTr="00DC66BA">
        <w:trPr>
          <w:trHeight w:hRule="exact" w:val="586"/>
        </w:trPr>
        <w:tc>
          <w:tcPr>
            <w:tcW w:w="1003"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Producto</w:t>
            </w:r>
          </w:p>
        </w:tc>
        <w:tc>
          <w:tcPr>
            <w:tcW w:w="1701"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Fecha de Presentación</w:t>
            </w:r>
          </w:p>
        </w:tc>
        <w:tc>
          <w:tcPr>
            <w:tcW w:w="1123"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Estado</w:t>
            </w:r>
          </w:p>
        </w:tc>
        <w:tc>
          <w:tcPr>
            <w:tcW w:w="1134"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Valor</w:t>
            </w:r>
          </w:p>
        </w:tc>
        <w:tc>
          <w:tcPr>
            <w:tcW w:w="1134"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Descuento</w:t>
            </w:r>
          </w:p>
          <w:p w:rsidR="00B916CA" w:rsidRPr="009A6D29" w:rsidRDefault="00B916CA" w:rsidP="00B916CA">
            <w:pPr>
              <w:spacing w:after="0"/>
              <w:jc w:val="center"/>
              <w:rPr>
                <w:rFonts w:cstheme="minorHAnsi"/>
                <w:b/>
                <w:bCs/>
              </w:rPr>
            </w:pPr>
            <w:r w:rsidRPr="009A6D29">
              <w:rPr>
                <w:rFonts w:cstheme="minorHAnsi"/>
                <w:b/>
                <w:bCs/>
              </w:rPr>
              <w:t>anticipo</w:t>
            </w:r>
          </w:p>
        </w:tc>
        <w:tc>
          <w:tcPr>
            <w:tcW w:w="1417"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Multas</w:t>
            </w:r>
          </w:p>
        </w:tc>
      </w:tr>
      <w:tr w:rsidR="00B916CA" w:rsidRPr="009A6D29" w:rsidTr="00DC66BA">
        <w:trPr>
          <w:trHeight w:hRule="exact" w:val="319"/>
        </w:trPr>
        <w:tc>
          <w:tcPr>
            <w:tcW w:w="1003" w:type="dxa"/>
            <w:tcBorders>
              <w:top w:val="single" w:sz="4" w:space="0" w:color="auto"/>
              <w:left w:val="single" w:sz="4" w:space="0" w:color="auto"/>
            </w:tcBorders>
            <w:shd w:val="clear" w:color="auto" w:fill="FFFFFF"/>
          </w:tcPr>
          <w:p w:rsidR="00B916CA" w:rsidRPr="009A6D29" w:rsidRDefault="00C35879" w:rsidP="00B916CA">
            <w:pPr>
              <w:spacing w:after="0"/>
              <w:jc w:val="center"/>
              <w:rPr>
                <w:rFonts w:cstheme="minorHAnsi"/>
                <w:bCs/>
              </w:rPr>
            </w:pPr>
            <w:r>
              <w:rPr>
                <w:rFonts w:cstheme="minorHAnsi"/>
                <w:bCs/>
              </w:rPr>
              <w:t>3</w:t>
            </w:r>
          </w:p>
        </w:tc>
        <w:tc>
          <w:tcPr>
            <w:tcW w:w="1701" w:type="dxa"/>
            <w:tcBorders>
              <w:top w:val="single" w:sz="4" w:space="0" w:color="auto"/>
              <w:left w:val="single" w:sz="4" w:space="0" w:color="auto"/>
            </w:tcBorders>
            <w:shd w:val="clear" w:color="auto" w:fill="FFFFFF"/>
          </w:tcPr>
          <w:p w:rsidR="00B916CA" w:rsidRPr="009A6D29" w:rsidRDefault="008122AD" w:rsidP="00C35879">
            <w:pPr>
              <w:spacing w:after="0"/>
              <w:jc w:val="center"/>
              <w:rPr>
                <w:rFonts w:cstheme="minorHAnsi"/>
                <w:bCs/>
              </w:rPr>
            </w:pPr>
            <w:r w:rsidRPr="009A6D29">
              <w:rPr>
                <w:rFonts w:cstheme="minorHAnsi"/>
                <w:bCs/>
              </w:rPr>
              <w:t>11/</w:t>
            </w:r>
            <w:r w:rsidR="00C35879">
              <w:rPr>
                <w:rFonts w:cstheme="minorHAnsi"/>
                <w:bCs/>
              </w:rPr>
              <w:t>12</w:t>
            </w:r>
            <w:r w:rsidR="00B916CA" w:rsidRPr="009A6D29">
              <w:rPr>
                <w:rFonts w:cstheme="minorHAnsi"/>
                <w:bCs/>
              </w:rPr>
              <w:t>/2015</w:t>
            </w:r>
          </w:p>
        </w:tc>
        <w:tc>
          <w:tcPr>
            <w:tcW w:w="1123"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r w:rsidRPr="009A6D29">
              <w:rPr>
                <w:rFonts w:cstheme="minorHAnsi"/>
                <w:bCs/>
              </w:rPr>
              <w:t>Por pagar</w:t>
            </w: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Arial"/>
              </w:rPr>
              <w:t>$ 37.500,00</w:t>
            </w: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jc w:val="right"/>
              <w:rPr>
                <w:rFonts w:cstheme="minorHAnsi"/>
                <w:bCs/>
              </w:rPr>
            </w:pPr>
            <w:r w:rsidRPr="009A6D29">
              <w:rPr>
                <w:rFonts w:cs="Arial"/>
              </w:rPr>
              <w:t>$ 25.000,00</w:t>
            </w:r>
          </w:p>
        </w:tc>
        <w:tc>
          <w:tcPr>
            <w:tcW w:w="1417" w:type="dxa"/>
            <w:tcBorders>
              <w:top w:val="single" w:sz="4" w:space="0" w:color="auto"/>
              <w:left w:val="single" w:sz="4" w:space="0" w:color="auto"/>
            </w:tcBorders>
            <w:shd w:val="clear" w:color="auto" w:fill="FFFFFF"/>
          </w:tcPr>
          <w:p w:rsidR="00B916CA" w:rsidRPr="009A6D29" w:rsidRDefault="00B916CA" w:rsidP="007B5F22">
            <w:pPr>
              <w:spacing w:after="0"/>
              <w:jc w:val="center"/>
              <w:rPr>
                <w:rFonts w:cstheme="minorHAnsi"/>
                <w:bCs/>
              </w:rPr>
            </w:pPr>
            <w:r w:rsidRPr="009A6D29">
              <w:rPr>
                <w:rFonts w:cs="Arial"/>
              </w:rPr>
              <w:t xml:space="preserve">$ </w:t>
            </w:r>
            <w:r w:rsidR="007B5F22">
              <w:rPr>
                <w:rFonts w:cs="Arial"/>
              </w:rPr>
              <w:t>25</w:t>
            </w:r>
            <w:r w:rsidRPr="009A6D29">
              <w:rPr>
                <w:rFonts w:cs="Arial"/>
              </w:rPr>
              <w:t>.000,00</w:t>
            </w:r>
          </w:p>
        </w:tc>
        <w:tc>
          <w:tcPr>
            <w:tcW w:w="1276" w:type="dxa"/>
            <w:tcBorders>
              <w:top w:val="single" w:sz="4" w:space="0" w:color="auto"/>
              <w:left w:val="single" w:sz="4" w:space="0" w:color="auto"/>
              <w:right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theme="minorHAnsi"/>
                <w:bCs/>
              </w:rPr>
              <w:t>-</w:t>
            </w:r>
          </w:p>
        </w:tc>
      </w:tr>
      <w:tr w:rsidR="00B916CA" w:rsidRPr="009A6D29" w:rsidTr="00DC66BA">
        <w:trPr>
          <w:trHeight w:hRule="exact" w:val="264"/>
        </w:trPr>
        <w:tc>
          <w:tcPr>
            <w:tcW w:w="1003"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701"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123"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417"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276" w:type="dxa"/>
            <w:tcBorders>
              <w:top w:val="single" w:sz="4" w:space="0" w:color="auto"/>
              <w:left w:val="single" w:sz="4" w:space="0" w:color="auto"/>
              <w:right w:val="single" w:sz="4" w:space="0" w:color="auto"/>
            </w:tcBorders>
            <w:shd w:val="clear" w:color="auto" w:fill="FFFFFF"/>
          </w:tcPr>
          <w:p w:rsidR="00B916CA" w:rsidRPr="009A6D29" w:rsidRDefault="00B916CA" w:rsidP="00B916CA">
            <w:pPr>
              <w:spacing w:after="0"/>
              <w:rPr>
                <w:rFonts w:cstheme="minorHAnsi"/>
                <w:bCs/>
              </w:rPr>
            </w:pPr>
          </w:p>
        </w:tc>
      </w:tr>
      <w:tr w:rsidR="00B916CA" w:rsidRPr="009A6D29" w:rsidTr="00DC66BA">
        <w:trPr>
          <w:trHeight w:hRule="exact" w:val="336"/>
        </w:trPr>
        <w:tc>
          <w:tcPr>
            <w:tcW w:w="1003" w:type="dxa"/>
            <w:tcBorders>
              <w:top w:val="single" w:sz="4" w:space="0" w:color="auto"/>
              <w:left w:val="single" w:sz="4" w:space="0" w:color="auto"/>
              <w:bottom w:val="single" w:sz="4" w:space="0" w:color="auto"/>
            </w:tcBorders>
            <w:shd w:val="clear" w:color="auto" w:fill="FFFFFF"/>
          </w:tcPr>
          <w:p w:rsidR="00B916CA" w:rsidRPr="009A6D29" w:rsidRDefault="00B916CA" w:rsidP="00B916CA">
            <w:pPr>
              <w:spacing w:after="0"/>
              <w:rPr>
                <w:rFonts w:cstheme="minorHAnsi"/>
                <w:bCs/>
              </w:rPr>
            </w:pPr>
          </w:p>
        </w:tc>
        <w:tc>
          <w:tcPr>
            <w:tcW w:w="1701" w:type="dxa"/>
            <w:tcBorders>
              <w:top w:val="single" w:sz="4" w:space="0" w:color="auto"/>
              <w:bottom w:val="single" w:sz="4" w:space="0" w:color="auto"/>
            </w:tcBorders>
            <w:shd w:val="clear" w:color="auto" w:fill="FFFFFF"/>
          </w:tcPr>
          <w:p w:rsidR="00B916CA" w:rsidRPr="009A6D29" w:rsidRDefault="00B916CA" w:rsidP="00B916CA">
            <w:pPr>
              <w:spacing w:after="0"/>
              <w:rPr>
                <w:rFonts w:cstheme="minorHAnsi"/>
                <w:bCs/>
              </w:rPr>
            </w:pPr>
          </w:p>
        </w:tc>
        <w:tc>
          <w:tcPr>
            <w:tcW w:w="2257" w:type="dxa"/>
            <w:gridSpan w:val="2"/>
            <w:tcBorders>
              <w:top w:val="single" w:sz="4" w:space="0" w:color="auto"/>
              <w:bottom w:val="single" w:sz="4" w:space="0" w:color="auto"/>
            </w:tcBorders>
            <w:shd w:val="clear" w:color="auto" w:fill="FFFFFF"/>
          </w:tcPr>
          <w:p w:rsidR="00B916CA" w:rsidRPr="009A6D29" w:rsidRDefault="00B916CA" w:rsidP="00DB503C">
            <w:pPr>
              <w:spacing w:after="0"/>
              <w:jc w:val="right"/>
              <w:rPr>
                <w:rFonts w:cstheme="minorHAnsi"/>
                <w:b/>
                <w:bCs/>
              </w:rPr>
            </w:pPr>
            <w:r w:rsidRPr="009A6D29">
              <w:rPr>
                <w:rFonts w:cstheme="minorHAnsi"/>
                <w:b/>
                <w:bCs/>
              </w:rPr>
              <w:t>TOTA</w:t>
            </w:r>
            <w:r w:rsidR="00DB503C">
              <w:rPr>
                <w:rFonts w:cstheme="minorHAnsi"/>
                <w:b/>
                <w:bCs/>
              </w:rPr>
              <w:t xml:space="preserve">L   </w:t>
            </w:r>
          </w:p>
        </w:tc>
        <w:tc>
          <w:tcPr>
            <w:tcW w:w="1134" w:type="dxa"/>
            <w:tcBorders>
              <w:top w:val="single" w:sz="4" w:space="0" w:color="auto"/>
              <w:left w:val="single" w:sz="4" w:space="0" w:color="auto"/>
              <w:bottom w:val="single" w:sz="4" w:space="0" w:color="auto"/>
            </w:tcBorders>
            <w:shd w:val="clear" w:color="auto" w:fill="FFFFFF"/>
          </w:tcPr>
          <w:p w:rsidR="00B916CA" w:rsidRPr="009A6D29" w:rsidRDefault="00B916CA" w:rsidP="00B916CA">
            <w:pPr>
              <w:spacing w:after="0"/>
              <w:rPr>
                <w:rFonts w:cstheme="minorHAnsi"/>
                <w:bCs/>
              </w:rPr>
            </w:pPr>
            <w:r w:rsidRPr="009A6D29">
              <w:rPr>
                <w:rFonts w:cs="Arial"/>
              </w:rPr>
              <w:t>$ 12.500,00</w:t>
            </w:r>
          </w:p>
        </w:tc>
        <w:tc>
          <w:tcPr>
            <w:tcW w:w="1417" w:type="dxa"/>
            <w:tcBorders>
              <w:top w:val="single" w:sz="4" w:space="0" w:color="auto"/>
              <w:left w:val="single" w:sz="4" w:space="0" w:color="auto"/>
              <w:bottom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theme="minorHAnsi"/>
                <w:bCs/>
              </w:rPr>
              <w:t>-</w:t>
            </w:r>
          </w:p>
        </w:tc>
      </w:tr>
    </w:tbl>
    <w:p w:rsidR="00B916CA" w:rsidRPr="009A6D29" w:rsidRDefault="00B916CA" w:rsidP="00B916CA">
      <w:pPr>
        <w:spacing w:after="0"/>
        <w:ind w:left="426"/>
        <w:jc w:val="both"/>
        <w:rPr>
          <w:rFonts w:cstheme="minorHAnsi"/>
          <w:color w:val="000000" w:themeColor="text1"/>
        </w:rPr>
      </w:pPr>
    </w:p>
    <w:p w:rsidR="00B916CA" w:rsidRPr="009A6D29" w:rsidRDefault="00B916CA" w:rsidP="00B916CA">
      <w:pPr>
        <w:spacing w:after="0"/>
        <w:ind w:left="426"/>
        <w:jc w:val="both"/>
        <w:rPr>
          <w:rFonts w:cstheme="minorHAnsi"/>
          <w:color w:val="000000" w:themeColor="text1"/>
        </w:rPr>
      </w:pPr>
      <w:r w:rsidRPr="009A6D29">
        <w:rPr>
          <w:rFonts w:cstheme="minorHAnsi"/>
          <w:color w:val="000000" w:themeColor="text1"/>
        </w:rPr>
        <w:t>Los valores anteriores no incluyen el Impuesto al Valor Agregado que deberá añadirse a la factura. Se realizarán las retenciones de ley sobre la factura.</w:t>
      </w:r>
    </w:p>
    <w:p w:rsidR="006C1DCD" w:rsidRPr="009A6D29" w:rsidRDefault="006C1DCD" w:rsidP="00B916CA">
      <w:pPr>
        <w:spacing w:after="0"/>
        <w:ind w:left="426"/>
        <w:jc w:val="both"/>
        <w:rPr>
          <w:rFonts w:cstheme="minorHAnsi"/>
          <w:color w:val="000000" w:themeColor="text1"/>
        </w:rPr>
      </w:pPr>
    </w:p>
    <w:p w:rsidR="00B916CA" w:rsidRPr="009A6D29" w:rsidRDefault="00B916CA" w:rsidP="00B916CA">
      <w:pPr>
        <w:spacing w:after="0"/>
        <w:ind w:left="426"/>
        <w:jc w:val="both"/>
        <w:rPr>
          <w:rFonts w:cstheme="minorHAnsi"/>
          <w:color w:val="000000" w:themeColor="text1"/>
        </w:rPr>
      </w:pPr>
    </w:p>
    <w:p w:rsidR="00C75E3E" w:rsidRPr="009A6D29" w:rsidRDefault="00C75E3E" w:rsidP="00B916CA">
      <w:pPr>
        <w:spacing w:after="0"/>
      </w:pPr>
      <w:r w:rsidRPr="009A6D29">
        <w:t>Atentamente,</w:t>
      </w:r>
    </w:p>
    <w:p w:rsidR="00C75E3E" w:rsidRPr="009A6D29" w:rsidRDefault="00C75E3E" w:rsidP="00736ED7">
      <w:pPr>
        <w:spacing w:after="0"/>
        <w:jc w:val="both"/>
      </w:pPr>
    </w:p>
    <w:p w:rsidR="00C75E3E" w:rsidRPr="009A6D29" w:rsidRDefault="00C75E3E" w:rsidP="00736ED7">
      <w:pPr>
        <w:spacing w:after="0"/>
        <w:jc w:val="both"/>
      </w:pPr>
    </w:p>
    <w:p w:rsidR="007F5693" w:rsidRPr="009A6D29" w:rsidRDefault="007F5693" w:rsidP="00736ED7">
      <w:pPr>
        <w:spacing w:after="0"/>
        <w:jc w:val="both"/>
      </w:pPr>
    </w:p>
    <w:p w:rsidR="007F5693" w:rsidRPr="009A6D29" w:rsidRDefault="00B916CA" w:rsidP="00736ED7">
      <w:pPr>
        <w:spacing w:after="0"/>
      </w:pPr>
      <w:r w:rsidRPr="009A6D29">
        <w:t>Andrés Eguiguren E.</w:t>
      </w:r>
    </w:p>
    <w:p w:rsidR="007F5693" w:rsidRPr="009A6D29" w:rsidRDefault="007F5693" w:rsidP="00736ED7">
      <w:pPr>
        <w:spacing w:after="0"/>
      </w:pPr>
      <w:r w:rsidRPr="009A6D29">
        <w:rPr>
          <w:b/>
        </w:rPr>
        <w:t>Administrador del Contrato No. 0</w:t>
      </w:r>
      <w:r w:rsidR="00B916CA" w:rsidRPr="009A6D29">
        <w:rPr>
          <w:b/>
        </w:rPr>
        <w:t>05</w:t>
      </w:r>
      <w:r w:rsidRPr="009A6D29">
        <w:rPr>
          <w:b/>
        </w:rPr>
        <w:t>-201</w:t>
      </w:r>
      <w:r w:rsidR="00B916CA" w:rsidRPr="009A6D29">
        <w:rPr>
          <w:b/>
        </w:rPr>
        <w:t>5</w:t>
      </w:r>
    </w:p>
    <w:p w:rsidR="007F5693" w:rsidRPr="009A6D29" w:rsidRDefault="007F5693" w:rsidP="00736ED7">
      <w:pPr>
        <w:spacing w:after="0"/>
      </w:pPr>
      <w:r w:rsidRPr="009A6D29">
        <w:rPr>
          <w:b/>
        </w:rPr>
        <w:t>REGISTRO DE LA PROPIEDAD DEL DMQ</w:t>
      </w:r>
    </w:p>
    <w:sectPr w:rsidR="007F5693" w:rsidRPr="009A6D2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E8" w:rsidRDefault="00200AE8" w:rsidP="001E3DDE">
      <w:pPr>
        <w:spacing w:after="0" w:line="240" w:lineRule="auto"/>
      </w:pPr>
      <w:r>
        <w:separator/>
      </w:r>
    </w:p>
  </w:endnote>
  <w:endnote w:type="continuationSeparator" w:id="0">
    <w:p w:rsidR="00200AE8" w:rsidRDefault="00200AE8" w:rsidP="001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3750"/>
      <w:docPartObj>
        <w:docPartGallery w:val="Page Numbers (Bottom of Page)"/>
        <w:docPartUnique/>
      </w:docPartObj>
    </w:sdtPr>
    <w:sdtEndPr/>
    <w:sdtContent>
      <w:p w:rsidR="00DC66BA" w:rsidRDefault="00DC66BA">
        <w:pPr>
          <w:pStyle w:val="Piedepgina"/>
          <w:jc w:val="right"/>
        </w:pPr>
        <w:r>
          <w:fldChar w:fldCharType="begin"/>
        </w:r>
        <w:r>
          <w:instrText>PAGE   \* MERGEFORMAT</w:instrText>
        </w:r>
        <w:r>
          <w:fldChar w:fldCharType="separate"/>
        </w:r>
        <w:r w:rsidR="00B73BFB" w:rsidRPr="00B73BFB">
          <w:rPr>
            <w:noProof/>
            <w:lang w:val="es-ES"/>
          </w:rPr>
          <w:t>1</w:t>
        </w:r>
        <w:r>
          <w:fldChar w:fldCharType="end"/>
        </w:r>
      </w:p>
    </w:sdtContent>
  </w:sdt>
  <w:p w:rsidR="00DC66BA" w:rsidRDefault="00DC66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E8" w:rsidRDefault="00200AE8" w:rsidP="001E3DDE">
      <w:pPr>
        <w:spacing w:after="0" w:line="240" w:lineRule="auto"/>
      </w:pPr>
      <w:r>
        <w:separator/>
      </w:r>
    </w:p>
  </w:footnote>
  <w:footnote w:type="continuationSeparator" w:id="0">
    <w:p w:rsidR="00200AE8" w:rsidRDefault="00200AE8" w:rsidP="001E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BA" w:rsidRDefault="00DC66BA" w:rsidP="001E3DDE">
    <w:pPr>
      <w:pStyle w:val="Encabezado"/>
      <w:jc w:val="right"/>
    </w:pPr>
    <w:r>
      <w:rPr>
        <w:noProof/>
        <w:lang w:eastAsia="es-EC"/>
      </w:rPr>
      <w:drawing>
        <wp:anchor distT="0" distB="0" distL="114300" distR="114300" simplePos="0" relativeHeight="251658240" behindDoc="1" locked="0" layoutInCell="1" allowOverlap="1" wp14:anchorId="3C700033" wp14:editId="2FC482CA">
          <wp:simplePos x="0" y="0"/>
          <wp:positionH relativeFrom="column">
            <wp:posOffset>2856896</wp:posOffset>
          </wp:positionH>
          <wp:positionV relativeFrom="paragraph">
            <wp:posOffset>-207215</wp:posOffset>
          </wp:positionV>
          <wp:extent cx="2999791" cy="6180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791" cy="618020"/>
                  </a:xfrm>
                  <a:prstGeom prst="rect">
                    <a:avLst/>
                  </a:prstGeom>
                </pic:spPr>
              </pic:pic>
            </a:graphicData>
          </a:graphic>
          <wp14:sizeRelH relativeFrom="page">
            <wp14:pctWidth>0</wp14:pctWidth>
          </wp14:sizeRelH>
          <wp14:sizeRelV relativeFrom="page">
            <wp14:pctHeight>0</wp14:pctHeight>
          </wp14:sizeRelV>
        </wp:anchor>
      </w:drawing>
    </w:r>
  </w:p>
  <w:p w:rsidR="00DC66BA" w:rsidRDefault="00DC66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E"/>
    <w:rsid w:val="000050EB"/>
    <w:rsid w:val="00091FCB"/>
    <w:rsid w:val="000B4839"/>
    <w:rsid w:val="000B7B58"/>
    <w:rsid w:val="000C3DF9"/>
    <w:rsid w:val="000D5F90"/>
    <w:rsid w:val="000E17AE"/>
    <w:rsid w:val="00145D08"/>
    <w:rsid w:val="0014780E"/>
    <w:rsid w:val="00155A7A"/>
    <w:rsid w:val="00160994"/>
    <w:rsid w:val="001609C3"/>
    <w:rsid w:val="0018274B"/>
    <w:rsid w:val="00190A21"/>
    <w:rsid w:val="0019282E"/>
    <w:rsid w:val="001C553C"/>
    <w:rsid w:val="001C6152"/>
    <w:rsid w:val="001E3DDE"/>
    <w:rsid w:val="001E71EE"/>
    <w:rsid w:val="00200AE8"/>
    <w:rsid w:val="00211CAA"/>
    <w:rsid w:val="002437BA"/>
    <w:rsid w:val="00275DD8"/>
    <w:rsid w:val="002776D7"/>
    <w:rsid w:val="002E04F0"/>
    <w:rsid w:val="00305FF6"/>
    <w:rsid w:val="00312515"/>
    <w:rsid w:val="00315F85"/>
    <w:rsid w:val="0032101F"/>
    <w:rsid w:val="0033042F"/>
    <w:rsid w:val="003430C8"/>
    <w:rsid w:val="003855E0"/>
    <w:rsid w:val="00386ACC"/>
    <w:rsid w:val="00392592"/>
    <w:rsid w:val="003A7A25"/>
    <w:rsid w:val="003B2140"/>
    <w:rsid w:val="003B272D"/>
    <w:rsid w:val="003C07ED"/>
    <w:rsid w:val="003F4ABD"/>
    <w:rsid w:val="00431F35"/>
    <w:rsid w:val="00433BE1"/>
    <w:rsid w:val="00440F0C"/>
    <w:rsid w:val="00450C29"/>
    <w:rsid w:val="004A5306"/>
    <w:rsid w:val="004A57E3"/>
    <w:rsid w:val="004B0ABE"/>
    <w:rsid w:val="004C1AFE"/>
    <w:rsid w:val="004D6A99"/>
    <w:rsid w:val="004F3EEB"/>
    <w:rsid w:val="005075D8"/>
    <w:rsid w:val="00513980"/>
    <w:rsid w:val="005350A6"/>
    <w:rsid w:val="00535425"/>
    <w:rsid w:val="00541FE0"/>
    <w:rsid w:val="005466BA"/>
    <w:rsid w:val="00566B80"/>
    <w:rsid w:val="005A339D"/>
    <w:rsid w:val="005A6CAF"/>
    <w:rsid w:val="005B02D0"/>
    <w:rsid w:val="005C2D3C"/>
    <w:rsid w:val="005C460C"/>
    <w:rsid w:val="005E583F"/>
    <w:rsid w:val="006076F2"/>
    <w:rsid w:val="00624E37"/>
    <w:rsid w:val="00627C65"/>
    <w:rsid w:val="0064211F"/>
    <w:rsid w:val="00650AE9"/>
    <w:rsid w:val="00663E20"/>
    <w:rsid w:val="00667494"/>
    <w:rsid w:val="00672679"/>
    <w:rsid w:val="0069259A"/>
    <w:rsid w:val="00692E16"/>
    <w:rsid w:val="006A0694"/>
    <w:rsid w:val="006C1DCD"/>
    <w:rsid w:val="006E16DF"/>
    <w:rsid w:val="00700E41"/>
    <w:rsid w:val="00736ED7"/>
    <w:rsid w:val="00750127"/>
    <w:rsid w:val="00781E35"/>
    <w:rsid w:val="0078306D"/>
    <w:rsid w:val="00793EAB"/>
    <w:rsid w:val="007B5F22"/>
    <w:rsid w:val="007F5693"/>
    <w:rsid w:val="0080049A"/>
    <w:rsid w:val="008122AD"/>
    <w:rsid w:val="00822C0D"/>
    <w:rsid w:val="00851869"/>
    <w:rsid w:val="008518DB"/>
    <w:rsid w:val="00856E83"/>
    <w:rsid w:val="00864BA3"/>
    <w:rsid w:val="00883CEE"/>
    <w:rsid w:val="00890463"/>
    <w:rsid w:val="008A78AE"/>
    <w:rsid w:val="008B6FE5"/>
    <w:rsid w:val="008D7598"/>
    <w:rsid w:val="00906049"/>
    <w:rsid w:val="00915A56"/>
    <w:rsid w:val="00961A0E"/>
    <w:rsid w:val="00983227"/>
    <w:rsid w:val="00984A3A"/>
    <w:rsid w:val="0098716A"/>
    <w:rsid w:val="009A07FF"/>
    <w:rsid w:val="009A3223"/>
    <w:rsid w:val="009A6D29"/>
    <w:rsid w:val="009C2972"/>
    <w:rsid w:val="009C59D6"/>
    <w:rsid w:val="009D4AC2"/>
    <w:rsid w:val="00A07F45"/>
    <w:rsid w:val="00A3014D"/>
    <w:rsid w:val="00A46CDA"/>
    <w:rsid w:val="00A54A5D"/>
    <w:rsid w:val="00A86969"/>
    <w:rsid w:val="00AD5D7F"/>
    <w:rsid w:val="00AF2F03"/>
    <w:rsid w:val="00AF7397"/>
    <w:rsid w:val="00B33BB6"/>
    <w:rsid w:val="00B34177"/>
    <w:rsid w:val="00B37B2B"/>
    <w:rsid w:val="00B66864"/>
    <w:rsid w:val="00B73BFB"/>
    <w:rsid w:val="00B916CA"/>
    <w:rsid w:val="00B934FF"/>
    <w:rsid w:val="00BA11C7"/>
    <w:rsid w:val="00BE56FE"/>
    <w:rsid w:val="00BE7BF8"/>
    <w:rsid w:val="00BF0DF6"/>
    <w:rsid w:val="00C1263A"/>
    <w:rsid w:val="00C25D0C"/>
    <w:rsid w:val="00C35879"/>
    <w:rsid w:val="00C3594F"/>
    <w:rsid w:val="00C60CA5"/>
    <w:rsid w:val="00C75E3E"/>
    <w:rsid w:val="00C9292B"/>
    <w:rsid w:val="00C942FE"/>
    <w:rsid w:val="00C9546A"/>
    <w:rsid w:val="00CA232F"/>
    <w:rsid w:val="00CB190A"/>
    <w:rsid w:val="00CB1E4C"/>
    <w:rsid w:val="00CB4F35"/>
    <w:rsid w:val="00CB6698"/>
    <w:rsid w:val="00CD759D"/>
    <w:rsid w:val="00CE2508"/>
    <w:rsid w:val="00CE6DBA"/>
    <w:rsid w:val="00D11B7A"/>
    <w:rsid w:val="00D30AE8"/>
    <w:rsid w:val="00D33CCE"/>
    <w:rsid w:val="00D42A81"/>
    <w:rsid w:val="00D76183"/>
    <w:rsid w:val="00D76453"/>
    <w:rsid w:val="00D84193"/>
    <w:rsid w:val="00D93385"/>
    <w:rsid w:val="00DA2C1F"/>
    <w:rsid w:val="00DB503C"/>
    <w:rsid w:val="00DC66BA"/>
    <w:rsid w:val="00DC6DB5"/>
    <w:rsid w:val="00DD0D16"/>
    <w:rsid w:val="00DD78EF"/>
    <w:rsid w:val="00E0651E"/>
    <w:rsid w:val="00E25A10"/>
    <w:rsid w:val="00E33CEC"/>
    <w:rsid w:val="00E342F2"/>
    <w:rsid w:val="00E56D9D"/>
    <w:rsid w:val="00E628F5"/>
    <w:rsid w:val="00E8020A"/>
    <w:rsid w:val="00E9036A"/>
    <w:rsid w:val="00EB2D4A"/>
    <w:rsid w:val="00F071BC"/>
    <w:rsid w:val="00F14305"/>
    <w:rsid w:val="00F61728"/>
    <w:rsid w:val="00F64272"/>
    <w:rsid w:val="00F8037B"/>
    <w:rsid w:val="00F936AB"/>
    <w:rsid w:val="00FC4763"/>
    <w:rsid w:val="00FE7072"/>
    <w:rsid w:val="00FF66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86">
      <w:bodyDiv w:val="1"/>
      <w:marLeft w:val="0"/>
      <w:marRight w:val="0"/>
      <w:marTop w:val="0"/>
      <w:marBottom w:val="0"/>
      <w:divBdr>
        <w:top w:val="none" w:sz="0" w:space="0" w:color="auto"/>
        <w:left w:val="none" w:sz="0" w:space="0" w:color="auto"/>
        <w:bottom w:val="none" w:sz="0" w:space="0" w:color="auto"/>
        <w:right w:val="none" w:sz="0" w:space="0" w:color="auto"/>
      </w:divBdr>
    </w:div>
    <w:div w:id="11248080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08301897">
      <w:bodyDiv w:val="1"/>
      <w:marLeft w:val="0"/>
      <w:marRight w:val="0"/>
      <w:marTop w:val="0"/>
      <w:marBottom w:val="0"/>
      <w:divBdr>
        <w:top w:val="none" w:sz="0" w:space="0" w:color="auto"/>
        <w:left w:val="none" w:sz="0" w:space="0" w:color="auto"/>
        <w:bottom w:val="none" w:sz="0" w:space="0" w:color="auto"/>
        <w:right w:val="none" w:sz="0" w:space="0" w:color="auto"/>
      </w:divBdr>
    </w:div>
    <w:div w:id="271060254">
      <w:bodyDiv w:val="1"/>
      <w:marLeft w:val="0"/>
      <w:marRight w:val="0"/>
      <w:marTop w:val="0"/>
      <w:marBottom w:val="0"/>
      <w:divBdr>
        <w:top w:val="none" w:sz="0" w:space="0" w:color="auto"/>
        <w:left w:val="none" w:sz="0" w:space="0" w:color="auto"/>
        <w:bottom w:val="none" w:sz="0" w:space="0" w:color="auto"/>
        <w:right w:val="none" w:sz="0" w:space="0" w:color="auto"/>
      </w:divBdr>
    </w:div>
    <w:div w:id="306319821">
      <w:bodyDiv w:val="1"/>
      <w:marLeft w:val="0"/>
      <w:marRight w:val="0"/>
      <w:marTop w:val="0"/>
      <w:marBottom w:val="0"/>
      <w:divBdr>
        <w:top w:val="none" w:sz="0" w:space="0" w:color="auto"/>
        <w:left w:val="none" w:sz="0" w:space="0" w:color="auto"/>
        <w:bottom w:val="none" w:sz="0" w:space="0" w:color="auto"/>
        <w:right w:val="none" w:sz="0" w:space="0" w:color="auto"/>
      </w:divBdr>
    </w:div>
    <w:div w:id="388310134">
      <w:bodyDiv w:val="1"/>
      <w:marLeft w:val="0"/>
      <w:marRight w:val="0"/>
      <w:marTop w:val="0"/>
      <w:marBottom w:val="0"/>
      <w:divBdr>
        <w:top w:val="none" w:sz="0" w:space="0" w:color="auto"/>
        <w:left w:val="none" w:sz="0" w:space="0" w:color="auto"/>
        <w:bottom w:val="none" w:sz="0" w:space="0" w:color="auto"/>
        <w:right w:val="none" w:sz="0" w:space="0" w:color="auto"/>
      </w:divBdr>
    </w:div>
    <w:div w:id="528682872">
      <w:bodyDiv w:val="1"/>
      <w:marLeft w:val="0"/>
      <w:marRight w:val="0"/>
      <w:marTop w:val="0"/>
      <w:marBottom w:val="0"/>
      <w:divBdr>
        <w:top w:val="none" w:sz="0" w:space="0" w:color="auto"/>
        <w:left w:val="none" w:sz="0" w:space="0" w:color="auto"/>
        <w:bottom w:val="none" w:sz="0" w:space="0" w:color="auto"/>
        <w:right w:val="none" w:sz="0" w:space="0" w:color="auto"/>
      </w:divBdr>
    </w:div>
    <w:div w:id="672152315">
      <w:bodyDiv w:val="1"/>
      <w:marLeft w:val="0"/>
      <w:marRight w:val="0"/>
      <w:marTop w:val="0"/>
      <w:marBottom w:val="0"/>
      <w:divBdr>
        <w:top w:val="none" w:sz="0" w:space="0" w:color="auto"/>
        <w:left w:val="none" w:sz="0" w:space="0" w:color="auto"/>
        <w:bottom w:val="none" w:sz="0" w:space="0" w:color="auto"/>
        <w:right w:val="none" w:sz="0" w:space="0" w:color="auto"/>
      </w:divBdr>
    </w:div>
    <w:div w:id="1672023573">
      <w:bodyDiv w:val="1"/>
      <w:marLeft w:val="0"/>
      <w:marRight w:val="0"/>
      <w:marTop w:val="0"/>
      <w:marBottom w:val="0"/>
      <w:divBdr>
        <w:top w:val="none" w:sz="0" w:space="0" w:color="auto"/>
        <w:left w:val="none" w:sz="0" w:space="0" w:color="auto"/>
        <w:bottom w:val="none" w:sz="0" w:space="0" w:color="auto"/>
        <w:right w:val="none" w:sz="0" w:space="0" w:color="auto"/>
      </w:divBdr>
    </w:div>
    <w:div w:id="1838154152">
      <w:bodyDiv w:val="1"/>
      <w:marLeft w:val="0"/>
      <w:marRight w:val="0"/>
      <w:marTop w:val="0"/>
      <w:marBottom w:val="0"/>
      <w:divBdr>
        <w:top w:val="none" w:sz="0" w:space="0" w:color="auto"/>
        <w:left w:val="none" w:sz="0" w:space="0" w:color="auto"/>
        <w:bottom w:val="none" w:sz="0" w:space="0" w:color="auto"/>
        <w:right w:val="none" w:sz="0" w:space="0" w:color="auto"/>
      </w:divBdr>
    </w:div>
    <w:div w:id="1846506440">
      <w:bodyDiv w:val="1"/>
      <w:marLeft w:val="0"/>
      <w:marRight w:val="0"/>
      <w:marTop w:val="0"/>
      <w:marBottom w:val="0"/>
      <w:divBdr>
        <w:top w:val="none" w:sz="0" w:space="0" w:color="auto"/>
        <w:left w:val="none" w:sz="0" w:space="0" w:color="auto"/>
        <w:bottom w:val="none" w:sz="0" w:space="0" w:color="auto"/>
        <w:right w:val="none" w:sz="0" w:space="0" w:color="auto"/>
      </w:divBdr>
    </w:div>
    <w:div w:id="1978292958">
      <w:bodyDiv w:val="1"/>
      <w:marLeft w:val="0"/>
      <w:marRight w:val="0"/>
      <w:marTop w:val="0"/>
      <w:marBottom w:val="0"/>
      <w:divBdr>
        <w:top w:val="none" w:sz="0" w:space="0" w:color="auto"/>
        <w:left w:val="none" w:sz="0" w:space="0" w:color="auto"/>
        <w:bottom w:val="none" w:sz="0" w:space="0" w:color="auto"/>
        <w:right w:val="none" w:sz="0" w:space="0" w:color="auto"/>
      </w:divBdr>
    </w:div>
    <w:div w:id="2103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Ramiro Carrera Riquetti</dc:creator>
  <cp:lastModifiedBy>Andrés Alberto Eguiguren Eguiguren</cp:lastModifiedBy>
  <cp:revision>7</cp:revision>
  <dcterms:created xsi:type="dcterms:W3CDTF">2015-12-03T21:21:00Z</dcterms:created>
  <dcterms:modified xsi:type="dcterms:W3CDTF">2015-12-17T21:24:00Z</dcterms:modified>
</cp:coreProperties>
</file>