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C85D" w14:textId="258EA641" w:rsidR="006E1BB6" w:rsidRPr="00136963" w:rsidRDefault="00850503" w:rsidP="00136963">
      <w:pPr>
        <w:autoSpaceDE w:val="0"/>
        <w:autoSpaceDN w:val="0"/>
        <w:adjustRightInd w:val="0"/>
        <w:spacing w:after="0" w:line="240" w:lineRule="auto"/>
        <w:jc w:val="center"/>
        <w:rPr>
          <w:rFonts w:ascii="Times New Roman" w:hAnsi="Times New Roman" w:cs="Times New Roman"/>
          <w:b/>
          <w:bCs/>
          <w:sz w:val="24"/>
          <w:szCs w:val="24"/>
        </w:rPr>
      </w:pPr>
      <w:r w:rsidRPr="00136963">
        <w:rPr>
          <w:rFonts w:ascii="Times New Roman" w:hAnsi="Times New Roman" w:cs="Times New Roman"/>
          <w:b/>
          <w:bCs/>
          <w:sz w:val="24"/>
          <w:szCs w:val="24"/>
        </w:rPr>
        <w:t>RESOLUCIÓN No. C</w:t>
      </w:r>
      <w:r w:rsidR="005B7989" w:rsidRPr="00136963">
        <w:rPr>
          <w:rFonts w:ascii="Times New Roman" w:hAnsi="Times New Roman" w:cs="Times New Roman"/>
          <w:b/>
          <w:bCs/>
          <w:sz w:val="24"/>
          <w:szCs w:val="24"/>
        </w:rPr>
        <w:t>DMQ-</w:t>
      </w:r>
      <w:r w:rsidRPr="00136963">
        <w:rPr>
          <w:rFonts w:ascii="Times New Roman" w:hAnsi="Times New Roman" w:cs="Times New Roman"/>
          <w:b/>
          <w:bCs/>
          <w:sz w:val="24"/>
          <w:szCs w:val="24"/>
          <w:highlight w:val="green"/>
        </w:rPr>
        <w:t>XXX</w:t>
      </w:r>
      <w:r w:rsidRPr="00136963">
        <w:rPr>
          <w:rFonts w:ascii="Times New Roman" w:hAnsi="Times New Roman" w:cs="Times New Roman"/>
          <w:b/>
          <w:bCs/>
          <w:sz w:val="24"/>
          <w:szCs w:val="24"/>
        </w:rPr>
        <w:t>-202</w:t>
      </w:r>
      <w:r w:rsidR="007408CF" w:rsidRPr="00136963">
        <w:rPr>
          <w:rFonts w:ascii="Times New Roman" w:hAnsi="Times New Roman" w:cs="Times New Roman"/>
          <w:b/>
          <w:bCs/>
          <w:sz w:val="24"/>
          <w:szCs w:val="24"/>
        </w:rPr>
        <w:t>4</w:t>
      </w:r>
    </w:p>
    <w:p w14:paraId="06BF7A78" w14:textId="77777777" w:rsidR="006E1BB6" w:rsidRPr="00136963" w:rsidRDefault="006E1BB6" w:rsidP="00136963">
      <w:pPr>
        <w:autoSpaceDE w:val="0"/>
        <w:autoSpaceDN w:val="0"/>
        <w:adjustRightInd w:val="0"/>
        <w:spacing w:after="0" w:line="240" w:lineRule="auto"/>
        <w:jc w:val="center"/>
        <w:rPr>
          <w:rFonts w:ascii="Times New Roman" w:hAnsi="Times New Roman" w:cs="Times New Roman"/>
          <w:b/>
          <w:bCs/>
          <w:sz w:val="24"/>
          <w:szCs w:val="24"/>
        </w:rPr>
      </w:pPr>
    </w:p>
    <w:p w14:paraId="7ACA0988" w14:textId="77777777" w:rsidR="006E1BB6" w:rsidRPr="00136963" w:rsidRDefault="00850503" w:rsidP="00136963">
      <w:pPr>
        <w:autoSpaceDE w:val="0"/>
        <w:autoSpaceDN w:val="0"/>
        <w:adjustRightInd w:val="0"/>
        <w:spacing w:after="0" w:line="240" w:lineRule="auto"/>
        <w:jc w:val="center"/>
        <w:rPr>
          <w:rFonts w:ascii="Times New Roman" w:hAnsi="Times New Roman" w:cs="Times New Roman"/>
          <w:b/>
          <w:bCs/>
          <w:sz w:val="24"/>
          <w:szCs w:val="24"/>
        </w:rPr>
      </w:pPr>
      <w:r w:rsidRPr="00136963">
        <w:rPr>
          <w:rFonts w:ascii="Times New Roman" w:hAnsi="Times New Roman" w:cs="Times New Roman"/>
          <w:b/>
          <w:bCs/>
          <w:sz w:val="24"/>
          <w:szCs w:val="24"/>
        </w:rPr>
        <w:t>EL CONCEJO METROPOLITANO DE QUITO</w:t>
      </w:r>
    </w:p>
    <w:p w14:paraId="33DCB299" w14:textId="77777777" w:rsidR="006E1BB6" w:rsidRPr="00136963" w:rsidRDefault="006E1BB6" w:rsidP="00136963">
      <w:pPr>
        <w:autoSpaceDE w:val="0"/>
        <w:autoSpaceDN w:val="0"/>
        <w:adjustRightInd w:val="0"/>
        <w:spacing w:after="0" w:line="240" w:lineRule="auto"/>
        <w:jc w:val="both"/>
        <w:rPr>
          <w:rFonts w:ascii="Times New Roman" w:hAnsi="Times New Roman" w:cs="Times New Roman"/>
          <w:b/>
          <w:bCs/>
          <w:sz w:val="24"/>
          <w:szCs w:val="24"/>
        </w:rPr>
      </w:pPr>
    </w:p>
    <w:p w14:paraId="21D87439" w14:textId="77777777" w:rsidR="003E1558" w:rsidRPr="00136963" w:rsidRDefault="003E1558" w:rsidP="00136963">
      <w:pPr>
        <w:jc w:val="both"/>
        <w:rPr>
          <w:rFonts w:ascii="Times New Roman" w:hAnsi="Times New Roman" w:cs="Times New Roman"/>
          <w:b/>
          <w:bCs/>
          <w:sz w:val="24"/>
          <w:szCs w:val="24"/>
        </w:rPr>
      </w:pPr>
    </w:p>
    <w:p w14:paraId="3B7D97BC" w14:textId="5A8B01FF" w:rsidR="006E1BB6" w:rsidRPr="00136963" w:rsidRDefault="00850503" w:rsidP="002C3CC5">
      <w:pPr>
        <w:jc w:val="center"/>
        <w:rPr>
          <w:rFonts w:ascii="Times New Roman" w:hAnsi="Times New Roman" w:cs="Times New Roman"/>
          <w:b/>
          <w:bCs/>
          <w:sz w:val="24"/>
          <w:szCs w:val="24"/>
        </w:rPr>
      </w:pPr>
      <w:r w:rsidRPr="00136963">
        <w:rPr>
          <w:rFonts w:ascii="Times New Roman" w:hAnsi="Times New Roman" w:cs="Times New Roman"/>
          <w:b/>
          <w:bCs/>
          <w:sz w:val="24"/>
          <w:szCs w:val="24"/>
        </w:rPr>
        <w:t>CONSIDERANDO:</w:t>
      </w:r>
    </w:p>
    <w:p w14:paraId="5C32E6FB" w14:textId="1DB841D7" w:rsidR="006E1BB6" w:rsidRPr="00136963" w:rsidRDefault="006012EB" w:rsidP="00136963">
      <w:pPr>
        <w:ind w:left="709" w:hanging="709"/>
        <w:jc w:val="both"/>
        <w:rPr>
          <w:rFonts w:ascii="Times New Roman" w:hAnsi="Times New Roman" w:cs="Times New Roman"/>
          <w:sz w:val="24"/>
          <w:szCs w:val="24"/>
        </w:rPr>
      </w:pPr>
      <w:r w:rsidRPr="00136963">
        <w:rPr>
          <w:rFonts w:ascii="Times New Roman" w:hAnsi="Times New Roman" w:cs="Times New Roman"/>
          <w:b/>
          <w:sz w:val="24"/>
          <w:szCs w:val="24"/>
        </w:rPr>
        <w:t>Que</w:t>
      </w:r>
      <w:r w:rsidR="00D9625D" w:rsidRPr="00136963">
        <w:rPr>
          <w:rFonts w:ascii="Times New Roman" w:hAnsi="Times New Roman" w:cs="Times New Roman"/>
          <w:b/>
          <w:sz w:val="24"/>
          <w:szCs w:val="24"/>
        </w:rPr>
        <w:tab/>
      </w:r>
      <w:r w:rsidR="00850503" w:rsidRPr="00136963">
        <w:rPr>
          <w:rFonts w:ascii="Times New Roman" w:hAnsi="Times New Roman" w:cs="Times New Roman"/>
          <w:sz w:val="24"/>
          <w:szCs w:val="24"/>
        </w:rPr>
        <w:t xml:space="preserve">el artículo 190 de la Constitución de la República del Ecuador dispone que: </w:t>
      </w:r>
      <w:r w:rsidR="00850503" w:rsidRPr="00136963">
        <w:rPr>
          <w:rFonts w:ascii="Times New Roman" w:hAnsi="Times New Roman" w:cs="Times New Roman"/>
          <w:i/>
          <w:sz w:val="24"/>
          <w:szCs w:val="24"/>
        </w:rPr>
        <w:t>“Se reconoce el arbitraje, la mediación y otros procedimientos alternativos para la solución de conflictos. Estos procedimientos se aplicarán con sujeción a la ley, en materias en las que por su naturaleza se pueda transigir. En la contratación pública procederá el arbitraje en derecho, previo pronunciamiento favorable de la Procuraduría General del Estado, conforme a las condiciones establecidas en la ley.”;</w:t>
      </w:r>
    </w:p>
    <w:p w14:paraId="27D4034D" w14:textId="0DFDD02B" w:rsidR="006E1BB6" w:rsidRPr="00136963" w:rsidRDefault="00D9625D" w:rsidP="00136963">
      <w:pPr>
        <w:ind w:left="709" w:hanging="709"/>
        <w:jc w:val="both"/>
        <w:rPr>
          <w:rFonts w:ascii="Times New Roman" w:hAnsi="Times New Roman" w:cs="Times New Roman"/>
          <w:sz w:val="24"/>
          <w:szCs w:val="24"/>
        </w:rPr>
      </w:pPr>
      <w:r w:rsidRPr="00136963">
        <w:rPr>
          <w:rFonts w:ascii="Times New Roman" w:hAnsi="Times New Roman" w:cs="Times New Roman"/>
          <w:b/>
          <w:sz w:val="24"/>
          <w:szCs w:val="24"/>
        </w:rPr>
        <w:t>Que</w:t>
      </w:r>
      <w:r w:rsidRPr="00136963">
        <w:rPr>
          <w:rFonts w:ascii="Times New Roman" w:hAnsi="Times New Roman" w:cs="Times New Roman"/>
          <w:b/>
          <w:sz w:val="24"/>
          <w:szCs w:val="24"/>
        </w:rPr>
        <w:tab/>
      </w:r>
      <w:r w:rsidR="00174E54">
        <w:rPr>
          <w:rFonts w:ascii="Times New Roman" w:hAnsi="Times New Roman" w:cs="Times New Roman"/>
          <w:sz w:val="24"/>
          <w:szCs w:val="24"/>
        </w:rPr>
        <w:t xml:space="preserve">el artículo 226 de la norma suprema </w:t>
      </w:r>
      <w:r w:rsidR="00850503" w:rsidRPr="00136963">
        <w:rPr>
          <w:rFonts w:ascii="Times New Roman" w:hAnsi="Times New Roman" w:cs="Times New Roman"/>
          <w:sz w:val="24"/>
          <w:szCs w:val="24"/>
        </w:rPr>
        <w:t xml:space="preserve">del Ecuador, </w:t>
      </w:r>
      <w:r w:rsidR="00B64706" w:rsidRPr="00136963">
        <w:rPr>
          <w:rFonts w:ascii="Times New Roman" w:hAnsi="Times New Roman" w:cs="Times New Roman"/>
          <w:sz w:val="24"/>
          <w:szCs w:val="24"/>
        </w:rPr>
        <w:t>en relación con el</w:t>
      </w:r>
      <w:r w:rsidR="00850503" w:rsidRPr="00136963">
        <w:rPr>
          <w:rFonts w:ascii="Times New Roman" w:hAnsi="Times New Roman" w:cs="Times New Roman"/>
          <w:sz w:val="24"/>
          <w:szCs w:val="24"/>
        </w:rPr>
        <w:t xml:space="preserve"> principio de legalidad, dispone que las servidoras o servidores públicos y las personas que actúen en virtud de una potestad estatal ejercerán solamente las competencias y facultades que les sean atribuidas en la Constitución y la Ley;</w:t>
      </w:r>
    </w:p>
    <w:p w14:paraId="0B8F6BD4" w14:textId="7CEC6544" w:rsidR="006E1BB6" w:rsidRPr="00136963" w:rsidRDefault="00D9625D" w:rsidP="00136963">
      <w:pPr>
        <w:ind w:left="709" w:hanging="709"/>
        <w:jc w:val="both"/>
        <w:rPr>
          <w:rFonts w:ascii="Times New Roman" w:hAnsi="Times New Roman" w:cs="Times New Roman"/>
          <w:i/>
          <w:iCs/>
          <w:sz w:val="24"/>
          <w:szCs w:val="24"/>
        </w:rPr>
      </w:pPr>
      <w:r w:rsidRPr="00136963">
        <w:rPr>
          <w:rFonts w:ascii="Times New Roman" w:hAnsi="Times New Roman" w:cs="Times New Roman"/>
          <w:b/>
          <w:sz w:val="24"/>
          <w:szCs w:val="24"/>
        </w:rPr>
        <w:t>Que</w:t>
      </w:r>
      <w:r w:rsidRPr="00136963">
        <w:rPr>
          <w:rFonts w:ascii="Times New Roman" w:hAnsi="Times New Roman" w:cs="Times New Roman"/>
          <w:b/>
          <w:sz w:val="24"/>
          <w:szCs w:val="24"/>
        </w:rPr>
        <w:tab/>
      </w:r>
      <w:r w:rsidR="00850503" w:rsidRPr="00136963">
        <w:rPr>
          <w:rFonts w:ascii="Times New Roman" w:hAnsi="Times New Roman" w:cs="Times New Roman"/>
          <w:sz w:val="24"/>
          <w:szCs w:val="24"/>
        </w:rPr>
        <w:t xml:space="preserve">el artículo 227 de la Constitución de la República del Ecuador, dispone: </w:t>
      </w:r>
      <w:r w:rsidR="00850503" w:rsidRPr="00136963">
        <w:rPr>
          <w:rFonts w:ascii="Times New Roman" w:hAnsi="Times New Roman" w:cs="Times New Roman"/>
          <w:i/>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r w:rsidR="00850503" w:rsidRPr="00136963">
        <w:rPr>
          <w:rFonts w:ascii="Times New Roman" w:hAnsi="Times New Roman" w:cs="Times New Roman"/>
          <w:i/>
          <w:iCs/>
          <w:sz w:val="24"/>
          <w:szCs w:val="24"/>
        </w:rPr>
        <w:t>”;</w:t>
      </w:r>
    </w:p>
    <w:p w14:paraId="1F9624F0" w14:textId="10B1E1DC" w:rsidR="003E1558" w:rsidRPr="00136963" w:rsidRDefault="00D9625D" w:rsidP="00136963">
      <w:pPr>
        <w:ind w:left="709" w:hanging="709"/>
        <w:jc w:val="both"/>
        <w:rPr>
          <w:rFonts w:ascii="Times New Roman" w:hAnsi="Times New Roman" w:cs="Times New Roman"/>
          <w:i/>
          <w:iCs/>
          <w:sz w:val="24"/>
          <w:szCs w:val="24"/>
        </w:rPr>
      </w:pPr>
      <w:r w:rsidRPr="00136963">
        <w:rPr>
          <w:rFonts w:ascii="Times New Roman" w:hAnsi="Times New Roman" w:cs="Times New Roman"/>
          <w:b/>
          <w:sz w:val="24"/>
          <w:szCs w:val="24"/>
        </w:rPr>
        <w:t>Que</w:t>
      </w:r>
      <w:r w:rsidRPr="00136963">
        <w:rPr>
          <w:rFonts w:ascii="Times New Roman" w:hAnsi="Times New Roman" w:cs="Times New Roman"/>
          <w:b/>
          <w:sz w:val="24"/>
          <w:szCs w:val="24"/>
        </w:rPr>
        <w:tab/>
      </w:r>
      <w:r w:rsidR="003E1558" w:rsidRPr="00136963">
        <w:rPr>
          <w:rFonts w:ascii="Times New Roman" w:hAnsi="Times New Roman" w:cs="Times New Roman"/>
          <w:sz w:val="24"/>
          <w:szCs w:val="24"/>
        </w:rPr>
        <w:t xml:space="preserve">el artículo 238 de la Constitución, </w:t>
      </w:r>
      <w:r w:rsidR="00174E54">
        <w:rPr>
          <w:rFonts w:ascii="Times New Roman" w:hAnsi="Times New Roman" w:cs="Times New Roman"/>
          <w:sz w:val="24"/>
          <w:szCs w:val="24"/>
        </w:rPr>
        <w:t>ordena</w:t>
      </w:r>
      <w:r w:rsidR="003E1558" w:rsidRPr="00136963">
        <w:rPr>
          <w:rFonts w:ascii="Times New Roman" w:hAnsi="Times New Roman" w:cs="Times New Roman"/>
          <w:sz w:val="24"/>
          <w:szCs w:val="24"/>
        </w:rPr>
        <w:t xml:space="preserve"> que</w:t>
      </w:r>
      <w:r w:rsidR="00B64706" w:rsidRPr="00136963">
        <w:rPr>
          <w:rFonts w:ascii="Times New Roman" w:hAnsi="Times New Roman" w:cs="Times New Roman"/>
          <w:sz w:val="24"/>
          <w:szCs w:val="24"/>
        </w:rPr>
        <w:t>:</w:t>
      </w:r>
      <w:r w:rsidR="003E1558" w:rsidRPr="00136963">
        <w:rPr>
          <w:rFonts w:ascii="Times New Roman" w:hAnsi="Times New Roman" w:cs="Times New Roman"/>
          <w:sz w:val="24"/>
          <w:szCs w:val="24"/>
        </w:rPr>
        <w:t xml:space="preserve"> </w:t>
      </w:r>
      <w:r w:rsidR="003E1558" w:rsidRPr="00136963">
        <w:rPr>
          <w:rFonts w:ascii="Times New Roman" w:hAnsi="Times New Roman" w:cs="Times New Roman"/>
          <w:i/>
          <w:sz w:val="24"/>
          <w:szCs w:val="24"/>
        </w:rPr>
        <w:t>“Los gobiernos autónomos descentralizados gozarán de autonomía política, administrativa y financiera, y se regirán por los principios de solidaridad, subsidiariedad, equidad 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E93EA20" w14:textId="50118153" w:rsidR="00812713" w:rsidRPr="00136963" w:rsidRDefault="00D9625D" w:rsidP="00136963">
      <w:pPr>
        <w:ind w:left="709" w:hanging="709"/>
        <w:jc w:val="both"/>
        <w:rPr>
          <w:rFonts w:ascii="Times New Roman" w:hAnsi="Times New Roman" w:cs="Times New Roman"/>
          <w:i/>
          <w:sz w:val="24"/>
          <w:szCs w:val="24"/>
        </w:rPr>
      </w:pPr>
      <w:r w:rsidRPr="00136963">
        <w:rPr>
          <w:rFonts w:ascii="Times New Roman" w:hAnsi="Times New Roman" w:cs="Times New Roman"/>
          <w:b/>
          <w:iCs/>
          <w:sz w:val="24"/>
          <w:szCs w:val="24"/>
        </w:rPr>
        <w:t>Que</w:t>
      </w:r>
      <w:r w:rsidRPr="00136963">
        <w:rPr>
          <w:rFonts w:ascii="Times New Roman" w:hAnsi="Times New Roman" w:cs="Times New Roman"/>
          <w:b/>
          <w:iCs/>
          <w:sz w:val="24"/>
          <w:szCs w:val="24"/>
        </w:rPr>
        <w:tab/>
      </w:r>
      <w:r w:rsidR="00812713" w:rsidRPr="00136963">
        <w:rPr>
          <w:rFonts w:ascii="Times New Roman" w:hAnsi="Times New Roman" w:cs="Times New Roman"/>
          <w:sz w:val="24"/>
          <w:szCs w:val="24"/>
        </w:rPr>
        <w:t>el artículo 240 de la Constitución establece que</w:t>
      </w:r>
      <w:r w:rsidR="00B64706" w:rsidRPr="00136963">
        <w:rPr>
          <w:rFonts w:ascii="Times New Roman" w:hAnsi="Times New Roman" w:cs="Times New Roman"/>
          <w:sz w:val="24"/>
          <w:szCs w:val="24"/>
        </w:rPr>
        <w:t>:</w:t>
      </w:r>
      <w:r w:rsidR="00812713" w:rsidRPr="00136963">
        <w:rPr>
          <w:rFonts w:ascii="Times New Roman" w:hAnsi="Times New Roman" w:cs="Times New Roman"/>
          <w:sz w:val="24"/>
          <w:szCs w:val="24"/>
        </w:rPr>
        <w:t xml:space="preserve"> </w:t>
      </w:r>
      <w:r w:rsidR="00812713" w:rsidRPr="00136963">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005B7989" w:rsidRPr="00136963">
        <w:rPr>
          <w:rFonts w:ascii="Times New Roman" w:hAnsi="Times New Roman" w:cs="Times New Roman"/>
          <w:i/>
          <w:sz w:val="24"/>
          <w:szCs w:val="24"/>
        </w:rPr>
        <w:t>;</w:t>
      </w:r>
    </w:p>
    <w:p w14:paraId="0EFB193A" w14:textId="6B8505D8" w:rsidR="00812713" w:rsidRPr="00136963" w:rsidRDefault="00D9625D" w:rsidP="00136963">
      <w:pPr>
        <w:ind w:left="709" w:hanging="709"/>
        <w:jc w:val="both"/>
        <w:rPr>
          <w:rFonts w:ascii="Times New Roman" w:hAnsi="Times New Roman" w:cs="Times New Roman"/>
          <w:b/>
          <w:iCs/>
          <w:sz w:val="24"/>
          <w:szCs w:val="24"/>
        </w:rPr>
      </w:pPr>
      <w:r w:rsidRPr="00136963">
        <w:rPr>
          <w:rFonts w:ascii="Times New Roman" w:hAnsi="Times New Roman" w:cs="Times New Roman"/>
          <w:b/>
          <w:iCs/>
          <w:sz w:val="24"/>
          <w:szCs w:val="24"/>
        </w:rPr>
        <w:t>Que</w:t>
      </w:r>
      <w:r w:rsidRPr="00136963">
        <w:rPr>
          <w:rFonts w:ascii="Times New Roman" w:hAnsi="Times New Roman" w:cs="Times New Roman"/>
          <w:b/>
          <w:iCs/>
          <w:sz w:val="24"/>
          <w:szCs w:val="24"/>
        </w:rPr>
        <w:tab/>
      </w:r>
      <w:r w:rsidR="00812713" w:rsidRPr="00136963">
        <w:rPr>
          <w:rFonts w:ascii="Times New Roman" w:hAnsi="Times New Roman" w:cs="Times New Roman"/>
          <w:sz w:val="24"/>
          <w:szCs w:val="24"/>
        </w:rPr>
        <w:t xml:space="preserve">el artículo 87 letras a) y d) del Código Orgánico de Organización Territorial, Autonomía y Descentralización, en adelante “COOTAD”, establece las atribuciones del Concejo Metropolitano, entre otras: </w:t>
      </w:r>
      <w:r w:rsidR="00812713" w:rsidRPr="00136963">
        <w:rPr>
          <w:rFonts w:ascii="Times New Roman" w:hAnsi="Times New Roman" w:cs="Times New Roman"/>
          <w:i/>
          <w:sz w:val="24"/>
          <w:szCs w:val="24"/>
        </w:rPr>
        <w:t xml:space="preserve">“a) Ejercer la facultad normativa en las materias de competencia del gobierno autónomo descentralizado metropolitano, mediante la expedición de ordenanzas metropolitanas, acuerdos y resoluciones”; (...) d) El expedir acuerdos o </w:t>
      </w:r>
      <w:r w:rsidR="00812713" w:rsidRPr="00136963">
        <w:rPr>
          <w:rFonts w:ascii="Times New Roman" w:hAnsi="Times New Roman" w:cs="Times New Roman"/>
          <w:i/>
          <w:sz w:val="24"/>
          <w:szCs w:val="24"/>
        </w:rPr>
        <w:lastRenderedPageBreak/>
        <w:t>resoluciones en el ámbito de sus competencias para regular temas institucionales específicos o reconocer derechos particulares”</w:t>
      </w:r>
      <w:r w:rsidR="005B7989" w:rsidRPr="00136963">
        <w:rPr>
          <w:rFonts w:ascii="Times New Roman" w:hAnsi="Times New Roman" w:cs="Times New Roman"/>
          <w:i/>
          <w:sz w:val="24"/>
          <w:szCs w:val="24"/>
        </w:rPr>
        <w:t>;</w:t>
      </w:r>
    </w:p>
    <w:p w14:paraId="5F3900B6" w14:textId="2ECBD6D0" w:rsidR="006E1BB6" w:rsidRPr="00136963" w:rsidRDefault="00850503" w:rsidP="00136963">
      <w:pPr>
        <w:ind w:left="709" w:hanging="709"/>
        <w:jc w:val="both"/>
        <w:rPr>
          <w:rFonts w:ascii="Times New Roman" w:hAnsi="Times New Roman" w:cs="Times New Roman"/>
          <w:i/>
          <w:iCs/>
          <w:sz w:val="24"/>
          <w:szCs w:val="24"/>
        </w:rPr>
      </w:pPr>
      <w:r w:rsidRPr="00136963">
        <w:rPr>
          <w:rFonts w:ascii="Times New Roman" w:hAnsi="Times New Roman" w:cs="Times New Roman"/>
          <w:b/>
          <w:iCs/>
          <w:sz w:val="24"/>
          <w:szCs w:val="24"/>
        </w:rPr>
        <w:t>Que</w:t>
      </w:r>
      <w:r w:rsidR="00D9625D" w:rsidRPr="00136963">
        <w:rPr>
          <w:rFonts w:ascii="Times New Roman" w:hAnsi="Times New Roman" w:cs="Times New Roman"/>
          <w:iCs/>
          <w:sz w:val="24"/>
          <w:szCs w:val="24"/>
        </w:rPr>
        <w:tab/>
      </w:r>
      <w:r w:rsidRPr="00136963">
        <w:rPr>
          <w:rFonts w:ascii="Times New Roman" w:hAnsi="Times New Roman" w:cs="Times New Roman"/>
          <w:iCs/>
          <w:sz w:val="24"/>
          <w:szCs w:val="24"/>
        </w:rPr>
        <w:t xml:space="preserve">el artículo 323 del </w:t>
      </w:r>
      <w:r w:rsidRPr="00136963">
        <w:rPr>
          <w:rFonts w:ascii="Times New Roman" w:hAnsi="Times New Roman" w:cs="Times New Roman"/>
          <w:sz w:val="24"/>
          <w:szCs w:val="24"/>
        </w:rPr>
        <w:t xml:space="preserve">Código Orgánico de Organización Territorial Autonomía y Descentralización </w:t>
      </w:r>
      <w:r w:rsidR="00174E54">
        <w:rPr>
          <w:rFonts w:ascii="Times New Roman" w:hAnsi="Times New Roman" w:cs="Times New Roman"/>
          <w:sz w:val="24"/>
          <w:szCs w:val="24"/>
        </w:rPr>
        <w:t>“COOTAD” señala</w:t>
      </w:r>
      <w:r w:rsidRPr="00136963">
        <w:rPr>
          <w:rFonts w:ascii="Times New Roman" w:hAnsi="Times New Roman" w:cs="Times New Roman"/>
          <w:sz w:val="24"/>
          <w:szCs w:val="24"/>
        </w:rPr>
        <w:t>: “</w:t>
      </w:r>
      <w:r w:rsidRPr="00136963">
        <w:rPr>
          <w:rFonts w:ascii="Times New Roman" w:hAnsi="Times New Roman" w:cs="Times New Roman"/>
          <w:i/>
          <w:sz w:val="24"/>
          <w:szCs w:val="24"/>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136963">
        <w:rPr>
          <w:rFonts w:ascii="Times New Roman" w:hAnsi="Times New Roman" w:cs="Times New Roman"/>
          <w:sz w:val="24"/>
          <w:szCs w:val="24"/>
        </w:rPr>
        <w:t xml:space="preserve">(…); </w:t>
      </w:r>
    </w:p>
    <w:p w14:paraId="28DD2248" w14:textId="32553628" w:rsidR="006E1BB6" w:rsidRPr="00136963" w:rsidRDefault="00850503" w:rsidP="00136963">
      <w:pPr>
        <w:ind w:left="709" w:hanging="709"/>
        <w:jc w:val="both"/>
        <w:rPr>
          <w:rFonts w:ascii="Times New Roman" w:hAnsi="Times New Roman" w:cs="Times New Roman"/>
          <w:iCs/>
          <w:sz w:val="24"/>
          <w:szCs w:val="24"/>
        </w:rPr>
      </w:pPr>
      <w:r w:rsidRPr="00136963">
        <w:rPr>
          <w:rFonts w:ascii="Times New Roman" w:hAnsi="Times New Roman" w:cs="Times New Roman"/>
          <w:b/>
          <w:iCs/>
          <w:sz w:val="24"/>
          <w:szCs w:val="24"/>
        </w:rPr>
        <w:t>Que</w:t>
      </w:r>
      <w:r w:rsidR="00D9625D" w:rsidRPr="00136963">
        <w:rPr>
          <w:rFonts w:ascii="Times New Roman" w:hAnsi="Times New Roman" w:cs="Times New Roman"/>
          <w:iCs/>
          <w:sz w:val="24"/>
          <w:szCs w:val="24"/>
        </w:rPr>
        <w:tab/>
      </w:r>
      <w:r w:rsidRPr="00136963">
        <w:rPr>
          <w:rFonts w:ascii="Times New Roman" w:hAnsi="Times New Roman" w:cs="Times New Roman"/>
          <w:iCs/>
          <w:sz w:val="24"/>
          <w:szCs w:val="24"/>
        </w:rPr>
        <w:t xml:space="preserve">el artículo 331 del </w:t>
      </w:r>
      <w:r w:rsidRPr="00136963">
        <w:rPr>
          <w:rFonts w:ascii="Times New Roman" w:hAnsi="Times New Roman" w:cs="Times New Roman"/>
          <w:sz w:val="24"/>
          <w:szCs w:val="24"/>
        </w:rPr>
        <w:t>Código Orgánico de Organización Territorial Autonomía y Descentralización</w:t>
      </w:r>
      <w:r w:rsidRPr="00136963">
        <w:rPr>
          <w:rFonts w:ascii="Times New Roman" w:hAnsi="Times New Roman" w:cs="Times New Roman"/>
          <w:i/>
          <w:iCs/>
          <w:sz w:val="24"/>
          <w:szCs w:val="24"/>
        </w:rPr>
        <w:t xml:space="preserve"> </w:t>
      </w:r>
      <w:r w:rsidR="005215D5" w:rsidRPr="00136963">
        <w:rPr>
          <w:rFonts w:ascii="Times New Roman" w:hAnsi="Times New Roman" w:cs="Times New Roman"/>
          <w:sz w:val="24"/>
          <w:szCs w:val="24"/>
        </w:rPr>
        <w:t xml:space="preserve">“COOTAD” </w:t>
      </w:r>
      <w:r w:rsidRPr="00136963">
        <w:rPr>
          <w:rFonts w:ascii="Times New Roman" w:hAnsi="Times New Roman" w:cs="Times New Roman"/>
          <w:sz w:val="24"/>
          <w:szCs w:val="24"/>
        </w:rPr>
        <w:t>claramente ordena:</w:t>
      </w:r>
      <w:r w:rsidRPr="00136963">
        <w:rPr>
          <w:rFonts w:ascii="Times New Roman" w:hAnsi="Times New Roman" w:cs="Times New Roman"/>
          <w:i/>
          <w:iCs/>
          <w:sz w:val="24"/>
          <w:szCs w:val="24"/>
        </w:rPr>
        <w:t xml:space="preserve"> “Está prohibido al ejecutivo de los gobiernos autónomos descentralizados: …</w:t>
      </w:r>
      <w:r w:rsidRPr="00136963">
        <w:rPr>
          <w:rFonts w:ascii="Times New Roman" w:hAnsi="Times New Roman" w:cs="Times New Roman"/>
          <w:i/>
          <w:sz w:val="24"/>
          <w:szCs w:val="24"/>
        </w:rPr>
        <w:t xml:space="preserve"> </w:t>
      </w:r>
      <w:r w:rsidRPr="00136963">
        <w:rPr>
          <w:rFonts w:ascii="Times New Roman" w:hAnsi="Times New Roman" w:cs="Times New Roman"/>
          <w:i/>
          <w:iCs/>
          <w:sz w:val="24"/>
          <w:szCs w:val="24"/>
        </w:rPr>
        <w:t>j) Absolver posiciones, deferir el juramento decisorio, allanarse a la demanda o desistir de una planteada, y aceptar conciliaciones conforme a la ley sin previa autorización del órgano de legislación”</w:t>
      </w:r>
      <w:r w:rsidRPr="00136963">
        <w:rPr>
          <w:rFonts w:ascii="Times New Roman" w:hAnsi="Times New Roman" w:cs="Times New Roman"/>
          <w:iCs/>
          <w:sz w:val="24"/>
          <w:szCs w:val="24"/>
        </w:rPr>
        <w:t>;</w:t>
      </w:r>
    </w:p>
    <w:p w14:paraId="03E8AE0F" w14:textId="00325DF4" w:rsidR="00812713" w:rsidRPr="00136963" w:rsidRDefault="00D9625D" w:rsidP="00136963">
      <w:pPr>
        <w:ind w:left="709" w:hanging="709"/>
        <w:jc w:val="both"/>
        <w:rPr>
          <w:rFonts w:ascii="Times New Roman" w:hAnsi="Times New Roman" w:cs="Times New Roman"/>
          <w:b/>
          <w:iCs/>
          <w:sz w:val="24"/>
          <w:szCs w:val="24"/>
        </w:rPr>
      </w:pPr>
      <w:r w:rsidRPr="00136963">
        <w:rPr>
          <w:rFonts w:ascii="Times New Roman" w:hAnsi="Times New Roman" w:cs="Times New Roman"/>
          <w:b/>
          <w:sz w:val="24"/>
          <w:szCs w:val="24"/>
        </w:rPr>
        <w:t>Que</w:t>
      </w:r>
      <w:r w:rsidRPr="00136963">
        <w:rPr>
          <w:rFonts w:ascii="Times New Roman" w:hAnsi="Times New Roman" w:cs="Times New Roman"/>
          <w:b/>
          <w:sz w:val="24"/>
          <w:szCs w:val="24"/>
        </w:rPr>
        <w:tab/>
      </w:r>
      <w:r w:rsidR="00812713" w:rsidRPr="00136963">
        <w:rPr>
          <w:rFonts w:ascii="Times New Roman" w:hAnsi="Times New Roman" w:cs="Times New Roman"/>
          <w:sz w:val="24"/>
          <w:szCs w:val="24"/>
        </w:rPr>
        <w:t xml:space="preserve">el artículo 43 de la Ley de Arbitraje y Mediación, </w:t>
      </w:r>
      <w:r w:rsidR="00B64706" w:rsidRPr="00136963">
        <w:rPr>
          <w:rFonts w:ascii="Times New Roman" w:hAnsi="Times New Roman" w:cs="Times New Roman"/>
          <w:sz w:val="24"/>
          <w:szCs w:val="24"/>
        </w:rPr>
        <w:t>instituye:</w:t>
      </w:r>
      <w:r w:rsidR="00812713" w:rsidRPr="00136963">
        <w:rPr>
          <w:rFonts w:ascii="Times New Roman" w:hAnsi="Times New Roman" w:cs="Times New Roman"/>
          <w:sz w:val="24"/>
          <w:szCs w:val="24"/>
        </w:rPr>
        <w:t xml:space="preserve"> </w:t>
      </w:r>
      <w:r w:rsidR="00812713" w:rsidRPr="00136963">
        <w:rPr>
          <w:rFonts w:ascii="Times New Roman" w:hAnsi="Times New Roman" w:cs="Times New Roman"/>
          <w:i/>
          <w:sz w:val="24"/>
          <w:szCs w:val="24"/>
        </w:rPr>
        <w:t>“(…) La mediación es un procedimiento de solución de conflictos por el cual las partes, asistidas por un tercero neutral llamado mediador, procuran un acuerdo voluntario, que verse sobre materia transigible, de carácter extrajudicial y definitivo, que ponga fin al conflicto (…)”</w:t>
      </w:r>
      <w:r w:rsidR="00812713" w:rsidRPr="00136963">
        <w:rPr>
          <w:rFonts w:ascii="Times New Roman" w:hAnsi="Times New Roman" w:cs="Times New Roman"/>
          <w:sz w:val="24"/>
          <w:szCs w:val="24"/>
        </w:rPr>
        <w:t>;</w:t>
      </w:r>
    </w:p>
    <w:p w14:paraId="55925137" w14:textId="77777777" w:rsidR="00D9625D" w:rsidRPr="00136963" w:rsidRDefault="00D9625D" w:rsidP="00136963">
      <w:pPr>
        <w:autoSpaceDE w:val="0"/>
        <w:autoSpaceDN w:val="0"/>
        <w:adjustRightInd w:val="0"/>
        <w:ind w:left="709" w:hanging="709"/>
        <w:jc w:val="both"/>
        <w:rPr>
          <w:rFonts w:ascii="Times New Roman" w:hAnsi="Times New Roman" w:cs="Times New Roman"/>
          <w:bCs/>
          <w:i/>
          <w:sz w:val="24"/>
          <w:szCs w:val="24"/>
        </w:rPr>
      </w:pPr>
      <w:r w:rsidRPr="00136963">
        <w:rPr>
          <w:rFonts w:ascii="Times New Roman" w:hAnsi="Times New Roman" w:cs="Times New Roman"/>
          <w:b/>
          <w:iCs/>
          <w:sz w:val="24"/>
          <w:szCs w:val="24"/>
        </w:rPr>
        <w:t>Que</w:t>
      </w:r>
      <w:r w:rsidRPr="00136963">
        <w:rPr>
          <w:rFonts w:ascii="Times New Roman" w:hAnsi="Times New Roman" w:cs="Times New Roman"/>
          <w:b/>
          <w:iCs/>
          <w:sz w:val="24"/>
          <w:szCs w:val="24"/>
        </w:rPr>
        <w:tab/>
      </w:r>
      <w:r w:rsidR="004255A7" w:rsidRPr="00136963">
        <w:rPr>
          <w:rFonts w:ascii="Times New Roman" w:hAnsi="Times New Roman" w:cs="Times New Roman"/>
          <w:bCs/>
          <w:sz w:val="24"/>
          <w:szCs w:val="24"/>
        </w:rPr>
        <w:t>el artículo 16 del Reglamento a la Ley de Arbit</w:t>
      </w:r>
      <w:r w:rsidR="005B7989" w:rsidRPr="00136963">
        <w:rPr>
          <w:rFonts w:ascii="Times New Roman" w:hAnsi="Times New Roman" w:cs="Times New Roman"/>
          <w:bCs/>
          <w:sz w:val="24"/>
          <w:szCs w:val="24"/>
        </w:rPr>
        <w:t xml:space="preserve">raje y Mediación prescribe que: </w:t>
      </w:r>
      <w:r w:rsidR="004255A7" w:rsidRPr="00136963">
        <w:rPr>
          <w:rFonts w:ascii="Times New Roman" w:hAnsi="Times New Roman" w:cs="Times New Roman"/>
          <w:bCs/>
          <w:i/>
          <w:sz w:val="24"/>
          <w:szCs w:val="24"/>
        </w:rPr>
        <w:t>Mediación con el Estado y entidades del sector público. -</w:t>
      </w:r>
      <w:r w:rsidR="005B7989" w:rsidRPr="00136963">
        <w:rPr>
          <w:rFonts w:ascii="Times New Roman" w:hAnsi="Times New Roman" w:cs="Times New Roman"/>
          <w:bCs/>
          <w:sz w:val="24"/>
          <w:szCs w:val="24"/>
        </w:rPr>
        <w:t xml:space="preserve"> </w:t>
      </w:r>
      <w:r w:rsidR="004255A7" w:rsidRPr="00136963">
        <w:rPr>
          <w:rFonts w:ascii="Times New Roman" w:hAnsi="Times New Roman" w:cs="Times New Roman"/>
          <w:bCs/>
          <w:i/>
          <w:sz w:val="24"/>
          <w:szCs w:val="24"/>
        </w:rPr>
        <w:t>1. El Estado o una entidad del sector público podrán resolver cualquier disputa sobre los hechos, actos o demás actuaciones administrativas que tengan relación o surjan con ocasión de la relación jurídica objeto de mediación, incluyendo dejar sin efecto o modificar actos de terminación, caducidad, sancionadores o multas, indistintamente del órgano administrativo que los emita.</w:t>
      </w:r>
      <w:r w:rsidR="005B7989" w:rsidRPr="00136963">
        <w:rPr>
          <w:rFonts w:ascii="Times New Roman" w:hAnsi="Times New Roman" w:cs="Times New Roman"/>
          <w:bCs/>
          <w:sz w:val="24"/>
          <w:szCs w:val="24"/>
        </w:rPr>
        <w:t xml:space="preserve"> </w:t>
      </w:r>
      <w:r w:rsidR="004255A7" w:rsidRPr="00136963">
        <w:rPr>
          <w:rFonts w:ascii="Times New Roman" w:hAnsi="Times New Roman" w:cs="Times New Roman"/>
          <w:bCs/>
          <w:i/>
          <w:sz w:val="24"/>
          <w:szCs w:val="24"/>
        </w:rPr>
        <w:t>2. En la mediación el representante del Estado o la entidad pública, con el apoyo de sus dependencias técnicas y legales, realizará un análisis costo-beneficio de proseguir con la controversia, considerando el costo en tiempo y recursos de un litigio, la expectativa de éxito de seguir tal litigio, y la conveniencia de resolver la controversia en la instancia más temprana posible.</w:t>
      </w:r>
      <w:r w:rsidR="005B7989" w:rsidRPr="00136963">
        <w:rPr>
          <w:rFonts w:ascii="Times New Roman" w:hAnsi="Times New Roman" w:cs="Times New Roman"/>
          <w:bCs/>
          <w:sz w:val="24"/>
          <w:szCs w:val="24"/>
        </w:rPr>
        <w:t xml:space="preserve"> </w:t>
      </w:r>
      <w:r w:rsidR="004255A7" w:rsidRPr="00136963">
        <w:rPr>
          <w:rFonts w:ascii="Times New Roman" w:hAnsi="Times New Roman" w:cs="Times New Roman"/>
          <w:bCs/>
          <w:i/>
          <w:sz w:val="24"/>
          <w:szCs w:val="24"/>
        </w:rPr>
        <w:t>(…) 4. La suscripción del Acta de Mediación y la emisión de los informes conforme a los incisos anteriores no generará responsabilidad civil o administrativa de los funcionarios de la entidad pública o la Procuraduría General del Estado, salvo la existencia de dolo en su emisión.</w:t>
      </w:r>
      <w:r w:rsidR="005B7989" w:rsidRPr="00136963">
        <w:rPr>
          <w:rFonts w:ascii="Times New Roman" w:hAnsi="Times New Roman" w:cs="Times New Roman"/>
          <w:bCs/>
          <w:sz w:val="24"/>
          <w:szCs w:val="24"/>
        </w:rPr>
        <w:t xml:space="preserve"> </w:t>
      </w:r>
      <w:r w:rsidR="004255A7" w:rsidRPr="00136963">
        <w:rPr>
          <w:rFonts w:ascii="Times New Roman" w:hAnsi="Times New Roman" w:cs="Times New Roman"/>
          <w:bCs/>
          <w:i/>
          <w:sz w:val="24"/>
          <w:szCs w:val="24"/>
        </w:rPr>
        <w:t>5. Incurrirá en responsabilidad civil o administrativa el funcionario público que, negándose a suscribir un acuerdo de mediación, hubiese provocado una condena a la entidad pública, cuando era razonablemente predecible que la posición de la entidad estatal no hubiese sido acogida en un litigio y con base en un análisis costo-beneficio, hubiese sido preferible para el erario público llegar a un acuerdo”;</w:t>
      </w:r>
    </w:p>
    <w:p w14:paraId="0F4133AC" w14:textId="48756F97" w:rsidR="00D9625D" w:rsidRPr="00136963" w:rsidRDefault="00D9625D" w:rsidP="00136963">
      <w:pPr>
        <w:autoSpaceDE w:val="0"/>
        <w:autoSpaceDN w:val="0"/>
        <w:adjustRightInd w:val="0"/>
        <w:ind w:left="709" w:hanging="709"/>
        <w:jc w:val="both"/>
        <w:rPr>
          <w:rFonts w:ascii="Times New Roman" w:hAnsi="Times New Roman" w:cs="Times New Roman"/>
          <w:sz w:val="24"/>
          <w:szCs w:val="24"/>
        </w:rPr>
      </w:pPr>
      <w:r w:rsidRPr="00136963">
        <w:rPr>
          <w:rFonts w:ascii="Times New Roman" w:hAnsi="Times New Roman" w:cs="Times New Roman"/>
          <w:b/>
          <w:sz w:val="24"/>
          <w:szCs w:val="24"/>
        </w:rPr>
        <w:t>Que</w:t>
      </w:r>
      <w:r w:rsidRPr="00136963">
        <w:rPr>
          <w:rFonts w:ascii="Times New Roman" w:hAnsi="Times New Roman" w:cs="Times New Roman"/>
          <w:sz w:val="24"/>
          <w:szCs w:val="24"/>
        </w:rPr>
        <w:tab/>
        <w:t>el artículo 122 del Código Orgánico Administrativo, dispone: “</w:t>
      </w:r>
      <w:r w:rsidRPr="00136963">
        <w:rPr>
          <w:rFonts w:ascii="Times New Roman" w:hAnsi="Times New Roman" w:cs="Times New Roman"/>
          <w:i/>
          <w:sz w:val="24"/>
          <w:szCs w:val="24"/>
        </w:rPr>
        <w:t xml:space="preserve">Dictamen e informe. El dictamen y el informe aportan elementos de opinión o juicio, para la formación de la voluntad administrativa. Cuando el acto administrativo requiere fundarse en dictámenes o informes, en estos estará expresamente previsto el </w:t>
      </w:r>
      <w:r w:rsidRPr="00136963">
        <w:rPr>
          <w:rFonts w:ascii="Times New Roman" w:hAnsi="Times New Roman" w:cs="Times New Roman"/>
          <w:i/>
          <w:sz w:val="24"/>
          <w:szCs w:val="24"/>
        </w:rPr>
        <w:lastRenderedPageBreak/>
        <w:t>ordenamiento jurídico, como parte del procedimiento. Únicamente con expresa habilitación del ordenamiento jurídico, un órgano administrativo puede requerir dictámenes o informes dentro de los procedimientos administrativos</w:t>
      </w:r>
      <w:r w:rsidRPr="00136963">
        <w:rPr>
          <w:rFonts w:ascii="Times New Roman" w:hAnsi="Times New Roman" w:cs="Times New Roman"/>
          <w:sz w:val="24"/>
          <w:szCs w:val="24"/>
        </w:rPr>
        <w:t>”;</w:t>
      </w:r>
    </w:p>
    <w:p w14:paraId="04760D80" w14:textId="79EC93E6" w:rsidR="00136963" w:rsidRPr="00136963" w:rsidRDefault="00136963" w:rsidP="002C3CC5">
      <w:pPr>
        <w:autoSpaceDE w:val="0"/>
        <w:autoSpaceDN w:val="0"/>
        <w:adjustRightInd w:val="0"/>
        <w:ind w:left="709" w:hanging="709"/>
        <w:jc w:val="both"/>
        <w:rPr>
          <w:rFonts w:ascii="Times New Roman" w:hAnsi="Times New Roman" w:cs="Times New Roman"/>
          <w:sz w:val="24"/>
          <w:szCs w:val="24"/>
        </w:rPr>
      </w:pPr>
      <w:r w:rsidRPr="00136963">
        <w:rPr>
          <w:rFonts w:ascii="Times New Roman" w:hAnsi="Times New Roman" w:cs="Times New Roman"/>
          <w:b/>
          <w:sz w:val="24"/>
          <w:szCs w:val="24"/>
        </w:rPr>
        <w:t xml:space="preserve">Que </w:t>
      </w:r>
      <w:r w:rsidR="00D9625D" w:rsidRPr="00136963">
        <w:rPr>
          <w:rFonts w:ascii="Times New Roman" w:hAnsi="Times New Roman" w:cs="Times New Roman"/>
          <w:sz w:val="24"/>
          <w:szCs w:val="24"/>
        </w:rPr>
        <w:tab/>
      </w:r>
      <w:r w:rsidRPr="00136963">
        <w:rPr>
          <w:rFonts w:ascii="Times New Roman" w:hAnsi="Times New Roman" w:cs="Times New Roman"/>
          <w:sz w:val="24"/>
          <w:szCs w:val="24"/>
        </w:rPr>
        <w:t>mediante memorando Nro.</w:t>
      </w:r>
      <w:r w:rsidRPr="00136963">
        <w:rPr>
          <w:rFonts w:ascii="Times New Roman" w:hAnsi="Times New Roman" w:cs="Times New Roman"/>
          <w:b/>
          <w:bCs/>
          <w:sz w:val="24"/>
          <w:szCs w:val="24"/>
        </w:rPr>
        <w:t xml:space="preserve"> </w:t>
      </w:r>
      <w:r w:rsidRPr="00136963">
        <w:rPr>
          <w:rFonts w:ascii="Times New Roman" w:hAnsi="Times New Roman" w:cs="Times New Roman"/>
          <w:bCs/>
          <w:sz w:val="24"/>
          <w:szCs w:val="24"/>
        </w:rPr>
        <w:t>EPMMQ-GT-2024-0468-M</w:t>
      </w:r>
      <w:r w:rsidRPr="00136963">
        <w:rPr>
          <w:rFonts w:ascii="Times New Roman" w:hAnsi="Times New Roman" w:cs="Times New Roman"/>
          <w:b/>
          <w:bCs/>
          <w:sz w:val="24"/>
          <w:szCs w:val="24"/>
        </w:rPr>
        <w:t xml:space="preserve"> </w:t>
      </w:r>
      <w:r w:rsidRPr="00136963">
        <w:rPr>
          <w:rFonts w:ascii="Times New Roman" w:hAnsi="Times New Roman" w:cs="Times New Roman"/>
          <w:sz w:val="24"/>
          <w:szCs w:val="24"/>
        </w:rPr>
        <w:t xml:space="preserve">de 19 de junio de 2024, suscrito por la Gerencia Técnica de la Empresa Pública Metropolitana Metro de Quito, </w:t>
      </w:r>
      <w:r w:rsidR="00D9625D" w:rsidRPr="00136963">
        <w:rPr>
          <w:rFonts w:ascii="Times New Roman" w:hAnsi="Times New Roman" w:cs="Times New Roman"/>
          <w:sz w:val="24"/>
          <w:szCs w:val="24"/>
        </w:rPr>
        <w:t xml:space="preserve">contiene la siguiente conclusión y recomendación: </w:t>
      </w:r>
      <w:r w:rsidR="002C3CC5">
        <w:rPr>
          <w:rFonts w:ascii="Times New Roman" w:hAnsi="Times New Roman" w:cs="Times New Roman"/>
          <w:i/>
          <w:sz w:val="24"/>
          <w:szCs w:val="24"/>
        </w:rPr>
        <w:t>“(…) 7.</w:t>
      </w:r>
      <w:r w:rsidR="00D9625D" w:rsidRPr="00136963">
        <w:rPr>
          <w:rFonts w:ascii="Times New Roman" w:hAnsi="Times New Roman" w:cs="Times New Roman"/>
          <w:i/>
          <w:sz w:val="24"/>
          <w:szCs w:val="24"/>
        </w:rPr>
        <w:t xml:space="preserve"> CONCLUSIÓN </w:t>
      </w:r>
      <w:r w:rsidRPr="00136963">
        <w:rPr>
          <w:rFonts w:ascii="Times New Roman" w:hAnsi="Times New Roman" w:cs="Times New Roman"/>
          <w:i/>
          <w:sz w:val="24"/>
          <w:szCs w:val="24"/>
        </w:rPr>
        <w:t xml:space="preserve">Actualmente, el servicio de mantenimiento se encuentra ejecutado bajo la modalidad de gestión directa institucional con el personal técnico capacitado de la EPMMQ.  La propuesta de mediación se justifica técnicamente, y es conveniente a los intereses de la EPMMQ, ya que permite contar con el servicio de mantenimiento, bajo la modalidad de gestión por contrato. </w:t>
      </w:r>
      <w:r>
        <w:rPr>
          <w:rFonts w:ascii="Times New Roman" w:hAnsi="Times New Roman" w:cs="Times New Roman"/>
          <w:i/>
          <w:sz w:val="24"/>
          <w:szCs w:val="24"/>
        </w:rPr>
        <w:t xml:space="preserve"> </w:t>
      </w:r>
      <w:r w:rsidRPr="00136963">
        <w:rPr>
          <w:rFonts w:ascii="Times New Roman" w:hAnsi="Times New Roman" w:cs="Times New Roman"/>
          <w:i/>
          <w:sz w:val="24"/>
          <w:szCs w:val="24"/>
        </w:rPr>
        <w:t>Esta mediación permitirá solventar los aspectos técnicos de mantenimiento con la empresa CAF, vinculados con la provisión de repuestos, dependencia tecnológica y otros elementos propios del material rodante.  Adicionalmente, esta mediación facultará avanzar al cierre y liquidación del Contrato No. LICB-EPMMQ-2014-116 del año 2014.</w:t>
      </w:r>
      <w:r w:rsidR="00D9625D" w:rsidRPr="00136963">
        <w:rPr>
          <w:rFonts w:ascii="Times New Roman" w:hAnsi="Times New Roman" w:cs="Times New Roman"/>
          <w:i/>
          <w:sz w:val="24"/>
          <w:szCs w:val="24"/>
        </w:rPr>
        <w:t xml:space="preserve"> </w:t>
      </w:r>
      <w:r w:rsidR="002C3CC5">
        <w:rPr>
          <w:rFonts w:ascii="Times New Roman" w:hAnsi="Times New Roman" w:cs="Times New Roman"/>
          <w:i/>
          <w:sz w:val="24"/>
          <w:szCs w:val="24"/>
        </w:rPr>
        <w:t>8.</w:t>
      </w:r>
      <w:r w:rsidR="00D9625D" w:rsidRPr="00136963">
        <w:rPr>
          <w:rFonts w:ascii="Times New Roman" w:hAnsi="Times New Roman" w:cs="Times New Roman"/>
          <w:i/>
          <w:sz w:val="24"/>
          <w:szCs w:val="24"/>
        </w:rPr>
        <w:t xml:space="preserve">RECOMENDACIÓN </w:t>
      </w:r>
      <w:r w:rsidRPr="00136963">
        <w:rPr>
          <w:rFonts w:ascii="Times New Roman" w:hAnsi="Times New Roman" w:cs="Times New Roman"/>
          <w:i/>
          <w:sz w:val="24"/>
          <w:szCs w:val="24"/>
        </w:rPr>
        <w:t xml:space="preserve">La Gerencia Técnica y la Gerencia de Operaciones recomiendan a la máxima autoridad de la EPMMQ continuar con el proceso de cierre de la mediación, con base en los términos técnicos y operativos de los acuerdos planteados. </w:t>
      </w:r>
      <w:r>
        <w:rPr>
          <w:rFonts w:ascii="Times New Roman" w:hAnsi="Times New Roman" w:cs="Times New Roman"/>
          <w:i/>
        </w:rPr>
        <w:t xml:space="preserve"> </w:t>
      </w:r>
      <w:r w:rsidRPr="00136963">
        <w:rPr>
          <w:rFonts w:ascii="Times New Roman" w:hAnsi="Times New Roman" w:cs="Times New Roman"/>
          <w:i/>
          <w:sz w:val="24"/>
          <w:szCs w:val="24"/>
        </w:rPr>
        <w:t xml:space="preserve">Se recomienda contar con los informes económico y jurídico, a fin de solicitar al Concejo Metropolitano, la respectiva autorización para la suscripción del Acta de acuerdo de mediación”. </w:t>
      </w:r>
      <w:r w:rsidR="00D9625D" w:rsidRPr="00136963">
        <w:rPr>
          <w:rFonts w:ascii="Times New Roman" w:hAnsi="Times New Roman" w:cs="Times New Roman"/>
          <w:i/>
          <w:sz w:val="24"/>
          <w:szCs w:val="24"/>
        </w:rPr>
        <w:t>(…)”;</w:t>
      </w:r>
    </w:p>
    <w:p w14:paraId="2DDFDCF7" w14:textId="64CB6808" w:rsidR="00250B5C" w:rsidRPr="00136963" w:rsidRDefault="00250B5C" w:rsidP="00136963">
      <w:pPr>
        <w:spacing w:after="0"/>
        <w:ind w:left="709" w:hanging="709"/>
        <w:jc w:val="both"/>
        <w:rPr>
          <w:rFonts w:ascii="Times New Roman" w:hAnsi="Times New Roman" w:cs="Times New Roman"/>
          <w:i/>
          <w:sz w:val="24"/>
          <w:szCs w:val="24"/>
        </w:rPr>
      </w:pPr>
      <w:r w:rsidRPr="00136963">
        <w:rPr>
          <w:rFonts w:ascii="Times New Roman" w:hAnsi="Times New Roman" w:cs="Times New Roman"/>
          <w:b/>
          <w:sz w:val="24"/>
          <w:szCs w:val="24"/>
        </w:rPr>
        <w:t>Que</w:t>
      </w:r>
      <w:r w:rsidRPr="00136963">
        <w:rPr>
          <w:rFonts w:ascii="Times New Roman" w:hAnsi="Times New Roman" w:cs="Times New Roman"/>
          <w:sz w:val="24"/>
          <w:szCs w:val="24"/>
        </w:rPr>
        <w:tab/>
        <w:t xml:space="preserve">con memorando Nro. </w:t>
      </w:r>
      <w:r w:rsidR="00136963" w:rsidRPr="002C3CC5">
        <w:rPr>
          <w:rFonts w:ascii="Times New Roman" w:hAnsi="Times New Roman" w:cs="Times New Roman"/>
          <w:sz w:val="24"/>
          <w:szCs w:val="24"/>
        </w:rPr>
        <w:t>EPMMQ-GJ-2024-0290-M de 19 de junio de 2024,</w:t>
      </w:r>
      <w:r w:rsidR="002C3CC5" w:rsidRPr="002C3CC5">
        <w:rPr>
          <w:rFonts w:ascii="Times New Roman" w:hAnsi="Times New Roman" w:cs="Times New Roman"/>
          <w:sz w:val="24"/>
          <w:szCs w:val="24"/>
        </w:rPr>
        <w:t xml:space="preserve"> </w:t>
      </w:r>
      <w:r w:rsidR="002C3CC5" w:rsidRPr="00174E54">
        <w:rPr>
          <w:rFonts w:ascii="Times New Roman" w:hAnsi="Times New Roman" w:cs="Times New Roman"/>
          <w:sz w:val="24"/>
          <w:szCs w:val="24"/>
        </w:rPr>
        <w:t>y alcance realizado mediante Memorando Nro. EPMMQ-GJ-2024-0294-M, de 20 de junio de 2024</w:t>
      </w:r>
      <w:r w:rsidR="00136963" w:rsidRPr="002C3CC5">
        <w:rPr>
          <w:rFonts w:ascii="Times New Roman" w:hAnsi="Times New Roman" w:cs="Times New Roman"/>
          <w:sz w:val="24"/>
          <w:szCs w:val="24"/>
        </w:rPr>
        <w:t xml:space="preserve"> suscrito por el Gerente Jurídico, en el que emite el siguiente criterio jurídico y recomendación</w:t>
      </w:r>
      <w:r w:rsidR="00136963" w:rsidRPr="00174E54">
        <w:rPr>
          <w:rFonts w:ascii="Times New Roman" w:hAnsi="Times New Roman" w:cs="Times New Roman"/>
          <w:sz w:val="24"/>
          <w:szCs w:val="24"/>
        </w:rPr>
        <w:t>:</w:t>
      </w:r>
      <w:r w:rsidR="00136963" w:rsidRPr="00136963">
        <w:rPr>
          <w:rFonts w:ascii="Times New Roman" w:hAnsi="Times New Roman" w:cs="Times New Roman"/>
          <w:i/>
          <w:sz w:val="24"/>
          <w:szCs w:val="24"/>
        </w:rPr>
        <w:t xml:space="preserve"> </w:t>
      </w:r>
      <w:r w:rsidR="00136963" w:rsidRPr="00136963">
        <w:rPr>
          <w:rFonts w:ascii="Times New Roman" w:hAnsi="Times New Roman" w:cs="Times New Roman"/>
          <w:b/>
          <w:bCs/>
          <w:i/>
          <w:iCs/>
          <w:sz w:val="24"/>
          <w:szCs w:val="24"/>
        </w:rPr>
        <w:t xml:space="preserve">"4. CRITERIO JURÍDICO Y RECOMENDACIÓN </w:t>
      </w:r>
      <w:r w:rsidR="00136963" w:rsidRPr="00136963">
        <w:rPr>
          <w:rFonts w:ascii="Times New Roman" w:hAnsi="Times New Roman" w:cs="Times New Roman"/>
          <w:i/>
          <w:iCs/>
          <w:sz w:val="24"/>
          <w:szCs w:val="24"/>
        </w:rPr>
        <w:t>Por los antecedentes, base legal y análisis expuestos en el presente informe, y</w:t>
      </w:r>
      <w:r w:rsidR="00136963">
        <w:rPr>
          <w:rFonts w:ascii="Times New Roman" w:hAnsi="Times New Roman" w:cs="Times New Roman"/>
          <w:i/>
          <w:iCs/>
          <w:sz w:val="24"/>
          <w:szCs w:val="24"/>
        </w:rPr>
        <w:t xml:space="preserve"> </w:t>
      </w:r>
      <w:r w:rsidR="00136963" w:rsidRPr="00136963">
        <w:rPr>
          <w:rFonts w:ascii="Times New Roman" w:hAnsi="Times New Roman" w:cs="Times New Roman"/>
          <w:i/>
          <w:iCs/>
          <w:sz w:val="24"/>
          <w:szCs w:val="24"/>
        </w:rPr>
        <w:t xml:space="preserve">fundamentalmente por el contenido de los informes técnico y económico que sirven de base a este informe, es criterio de esta Gerencia Jurídica que el señor Gerente General de la EPMMQ, se encuentra legalmente facultado a solicitar al señor Alcalde del Distrito Metropolitano de Quito a fin de que someta a consideración del Concejo Metropolitano de Quito el otorgamiento de la autorización prevista en el artículo 331, letra j) del COOTAD. Una vez alcanzada la mencionada autorización, el señor Alcalde del Distrito Metropolitano, o su delegado, quedarán facultados para acudir al Centro de Mediación de la Procuraduría General del Estado con el fin de suscribir el Acta de Acuerdo de Mediación dentro del proceso de mediación No. </w:t>
      </w:r>
      <w:r w:rsidR="002C3CC5" w:rsidRPr="00E603B3">
        <w:rPr>
          <w:i/>
        </w:rPr>
        <w:t>0422-DNCM-2024-QUI</w:t>
      </w:r>
      <w:r w:rsidR="00136963" w:rsidRPr="00136963">
        <w:rPr>
          <w:rFonts w:ascii="Times New Roman" w:hAnsi="Times New Roman" w:cs="Times New Roman"/>
          <w:i/>
          <w:iCs/>
          <w:sz w:val="24"/>
          <w:szCs w:val="24"/>
        </w:rPr>
        <w:t xml:space="preserve">, previo el cumplimiento del procedimiento y requisitos establecidos en la Ley de Arbitraje y Mediación, y su respectivo Reglamento. </w:t>
      </w:r>
      <w:r w:rsidRPr="00136963">
        <w:rPr>
          <w:rFonts w:ascii="Times New Roman" w:hAnsi="Times New Roman" w:cs="Times New Roman"/>
          <w:i/>
          <w:sz w:val="24"/>
          <w:szCs w:val="24"/>
        </w:rPr>
        <w:t xml:space="preserve"> (…)”;</w:t>
      </w:r>
    </w:p>
    <w:p w14:paraId="5F47A603" w14:textId="454163ED" w:rsidR="00250B5C" w:rsidRPr="00136963" w:rsidRDefault="00250B5C" w:rsidP="00136963">
      <w:pPr>
        <w:spacing w:after="0"/>
        <w:ind w:left="709" w:hanging="709"/>
        <w:jc w:val="both"/>
        <w:rPr>
          <w:rFonts w:ascii="Times New Roman" w:hAnsi="Times New Roman" w:cs="Times New Roman"/>
          <w:i/>
          <w:sz w:val="24"/>
          <w:szCs w:val="24"/>
        </w:rPr>
      </w:pPr>
    </w:p>
    <w:p w14:paraId="5ABF5283" w14:textId="0E786D7A" w:rsidR="00136963" w:rsidRPr="00174E54" w:rsidRDefault="00250B5C" w:rsidP="00136963">
      <w:pPr>
        <w:autoSpaceDE w:val="0"/>
        <w:autoSpaceDN w:val="0"/>
        <w:adjustRightInd w:val="0"/>
        <w:spacing w:after="0" w:line="240" w:lineRule="auto"/>
        <w:ind w:left="709" w:hanging="709"/>
        <w:jc w:val="both"/>
        <w:rPr>
          <w:rFonts w:ascii="Times New Roman" w:hAnsi="Times New Roman" w:cs="Times New Roman"/>
          <w:sz w:val="24"/>
          <w:szCs w:val="24"/>
        </w:rPr>
      </w:pPr>
      <w:r w:rsidRPr="00136963">
        <w:rPr>
          <w:rFonts w:ascii="Times New Roman" w:hAnsi="Times New Roman" w:cs="Times New Roman"/>
          <w:b/>
          <w:sz w:val="24"/>
          <w:szCs w:val="24"/>
        </w:rPr>
        <w:t>Que</w:t>
      </w:r>
      <w:r w:rsidRPr="00136963">
        <w:rPr>
          <w:rFonts w:ascii="Times New Roman" w:hAnsi="Times New Roman" w:cs="Times New Roman"/>
          <w:sz w:val="24"/>
          <w:szCs w:val="24"/>
        </w:rPr>
        <w:tab/>
      </w:r>
      <w:r w:rsidR="00174E54">
        <w:rPr>
          <w:rFonts w:ascii="Times New Roman" w:hAnsi="Times New Roman" w:cs="Times New Roman"/>
          <w:sz w:val="24"/>
          <w:szCs w:val="24"/>
        </w:rPr>
        <w:t>mediante m</w:t>
      </w:r>
      <w:r w:rsidR="00136963" w:rsidRPr="00174E54">
        <w:rPr>
          <w:rFonts w:ascii="Times New Roman" w:hAnsi="Times New Roman" w:cs="Times New Roman"/>
          <w:sz w:val="24"/>
          <w:szCs w:val="24"/>
        </w:rPr>
        <w:t>emorando No. EPMMQ-GAF-2024-0166-M de 19 de junio de 2024, al que se adjunta el INFORME FINANCIERO EN ATENCIÓN A</w:t>
      </w:r>
      <w:r w:rsidR="00174E54">
        <w:rPr>
          <w:rFonts w:ascii="Times New Roman" w:hAnsi="Times New Roman" w:cs="Times New Roman"/>
          <w:sz w:val="24"/>
          <w:szCs w:val="24"/>
        </w:rPr>
        <w:t>L</w:t>
      </w:r>
      <w:r w:rsidR="00136963" w:rsidRPr="00174E54">
        <w:rPr>
          <w:rFonts w:ascii="Times New Roman" w:hAnsi="Times New Roman" w:cs="Times New Roman"/>
          <w:sz w:val="24"/>
          <w:szCs w:val="24"/>
        </w:rPr>
        <w:t xml:space="preserve"> MEMORANDO NRO. EPMMQ-GT-2024-0468-M-DISPONIBILIDAD PRESUPUESTARIA, suscrito por la señora Directora Financiera y la señora Gerente Administrativa Financiera de la EPMMQ que, considerando que el proceso de mediación no implica erogación de recursos para el GADDMQ ni para la EPMMQ, concluye: </w:t>
      </w:r>
    </w:p>
    <w:p w14:paraId="536BB00E" w14:textId="399560AD" w:rsidR="00136963" w:rsidRPr="00136963" w:rsidRDefault="00136963" w:rsidP="00136963">
      <w:pPr>
        <w:autoSpaceDE w:val="0"/>
        <w:autoSpaceDN w:val="0"/>
        <w:adjustRightInd w:val="0"/>
        <w:spacing w:after="0" w:line="240" w:lineRule="auto"/>
        <w:ind w:left="709"/>
        <w:jc w:val="both"/>
        <w:rPr>
          <w:rFonts w:ascii="Times New Roman" w:hAnsi="Times New Roman" w:cs="Times New Roman"/>
          <w:i/>
          <w:iCs/>
          <w:sz w:val="24"/>
          <w:szCs w:val="24"/>
        </w:rPr>
      </w:pPr>
      <w:r w:rsidRPr="00136963">
        <w:rPr>
          <w:rFonts w:ascii="Times New Roman" w:hAnsi="Times New Roman" w:cs="Times New Roman"/>
          <w:i/>
          <w:iCs/>
          <w:sz w:val="24"/>
          <w:szCs w:val="24"/>
        </w:rPr>
        <w:lastRenderedPageBreak/>
        <w:t xml:space="preserve">5. CONCLUSIONES </w:t>
      </w:r>
      <w:r w:rsidRPr="00136963">
        <w:rPr>
          <w:rFonts w:ascii="Times New Roman" w:hAnsi="Times New Roman" w:cs="Times New Roman"/>
          <w:i/>
          <w:sz w:val="24"/>
          <w:szCs w:val="24"/>
        </w:rPr>
        <w:t xml:space="preserve">· </w:t>
      </w:r>
      <w:r w:rsidRPr="00136963">
        <w:rPr>
          <w:rFonts w:ascii="Times New Roman" w:hAnsi="Times New Roman" w:cs="Times New Roman"/>
          <w:i/>
          <w:iCs/>
          <w:sz w:val="24"/>
          <w:szCs w:val="24"/>
        </w:rPr>
        <w:t xml:space="preserve">La Gerencia Administrativa Financiera - Dirección Financiera, ha revisado y verificado que, el proceso citado consta dentro del Plan Anual de Inversiones 2024, Plan Plurianual de Inversiones 2024-2028, y en el reporte de Plan Operativo Anual de la Gerencia de Operaciones de la EPMMQ.  </w:t>
      </w:r>
      <w:r w:rsidRPr="00136963">
        <w:rPr>
          <w:rFonts w:ascii="Times New Roman" w:hAnsi="Times New Roman" w:cs="Times New Roman"/>
          <w:i/>
          <w:sz w:val="24"/>
          <w:szCs w:val="24"/>
        </w:rPr>
        <w:t xml:space="preserve">· </w:t>
      </w:r>
      <w:r w:rsidRPr="00136963">
        <w:rPr>
          <w:rFonts w:ascii="Times New Roman" w:hAnsi="Times New Roman" w:cs="Times New Roman"/>
          <w:i/>
          <w:iCs/>
          <w:sz w:val="24"/>
          <w:szCs w:val="24"/>
        </w:rPr>
        <w:t>Se verifica la Certificación Presupuestaria CO 0000554 para la Contratación de "Servicio de Mantenimiento Preventivo y Correctivo del Material Rodante, Vehículos Auxiliares y Equipos de Taller de la Primera Línea del Metro de Quito" a la fecha de elaboración del presente informe se encuentra vigente y con saldo disponible”</w:t>
      </w:r>
    </w:p>
    <w:p w14:paraId="655A571B" w14:textId="6CDF90F4" w:rsidR="00250B5C" w:rsidRPr="00136963" w:rsidRDefault="00250B5C" w:rsidP="00136963">
      <w:pPr>
        <w:spacing w:after="0"/>
        <w:ind w:left="709" w:hanging="709"/>
        <w:jc w:val="both"/>
        <w:rPr>
          <w:rFonts w:ascii="Times New Roman" w:hAnsi="Times New Roman" w:cs="Times New Roman"/>
          <w:i/>
          <w:sz w:val="24"/>
          <w:szCs w:val="24"/>
        </w:rPr>
      </w:pPr>
    </w:p>
    <w:p w14:paraId="78A34413" w14:textId="77777777" w:rsidR="00250B5C" w:rsidRPr="00136963" w:rsidRDefault="00250B5C" w:rsidP="00136963">
      <w:pPr>
        <w:spacing w:after="0"/>
        <w:ind w:left="709" w:hanging="709"/>
        <w:jc w:val="both"/>
        <w:rPr>
          <w:rFonts w:ascii="Times New Roman" w:hAnsi="Times New Roman" w:cs="Times New Roman"/>
          <w:i/>
          <w:sz w:val="24"/>
          <w:szCs w:val="24"/>
        </w:rPr>
      </w:pPr>
    </w:p>
    <w:p w14:paraId="6C3DA957" w14:textId="68619852" w:rsidR="00250B5C" w:rsidRPr="00136963" w:rsidRDefault="00250B5C" w:rsidP="00136963">
      <w:pPr>
        <w:autoSpaceDE w:val="0"/>
        <w:autoSpaceDN w:val="0"/>
        <w:adjustRightInd w:val="0"/>
        <w:spacing w:after="0" w:line="240" w:lineRule="auto"/>
        <w:ind w:left="709" w:hanging="709"/>
        <w:jc w:val="both"/>
        <w:rPr>
          <w:rFonts w:ascii="Times New Roman" w:eastAsia="SimSun" w:hAnsi="Times New Roman" w:cs="Times New Roman"/>
          <w:sz w:val="24"/>
          <w:szCs w:val="24"/>
          <w:lang w:eastAsia="es-EC"/>
        </w:rPr>
      </w:pPr>
      <w:r w:rsidRPr="00136963">
        <w:rPr>
          <w:rFonts w:ascii="Times New Roman" w:hAnsi="Times New Roman" w:cs="Times New Roman"/>
          <w:b/>
          <w:sz w:val="24"/>
          <w:szCs w:val="24"/>
        </w:rPr>
        <w:t>Que</w:t>
      </w:r>
      <w:r w:rsidRPr="00136963">
        <w:rPr>
          <w:rFonts w:ascii="Times New Roman" w:hAnsi="Times New Roman" w:cs="Times New Roman"/>
          <w:sz w:val="24"/>
          <w:szCs w:val="24"/>
        </w:rPr>
        <w:tab/>
      </w:r>
      <w:r w:rsidR="00F94E8F" w:rsidRPr="00136963">
        <w:rPr>
          <w:rFonts w:ascii="Times New Roman" w:hAnsi="Times New Roman" w:cs="Times New Roman"/>
          <w:sz w:val="24"/>
          <w:szCs w:val="24"/>
        </w:rPr>
        <w:t>con o</w:t>
      </w:r>
      <w:r w:rsidR="00136963" w:rsidRPr="00136963">
        <w:rPr>
          <w:rFonts w:ascii="Times New Roman" w:hAnsi="Times New Roman" w:cs="Times New Roman"/>
          <w:sz w:val="24"/>
          <w:szCs w:val="24"/>
        </w:rPr>
        <w:t>ficio</w:t>
      </w:r>
      <w:r w:rsidR="002C3CC5">
        <w:rPr>
          <w:rFonts w:ascii="Times New Roman" w:hAnsi="Times New Roman" w:cs="Times New Roman"/>
          <w:sz w:val="24"/>
          <w:szCs w:val="24"/>
        </w:rPr>
        <w:t>s</w:t>
      </w:r>
      <w:r w:rsidR="00136963" w:rsidRPr="00136963">
        <w:rPr>
          <w:rFonts w:ascii="Times New Roman" w:hAnsi="Times New Roman" w:cs="Times New Roman"/>
          <w:sz w:val="24"/>
          <w:szCs w:val="24"/>
        </w:rPr>
        <w:t xml:space="preserve"> Nro.</w:t>
      </w:r>
      <w:r w:rsidR="00136963" w:rsidRPr="00136963">
        <w:rPr>
          <w:rFonts w:ascii="Times New Roman" w:hAnsi="Times New Roman" w:cs="Times New Roman"/>
          <w:bCs/>
          <w:sz w:val="24"/>
          <w:szCs w:val="24"/>
        </w:rPr>
        <w:t xml:space="preserve"> EPMMQ-GG-2024-0346-O</w:t>
      </w:r>
      <w:r w:rsidR="002C3CC5">
        <w:rPr>
          <w:rFonts w:ascii="Times New Roman" w:hAnsi="Times New Roman" w:cs="Times New Roman"/>
          <w:sz w:val="24"/>
          <w:szCs w:val="24"/>
        </w:rPr>
        <w:t xml:space="preserve"> de 19 de junio de 2024 y </w:t>
      </w:r>
      <w:r w:rsidR="002C3CC5">
        <w:t>EPMMQ-GG-2024-0352-O de 20 de junio del mismo año</w:t>
      </w:r>
      <w:r w:rsidR="00136963" w:rsidRPr="00136963">
        <w:rPr>
          <w:rFonts w:ascii="Times New Roman" w:hAnsi="Times New Roman" w:cs="Times New Roman"/>
          <w:sz w:val="24"/>
          <w:szCs w:val="24"/>
        </w:rPr>
        <w:t xml:space="preserve"> el Gerente General de la Empresa Pública Metropolitana Metro de Quito (Metro EP)</w:t>
      </w:r>
      <w:r w:rsidRPr="00136963">
        <w:rPr>
          <w:rFonts w:ascii="Times New Roman" w:hAnsi="Times New Roman" w:cs="Times New Roman"/>
          <w:sz w:val="24"/>
          <w:szCs w:val="24"/>
        </w:rPr>
        <w:t xml:space="preserve">, </w:t>
      </w:r>
      <w:r w:rsidR="00F94E8F" w:rsidRPr="00136963">
        <w:rPr>
          <w:rFonts w:ascii="Times New Roman" w:hAnsi="Times New Roman" w:cs="Times New Roman"/>
          <w:sz w:val="24"/>
          <w:szCs w:val="24"/>
        </w:rPr>
        <w:t xml:space="preserve">solicita al Alcalde Metropolitano: </w:t>
      </w:r>
      <w:r w:rsidR="002C3CC5" w:rsidRPr="0024131C">
        <w:rPr>
          <w:rFonts w:ascii="Times New Roman" w:hAnsi="Times New Roman" w:cs="Times New Roman"/>
          <w:i/>
          <w:sz w:val="24"/>
          <w:szCs w:val="24"/>
        </w:rPr>
        <w:t>Como alcance al Oficio No. EPMMQ-GG-2024-0346-O de 19 de junio de 2024, me permito adjuntar el Memorando No. EPMMQ-GJ-2024-0294 de 20 de junio de 2024, presentado por el Gerente Jurídico de la EPMMQ, a fin de que sea tomado en cuenta en el Informe de Procuraduría Metropolitana y en el proyecto de resolución que se someterá a consideración del Concejo Metropolitano en relación al Proceso de Mediación No. 0422-DNCM-2024-QUI con el Consorcio CAF Metro de Quito</w:t>
      </w:r>
      <w:r w:rsidR="002C3CC5" w:rsidRPr="00435380">
        <w:rPr>
          <w:i/>
        </w:rPr>
        <w:t>”.</w:t>
      </w:r>
    </w:p>
    <w:p w14:paraId="65FCFD2D" w14:textId="3F8BDB7E" w:rsidR="00250B5C" w:rsidRPr="00136963" w:rsidRDefault="00250B5C" w:rsidP="00136963">
      <w:pPr>
        <w:spacing w:after="0"/>
        <w:ind w:left="709" w:hanging="709"/>
        <w:jc w:val="both"/>
        <w:rPr>
          <w:rFonts w:ascii="Times New Roman" w:hAnsi="Times New Roman" w:cs="Times New Roman"/>
          <w:sz w:val="24"/>
          <w:szCs w:val="24"/>
        </w:rPr>
      </w:pPr>
    </w:p>
    <w:p w14:paraId="6C13A5D7" w14:textId="4D87157D" w:rsidR="00D9625D" w:rsidRPr="00136963" w:rsidRDefault="00F94E8F" w:rsidP="0024131C">
      <w:pPr>
        <w:ind w:left="709" w:hanging="709"/>
        <w:jc w:val="both"/>
        <w:rPr>
          <w:rFonts w:ascii="Times New Roman" w:hAnsi="Times New Roman" w:cs="Times New Roman"/>
          <w:i/>
          <w:sz w:val="24"/>
          <w:szCs w:val="24"/>
        </w:rPr>
      </w:pPr>
      <w:r w:rsidRPr="00136963">
        <w:rPr>
          <w:rFonts w:ascii="Times New Roman" w:hAnsi="Times New Roman" w:cs="Times New Roman"/>
          <w:b/>
          <w:sz w:val="24"/>
          <w:szCs w:val="24"/>
        </w:rPr>
        <w:t>Que</w:t>
      </w:r>
      <w:r w:rsidRPr="00136963">
        <w:rPr>
          <w:rFonts w:ascii="Times New Roman" w:hAnsi="Times New Roman" w:cs="Times New Roman"/>
          <w:sz w:val="24"/>
          <w:szCs w:val="24"/>
        </w:rPr>
        <w:tab/>
        <w:t>mediante oficio Nro. GADDMQ-PM-2024-</w:t>
      </w:r>
      <w:r w:rsidRPr="00136963">
        <w:rPr>
          <w:rFonts w:ascii="Times New Roman" w:hAnsi="Times New Roman" w:cs="Times New Roman"/>
          <w:sz w:val="24"/>
          <w:szCs w:val="24"/>
          <w:highlight w:val="green"/>
        </w:rPr>
        <w:t>XXX</w:t>
      </w:r>
      <w:r w:rsidRPr="00136963">
        <w:rPr>
          <w:rFonts w:ascii="Times New Roman" w:hAnsi="Times New Roman" w:cs="Times New Roman"/>
          <w:sz w:val="24"/>
          <w:szCs w:val="24"/>
        </w:rPr>
        <w:t xml:space="preserve">-O de </w:t>
      </w:r>
      <w:r w:rsidRPr="00136963">
        <w:rPr>
          <w:rFonts w:ascii="Times New Roman" w:hAnsi="Times New Roman" w:cs="Times New Roman"/>
          <w:sz w:val="24"/>
          <w:szCs w:val="24"/>
          <w:highlight w:val="green"/>
        </w:rPr>
        <w:t>XX</w:t>
      </w:r>
      <w:r w:rsidRPr="00136963">
        <w:rPr>
          <w:rFonts w:ascii="Times New Roman" w:hAnsi="Times New Roman" w:cs="Times New Roman"/>
          <w:sz w:val="24"/>
          <w:szCs w:val="24"/>
        </w:rPr>
        <w:t xml:space="preserve"> de </w:t>
      </w:r>
      <w:r w:rsidR="00136963" w:rsidRPr="00136963">
        <w:rPr>
          <w:rFonts w:ascii="Times New Roman" w:hAnsi="Times New Roman" w:cs="Times New Roman"/>
          <w:sz w:val="24"/>
          <w:szCs w:val="24"/>
        </w:rPr>
        <w:t>junio</w:t>
      </w:r>
      <w:r w:rsidRPr="00136963">
        <w:rPr>
          <w:rFonts w:ascii="Times New Roman" w:hAnsi="Times New Roman" w:cs="Times New Roman"/>
          <w:sz w:val="24"/>
          <w:szCs w:val="24"/>
        </w:rPr>
        <w:t xml:space="preserve"> de 2024, el Procurador Metropolitano, emitió su informe jurídico en los siguientes términos: </w:t>
      </w:r>
      <w:r w:rsidRPr="00136963">
        <w:rPr>
          <w:rFonts w:ascii="Times New Roman" w:hAnsi="Times New Roman" w:cs="Times New Roman"/>
          <w:i/>
          <w:sz w:val="24"/>
          <w:szCs w:val="24"/>
        </w:rPr>
        <w:t xml:space="preserve">“(…) </w:t>
      </w:r>
      <w:r w:rsidRPr="00E414F3">
        <w:rPr>
          <w:rFonts w:ascii="Times New Roman" w:hAnsi="Times New Roman" w:cs="Times New Roman"/>
          <w:b/>
          <w:i/>
          <w:sz w:val="24"/>
          <w:szCs w:val="24"/>
        </w:rPr>
        <w:t>4. CONCLUSIONES</w:t>
      </w:r>
      <w:r w:rsidRPr="00136963">
        <w:rPr>
          <w:rFonts w:ascii="Times New Roman" w:hAnsi="Times New Roman" w:cs="Times New Roman"/>
          <w:i/>
          <w:sz w:val="24"/>
          <w:szCs w:val="24"/>
        </w:rPr>
        <w:t xml:space="preserve"> Con base a los fundamentos expuestos, esta </w:t>
      </w:r>
      <w:r w:rsidR="00136963" w:rsidRPr="00136963">
        <w:rPr>
          <w:rFonts w:ascii="Times New Roman" w:hAnsi="Times New Roman" w:cs="Times New Roman"/>
          <w:b/>
          <w:sz w:val="24"/>
          <w:szCs w:val="24"/>
        </w:rPr>
        <w:t xml:space="preserve">4. </w:t>
      </w:r>
      <w:r w:rsidR="00136963" w:rsidRPr="0024131C">
        <w:rPr>
          <w:rFonts w:ascii="Times New Roman" w:hAnsi="Times New Roman" w:cs="Times New Roman"/>
          <w:i/>
          <w:sz w:val="24"/>
          <w:szCs w:val="24"/>
        </w:rPr>
        <w:t xml:space="preserve">Procuraduría Metropolitana, respecto al requerimiento que motiva el presente informe, concluye lo siguiente: Con la finalidad de concluir con el proceso de mediación Nro.  422-DNCM-2024-QUI, sustanciado en el Centro de Mediación de la Procuraduría General del Estado, y que se refiere a las controversias suscitadas  respecto a las </w:t>
      </w:r>
      <w:r w:rsidR="00E414F3">
        <w:rPr>
          <w:rFonts w:ascii="Times New Roman" w:hAnsi="Times New Roman" w:cs="Times New Roman"/>
          <w:i/>
          <w:sz w:val="24"/>
          <w:szCs w:val="24"/>
        </w:rPr>
        <w:t>“</w:t>
      </w:r>
      <w:r w:rsidR="00136963" w:rsidRPr="0024131C">
        <w:rPr>
          <w:rFonts w:ascii="Times New Roman" w:hAnsi="Times New Roman" w:cs="Times New Roman"/>
          <w:i/>
          <w:iCs/>
          <w:sz w:val="24"/>
          <w:szCs w:val="24"/>
        </w:rPr>
        <w:t>CONDICIONES DEL MERCADO RELACIONADAS CON LA  COTIZACIÓN QUE PRESENTÓ EL CONSORCIO CAF EN EL 2014 COMO PARTE DEL PROCESO LICB-EPMMQ-2014-116 DE SUMINISTRO DE BIENES CON EL MDMQ"</w:t>
      </w:r>
      <w:r w:rsidR="00136963" w:rsidRPr="0024131C">
        <w:rPr>
          <w:rFonts w:ascii="Times New Roman" w:hAnsi="Times New Roman" w:cs="Times New Roman"/>
          <w:i/>
          <w:sz w:val="24"/>
          <w:szCs w:val="24"/>
        </w:rPr>
        <w:t xml:space="preserve">, suscrito por el Municipio del Distrito Metropolitano de Quito y el Consorcio CAF METRO DE QUITO, se requiere contar con la autorización del Concejo Metropolitano de Quito, de conformidad con el artículo 331 letra j) del Código Orgánico de Organización Territorial, Autonomía y Descentralización.  </w:t>
      </w:r>
      <w:r w:rsidR="00E414F3">
        <w:rPr>
          <w:rFonts w:ascii="Times New Roman" w:hAnsi="Times New Roman" w:cs="Times New Roman"/>
          <w:b/>
          <w:i/>
          <w:sz w:val="24"/>
          <w:szCs w:val="24"/>
        </w:rPr>
        <w:t>5. RECOMENDACIÓN</w:t>
      </w:r>
      <w:r w:rsidR="00136963" w:rsidRPr="0024131C">
        <w:rPr>
          <w:rFonts w:ascii="Times New Roman" w:hAnsi="Times New Roman" w:cs="Times New Roman"/>
          <w:b/>
          <w:i/>
          <w:sz w:val="24"/>
          <w:szCs w:val="24"/>
        </w:rPr>
        <w:t xml:space="preserve">  </w:t>
      </w:r>
      <w:r w:rsidR="0024131C" w:rsidRPr="0024131C">
        <w:rPr>
          <w:i/>
        </w:rPr>
        <w:t>De acuerdo a los fundamentos expuestos, esta Procuraduría Metropolitana, respecto al requerimiento que motiva el presente informe, recomienda lo siguiente</w:t>
      </w:r>
      <w:r w:rsidR="00136963" w:rsidRPr="0024131C">
        <w:rPr>
          <w:rFonts w:ascii="Times New Roman" w:hAnsi="Times New Roman" w:cs="Times New Roman"/>
          <w:i/>
          <w:sz w:val="24"/>
          <w:szCs w:val="24"/>
        </w:rPr>
        <w:t xml:space="preserve">:  En atención al oficio Nro. </w:t>
      </w:r>
      <w:r w:rsidR="00136963" w:rsidRPr="0024131C">
        <w:rPr>
          <w:rFonts w:ascii="Times New Roman" w:hAnsi="Times New Roman" w:cs="Times New Roman"/>
          <w:bCs/>
          <w:i/>
          <w:sz w:val="24"/>
          <w:szCs w:val="24"/>
        </w:rPr>
        <w:t>EPMMQ-GG-2024-0346-O</w:t>
      </w:r>
      <w:r w:rsidR="00136963" w:rsidRPr="0024131C">
        <w:rPr>
          <w:rFonts w:ascii="Times New Roman" w:hAnsi="Times New Roman" w:cs="Times New Roman"/>
          <w:b/>
          <w:bCs/>
          <w:i/>
          <w:sz w:val="24"/>
          <w:szCs w:val="24"/>
        </w:rPr>
        <w:t xml:space="preserve"> </w:t>
      </w:r>
      <w:r w:rsidR="00136963" w:rsidRPr="0024131C">
        <w:rPr>
          <w:rFonts w:ascii="Times New Roman" w:hAnsi="Times New Roman" w:cs="Times New Roman"/>
          <w:i/>
          <w:sz w:val="24"/>
          <w:szCs w:val="24"/>
        </w:rPr>
        <w:t xml:space="preserve">de 19 de junio de 2024, </w:t>
      </w:r>
      <w:r w:rsidR="0024131C" w:rsidRPr="0024131C">
        <w:rPr>
          <w:i/>
        </w:rPr>
        <w:t>y su alcance constante en oficio Nro. EPMMQ-GG-2024-0352-O, de 20 de junio del mismo año,</w:t>
      </w:r>
      <w:r w:rsidR="0024131C" w:rsidRPr="0024131C">
        <w:rPr>
          <w:rFonts w:ascii="Times New Roman" w:hAnsi="Times New Roman" w:cs="Times New Roman"/>
          <w:i/>
          <w:sz w:val="24"/>
          <w:szCs w:val="24"/>
        </w:rPr>
        <w:t xml:space="preserve"> </w:t>
      </w:r>
      <w:r w:rsidR="00136963" w:rsidRPr="0024131C">
        <w:rPr>
          <w:rFonts w:ascii="Times New Roman" w:hAnsi="Times New Roman" w:cs="Times New Roman"/>
          <w:i/>
          <w:sz w:val="24"/>
          <w:szCs w:val="24"/>
        </w:rPr>
        <w:t>suscrito</w:t>
      </w:r>
      <w:r w:rsidR="0024131C" w:rsidRPr="0024131C">
        <w:rPr>
          <w:rFonts w:ascii="Times New Roman" w:hAnsi="Times New Roman" w:cs="Times New Roman"/>
          <w:i/>
          <w:sz w:val="24"/>
          <w:szCs w:val="24"/>
        </w:rPr>
        <w:t>s</w:t>
      </w:r>
      <w:r w:rsidR="00136963" w:rsidRPr="0024131C">
        <w:rPr>
          <w:rFonts w:ascii="Times New Roman" w:hAnsi="Times New Roman" w:cs="Times New Roman"/>
          <w:i/>
          <w:sz w:val="24"/>
          <w:szCs w:val="24"/>
        </w:rPr>
        <w:t xml:space="preserve"> por el Gerente General de la Empresa Pública Metropolitana Metro de Quito y a los informes que constan como anexos a</w:t>
      </w:r>
      <w:r w:rsidR="0024131C" w:rsidRPr="0024131C">
        <w:rPr>
          <w:rFonts w:ascii="Times New Roman" w:hAnsi="Times New Roman" w:cs="Times New Roman"/>
          <w:i/>
          <w:sz w:val="24"/>
          <w:szCs w:val="24"/>
        </w:rPr>
        <w:t xml:space="preserve"> </w:t>
      </w:r>
      <w:r w:rsidR="00136963" w:rsidRPr="0024131C">
        <w:rPr>
          <w:rFonts w:ascii="Times New Roman" w:hAnsi="Times New Roman" w:cs="Times New Roman"/>
          <w:i/>
          <w:sz w:val="24"/>
          <w:szCs w:val="24"/>
        </w:rPr>
        <w:t>l</w:t>
      </w:r>
      <w:r w:rsidR="0024131C" w:rsidRPr="0024131C">
        <w:rPr>
          <w:rFonts w:ascii="Times New Roman" w:hAnsi="Times New Roman" w:cs="Times New Roman"/>
          <w:i/>
          <w:sz w:val="24"/>
          <w:szCs w:val="24"/>
        </w:rPr>
        <w:t>os</w:t>
      </w:r>
      <w:r w:rsidR="00136963" w:rsidRPr="0024131C">
        <w:rPr>
          <w:rFonts w:ascii="Times New Roman" w:hAnsi="Times New Roman" w:cs="Times New Roman"/>
          <w:i/>
          <w:sz w:val="24"/>
          <w:szCs w:val="24"/>
        </w:rPr>
        <w:t xml:space="preserve"> oficio</w:t>
      </w:r>
      <w:r w:rsidR="0024131C" w:rsidRPr="0024131C">
        <w:rPr>
          <w:rFonts w:ascii="Times New Roman" w:hAnsi="Times New Roman" w:cs="Times New Roman"/>
          <w:i/>
          <w:sz w:val="24"/>
          <w:szCs w:val="24"/>
        </w:rPr>
        <w:t>s</w:t>
      </w:r>
      <w:r w:rsidR="00136963" w:rsidRPr="0024131C">
        <w:rPr>
          <w:rFonts w:ascii="Times New Roman" w:hAnsi="Times New Roman" w:cs="Times New Roman"/>
          <w:i/>
          <w:sz w:val="24"/>
          <w:szCs w:val="24"/>
        </w:rPr>
        <w:t xml:space="preserve"> antes referido</w:t>
      </w:r>
      <w:r w:rsidR="0024131C" w:rsidRPr="0024131C">
        <w:rPr>
          <w:rFonts w:ascii="Times New Roman" w:hAnsi="Times New Roman" w:cs="Times New Roman"/>
          <w:i/>
          <w:sz w:val="24"/>
          <w:szCs w:val="24"/>
        </w:rPr>
        <w:t>s</w:t>
      </w:r>
      <w:r w:rsidR="00136963" w:rsidRPr="0024131C">
        <w:rPr>
          <w:rFonts w:ascii="Times New Roman" w:hAnsi="Times New Roman" w:cs="Times New Roman"/>
          <w:i/>
          <w:sz w:val="24"/>
          <w:szCs w:val="24"/>
        </w:rPr>
        <w:t>; se ponga en conocimiento del Concejo Metropolitano, el proyecto de resolución; a fin de obtener la autorización para la suscripción del acta de acuerdo de mediación dentro del proceso No. 0422-DNCM-2024-QUI, conforme lo dispone el artículo 331, letra j) del Código Orgánico de Organización Territorial, Autonomía y Descentralización</w:t>
      </w:r>
      <w:r w:rsidR="0024131C">
        <w:rPr>
          <w:rFonts w:ascii="Times New Roman" w:hAnsi="Times New Roman" w:cs="Times New Roman"/>
          <w:sz w:val="24"/>
          <w:szCs w:val="24"/>
        </w:rPr>
        <w:t>.</w:t>
      </w:r>
    </w:p>
    <w:p w14:paraId="1BC2566F" w14:textId="77777777" w:rsidR="00F94E8F" w:rsidRPr="00136963" w:rsidRDefault="00F94E8F" w:rsidP="00136963">
      <w:pPr>
        <w:spacing w:after="0"/>
        <w:ind w:left="709" w:hanging="709"/>
        <w:jc w:val="both"/>
        <w:rPr>
          <w:rFonts w:ascii="Times New Roman" w:hAnsi="Times New Roman" w:cs="Times New Roman"/>
          <w:i/>
          <w:sz w:val="24"/>
          <w:szCs w:val="24"/>
        </w:rPr>
      </w:pPr>
    </w:p>
    <w:p w14:paraId="3B82D9F8" w14:textId="1576B17C" w:rsidR="006E1BB6" w:rsidRPr="00136963" w:rsidRDefault="00850503" w:rsidP="00136963">
      <w:pPr>
        <w:autoSpaceDE w:val="0"/>
        <w:autoSpaceDN w:val="0"/>
        <w:adjustRightInd w:val="0"/>
        <w:spacing w:after="0" w:line="240" w:lineRule="auto"/>
        <w:jc w:val="both"/>
        <w:rPr>
          <w:rFonts w:ascii="Times New Roman" w:hAnsi="Times New Roman" w:cs="Times New Roman"/>
          <w:b/>
          <w:bCs/>
          <w:sz w:val="24"/>
          <w:szCs w:val="24"/>
        </w:rPr>
      </w:pPr>
      <w:r w:rsidRPr="00136963">
        <w:rPr>
          <w:rFonts w:ascii="Times New Roman" w:hAnsi="Times New Roman" w:cs="Times New Roman"/>
          <w:b/>
          <w:bCs/>
          <w:sz w:val="24"/>
          <w:szCs w:val="24"/>
        </w:rPr>
        <w:t>En ejercicio de las atribuciones establecidas en los artículos 226, 264, 289 de la Constitución del Ecuador, artículos 87 literales a) y d), 90 literales a), l), n) y t) del Código Orgánico de Organización Territorial, Autonomía y Descentralización, artículos 47 y 69 del Código Orgánico Administrativo y artículo 10 de la Ley de régimen para el Distrito Metropolitano de Quito.</w:t>
      </w:r>
    </w:p>
    <w:p w14:paraId="0583900F" w14:textId="77777777" w:rsidR="005B7989" w:rsidRPr="00136963" w:rsidRDefault="005B7989" w:rsidP="00136963">
      <w:pPr>
        <w:autoSpaceDE w:val="0"/>
        <w:autoSpaceDN w:val="0"/>
        <w:adjustRightInd w:val="0"/>
        <w:spacing w:after="0" w:line="240" w:lineRule="auto"/>
        <w:jc w:val="both"/>
        <w:rPr>
          <w:rFonts w:ascii="Times New Roman" w:hAnsi="Times New Roman" w:cs="Times New Roman"/>
          <w:b/>
          <w:bCs/>
          <w:sz w:val="24"/>
          <w:szCs w:val="24"/>
        </w:rPr>
      </w:pPr>
    </w:p>
    <w:p w14:paraId="25F0E273" w14:textId="77777777" w:rsidR="006E1BB6" w:rsidRPr="00136963" w:rsidRDefault="00850503" w:rsidP="00E414F3">
      <w:pPr>
        <w:autoSpaceDE w:val="0"/>
        <w:autoSpaceDN w:val="0"/>
        <w:adjustRightInd w:val="0"/>
        <w:spacing w:after="0" w:line="240" w:lineRule="auto"/>
        <w:jc w:val="center"/>
        <w:rPr>
          <w:rFonts w:ascii="Times New Roman" w:hAnsi="Times New Roman" w:cs="Times New Roman"/>
          <w:b/>
          <w:sz w:val="24"/>
          <w:szCs w:val="24"/>
        </w:rPr>
      </w:pPr>
      <w:r w:rsidRPr="00136963">
        <w:rPr>
          <w:rFonts w:ascii="Times New Roman" w:hAnsi="Times New Roman" w:cs="Times New Roman"/>
          <w:b/>
          <w:sz w:val="24"/>
          <w:szCs w:val="24"/>
        </w:rPr>
        <w:t>RESUELVE:</w:t>
      </w:r>
    </w:p>
    <w:p w14:paraId="252C2A13" w14:textId="77777777" w:rsidR="006E1BB6" w:rsidRPr="00136963" w:rsidRDefault="00850503" w:rsidP="00136963">
      <w:pPr>
        <w:autoSpaceDE w:val="0"/>
        <w:autoSpaceDN w:val="0"/>
        <w:adjustRightInd w:val="0"/>
        <w:spacing w:after="0" w:line="240" w:lineRule="auto"/>
        <w:jc w:val="both"/>
        <w:rPr>
          <w:rFonts w:ascii="Times New Roman" w:hAnsi="Times New Roman" w:cs="Times New Roman"/>
          <w:b/>
          <w:sz w:val="24"/>
          <w:szCs w:val="24"/>
        </w:rPr>
      </w:pPr>
      <w:r w:rsidRPr="00136963">
        <w:rPr>
          <w:rFonts w:ascii="Times New Roman" w:hAnsi="Times New Roman" w:cs="Times New Roman"/>
          <w:sz w:val="24"/>
          <w:szCs w:val="24"/>
        </w:rPr>
        <w:t>.</w:t>
      </w:r>
    </w:p>
    <w:p w14:paraId="25078834" w14:textId="474A9FAF" w:rsidR="001B318C" w:rsidRPr="00136963" w:rsidRDefault="00850503" w:rsidP="00136963">
      <w:pPr>
        <w:jc w:val="both"/>
        <w:rPr>
          <w:rFonts w:ascii="Times New Roman" w:hAnsi="Times New Roman" w:cs="Times New Roman"/>
          <w:sz w:val="24"/>
          <w:szCs w:val="24"/>
        </w:rPr>
      </w:pPr>
      <w:r w:rsidRPr="00136963">
        <w:rPr>
          <w:rFonts w:ascii="Times New Roman" w:hAnsi="Times New Roman" w:cs="Times New Roman"/>
          <w:b/>
          <w:sz w:val="24"/>
          <w:szCs w:val="24"/>
        </w:rPr>
        <w:t>Artículo 1.-</w:t>
      </w:r>
      <w:r w:rsidRPr="00136963">
        <w:rPr>
          <w:rFonts w:ascii="Times New Roman" w:hAnsi="Times New Roman" w:cs="Times New Roman"/>
          <w:sz w:val="24"/>
          <w:szCs w:val="24"/>
        </w:rPr>
        <w:t xml:space="preserve"> </w:t>
      </w:r>
      <w:r w:rsidR="001B318C" w:rsidRPr="00136963">
        <w:rPr>
          <w:rFonts w:ascii="Times New Roman" w:hAnsi="Times New Roman" w:cs="Times New Roman"/>
          <w:sz w:val="24"/>
          <w:szCs w:val="24"/>
        </w:rPr>
        <w:t>Autorizar al señor Alcalde del Distrito Metropolitano de Quito o a quien deleg</w:t>
      </w:r>
      <w:r w:rsidR="00436EE5" w:rsidRPr="00136963">
        <w:rPr>
          <w:rFonts w:ascii="Times New Roman" w:hAnsi="Times New Roman" w:cs="Times New Roman"/>
          <w:sz w:val="24"/>
          <w:szCs w:val="24"/>
        </w:rPr>
        <w:t>ue</w:t>
      </w:r>
      <w:r w:rsidR="001B318C" w:rsidRPr="00136963">
        <w:rPr>
          <w:rFonts w:ascii="Times New Roman" w:hAnsi="Times New Roman" w:cs="Times New Roman"/>
          <w:sz w:val="24"/>
          <w:szCs w:val="24"/>
        </w:rPr>
        <w:t>, para que, en ejercicio de sus competencias y responsabilidades, cumpliendo con el ordenamiento jurídico vigente,</w:t>
      </w:r>
      <w:r w:rsidR="00E414F3">
        <w:rPr>
          <w:rFonts w:ascii="Times New Roman" w:hAnsi="Times New Roman" w:cs="Times New Roman"/>
          <w:sz w:val="24"/>
          <w:szCs w:val="24"/>
        </w:rPr>
        <w:t xml:space="preserve"> suscriba el acta de mediación correspondiente,</w:t>
      </w:r>
      <w:r w:rsidR="001B318C" w:rsidRPr="00136963">
        <w:rPr>
          <w:rFonts w:ascii="Times New Roman" w:hAnsi="Times New Roman" w:cs="Times New Roman"/>
          <w:sz w:val="24"/>
          <w:szCs w:val="24"/>
        </w:rPr>
        <w:t xml:space="preserve"> dentro del procedimiento de mediación identificado con el N</w:t>
      </w:r>
      <w:r w:rsidR="005B7989" w:rsidRPr="00136963">
        <w:rPr>
          <w:rFonts w:ascii="Times New Roman" w:hAnsi="Times New Roman" w:cs="Times New Roman"/>
          <w:sz w:val="24"/>
          <w:szCs w:val="24"/>
        </w:rPr>
        <w:t>r</w:t>
      </w:r>
      <w:r w:rsidR="001B318C" w:rsidRPr="00136963">
        <w:rPr>
          <w:rFonts w:ascii="Times New Roman" w:hAnsi="Times New Roman" w:cs="Times New Roman"/>
          <w:sz w:val="24"/>
          <w:szCs w:val="24"/>
        </w:rPr>
        <w:t>o</w:t>
      </w:r>
      <w:r w:rsidR="00136963" w:rsidRPr="00136963">
        <w:rPr>
          <w:rFonts w:ascii="Times New Roman" w:hAnsi="Times New Roman" w:cs="Times New Roman"/>
          <w:sz w:val="24"/>
          <w:szCs w:val="24"/>
        </w:rPr>
        <w:t>. 0422-DNCM-2024-QUI</w:t>
      </w:r>
      <w:r w:rsidR="001B318C" w:rsidRPr="00136963">
        <w:rPr>
          <w:rFonts w:ascii="Times New Roman" w:hAnsi="Times New Roman" w:cs="Times New Roman"/>
          <w:sz w:val="24"/>
          <w:szCs w:val="24"/>
        </w:rPr>
        <w:t>, que se tramita ante el Centro de Mediación de la Procuraduría General del Estado.</w:t>
      </w:r>
    </w:p>
    <w:p w14:paraId="6134FA05" w14:textId="7C048F27" w:rsidR="006E1BB6" w:rsidRPr="00136963" w:rsidRDefault="00850503" w:rsidP="00136963">
      <w:pPr>
        <w:jc w:val="both"/>
        <w:rPr>
          <w:rFonts w:ascii="Times New Roman" w:hAnsi="Times New Roman" w:cs="Times New Roman"/>
          <w:sz w:val="24"/>
          <w:szCs w:val="24"/>
        </w:rPr>
      </w:pPr>
      <w:r w:rsidRPr="00136963">
        <w:rPr>
          <w:rFonts w:ascii="Times New Roman" w:hAnsi="Times New Roman" w:cs="Times New Roman"/>
          <w:b/>
          <w:sz w:val="24"/>
          <w:szCs w:val="24"/>
        </w:rPr>
        <w:t xml:space="preserve">Artículo 2.- </w:t>
      </w:r>
      <w:r w:rsidR="00963794" w:rsidRPr="00136963">
        <w:rPr>
          <w:rFonts w:ascii="Times New Roman" w:hAnsi="Times New Roman" w:cs="Times New Roman"/>
          <w:sz w:val="24"/>
          <w:szCs w:val="24"/>
        </w:rPr>
        <w:t xml:space="preserve">La presente autorización </w:t>
      </w:r>
      <w:r w:rsidRPr="00136963">
        <w:rPr>
          <w:rFonts w:ascii="Times New Roman" w:hAnsi="Times New Roman" w:cs="Times New Roman"/>
          <w:sz w:val="24"/>
          <w:szCs w:val="24"/>
        </w:rPr>
        <w:t xml:space="preserve">estará vigente hasta la conclusión del proceso de mediación a través de acta </w:t>
      </w:r>
      <w:r w:rsidR="00D01B66" w:rsidRPr="00136963">
        <w:rPr>
          <w:rFonts w:ascii="Times New Roman" w:hAnsi="Times New Roman" w:cs="Times New Roman"/>
          <w:sz w:val="24"/>
          <w:szCs w:val="24"/>
        </w:rPr>
        <w:t xml:space="preserve">correspondiente que se suscriba entre las partes.  </w:t>
      </w:r>
    </w:p>
    <w:p w14:paraId="68D17F62" w14:textId="781C7B8E" w:rsidR="006E1BB6" w:rsidRPr="00136963" w:rsidRDefault="00850503" w:rsidP="00136963">
      <w:pPr>
        <w:jc w:val="both"/>
        <w:rPr>
          <w:rFonts w:ascii="Times New Roman" w:hAnsi="Times New Roman" w:cs="Times New Roman"/>
          <w:sz w:val="24"/>
          <w:szCs w:val="24"/>
        </w:rPr>
      </w:pPr>
      <w:r w:rsidRPr="00136963">
        <w:rPr>
          <w:rFonts w:ascii="Times New Roman" w:hAnsi="Times New Roman" w:cs="Times New Roman"/>
          <w:b/>
          <w:sz w:val="24"/>
          <w:szCs w:val="24"/>
        </w:rPr>
        <w:t xml:space="preserve">Disposición General </w:t>
      </w:r>
      <w:r w:rsidR="005B7989" w:rsidRPr="00136963">
        <w:rPr>
          <w:rFonts w:ascii="Times New Roman" w:hAnsi="Times New Roman" w:cs="Times New Roman"/>
          <w:b/>
          <w:sz w:val="24"/>
          <w:szCs w:val="24"/>
        </w:rPr>
        <w:t>Única</w:t>
      </w:r>
      <w:r w:rsidRPr="00136963">
        <w:rPr>
          <w:rFonts w:ascii="Times New Roman" w:hAnsi="Times New Roman" w:cs="Times New Roman"/>
          <w:b/>
          <w:sz w:val="24"/>
          <w:szCs w:val="24"/>
        </w:rPr>
        <w:t xml:space="preserve">.- </w:t>
      </w:r>
      <w:r w:rsidRPr="00136963">
        <w:rPr>
          <w:rFonts w:ascii="Times New Roman" w:hAnsi="Times New Roman" w:cs="Times New Roman"/>
          <w:sz w:val="24"/>
          <w:szCs w:val="24"/>
        </w:rPr>
        <w:t>La presente autorización corresponde exclusivamente a la posibilidad legal de alcanzar un</w:t>
      </w:r>
      <w:r w:rsidR="00D01B66" w:rsidRPr="00136963">
        <w:rPr>
          <w:rFonts w:ascii="Times New Roman" w:hAnsi="Times New Roman" w:cs="Times New Roman"/>
          <w:sz w:val="24"/>
          <w:szCs w:val="24"/>
        </w:rPr>
        <w:t xml:space="preserve"> acuerdo </w:t>
      </w:r>
      <w:r w:rsidRPr="00136963">
        <w:rPr>
          <w:rFonts w:ascii="Times New Roman" w:hAnsi="Times New Roman" w:cs="Times New Roman"/>
          <w:sz w:val="24"/>
          <w:szCs w:val="24"/>
        </w:rPr>
        <w:t>en los términos de la letra j) del artículo 331 del COOTAD y en ningún caso avala o valida cualquier error, acción u omisión que se hubiese generado en el marco de la ejecución del contrato o de su proceso de cierre, que en los términos de la Constitución y las leyes de la República</w:t>
      </w:r>
      <w:r w:rsidR="001B318C" w:rsidRPr="00136963">
        <w:rPr>
          <w:rFonts w:ascii="Times New Roman" w:hAnsi="Times New Roman" w:cs="Times New Roman"/>
          <w:sz w:val="24"/>
          <w:szCs w:val="24"/>
        </w:rPr>
        <w:t xml:space="preserve"> del Ecuador</w:t>
      </w:r>
      <w:r w:rsidRPr="00136963">
        <w:rPr>
          <w:rFonts w:ascii="Times New Roman" w:hAnsi="Times New Roman" w:cs="Times New Roman"/>
          <w:sz w:val="24"/>
          <w:szCs w:val="24"/>
        </w:rPr>
        <w:t xml:space="preserve">, son de exclusiva responsabilidad de los </w:t>
      </w:r>
      <w:r w:rsidR="00D01B66" w:rsidRPr="00136963">
        <w:rPr>
          <w:rFonts w:ascii="Times New Roman" w:hAnsi="Times New Roman" w:cs="Times New Roman"/>
          <w:sz w:val="24"/>
          <w:szCs w:val="24"/>
        </w:rPr>
        <w:t>servidores</w:t>
      </w:r>
      <w:r w:rsidRPr="00136963">
        <w:rPr>
          <w:rFonts w:ascii="Times New Roman" w:hAnsi="Times New Roman" w:cs="Times New Roman"/>
          <w:sz w:val="24"/>
          <w:szCs w:val="24"/>
        </w:rPr>
        <w:t xml:space="preserve"> que actuaron en dichos procesos o suscribieron los informes, actas y demás documentos en el marco de tales procesos.</w:t>
      </w:r>
    </w:p>
    <w:p w14:paraId="4810BB34" w14:textId="6C2CDF83" w:rsidR="006E1BB6" w:rsidRPr="00136963" w:rsidRDefault="00850503" w:rsidP="00136963">
      <w:pPr>
        <w:jc w:val="both"/>
        <w:rPr>
          <w:rFonts w:ascii="Times New Roman" w:hAnsi="Times New Roman" w:cs="Times New Roman"/>
          <w:sz w:val="24"/>
          <w:szCs w:val="24"/>
        </w:rPr>
      </w:pPr>
      <w:r w:rsidRPr="00136963">
        <w:rPr>
          <w:rFonts w:ascii="Times New Roman" w:hAnsi="Times New Roman" w:cs="Times New Roman"/>
          <w:b/>
          <w:sz w:val="24"/>
          <w:szCs w:val="24"/>
        </w:rPr>
        <w:t xml:space="preserve">Disposición </w:t>
      </w:r>
      <w:r w:rsidR="005B7989" w:rsidRPr="00136963">
        <w:rPr>
          <w:rFonts w:ascii="Times New Roman" w:hAnsi="Times New Roman" w:cs="Times New Roman"/>
          <w:b/>
          <w:sz w:val="24"/>
          <w:szCs w:val="24"/>
        </w:rPr>
        <w:t>Final. -</w:t>
      </w:r>
      <w:r w:rsidRPr="00136963">
        <w:rPr>
          <w:rFonts w:ascii="Times New Roman" w:hAnsi="Times New Roman" w:cs="Times New Roman"/>
          <w:b/>
          <w:sz w:val="24"/>
          <w:szCs w:val="24"/>
        </w:rPr>
        <w:t xml:space="preserve"> </w:t>
      </w:r>
      <w:r w:rsidRPr="00136963">
        <w:rPr>
          <w:rFonts w:ascii="Times New Roman" w:hAnsi="Times New Roman" w:cs="Times New Roman"/>
          <w:sz w:val="24"/>
          <w:szCs w:val="24"/>
        </w:rPr>
        <w:t xml:space="preserve">La presente </w:t>
      </w:r>
      <w:r w:rsidR="00436EE5" w:rsidRPr="00136963">
        <w:rPr>
          <w:rFonts w:ascii="Times New Roman" w:hAnsi="Times New Roman" w:cs="Times New Roman"/>
          <w:sz w:val="24"/>
          <w:szCs w:val="24"/>
        </w:rPr>
        <w:t>r</w:t>
      </w:r>
      <w:r w:rsidRPr="00136963">
        <w:rPr>
          <w:rFonts w:ascii="Times New Roman" w:hAnsi="Times New Roman" w:cs="Times New Roman"/>
          <w:sz w:val="24"/>
          <w:szCs w:val="24"/>
        </w:rPr>
        <w:t>esolución entrará en vigencia a partir de su</w:t>
      </w:r>
      <w:r w:rsidR="006012EB" w:rsidRPr="00136963">
        <w:rPr>
          <w:rFonts w:ascii="Times New Roman" w:hAnsi="Times New Roman" w:cs="Times New Roman"/>
          <w:sz w:val="24"/>
          <w:szCs w:val="24"/>
        </w:rPr>
        <w:t xml:space="preserve"> aprobación</w:t>
      </w:r>
      <w:r w:rsidRPr="00136963">
        <w:rPr>
          <w:rFonts w:ascii="Times New Roman" w:hAnsi="Times New Roman" w:cs="Times New Roman"/>
          <w:sz w:val="24"/>
          <w:szCs w:val="24"/>
        </w:rPr>
        <w:t xml:space="preserve">. </w:t>
      </w:r>
    </w:p>
    <w:p w14:paraId="3FF92C82" w14:textId="3FCF4088" w:rsidR="005B7989" w:rsidRPr="00136963" w:rsidRDefault="005B7989" w:rsidP="00136963">
      <w:pPr>
        <w:jc w:val="both"/>
        <w:rPr>
          <w:rFonts w:ascii="Times New Roman" w:hAnsi="Times New Roman" w:cs="Times New Roman"/>
          <w:sz w:val="24"/>
          <w:szCs w:val="24"/>
        </w:rPr>
      </w:pPr>
      <w:r w:rsidRPr="00136963">
        <w:rPr>
          <w:rFonts w:ascii="Times New Roman" w:hAnsi="Times New Roman" w:cs="Times New Roman"/>
          <w:sz w:val="24"/>
          <w:szCs w:val="24"/>
        </w:rPr>
        <w:t xml:space="preserve">Dado y firmado en la ciudad de San Francisco de Quito, a los </w:t>
      </w:r>
      <w:r w:rsidRPr="00136963">
        <w:rPr>
          <w:rFonts w:ascii="Times New Roman" w:hAnsi="Times New Roman" w:cs="Times New Roman"/>
          <w:sz w:val="24"/>
          <w:szCs w:val="24"/>
          <w:highlight w:val="green"/>
        </w:rPr>
        <w:t xml:space="preserve">XXX </w:t>
      </w:r>
      <w:r w:rsidR="00E414F3">
        <w:rPr>
          <w:rFonts w:ascii="Times New Roman" w:hAnsi="Times New Roman" w:cs="Times New Roman"/>
          <w:sz w:val="24"/>
          <w:szCs w:val="24"/>
        </w:rPr>
        <w:t xml:space="preserve">días del mes de junio </w:t>
      </w:r>
      <w:r w:rsidRPr="00136963">
        <w:rPr>
          <w:rFonts w:ascii="Times New Roman" w:hAnsi="Times New Roman" w:cs="Times New Roman"/>
          <w:sz w:val="24"/>
          <w:szCs w:val="24"/>
        </w:rPr>
        <w:t>de 2024.</w:t>
      </w:r>
      <w:r w:rsidRPr="00136963">
        <w:rPr>
          <w:rFonts w:ascii="Times New Roman" w:hAnsi="Times New Roman" w:cs="Times New Roman"/>
          <w:sz w:val="24"/>
          <w:szCs w:val="24"/>
        </w:rPr>
        <w:cr/>
      </w:r>
    </w:p>
    <w:p w14:paraId="73B9DB0E" w14:textId="7234F8F5" w:rsidR="006E1BB6" w:rsidRPr="00136963" w:rsidRDefault="00850503" w:rsidP="00136963">
      <w:pPr>
        <w:jc w:val="both"/>
        <w:rPr>
          <w:rFonts w:ascii="Times New Roman" w:hAnsi="Times New Roman" w:cs="Times New Roman"/>
          <w:sz w:val="24"/>
          <w:szCs w:val="24"/>
        </w:rPr>
      </w:pPr>
      <w:r w:rsidRPr="00136963">
        <w:rPr>
          <w:rFonts w:ascii="Times New Roman" w:hAnsi="Times New Roman" w:cs="Times New Roman"/>
          <w:b/>
          <w:sz w:val="24"/>
          <w:szCs w:val="24"/>
        </w:rPr>
        <w:t>Alcaldía del Distrito Metropolitano.</w:t>
      </w:r>
      <w:r w:rsidRPr="00136963">
        <w:rPr>
          <w:rFonts w:ascii="Times New Roman" w:hAnsi="Times New Roman" w:cs="Times New Roman"/>
          <w:sz w:val="24"/>
          <w:szCs w:val="24"/>
        </w:rPr>
        <w:t xml:space="preserve"> - Distrito Metropolitano de Quito, </w:t>
      </w:r>
      <w:r w:rsidRPr="00136963">
        <w:rPr>
          <w:rFonts w:ascii="Times New Roman" w:hAnsi="Times New Roman" w:cs="Times New Roman"/>
          <w:sz w:val="24"/>
          <w:szCs w:val="24"/>
          <w:highlight w:val="green"/>
        </w:rPr>
        <w:t>XXXX</w:t>
      </w:r>
      <w:r w:rsidR="00E414F3">
        <w:rPr>
          <w:rFonts w:ascii="Times New Roman" w:hAnsi="Times New Roman" w:cs="Times New Roman"/>
          <w:sz w:val="24"/>
          <w:szCs w:val="24"/>
        </w:rPr>
        <w:t xml:space="preserve"> del mes junio</w:t>
      </w:r>
      <w:bookmarkStart w:id="0" w:name="_GoBack"/>
      <w:bookmarkEnd w:id="0"/>
      <w:r w:rsidR="00EF65A3" w:rsidRPr="00136963">
        <w:rPr>
          <w:rFonts w:ascii="Times New Roman" w:hAnsi="Times New Roman" w:cs="Times New Roman"/>
          <w:sz w:val="24"/>
          <w:szCs w:val="24"/>
        </w:rPr>
        <w:t xml:space="preserve"> de 2024</w:t>
      </w:r>
      <w:r w:rsidRPr="00136963">
        <w:rPr>
          <w:rFonts w:ascii="Times New Roman" w:hAnsi="Times New Roman" w:cs="Times New Roman"/>
          <w:sz w:val="24"/>
          <w:szCs w:val="24"/>
        </w:rPr>
        <w:t xml:space="preserve">. </w:t>
      </w:r>
    </w:p>
    <w:p w14:paraId="23B849B9" w14:textId="77777777" w:rsidR="006E1BB6" w:rsidRPr="00136963" w:rsidRDefault="006E1BB6" w:rsidP="00136963">
      <w:pPr>
        <w:jc w:val="both"/>
        <w:rPr>
          <w:rFonts w:ascii="Times New Roman" w:hAnsi="Times New Roman" w:cs="Times New Roman"/>
          <w:sz w:val="24"/>
          <w:szCs w:val="24"/>
        </w:rPr>
      </w:pPr>
    </w:p>
    <w:p w14:paraId="6FF0F20E" w14:textId="77777777" w:rsidR="006E1BB6" w:rsidRPr="00136963" w:rsidRDefault="006E1BB6" w:rsidP="00136963">
      <w:pPr>
        <w:spacing w:after="0" w:line="240" w:lineRule="auto"/>
        <w:jc w:val="both"/>
        <w:rPr>
          <w:rFonts w:ascii="Times New Roman" w:hAnsi="Times New Roman" w:cs="Times New Roman"/>
          <w:sz w:val="24"/>
          <w:szCs w:val="24"/>
        </w:rPr>
      </w:pPr>
    </w:p>
    <w:p w14:paraId="0982F79A" w14:textId="77777777" w:rsidR="006E1BB6" w:rsidRPr="00136963" w:rsidRDefault="006E1BB6" w:rsidP="00136963">
      <w:pPr>
        <w:spacing w:after="0" w:line="240" w:lineRule="auto"/>
        <w:jc w:val="both"/>
        <w:rPr>
          <w:rFonts w:ascii="Times New Roman" w:hAnsi="Times New Roman" w:cs="Times New Roman"/>
          <w:sz w:val="24"/>
          <w:szCs w:val="24"/>
        </w:rPr>
      </w:pPr>
    </w:p>
    <w:p w14:paraId="006193CF" w14:textId="5B43D447" w:rsidR="006E1BB6" w:rsidRPr="00136963" w:rsidRDefault="00EF65A3" w:rsidP="00136963">
      <w:pPr>
        <w:spacing w:after="0" w:line="240" w:lineRule="auto"/>
        <w:jc w:val="both"/>
        <w:rPr>
          <w:rFonts w:ascii="Times New Roman" w:hAnsi="Times New Roman" w:cs="Times New Roman"/>
          <w:sz w:val="24"/>
          <w:szCs w:val="24"/>
        </w:rPr>
      </w:pPr>
      <w:r w:rsidRPr="00136963">
        <w:rPr>
          <w:rFonts w:ascii="Times New Roman" w:hAnsi="Times New Roman" w:cs="Times New Roman"/>
          <w:sz w:val="24"/>
          <w:szCs w:val="24"/>
        </w:rPr>
        <w:t>Pabel Muñoz López</w:t>
      </w:r>
    </w:p>
    <w:p w14:paraId="3A701CE7" w14:textId="77777777" w:rsidR="006E1BB6" w:rsidRPr="00136963" w:rsidRDefault="00850503" w:rsidP="00136963">
      <w:pPr>
        <w:spacing w:after="0" w:line="240" w:lineRule="auto"/>
        <w:jc w:val="both"/>
        <w:rPr>
          <w:rFonts w:ascii="Times New Roman" w:hAnsi="Times New Roman" w:cs="Times New Roman"/>
          <w:sz w:val="24"/>
          <w:szCs w:val="24"/>
        </w:rPr>
      </w:pPr>
      <w:r w:rsidRPr="00136963">
        <w:rPr>
          <w:rFonts w:ascii="Times New Roman" w:hAnsi="Times New Roman" w:cs="Times New Roman"/>
          <w:b/>
          <w:sz w:val="24"/>
          <w:szCs w:val="24"/>
        </w:rPr>
        <w:t>ALCALDE DEL DISTRITO METROPOLITANO DE QUITO</w:t>
      </w:r>
    </w:p>
    <w:p w14:paraId="7A11A64E" w14:textId="77777777" w:rsidR="006E1BB6" w:rsidRPr="00136963" w:rsidRDefault="006E1BB6" w:rsidP="00136963">
      <w:pPr>
        <w:autoSpaceDE w:val="0"/>
        <w:autoSpaceDN w:val="0"/>
        <w:adjustRightInd w:val="0"/>
        <w:spacing w:line="276" w:lineRule="auto"/>
        <w:jc w:val="both"/>
        <w:rPr>
          <w:rFonts w:ascii="Times New Roman" w:hAnsi="Times New Roman" w:cs="Times New Roman"/>
          <w:sz w:val="24"/>
          <w:szCs w:val="24"/>
        </w:rPr>
      </w:pPr>
    </w:p>
    <w:p w14:paraId="52E331B3" w14:textId="1B3E4D75" w:rsidR="00B02692" w:rsidRPr="00136963" w:rsidRDefault="00B02692" w:rsidP="00136963">
      <w:pPr>
        <w:jc w:val="both"/>
        <w:rPr>
          <w:rFonts w:ascii="Times New Roman" w:hAnsi="Times New Roman" w:cs="Times New Roman"/>
          <w:sz w:val="24"/>
          <w:szCs w:val="24"/>
        </w:rPr>
      </w:pPr>
      <w:r w:rsidRPr="00136963">
        <w:rPr>
          <w:rFonts w:ascii="Times New Roman" w:hAnsi="Times New Roman" w:cs="Times New Roman"/>
          <w:b/>
          <w:sz w:val="24"/>
          <w:szCs w:val="24"/>
        </w:rPr>
        <w:t>CERTIFICO,</w:t>
      </w:r>
      <w:r w:rsidRPr="00136963">
        <w:rPr>
          <w:rFonts w:ascii="Times New Roman" w:hAnsi="Times New Roman" w:cs="Times New Roman"/>
          <w:sz w:val="24"/>
          <w:szCs w:val="24"/>
        </w:rPr>
        <w:t xml:space="preserve"> que la presente resolución fue discutida y aprobada en la sesión pública Nro. </w:t>
      </w:r>
      <w:r w:rsidR="00E414F3" w:rsidRPr="00136963">
        <w:rPr>
          <w:rFonts w:ascii="Times New Roman" w:hAnsi="Times New Roman" w:cs="Times New Roman"/>
          <w:sz w:val="24"/>
          <w:szCs w:val="24"/>
        </w:rPr>
        <w:t>X</w:t>
      </w:r>
      <w:r w:rsidRPr="00136963">
        <w:rPr>
          <w:rFonts w:ascii="Times New Roman" w:hAnsi="Times New Roman" w:cs="Times New Roman"/>
          <w:sz w:val="24"/>
          <w:szCs w:val="24"/>
        </w:rPr>
        <w:t>xx</w:t>
      </w:r>
      <w:r w:rsidR="00E414F3">
        <w:rPr>
          <w:rFonts w:ascii="Times New Roman" w:hAnsi="Times New Roman" w:cs="Times New Roman"/>
          <w:sz w:val="24"/>
          <w:szCs w:val="24"/>
        </w:rPr>
        <w:t xml:space="preserve"> extraordinaria</w:t>
      </w:r>
      <w:r w:rsidRPr="00136963">
        <w:rPr>
          <w:rFonts w:ascii="Times New Roman" w:hAnsi="Times New Roman" w:cs="Times New Roman"/>
          <w:sz w:val="24"/>
          <w:szCs w:val="24"/>
        </w:rPr>
        <w:t xml:space="preserve"> del Concejo Metropolitano de Quito, el xx de </w:t>
      </w:r>
      <w:r w:rsidR="00E414F3">
        <w:rPr>
          <w:rFonts w:ascii="Times New Roman" w:hAnsi="Times New Roman" w:cs="Times New Roman"/>
          <w:sz w:val="24"/>
          <w:szCs w:val="24"/>
        </w:rPr>
        <w:t>junio</w:t>
      </w:r>
      <w:r w:rsidRPr="00136963">
        <w:rPr>
          <w:rFonts w:ascii="Times New Roman" w:hAnsi="Times New Roman" w:cs="Times New Roman"/>
          <w:sz w:val="24"/>
          <w:szCs w:val="24"/>
        </w:rPr>
        <w:t xml:space="preserve"> de 2024; y, suscrita por el señor Pabel Muñoz López, Alcalde del Distrito Metropolitano de Quito, el xx de </w:t>
      </w:r>
      <w:r w:rsidR="00E414F3">
        <w:rPr>
          <w:rFonts w:ascii="Times New Roman" w:hAnsi="Times New Roman" w:cs="Times New Roman"/>
          <w:sz w:val="24"/>
          <w:szCs w:val="24"/>
        </w:rPr>
        <w:t>junio</w:t>
      </w:r>
      <w:r w:rsidRPr="00136963">
        <w:rPr>
          <w:rFonts w:ascii="Times New Roman" w:hAnsi="Times New Roman" w:cs="Times New Roman"/>
          <w:sz w:val="24"/>
          <w:szCs w:val="24"/>
        </w:rPr>
        <w:t xml:space="preserve"> de 2024.</w:t>
      </w:r>
    </w:p>
    <w:p w14:paraId="70F66F99" w14:textId="77777777" w:rsidR="00B02692" w:rsidRPr="00136963" w:rsidRDefault="00B02692" w:rsidP="00136963">
      <w:pPr>
        <w:jc w:val="both"/>
        <w:rPr>
          <w:rFonts w:ascii="Times New Roman" w:hAnsi="Times New Roman" w:cs="Times New Roman"/>
          <w:b/>
          <w:sz w:val="24"/>
          <w:szCs w:val="24"/>
        </w:rPr>
      </w:pPr>
      <w:r w:rsidRPr="00136963">
        <w:rPr>
          <w:rFonts w:ascii="Times New Roman" w:hAnsi="Times New Roman" w:cs="Times New Roman"/>
          <w:b/>
          <w:sz w:val="24"/>
          <w:szCs w:val="24"/>
        </w:rPr>
        <w:t xml:space="preserve"> </w:t>
      </w:r>
    </w:p>
    <w:p w14:paraId="39243D0A" w14:textId="1CF1D09D" w:rsidR="00B02692" w:rsidRPr="00136963" w:rsidRDefault="00B02692" w:rsidP="00136963">
      <w:pPr>
        <w:jc w:val="both"/>
        <w:rPr>
          <w:rFonts w:ascii="Times New Roman" w:hAnsi="Times New Roman" w:cs="Times New Roman"/>
          <w:sz w:val="24"/>
          <w:szCs w:val="24"/>
        </w:rPr>
      </w:pPr>
      <w:r w:rsidRPr="00136963">
        <w:rPr>
          <w:rFonts w:ascii="Times New Roman" w:eastAsia="SimSun" w:hAnsi="Times New Roman" w:cs="Times New Roman"/>
          <w:b/>
          <w:sz w:val="24"/>
          <w:szCs w:val="24"/>
        </w:rPr>
        <w:t>Lo</w:t>
      </w:r>
      <w:r w:rsidRPr="00136963">
        <w:rPr>
          <w:rFonts w:ascii="Times New Roman" w:eastAsia="SimSun" w:hAnsi="Times New Roman" w:cs="Times New Roman"/>
          <w:b/>
          <w:spacing w:val="-2"/>
          <w:sz w:val="24"/>
          <w:szCs w:val="24"/>
        </w:rPr>
        <w:t xml:space="preserve"> </w:t>
      </w:r>
      <w:r w:rsidRPr="00136963">
        <w:rPr>
          <w:rFonts w:ascii="Times New Roman" w:eastAsia="SimSun" w:hAnsi="Times New Roman" w:cs="Times New Roman"/>
          <w:b/>
          <w:sz w:val="24"/>
          <w:szCs w:val="24"/>
        </w:rPr>
        <w:t>certifico.</w:t>
      </w:r>
      <w:r w:rsidRPr="00136963">
        <w:rPr>
          <w:rFonts w:ascii="Times New Roman" w:eastAsia="SimSun" w:hAnsi="Times New Roman" w:cs="Times New Roman"/>
          <w:b/>
          <w:spacing w:val="-6"/>
          <w:sz w:val="24"/>
          <w:szCs w:val="24"/>
        </w:rPr>
        <w:t xml:space="preserve"> </w:t>
      </w:r>
      <w:r w:rsidRPr="00136963">
        <w:rPr>
          <w:rFonts w:ascii="Times New Roman" w:eastAsia="SimSun" w:hAnsi="Times New Roman" w:cs="Times New Roman"/>
          <w:b/>
          <w:sz w:val="24"/>
          <w:szCs w:val="24"/>
        </w:rPr>
        <w:t xml:space="preserve">- </w:t>
      </w:r>
      <w:r w:rsidRPr="00136963">
        <w:rPr>
          <w:rFonts w:ascii="Times New Roman" w:eastAsia="SimSun" w:hAnsi="Times New Roman" w:cs="Times New Roman"/>
          <w:sz w:val="24"/>
          <w:szCs w:val="24"/>
        </w:rPr>
        <w:t>Distrito</w:t>
      </w:r>
      <w:r w:rsidRPr="00136963">
        <w:rPr>
          <w:rFonts w:ascii="Times New Roman" w:eastAsia="SimSun" w:hAnsi="Times New Roman" w:cs="Times New Roman"/>
          <w:spacing w:val="-1"/>
          <w:sz w:val="24"/>
          <w:szCs w:val="24"/>
        </w:rPr>
        <w:t xml:space="preserve"> </w:t>
      </w:r>
      <w:r w:rsidRPr="00136963">
        <w:rPr>
          <w:rFonts w:ascii="Times New Roman" w:eastAsia="SimSun" w:hAnsi="Times New Roman" w:cs="Times New Roman"/>
          <w:sz w:val="24"/>
          <w:szCs w:val="24"/>
        </w:rPr>
        <w:t>Metropolitano</w:t>
      </w:r>
      <w:r w:rsidRPr="00136963">
        <w:rPr>
          <w:rFonts w:ascii="Times New Roman" w:eastAsia="SimSun" w:hAnsi="Times New Roman" w:cs="Times New Roman"/>
          <w:spacing w:val="-1"/>
          <w:sz w:val="24"/>
          <w:szCs w:val="24"/>
        </w:rPr>
        <w:t xml:space="preserve"> </w:t>
      </w:r>
      <w:r w:rsidRPr="00136963">
        <w:rPr>
          <w:rFonts w:ascii="Times New Roman" w:eastAsia="SimSun" w:hAnsi="Times New Roman" w:cs="Times New Roman"/>
          <w:sz w:val="24"/>
          <w:szCs w:val="24"/>
        </w:rPr>
        <w:t>de</w:t>
      </w:r>
      <w:r w:rsidRPr="00136963">
        <w:rPr>
          <w:rFonts w:ascii="Times New Roman" w:eastAsia="SimSun" w:hAnsi="Times New Roman" w:cs="Times New Roman"/>
          <w:spacing w:val="-3"/>
          <w:sz w:val="24"/>
          <w:szCs w:val="24"/>
        </w:rPr>
        <w:t xml:space="preserve"> </w:t>
      </w:r>
      <w:r w:rsidRPr="00136963">
        <w:rPr>
          <w:rFonts w:ascii="Times New Roman" w:eastAsia="SimSun" w:hAnsi="Times New Roman" w:cs="Times New Roman"/>
          <w:sz w:val="24"/>
          <w:szCs w:val="24"/>
        </w:rPr>
        <w:t xml:space="preserve">Quito, </w:t>
      </w:r>
      <w:r w:rsidRPr="00136963">
        <w:rPr>
          <w:rFonts w:ascii="Times New Roman" w:hAnsi="Times New Roman" w:cs="Times New Roman"/>
          <w:sz w:val="24"/>
          <w:szCs w:val="24"/>
        </w:rPr>
        <w:t>xx</w:t>
      </w:r>
      <w:r w:rsidR="005B7989" w:rsidRPr="00136963">
        <w:rPr>
          <w:rFonts w:ascii="Times New Roman" w:hAnsi="Times New Roman" w:cs="Times New Roman"/>
          <w:sz w:val="24"/>
          <w:szCs w:val="24"/>
        </w:rPr>
        <w:t>x</w:t>
      </w:r>
      <w:r w:rsidRPr="00136963">
        <w:rPr>
          <w:rFonts w:ascii="Times New Roman" w:hAnsi="Times New Roman" w:cs="Times New Roman"/>
          <w:sz w:val="24"/>
          <w:szCs w:val="24"/>
        </w:rPr>
        <w:t xml:space="preserve"> de </w:t>
      </w:r>
      <w:r w:rsidR="00E414F3">
        <w:rPr>
          <w:rFonts w:ascii="Times New Roman" w:hAnsi="Times New Roman" w:cs="Times New Roman"/>
          <w:sz w:val="24"/>
          <w:szCs w:val="24"/>
        </w:rPr>
        <w:t xml:space="preserve">junio </w:t>
      </w:r>
      <w:r w:rsidRPr="00136963">
        <w:rPr>
          <w:rFonts w:ascii="Times New Roman" w:hAnsi="Times New Roman" w:cs="Times New Roman"/>
          <w:sz w:val="24"/>
          <w:szCs w:val="24"/>
        </w:rPr>
        <w:t>de 2024.</w:t>
      </w:r>
    </w:p>
    <w:p w14:paraId="30590107" w14:textId="5089CA20" w:rsidR="00B02692" w:rsidRPr="00136963" w:rsidRDefault="00B02692" w:rsidP="00136963">
      <w:pPr>
        <w:jc w:val="both"/>
        <w:rPr>
          <w:rFonts w:ascii="Times New Roman" w:hAnsi="Times New Roman" w:cs="Times New Roman"/>
          <w:sz w:val="24"/>
          <w:szCs w:val="24"/>
        </w:rPr>
      </w:pPr>
    </w:p>
    <w:p w14:paraId="61894747" w14:textId="77777777" w:rsidR="00B02692" w:rsidRPr="00136963" w:rsidRDefault="00B02692" w:rsidP="00136963">
      <w:pPr>
        <w:jc w:val="both"/>
        <w:rPr>
          <w:rFonts w:ascii="Times New Roman" w:hAnsi="Times New Roman" w:cs="Times New Roman"/>
          <w:sz w:val="24"/>
          <w:szCs w:val="24"/>
        </w:rPr>
      </w:pPr>
    </w:p>
    <w:p w14:paraId="6A80518C" w14:textId="77777777" w:rsidR="00B02692" w:rsidRPr="00136963" w:rsidRDefault="00B02692" w:rsidP="00136963">
      <w:pPr>
        <w:spacing w:after="0"/>
        <w:jc w:val="both"/>
        <w:rPr>
          <w:rFonts w:ascii="Times New Roman" w:hAnsi="Times New Roman" w:cs="Times New Roman"/>
          <w:sz w:val="24"/>
          <w:szCs w:val="24"/>
        </w:rPr>
      </w:pPr>
      <w:r w:rsidRPr="00136963">
        <w:rPr>
          <w:rFonts w:ascii="Times New Roman" w:hAnsi="Times New Roman" w:cs="Times New Roman"/>
          <w:sz w:val="24"/>
          <w:szCs w:val="24"/>
        </w:rPr>
        <w:t xml:space="preserve">Dra. </w:t>
      </w:r>
      <w:r w:rsidRPr="00136963">
        <w:rPr>
          <w:rFonts w:ascii="Times New Roman" w:hAnsi="Times New Roman" w:cs="Times New Roman"/>
          <w:color w:val="000000"/>
          <w:sz w:val="24"/>
          <w:szCs w:val="24"/>
          <w:shd w:val="clear" w:color="auto" w:fill="FFFFFF"/>
        </w:rPr>
        <w:t>Libia Rivas Ordóñez</w:t>
      </w:r>
    </w:p>
    <w:p w14:paraId="5D883D4E" w14:textId="6E041730" w:rsidR="00B02692" w:rsidRPr="00136963" w:rsidRDefault="00B02692" w:rsidP="00136963">
      <w:pPr>
        <w:ind w:left="5"/>
        <w:jc w:val="both"/>
        <w:rPr>
          <w:rFonts w:ascii="Times New Roman" w:hAnsi="Times New Roman" w:cs="Times New Roman"/>
          <w:sz w:val="24"/>
          <w:szCs w:val="24"/>
        </w:rPr>
      </w:pPr>
      <w:r w:rsidRPr="00136963">
        <w:rPr>
          <w:rFonts w:ascii="Times New Roman" w:hAnsi="Times New Roman" w:cs="Times New Roman"/>
          <w:b/>
          <w:sz w:val="24"/>
          <w:szCs w:val="24"/>
        </w:rPr>
        <w:t>SECRETARIA GENERAL DEL CONCEJO METROPOLITANO</w:t>
      </w:r>
    </w:p>
    <w:sectPr w:rsidR="00B02692" w:rsidRPr="00136963">
      <w:headerReference w:type="even" r:id="rId9"/>
      <w:headerReference w:type="default" r:id="rId10"/>
      <w:footerReference w:type="even" r:id="rId11"/>
      <w:footerReference w:type="default" r:id="rId12"/>
      <w:head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3B141" w14:textId="77777777" w:rsidR="0082301B" w:rsidRDefault="0082301B">
      <w:pPr>
        <w:spacing w:line="240" w:lineRule="auto"/>
      </w:pPr>
      <w:r>
        <w:separator/>
      </w:r>
    </w:p>
  </w:endnote>
  <w:endnote w:type="continuationSeparator" w:id="0">
    <w:p w14:paraId="27A86D43" w14:textId="77777777" w:rsidR="0082301B" w:rsidRDefault="0082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default"/>
    <w:sig w:usb0="00000000" w:usb1="00000000"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2C4A" w14:textId="77777777" w:rsidR="006E1BB6" w:rsidRDefault="008505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20F0B2" w14:textId="77777777" w:rsidR="006E1BB6" w:rsidRDefault="006E1BB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EB55" w14:textId="1E047937" w:rsidR="006E1BB6" w:rsidRDefault="008505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7C1A">
      <w:rPr>
        <w:rStyle w:val="Nmerodepgina"/>
        <w:noProof/>
      </w:rPr>
      <w:t>5</w:t>
    </w:r>
    <w:r>
      <w:rPr>
        <w:rStyle w:val="Nmerodepgina"/>
      </w:rPr>
      <w:fldChar w:fldCharType="end"/>
    </w:r>
  </w:p>
  <w:p w14:paraId="4209FE1C" w14:textId="77777777" w:rsidR="006E1BB6" w:rsidRDefault="006E1BB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627A" w14:textId="77777777" w:rsidR="0082301B" w:rsidRDefault="0082301B">
      <w:pPr>
        <w:spacing w:after="0"/>
      </w:pPr>
      <w:r>
        <w:separator/>
      </w:r>
    </w:p>
  </w:footnote>
  <w:footnote w:type="continuationSeparator" w:id="0">
    <w:p w14:paraId="6E54967B" w14:textId="77777777" w:rsidR="0082301B" w:rsidRDefault="0082301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BBA5" w14:textId="77777777" w:rsidR="006E1BB6" w:rsidRDefault="0082301B">
    <w:pPr>
      <w:pStyle w:val="Encabezado"/>
    </w:pPr>
    <w:r>
      <w:rPr>
        <w:lang w:eastAsia="es-ES"/>
      </w:rPr>
      <w:pict w14:anchorId="0498A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9.25pt;height:99.85pt;rotation:315;z-index:-251656192;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012B" w14:textId="77777777" w:rsidR="006E1BB6" w:rsidRDefault="0082301B">
    <w:pPr>
      <w:pStyle w:val="Encabezado"/>
    </w:pPr>
    <w:r>
      <w:rPr>
        <w:lang w:eastAsia="es-ES"/>
      </w:rPr>
      <w:pict w14:anchorId="700D8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9.25pt;height:99.85pt;rotation:315;z-index:-251657216;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A619" w14:textId="77777777" w:rsidR="006E1BB6" w:rsidRDefault="0082301B">
    <w:pPr>
      <w:pStyle w:val="Encabezado"/>
    </w:pPr>
    <w:r>
      <w:rPr>
        <w:lang w:eastAsia="es-ES"/>
      </w:rPr>
      <w:pict w14:anchorId="512E2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9.25pt;height:99.85pt;rotation:315;z-index:-251655168;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F99"/>
    <w:multiLevelType w:val="hybridMultilevel"/>
    <w:tmpl w:val="5B4601A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05DF7163"/>
    <w:multiLevelType w:val="hybridMultilevel"/>
    <w:tmpl w:val="8A0A29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5F"/>
    <w:rsid w:val="00006457"/>
    <w:rsid w:val="000113D1"/>
    <w:rsid w:val="00027737"/>
    <w:rsid w:val="00066820"/>
    <w:rsid w:val="000946F4"/>
    <w:rsid w:val="00096F9F"/>
    <w:rsid w:val="000A1216"/>
    <w:rsid w:val="000A36D8"/>
    <w:rsid w:val="000B74A8"/>
    <w:rsid w:val="000C2D71"/>
    <w:rsid w:val="000E2475"/>
    <w:rsid w:val="000F3C28"/>
    <w:rsid w:val="000F71C5"/>
    <w:rsid w:val="00101507"/>
    <w:rsid w:val="001150EB"/>
    <w:rsid w:val="00136963"/>
    <w:rsid w:val="00163EC7"/>
    <w:rsid w:val="00174E54"/>
    <w:rsid w:val="00181FBA"/>
    <w:rsid w:val="001969FA"/>
    <w:rsid w:val="001A09D1"/>
    <w:rsid w:val="001B318C"/>
    <w:rsid w:val="001C1363"/>
    <w:rsid w:val="001E613A"/>
    <w:rsid w:val="00204BCA"/>
    <w:rsid w:val="00221E3B"/>
    <w:rsid w:val="00227C17"/>
    <w:rsid w:val="0024131C"/>
    <w:rsid w:val="00246335"/>
    <w:rsid w:val="00250B5C"/>
    <w:rsid w:val="002A6572"/>
    <w:rsid w:val="002C3CC5"/>
    <w:rsid w:val="002C4BA3"/>
    <w:rsid w:val="0032065F"/>
    <w:rsid w:val="003312B6"/>
    <w:rsid w:val="00333A19"/>
    <w:rsid w:val="00333CC1"/>
    <w:rsid w:val="00382A20"/>
    <w:rsid w:val="00395C92"/>
    <w:rsid w:val="003C22D8"/>
    <w:rsid w:val="003E1558"/>
    <w:rsid w:val="003E1D2F"/>
    <w:rsid w:val="00401093"/>
    <w:rsid w:val="004233B7"/>
    <w:rsid w:val="004255A7"/>
    <w:rsid w:val="00436EE5"/>
    <w:rsid w:val="00485316"/>
    <w:rsid w:val="004B241E"/>
    <w:rsid w:val="004B467D"/>
    <w:rsid w:val="004C2A7F"/>
    <w:rsid w:val="004D5FDC"/>
    <w:rsid w:val="00503D0E"/>
    <w:rsid w:val="005105ED"/>
    <w:rsid w:val="005215D5"/>
    <w:rsid w:val="00532A3D"/>
    <w:rsid w:val="005468AC"/>
    <w:rsid w:val="005B7989"/>
    <w:rsid w:val="005C7273"/>
    <w:rsid w:val="005D4F17"/>
    <w:rsid w:val="005D6733"/>
    <w:rsid w:val="005E7321"/>
    <w:rsid w:val="006012EB"/>
    <w:rsid w:val="00605071"/>
    <w:rsid w:val="00607C1A"/>
    <w:rsid w:val="00647E95"/>
    <w:rsid w:val="00653FD7"/>
    <w:rsid w:val="00664DBB"/>
    <w:rsid w:val="00680DB7"/>
    <w:rsid w:val="00685FF6"/>
    <w:rsid w:val="006A2092"/>
    <w:rsid w:val="006B6E46"/>
    <w:rsid w:val="006D246D"/>
    <w:rsid w:val="006E1BB6"/>
    <w:rsid w:val="0071221E"/>
    <w:rsid w:val="007125D8"/>
    <w:rsid w:val="00715D76"/>
    <w:rsid w:val="007408CF"/>
    <w:rsid w:val="00740EC4"/>
    <w:rsid w:val="00780777"/>
    <w:rsid w:val="00783763"/>
    <w:rsid w:val="007C69C6"/>
    <w:rsid w:val="007E494F"/>
    <w:rsid w:val="00800250"/>
    <w:rsid w:val="00812713"/>
    <w:rsid w:val="0082301B"/>
    <w:rsid w:val="0083183D"/>
    <w:rsid w:val="00834981"/>
    <w:rsid w:val="00842E99"/>
    <w:rsid w:val="00844A6F"/>
    <w:rsid w:val="00850503"/>
    <w:rsid w:val="008575DA"/>
    <w:rsid w:val="0086027D"/>
    <w:rsid w:val="00875CC7"/>
    <w:rsid w:val="00886D39"/>
    <w:rsid w:val="008875A5"/>
    <w:rsid w:val="0090555F"/>
    <w:rsid w:val="00917961"/>
    <w:rsid w:val="00920748"/>
    <w:rsid w:val="00963794"/>
    <w:rsid w:val="00977AED"/>
    <w:rsid w:val="009B0C50"/>
    <w:rsid w:val="009D618D"/>
    <w:rsid w:val="009E2A1D"/>
    <w:rsid w:val="00A064B3"/>
    <w:rsid w:val="00A26859"/>
    <w:rsid w:val="00A311DB"/>
    <w:rsid w:val="00A37A7A"/>
    <w:rsid w:val="00A41D18"/>
    <w:rsid w:val="00A450FA"/>
    <w:rsid w:val="00A7072A"/>
    <w:rsid w:val="00B01700"/>
    <w:rsid w:val="00B02692"/>
    <w:rsid w:val="00B174DA"/>
    <w:rsid w:val="00B42105"/>
    <w:rsid w:val="00B64706"/>
    <w:rsid w:val="00BF69D6"/>
    <w:rsid w:val="00C15484"/>
    <w:rsid w:val="00C51CCC"/>
    <w:rsid w:val="00C94904"/>
    <w:rsid w:val="00C96B14"/>
    <w:rsid w:val="00CB76FA"/>
    <w:rsid w:val="00D01B66"/>
    <w:rsid w:val="00D37A26"/>
    <w:rsid w:val="00D456D6"/>
    <w:rsid w:val="00D605D6"/>
    <w:rsid w:val="00D612A4"/>
    <w:rsid w:val="00D777EE"/>
    <w:rsid w:val="00D9625D"/>
    <w:rsid w:val="00DC2550"/>
    <w:rsid w:val="00DD4349"/>
    <w:rsid w:val="00E02B17"/>
    <w:rsid w:val="00E066A6"/>
    <w:rsid w:val="00E27CD8"/>
    <w:rsid w:val="00E414F3"/>
    <w:rsid w:val="00E47D52"/>
    <w:rsid w:val="00E50A3A"/>
    <w:rsid w:val="00E91346"/>
    <w:rsid w:val="00E93C77"/>
    <w:rsid w:val="00E94CE3"/>
    <w:rsid w:val="00ED50EC"/>
    <w:rsid w:val="00EF65A3"/>
    <w:rsid w:val="00F12F64"/>
    <w:rsid w:val="00F36929"/>
    <w:rsid w:val="00F94E8F"/>
    <w:rsid w:val="00FA3F6A"/>
    <w:rsid w:val="00FD7AFE"/>
    <w:rsid w:val="00FE7406"/>
    <w:rsid w:val="00FF509A"/>
    <w:rsid w:val="03941499"/>
    <w:rsid w:val="3C017A86"/>
    <w:rsid w:val="47C97AF9"/>
    <w:rsid w:val="5E5550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640042"/>
  <w14:defaultImageDpi w14:val="300"/>
  <w15:docId w15:val="{2483E264-C8F7-4D7B-917D-C7BF808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1"/>
    <w:qFormat/>
    <w:pPr>
      <w:widowControl w:val="0"/>
      <w:autoSpaceDE w:val="0"/>
      <w:autoSpaceDN w:val="0"/>
      <w:spacing w:after="0" w:line="240" w:lineRule="auto"/>
      <w:ind w:left="982"/>
      <w:jc w:val="both"/>
      <w:outlineLvl w:val="1"/>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Nmerodepgina">
    <w:name w:val="page number"/>
    <w:basedOn w:val="Fuentedeprrafopredeter"/>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pPr>
      <w:spacing w:after="0" w:line="240" w:lineRule="auto"/>
    </w:pPr>
    <w:rPr>
      <w:rFonts w:ascii="Lucida Grande" w:hAnsi="Lucida Grande" w:cs="Lucida Grande"/>
      <w:sz w:val="18"/>
      <w:szCs w:val="18"/>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Times New Roman" w:eastAsia="Times New Roman" w:hAnsi="Times New Roman" w:cs="Times New Roman"/>
      <w:lang w:val="es-ES"/>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rPr>
      <w:rFonts w:ascii="Lucida Grande" w:eastAsiaTheme="minorHAnsi" w:hAnsi="Lucida Grande" w:cs="Lucida Grande"/>
      <w:sz w:val="18"/>
      <w:szCs w:val="18"/>
      <w:lang w:val="es-EC" w:eastAsia="en-US"/>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sz w:val="22"/>
      <w:szCs w:val="22"/>
      <w:lang w:val="es-ES" w:eastAsia="en-US"/>
    </w:rPr>
  </w:style>
  <w:style w:type="paragraph" w:styleId="Prrafodelista">
    <w:name w:val="List Paragraph"/>
    <w:basedOn w:val="Normal"/>
    <w:uiPriority w:val="34"/>
    <w:qFormat/>
    <w:pPr>
      <w:widowControl w:val="0"/>
      <w:autoSpaceDE w:val="0"/>
      <w:autoSpaceDN w:val="0"/>
      <w:spacing w:after="0" w:line="240" w:lineRule="auto"/>
      <w:ind w:left="2062" w:hanging="720"/>
    </w:pPr>
    <w:rPr>
      <w:rFonts w:ascii="Times New Roman" w:eastAsia="Times New Roman" w:hAnsi="Times New Roman" w:cs="Times New Roman"/>
      <w:lang w:val="es-ES"/>
    </w:rPr>
  </w:style>
  <w:style w:type="character" w:customStyle="1" w:styleId="Ttulo2Car">
    <w:name w:val="Título 2 Car"/>
    <w:basedOn w:val="Fuentedeprrafopredeter"/>
    <w:link w:val="Ttulo2"/>
    <w:uiPriority w:val="1"/>
    <w:rPr>
      <w:rFonts w:ascii="Times New Roman" w:eastAsia="Times New Roman" w:hAnsi="Times New Roman" w:cs="Times New Roman"/>
      <w:b/>
      <w:bCs/>
      <w:sz w:val="22"/>
      <w:szCs w:val="22"/>
      <w:lang w:val="es-ES" w:eastAsia="en-US"/>
    </w:rPr>
  </w:style>
  <w:style w:type="table" w:customStyle="1" w:styleId="TableNormal">
    <w:name w:val="Table Normal"/>
    <w:uiPriority w:val="2"/>
    <w:semiHidden/>
    <w:unhideWhenUsed/>
    <w:qFormat/>
    <w:pPr>
      <w:widowControl w:val="0"/>
      <w:autoSpaceDE w:val="0"/>
      <w:autoSpaceDN w:val="0"/>
    </w:pPr>
    <w:rPr>
      <w:rFonts w:eastAsiaTheme="minorHAns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Pr>
      <w:rFonts w:eastAsiaTheme="minorHAnsi"/>
      <w:sz w:val="22"/>
      <w:szCs w:val="22"/>
      <w:lang w:val="es-EC" w:eastAsia="en-US"/>
    </w:rPr>
  </w:style>
  <w:style w:type="character" w:customStyle="1" w:styleId="EncabezadoCar">
    <w:name w:val="Encabezado Car"/>
    <w:basedOn w:val="Fuentedeprrafopredeter"/>
    <w:link w:val="Encabezado"/>
    <w:uiPriority w:val="99"/>
    <w:rPr>
      <w:rFonts w:eastAsiaTheme="minorHAnsi"/>
      <w:sz w:val="22"/>
      <w:szCs w:val="22"/>
      <w:lang w:val="es-EC" w:eastAsia="en-US"/>
    </w:rPr>
  </w:style>
  <w:style w:type="character" w:styleId="Hipervnculo">
    <w:name w:val="Hyperlink"/>
    <w:basedOn w:val="Fuentedeprrafopredeter"/>
    <w:uiPriority w:val="99"/>
    <w:unhideWhenUsed/>
    <w:rsid w:val="00401093"/>
    <w:rPr>
      <w:color w:val="0000FF" w:themeColor="hyperlink"/>
      <w:u w:val="single"/>
    </w:rPr>
  </w:style>
  <w:style w:type="character" w:customStyle="1" w:styleId="contentline-1040">
    <w:name w:val="contentline-1040"/>
    <w:basedOn w:val="Fuentedeprrafopredeter"/>
    <w:rsid w:val="00401093"/>
  </w:style>
  <w:style w:type="character" w:styleId="Refdecomentario">
    <w:name w:val="annotation reference"/>
    <w:basedOn w:val="Fuentedeprrafopredeter"/>
    <w:uiPriority w:val="99"/>
    <w:semiHidden/>
    <w:unhideWhenUsed/>
    <w:rsid w:val="009D618D"/>
    <w:rPr>
      <w:sz w:val="16"/>
      <w:szCs w:val="16"/>
    </w:rPr>
  </w:style>
  <w:style w:type="paragraph" w:styleId="Textocomentario">
    <w:name w:val="annotation text"/>
    <w:basedOn w:val="Normal"/>
    <w:link w:val="TextocomentarioCar"/>
    <w:uiPriority w:val="99"/>
    <w:semiHidden/>
    <w:unhideWhenUsed/>
    <w:rsid w:val="009D61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18D"/>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9D618D"/>
    <w:rPr>
      <w:b/>
      <w:bCs/>
    </w:rPr>
  </w:style>
  <w:style w:type="character" w:customStyle="1" w:styleId="AsuntodelcomentarioCar">
    <w:name w:val="Asunto del comentario Car"/>
    <w:basedOn w:val="TextocomentarioCar"/>
    <w:link w:val="Asuntodelcomentario"/>
    <w:uiPriority w:val="99"/>
    <w:semiHidden/>
    <w:rsid w:val="009D618D"/>
    <w:rPr>
      <w:rFonts w:asciiTheme="minorHAnsi" w:eastAsiaTheme="minorHAnsi" w:hAnsiTheme="minorHAnsi" w:cstheme="minorBidi"/>
      <w:b/>
      <w:bCs/>
      <w:lang w:eastAsia="en-US"/>
    </w:rPr>
  </w:style>
  <w:style w:type="paragraph" w:customStyle="1" w:styleId="Default">
    <w:name w:val="Default"/>
    <w:rsid w:val="0013696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30717">
      <w:bodyDiv w:val="1"/>
      <w:marLeft w:val="0"/>
      <w:marRight w:val="0"/>
      <w:marTop w:val="0"/>
      <w:marBottom w:val="0"/>
      <w:divBdr>
        <w:top w:val="none" w:sz="0" w:space="0" w:color="auto"/>
        <w:left w:val="none" w:sz="0" w:space="0" w:color="auto"/>
        <w:bottom w:val="none" w:sz="0" w:space="0" w:color="auto"/>
        <w:right w:val="none" w:sz="0" w:space="0" w:color="auto"/>
      </w:divBdr>
      <w:divsChild>
        <w:div w:id="1425687012">
          <w:marLeft w:val="0"/>
          <w:marRight w:val="0"/>
          <w:marTop w:val="0"/>
          <w:marBottom w:val="0"/>
          <w:divBdr>
            <w:top w:val="none" w:sz="0" w:space="0" w:color="auto"/>
            <w:left w:val="none" w:sz="0" w:space="0" w:color="auto"/>
            <w:bottom w:val="none" w:sz="0" w:space="0" w:color="auto"/>
            <w:right w:val="none" w:sz="0" w:space="0" w:color="auto"/>
          </w:divBdr>
          <w:divsChild>
            <w:div w:id="416558479">
              <w:marLeft w:val="0"/>
              <w:marRight w:val="0"/>
              <w:marTop w:val="0"/>
              <w:marBottom w:val="0"/>
              <w:divBdr>
                <w:top w:val="none" w:sz="0" w:space="0" w:color="auto"/>
                <w:left w:val="none" w:sz="0" w:space="0" w:color="auto"/>
                <w:bottom w:val="none" w:sz="0" w:space="0" w:color="auto"/>
                <w:right w:val="none" w:sz="0" w:space="0" w:color="auto"/>
              </w:divBdr>
              <w:divsChild>
                <w:div w:id="18487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9A33C-1889-4CAA-9FE0-5855B4D1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12416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Cacciani</dc:creator>
  <cp:lastModifiedBy>Diana Carolina Pantoja Freire</cp:lastModifiedBy>
  <cp:revision>2</cp:revision>
  <cp:lastPrinted>2024-02-16T22:31:00Z</cp:lastPrinted>
  <dcterms:created xsi:type="dcterms:W3CDTF">2024-06-21T02:54:00Z</dcterms:created>
  <dcterms:modified xsi:type="dcterms:W3CDTF">2024-06-21T02:54:00Z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94A45211ED734F6CB4369FE5A6D08CEE</vt:lpwstr>
  </property>
</Properties>
</file>