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40039062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Fecha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18945312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bfbfbf" w:val="clear"/>
          <w:vertAlign w:val="baseline"/>
          <w:rtl w:val="0"/>
        </w:rPr>
        <w:t xml:space="preserve">informe: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DIRECCIÓN METROPOLITANA DE ORDENAMIENTO TERRITORIAL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32006835937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d9d9d9" w:val="clear"/>
          <w:vertAlign w:val="baseline"/>
          <w:rtl w:val="0"/>
        </w:rPr>
        <w:t xml:space="preserve">INFORME TÉCNICO IT-SHOT-DMOT-2024-0085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sectPr>
          <w:pgSz w:h="16840" w:w="11880" w:orient="portrait"/>
          <w:pgMar w:bottom="1553.2798767089844" w:top="1382.398681640625" w:left="1812.9598999023438" w:right="2754.31884765625" w:header="0" w:footer="720"/>
          <w:pgNumType w:start="1"/>
          <w:cols w:equalWidth="0" w:num="2">
            <w:col w:space="0" w:w="3660"/>
            <w:col w:space="0" w:w="3660"/>
          </w:cols>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 de marzo de 2024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919189453125" w:line="279.88780975341797" w:lineRule="auto"/>
        <w:ind w:left="151.199951171875" w:right="887.8387451171875" w:firstLine="0"/>
        <w:jc w:val="center"/>
        <w:rPr>
          <w:rFonts w:ascii="Calibri" w:cs="Calibri" w:eastAsia="Calibri" w:hAnsi="Calibri"/>
          <w:b w:val="1"/>
          <w:i w:val="0"/>
          <w:smallCaps w:val="0"/>
          <w:strike w:val="0"/>
          <w:color w:val="000000"/>
          <w:sz w:val="24"/>
          <w:szCs w:val="24"/>
          <w:u w:val="none"/>
          <w:shd w:fill="auto" w:val="clear"/>
          <w:vertAlign w:val="baseline"/>
        </w:rPr>
        <w:sectPr>
          <w:type w:val="continuous"/>
          <w:pgSz w:h="16840" w:w="11880" w:orient="portrait"/>
          <w:pgMar w:bottom="1553.2798767089844" w:top="1382.398681640625" w:left="1650.7199096679688" w:right="841.201171875" w:header="0" w:footer="720"/>
          <w:cols w:equalWidth="0" w:num="1">
            <w:col w:space="0" w:w="9388.078918457031"/>
          </w:cols>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Tema: Informe justificativo de factibilidad de creación de tratamientos  </w:t>
      </w:r>
      <w:r w:rsidDel="00000000" w:rsidR="00000000" w:rsidRPr="00000000">
        <w:rPr>
          <w:rFonts w:ascii="Calibri" w:cs="Calibri" w:eastAsia="Calibri" w:hAnsi="Calibri"/>
          <w:b w:val="1"/>
          <w:i w:val="0"/>
          <w:smallCaps w:val="0"/>
          <w:strike w:val="0"/>
          <w:color w:val="000000"/>
          <w:sz w:val="24"/>
          <w:szCs w:val="24"/>
          <w:u w:val="none"/>
          <w:shd w:fill="f2f2f2" w:val="clear"/>
          <w:vertAlign w:val="baseline"/>
          <w:rtl w:val="0"/>
        </w:rPr>
        <w:t xml:space="preserve">urbanísticos para el Distrito Metropolitano de Quito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63232421875" w:line="279.88780975341797"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Equipo  </w:t>
      </w:r>
      <w:r w:rsidDel="00000000" w:rsidR="00000000" w:rsidRPr="00000000">
        <w:rPr>
          <w:rFonts w:ascii="Calibri" w:cs="Calibri" w:eastAsia="Calibri" w:hAnsi="Calibri"/>
          <w:b w:val="1"/>
          <w:i w:val="0"/>
          <w:smallCaps w:val="0"/>
          <w:strike w:val="0"/>
          <w:color w:val="000000"/>
          <w:sz w:val="24"/>
          <w:szCs w:val="24"/>
          <w:u w:val="none"/>
          <w:shd w:fill="bfbfbf" w:val="clear"/>
          <w:vertAlign w:val="baseline"/>
          <w:rtl w:val="0"/>
        </w:rPr>
        <w:t xml:space="preserve">técnico: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sectPr>
          <w:type w:val="continuous"/>
          <w:pgSz w:h="16840" w:w="11880" w:orient="portrait"/>
          <w:pgMar w:bottom="1553.2798767089844" w:top="1382.398681640625" w:left="1803.1199645996094" w:right="3205.2801513671875" w:header="0" w:footer="720"/>
          <w:cols w:equalWidth="0" w:num="2">
            <w:col w:space="0" w:w="3440"/>
            <w:col w:space="0" w:w="3440"/>
          </w:cols>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Dirección Metropolitana de Ordenamiento Territorial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9190673828125" w:line="240" w:lineRule="auto"/>
        <w:ind w:left="71.5776062011718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d9d9d9" w:val="clear"/>
          <w:vertAlign w:val="baseline"/>
          <w:rtl w:val="0"/>
        </w:rPr>
        <w:t xml:space="preserve">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ANTECEDENTES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9063720703125" w:line="258.61870765686035" w:lineRule="auto"/>
        <w:ind w:left="55.680084228515625" w:right="777.7587890625" w:hanging="3.12011718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numerales 14 y 15 del artículo 4 de la Ley Orgánica de Ordenamiento Territorial Uso y  Gestión del Suelo definen los tratamientos urbanísticos para suelo urbano y rural; en  concordancia, el artículo 42 ibídem define el concepto de tratamientos urbanísticos de  manera general y establece, según la clasificación y subclasificación del suelo, cómo estos  deben ser asignados. Adicionalmente, el artículo 42 determina: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Gobiernos Autónomos  Descentralizados municipales y metropolitanos podrán establecer tratamientos adicionales que consideren  necesarios en función de sus características territoriales de conformidad con la legislación vigente”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013916015625" w:line="258.7090015411377" w:lineRule="auto"/>
        <w:ind w:left="17.760009765625" w:right="776.79931640625" w:firstLine="33.1199645996093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 relación a los procesos de competencia de la Superintendencia de Ordenamiento Territorial, Uso y Gestión  de Suelo, el artículo 110 de la LOOTUGS determina: “Las sanciones que sean de competencia de la  Superintendencia, serán resueltas por el órgano competente de la Superintendencia, de conformidad con el  procedimiento establecido en el Reglamento a esta Ley, con respeto al debido proceso y con la garantía del  derecho a la defensa. Hasta antes de la emisión de la resolución por parte de la Superintendencia, la entidad  pública sujeta a control de la Superintendencia podrá ofrecer un compromiso tendiente a enmendar la acción  u omisión motivo del procedimiento sancionatorio y la reparación de los bienes jurídicos afectados. La entidad  pública sujeta a control de la Superintendencia tendrá el plazo de tres meses para cumplir el compromiso, caso  contrario el procedimiento sancionatorio continuará su trámite…”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1085205078125" w:line="258.68316650390625" w:lineRule="auto"/>
        <w:ind w:left="59.28009033203125" w:right="778.23974609375" w:hanging="2.16003417968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42 del Reglamento a la Ley Orgánica de Ordenamiento Territorial, Uso y Gestión  del Suelo establece: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La Ley Orgánica de Ordenamiento Territorial, Uso y Gestión de Suelo  determina varios tratamientos para suelo urbano y rural que pueden ser utilizados total o parcialmente por  los Gobiernos Autónomos Descentralizados municipales y metropolitanos, al tiempo que podrán formular  nuevos tratamientos de acuerdo a su realidad territorial, con el respectivo soporte técnico que justifique su  aplicación.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3407440185547" w:lineRule="auto"/>
        <w:ind w:left="50.879974365234375" w:right="782.880859375" w:hanging="2.40005493164062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Consejo Técnico de Uso y Gestión de Suelo establecerá la norma técnica en la cual se basarán los gobiernos  autónomos municipales o metropolitanos para la asignación de tratamientos para cada Polígono de  Intervención Territorial del suelo urbano y rural del cantón según lo establecido en el artículo 41 de la Ley  Orgánica de Ordenamiento Territorial, Uso y Gestión de Suelo.”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806640625" w:line="258.6965274810791" w:lineRule="auto"/>
        <w:ind w:left="59.28009033203125" w:right="781.23779296875" w:hanging="2.16003417968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42 del Reglamento a la Ley Orgánica de Ordenamiento Territorial, Uso y Gestión  del Suelo establece: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La Ley Orgánica de Ordenamiento Territorial, Uso y Gestión de Suelo  determina varios tratamientos para suelo urbano y rural que pueden ser utilizados total o parcialmente por  los Gobiernos Autónomos Descentralizados municipales y metropolitanos, al tiempo que podrán formular  nuevos tratamientos de acuerdo a su realidad territorial, con el respectivo soporte técnico que justifique su  aplicación.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82275390625" w:line="258.72960090637207" w:lineRule="auto"/>
        <w:ind w:left="50.879974365234375" w:right="777.03857421875" w:hanging="2.40005493164062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Consejo Técnico de Uso y Gestión de Suelo establecerá la norma técnica en la cual se basarán los gobiernos  autónomos municipales o metropolitanos para la asignación de tratamientos para cada Polígono de  Intervención Territorial del suelo urbano y rural del cantón según lo establecido en el artículo 41 de la Ley  Orgánica de Ordenamiento Territorial, Uso y Gestión de Suelo.”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19091796875" w:line="258.5632038116455" w:lineRule="auto"/>
        <w:ind w:left="54.239959716796875" w:right="779.078369140625" w:firstLine="2.88009643554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30 de la Resolución No. 005-CTUGS-2020 establece cómo se debe asignar  tratamientos urbanísticos a los Polígonos de Intervención Territorial en razón de la  subclasificación de suelo y prevé la posibilidad a los Gobiernos Autónomos Descentralizados  puedan crear nuevos tratamientos debidamente justificados.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5703125" w:line="258.61870765686035" w:lineRule="auto"/>
        <w:ind w:left="53.040008544921875" w:right="780.15869140625"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Mediante Ordenanza Metropolitana No. PMDOT-PUGS-001-2021, sancionada el 13 de  septiembre de 2021, se aprobó la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Actualización del Plan Metropolitano de Desarrollo y Ordenamiento  Territorial, y la Aprobación del Plan de Uso y Gestión de Suelo del Distrito Metropolitano de Quito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y  sus apéndices. Misma que fue reformada parcialmente mediante Ordenanza Metropolitana  No. PMDOT-PUGS-002-2021, sancionada el 28 de abril de 2022, a fin de alinear el Plan  Metropolitano de Desarrollo y Ordenamiento Territorial al Plan Nacional de Desarrollo  2021-2025.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010009765625" w:line="258.6964702606201" w:lineRule="auto"/>
        <w:ind w:left="54.239959716796875" w:right="780.87890625" w:firstLine="2.88009643554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6 de la Ordenanza Metropolitana No. PMDOT-PUGS-001-2021 establece que:  “... La entidad encargada del territorio, hábitat y vivienda, durante el primer año de cada  período de gestión revisará el Plan de Uso y Gestión de Suelo y emitirá un informe técnico  que determine el estado de su cumplimiento, el mismo que será puesto en conocimiento del  Consejo Metropolitano de Planificación, de la Comisión de Uso de Suelo y, finalmente, del  Concejo Metropolitano de Quito, para su aprobación. De encontrarse la necesidad 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234619140625" w:line="258.396577835083" w:lineRule="auto"/>
        <w:ind w:left="49.9200439453125" w:right="782.3583984375" w:firstLine="7.200012207031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Concejo Metropolitano de Quito aprobó mediante Ordenanza Metropolitana No. 044- 2022 de 02 de noviembre de 2022, la Ordenanza que sustituye al Título I “Del Régimen  Administrativo del Suelo en el Distrito Metropolitano de Quito” del Libro IV.1. “Del Uso  del Suelo” del Código Municipal para el Distrito Metropolitano de Quito, la cual se publicó  en el Registro Oficial, Edición Especial, No. 602 de 11 de noviembre de 2022;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235595703125" w:line="257.8301239013672" w:lineRule="auto"/>
        <w:ind w:left="55.919952392578125" w:right="847.598876953125" w:firstLine="1.20010375976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Plan de Uso y Gestión del Suelo aprobado con Ordenanza Metropolitana PMDOT PUGS No. 001-2021, entró en vigencia el 11 de noviembre de 2022</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8130855560303" w:lineRule="auto"/>
        <w:ind w:left="17.760009765625" w:right="776.798095703125" w:firstLine="35.2799987792968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Mediante Informe Técnico No. SOT-PAC-INZ9-ITR-001-CT elaborado el 30 de  septiembre de 2022, la Superintendencia de Ordenamiento Territorial, Uso y Gestión de  Suelo, dentro de la evaluación a los Planes de Uso y Gestión del Suelo, en el caso del Distrito  Metropolitano de Quito las recomendaciones del citado informe señala: “Acoger lo que  dispone el artículo 30 de la Resolución Nro. 0005-CTUGS-2020, de Consejo Técnico de Uso  y Gestión del Suelo de NORMA TÉCNICA USO Y GESTIÓN DE SUELO Y PLANES  URBANÍSTICOS DE GADS que manda: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Asignación de tratamientos urbanísticos para los  Polígonos de Intervención Territorial.- Cada PIT deberá contemplar un tratamiento urbanístico específico de  acuerdo a lo descrito en el artículo 4, literales 15 y 16 y, el artículo 42 de la LOOTUGS (...) En el marco  de sus competencias, los GAD municipales y metropolitanos podrán generar nuevos tratamientos, siempre y  cuando su descripción y asignación esté plenamente justificada en el informe de factibilidad que deberá presentar  la dependencia municipal o metropolitana responsable de la planificación y que será posteriormente aprobado  por el Concejo Municipal o Metropolitano dentro de la expedición de la ordenanza de la aprobación de los  PUGS. En ningún caso, el tratamiento aplicable al suelo asignado deberá contraponerse a la vocación y  capacidad de dotación de los sistemas públicos de soporte.”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08447265625" w:line="240" w:lineRule="auto"/>
        <w:ind w:left="63.43444824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d9d9d9" w:val="clear"/>
          <w:vertAlign w:val="baseline"/>
          <w:rtl w:val="0"/>
        </w:rPr>
        <w:t xml:space="preserve">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DESARROLLO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906982421875" w:line="240" w:lineRule="auto"/>
        <w:ind w:left="55.9199523925781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2.1. Asignación de los tratamientos urbanísticos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204833984375" w:line="259.8955821990967" w:lineRule="auto"/>
        <w:ind w:left="64.56008911132812" w:right="1132.5604248046875" w:hanging="12.00012207031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LOOTUGS en su artículo 42 establece la asignación de los tratamientos urbanísticos  según la clasificación del suelo de la siguiente manera: </w:t>
      </w:r>
    </w:p>
    <w:tbl>
      <w:tblPr>
        <w:tblStyle w:val="Table1"/>
        <w:tblW w:w="9352.320709228516" w:type="dxa"/>
        <w:jc w:val="left"/>
        <w:tblInd w:w="51.360015869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5201721191406"/>
        <w:gridCol w:w="3686.7999267578125"/>
        <w:gridCol w:w="3685.0006103515625"/>
        <w:tblGridChange w:id="0">
          <w:tblGrid>
            <w:gridCol w:w="1980.5201721191406"/>
            <w:gridCol w:w="3686.7999267578125"/>
            <w:gridCol w:w="3685.0006103515625"/>
          </w:tblGrid>
        </w:tblGridChange>
      </w:tblGrid>
      <w:tr>
        <w:trPr>
          <w:cantSplit w:val="0"/>
          <w:trHeight w:val="95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54780578613" w:lineRule="auto"/>
              <w:ind w:left="154.80010986328125" w:right="136.1199951171875" w:firstLine="0"/>
              <w:jc w:val="center"/>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CLASIFICACIÓ</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SUBCLASIFICACIÓN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TRATAMIENTOS</w:t>
            </w:r>
          </w:p>
        </w:tc>
      </w:tr>
      <w:tr>
        <w:trPr>
          <w:cantSplit w:val="0"/>
          <w:trHeight w:val="309.60021972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URBANO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Consolidado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1931152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Conservación</w:t>
            </w:r>
          </w:p>
        </w:tc>
      </w:tr>
      <w:tr>
        <w:trPr>
          <w:cantSplit w:val="0"/>
          <w:trHeight w:val="309.60083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71936035156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Sostenimiento </w:t>
            </w:r>
          </w:p>
        </w:tc>
      </w:tr>
      <w:tr>
        <w:trPr>
          <w:cantSplit w:val="0"/>
          <w:trHeight w:val="312.000122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3977050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Renovación</w:t>
            </w:r>
          </w:p>
        </w:tc>
      </w:tr>
      <w:tr>
        <w:trPr>
          <w:cantSplit w:val="0"/>
          <w:trHeight w:val="309.59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No Consolidado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785156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Mejoramiento integral</w:t>
            </w:r>
          </w:p>
        </w:tc>
      </w:tr>
      <w:tr>
        <w:trPr>
          <w:cantSplit w:val="0"/>
          <w:trHeight w:val="309.598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1931152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Consolidación</w:t>
            </w:r>
          </w:p>
        </w:tc>
      </w:tr>
      <w:tr>
        <w:trPr>
          <w:cantSplit w:val="0"/>
          <w:trHeight w:val="309.60083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3925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Desarrollo</w:t>
            </w:r>
          </w:p>
        </w:tc>
      </w:tr>
      <w:tr>
        <w:trPr>
          <w:cantSplit w:val="0"/>
          <w:trHeight w:val="309.600219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Protección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1931152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Conservación</w:t>
            </w:r>
          </w:p>
        </w:tc>
      </w:tr>
      <w:tr>
        <w:trPr>
          <w:cantSplit w:val="0"/>
          <w:trHeight w:val="309.5986938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3977050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12.121582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Expansión Urbana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3925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Desarrollo</w:t>
            </w:r>
          </w:p>
        </w:tc>
      </w:tr>
      <w:tr>
        <w:trPr>
          <w:cantSplit w:val="0"/>
          <w:trHeight w:val="310.07873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Protección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1931152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Conservación</w:t>
            </w:r>
          </w:p>
        </w:tc>
      </w:tr>
      <w:tr>
        <w:trPr>
          <w:cantSplit w:val="0"/>
          <w:trHeight w:val="309.60113525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3977050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09.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Producción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Aprovechamiento Extractivo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5942382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Promoción productiva</w:t>
            </w:r>
          </w:p>
        </w:tc>
      </w:tr>
      <w:tr>
        <w:trPr>
          <w:cantSplit w:val="0"/>
          <w:trHeight w:val="309.5986938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3977050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12.00134277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785156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Mitigación</w:t>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2937812805176" w:lineRule="auto"/>
        <w:ind w:left="57.12005615234375" w:right="778.839111328125" w:firstLine="0"/>
        <w:jc w:val="center"/>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Plan de Uso y Gestión de Suelo en el Capítulo II – Tratamientos Urbanísticos, establece  que: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“Son las disposiciones que orientan las estrategias de planeamiento urbanístico de suelo urbano y rural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3407440185547" w:lineRule="auto"/>
        <w:ind w:left="0" w:right="777.518310546875" w:firstLine="0"/>
        <w:jc w:val="righ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dentro de un polígono de intervención territorial en función de sus características de tipo morfológico, físico  ambiental y socioeconómico, conforme la normativa nacional y metropolitana vigente. Las estrategias de  planeamiento están asignadas a cada polígono de intervención territorial (PIT), que responden a las demandas  y potencialidades de ese territorio. Se aplica un (1) tratamiento urbanístico por cada polígono de intervención.”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7802734375" w:line="258.8250160217285" w:lineRule="auto"/>
        <w:ind w:left="54.000091552734375" w:right="780.919189453125" w:firstLine="1.919860839843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la asignación de tratamientos urbanísticos en el DMQ se identificó la clasificación y  subclasificación de suelo de cada uno de los polígonos de intervención territorial (PIT) del  DMQ conforme a las disposiciones de la ley. A partir de este resultado, se incorporó el  análisis cuantitativo y cualitativo de cada (PIT) en relación a la densidad poblacional, la  existencia de asentamientos humanos regularizados o asentamientos de hecho,  homogeneidad morfológica, características históricas, culturales o paisajísticas, deterioro  físico-ambiental, si requiere intervención o dotación de infraestructura y/o equipamientos, y  si se encuentra en una zona de susceptibilidad alta o muy alta a una amenaza natural.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694091796875" w:line="257.89698600769043" w:lineRule="auto"/>
        <w:ind w:left="57.8399658203125" w:right="781.44287109375" w:hanging="5.27999877929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evaluación de esta información permitió comparar datos entre polígonos de intervención  territorial en el DMQ que evidencian características territoriales comunes en función de los  conceptos de los tratamientos urbanísticos determinados por la ley.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24267578125" w:line="258.69641304016113" w:lineRule="auto"/>
        <w:ind w:left="54.000091552734375" w:right="777.51953125" w:hanging="0.23986816406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manera paralela a las variables cuantitativas y cualitativas, se estableció un procedimiento  para el análisis cartográfico de cada PIT en relación a las características geomorfológicas y de  morfología urbana (tejido, parcelario, trama vial, curvas de nivel y pendiente), territoriales  (edificabilidad, sistemas públicos de soporte), económicas (LUAE-AIVAS), Asentamientos  humanos (asentamientos regularizados y, de hecho), susceptibilidad a amenazas naturales y  antrópicas.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23876953125" w:line="258.89628410339355" w:lineRule="auto"/>
        <w:ind w:left="57.8399658203125" w:right="784.31884765625" w:firstLine="3.8400268554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 los resultados de los análisis técnicos antes mencionados se realiza la asignación de un  tratamiento urbanístico a cada uno de los PIT urbanos y rurales en las siguientes zonas  territoriales: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27.143859863281"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Consolidado – Conservación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de acuerdo con la Declaratoria de Patrimonio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47372</wp:posOffset>
            </wp:positionV>
            <wp:extent cx="1802130" cy="2590800"/>
            <wp:effectExtent b="0" l="0" r="0" t="0"/>
            <wp:wrapSquare wrapText="right" distB="19050" distT="19050" distL="19050" distR="19050"/>
            <wp:docPr id="26" name="image27.png"/>
            <a:graphic>
              <a:graphicData uri="http://schemas.openxmlformats.org/drawingml/2006/picture">
                <pic:pic>
                  <pic:nvPicPr>
                    <pic:cNvPr id="0" name="image27.png"/>
                    <pic:cNvPicPr preferRelativeResize="0"/>
                  </pic:nvPicPr>
                  <pic:blipFill>
                    <a:blip r:embed="rId6"/>
                    <a:srcRect b="0" l="0" r="0" t="0"/>
                    <a:stretch>
                      <a:fillRect/>
                    </a:stretch>
                  </pic:blipFill>
                  <pic:spPr>
                    <a:xfrm>
                      <a:off x="0" y="0"/>
                      <a:ext cx="1802130" cy="2590800"/>
                    </a:xfrm>
                    <a:prstGeom prst="rect"/>
                    <a:ln/>
                  </pic:spPr>
                </pic:pic>
              </a:graphicData>
            </a:graphic>
          </wp:anchor>
        </w:drawing>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1.15722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Nacional y la Ordenanza Metropolitana 260 de áreas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históricas, es decir: el Centro Histórico, el núcleo histórico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2733.07861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Guápulo, Cotocollao y Chillogallo.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40" w:lineRule="auto"/>
        <w:ind w:left="0" w:right="780.758056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núcleos urbanos de las parroquias rurales: Lloa, La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Merced, Checa, El Quinche, Nayón, Guayllabamba, entre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3101.320495605468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otros.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2.3583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Aquellas zonas con vestigios arqueológicos en donde se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79.23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tienen que orientar las acciones que permitan conservar sus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78.5986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características, es el caso del Parque Arqueológico 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3098.440246582031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Ecológico Rumipamba.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7197265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Consolidado – Sostenimiento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0.278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los PITs con los altos niveles de consolidación,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77216</wp:posOffset>
            </wp:positionV>
            <wp:extent cx="1781175" cy="2519680"/>
            <wp:effectExtent b="0" l="0" r="0" t="0"/>
            <wp:wrapSquare wrapText="right" distB="19050" distT="19050" distL="19050" distR="19050"/>
            <wp:docPr id="28"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1781175" cy="2519680"/>
                    </a:xfrm>
                    <a:prstGeom prst="rect"/>
                    <a:ln/>
                  </pic:spPr>
                </pic:pic>
              </a:graphicData>
            </a:graphic>
          </wp:anchor>
        </w:drawing>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0.439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cobertura de servicios, equipamientos, y densidad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81.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poblacional, que responden a características de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120361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homogeneidad morfológica y a la necesidad de establecer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una normativa que mantenga el equilibrio entre el uso, la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2092.51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edificación y los sistemas públicos de soporte.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6394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encuentra de manera predominante en las parroquias de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200439453125" w:line="240" w:lineRule="auto"/>
        <w:ind w:left="0" w:right="781.4001464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Cochapamba, San Isidro del Inca, Carcelén, Chimbacalle, La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Ecuatoriana, Puengasí, Conocoto, Cumbayá, Tababela,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3040.59997558593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Nayón y Pifo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7197265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Consolidado – Renovación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82.8393554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los PITs que por su baja intensidad de uso,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45886</wp:posOffset>
            </wp:positionV>
            <wp:extent cx="1790700" cy="2552065"/>
            <wp:effectExtent b="0" l="0" r="0" t="0"/>
            <wp:wrapSquare wrapText="right" distB="19050" distT="19050" distL="19050" distR="19050"/>
            <wp:docPr id="2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790700" cy="2552065"/>
                    </a:xfrm>
                    <a:prstGeom prst="rect"/>
                    <a:ln/>
                  </pic:spPr>
                </pic:pic>
              </a:graphicData>
            </a:graphic>
          </wp:anchor>
        </w:drawing>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0.9204101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densidad o deterioro morfológico deben ser reemplazados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3061.000061035156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un mediano o largo plazo.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0.6787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Esto sucede en parroquias como Solanda (susceptibilidad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201416015625" w:line="240" w:lineRule="auto"/>
        <w:ind w:left="0" w:right="777.758789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alta y muy alta a la amenaza de subsidencia), Carcelén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2.60009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central, frente a la Panamericana Norte (E35); en Sectores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77.51831054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cercanos a San José del Condado, Río Coca-Granados y La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3596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Pradera; en el Bicentenario (fortalecer la centralidad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1.398925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metropolitana con baja densidad poblacional actual); en la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79.55932617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Av. 10 de Agosto (deterioro), Quitumbe, San Bartolo,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2266.75903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ciertas zonas de Cumbayá, Tumbaco y Pifo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No Consolidado – Mejoramiento Integral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2.438964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PITs con alta necesidad de intervención para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37212</wp:posOffset>
            </wp:positionV>
            <wp:extent cx="1759585" cy="2333371"/>
            <wp:effectExtent b="0" l="0" r="0" t="0"/>
            <wp:wrapSquare wrapText="right" distB="19050" distT="19050" distL="19050" distR="19050"/>
            <wp:docPr id="21"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1759585" cy="2333371"/>
                    </a:xfrm>
                    <a:prstGeom prst="rect"/>
                    <a:ln/>
                  </pic:spPr>
                </pic:pic>
              </a:graphicData>
            </a:graphic>
          </wp:anchor>
        </w:drawing>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2.838134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mejorar la infraestructura vial, servicios públicos,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3005.80017089843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equipamientos y espacios públicos.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4.278564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tratamiento se asignó en parroquias del sur como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5.479736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Chilibulo, Chillogallo, La Ecuatoriana y Guamaní, hacia los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valles en Amaguaña, Puembo y Yaruquí, hacia el norte en El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3007.000427246093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Condado y Calderón.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2996.68029785156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5.318603515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No Consolidado – Consolidación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79.799804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en PITs con alta necesidad de intervención para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57531</wp:posOffset>
            </wp:positionV>
            <wp:extent cx="1769745" cy="2514600"/>
            <wp:effectExtent b="0" l="0" r="0" t="0"/>
            <wp:wrapSquare wrapText="right" distB="19050" distT="19050" distL="19050" distR="19050"/>
            <wp:docPr id="20"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1769745" cy="2514600"/>
                    </a:xfrm>
                    <a:prstGeom prst="rect"/>
                    <a:ln/>
                  </pic:spPr>
                </pic:pic>
              </a:graphicData>
            </a:graphic>
          </wp:anchor>
        </w:drawing>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1584472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mejorar la infraestructura vial, servicios públicos,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7763671875"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equipamientos y espacios públicos.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0" w:right="781.878662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tratamiento se asignó en parroquias del sur como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2.598876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Chilibulo, Chillogallo, La Ecuatoriana y Guamaní, hacia los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0.2001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valles en Amaguaña, Puembo y Yaruquí, hacia el norte en El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40" w:lineRule="auto"/>
        <w:ind w:left="3028.600158691406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Condado y Calderón.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3199462890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No Consolidado – Desarrollo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4.7595214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PITs que no presentan procesos previos de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49784</wp:posOffset>
            </wp:positionV>
            <wp:extent cx="1790065" cy="2555875"/>
            <wp:effectExtent b="0" l="0" r="0" t="0"/>
            <wp:wrapSquare wrapText="right" distB="19050" distT="19050" distL="19050" distR="19050"/>
            <wp:docPr id="25"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1790065" cy="2555875"/>
                    </a:xfrm>
                    <a:prstGeom prst="rect"/>
                    <a:ln/>
                  </pic:spPr>
                </pic:pic>
              </a:graphicData>
            </a:graphic>
          </wp:anchor>
        </w:drawing>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3.56079101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urbanización y qué necesitan de dotación y mejoramiento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0.5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infraestructuras, servicios y equipamientos públicos para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40" w:lineRule="auto"/>
        <w:ind w:left="0" w:right="784.278564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ser transformadas e incorporarse a la estructura urbana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3058.5998535156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existente.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12005615234375" w:line="240" w:lineRule="auto"/>
        <w:ind w:left="0" w:right="783.5583496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es el caso de parroquias como Turubamba, Llano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3.5583496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Chico, Pomasqui, Pifo y Píntag, que evidencian densidades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79.6789550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muy bajas, asentamientos humanos aun dispersos que no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3.079833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conformar una estructura urbana definida, carecen vías que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2.3596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faciliten su accesibilidad y conectividad con las demás zonas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3057.399902343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del DMQ.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400390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Protección – Conservación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1.6381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con el objetivo de conservar y valorar las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73406</wp:posOffset>
            </wp:positionV>
            <wp:extent cx="1800225" cy="2602230"/>
            <wp:effectExtent b="0" l="0" r="0" t="0"/>
            <wp:wrapSquare wrapText="right" distB="19050" distT="19050" distL="19050" distR="19050"/>
            <wp:docPr id="23"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1800225" cy="2602230"/>
                    </a:xfrm>
                    <a:prstGeom prst="rect"/>
                    <a:ln/>
                  </pic:spPr>
                </pic:pic>
              </a:graphicData>
            </a:graphic>
          </wp:anchor>
        </w:drawing>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79.32006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características de alto valor paisajístico, cultural y ambiental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15966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 poseen, como el caso del parque Metropolitano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781.1584472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Guangüiltagua (Iñaquito), Llano Chico y la Loma de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070.840148925781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Puengasí.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8.11889648437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 Protección – Recuperación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79.55932617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PITs que han sufrido un proceso de deterioro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53467</wp:posOffset>
            </wp:positionV>
            <wp:extent cx="1781175" cy="2457450"/>
            <wp:effectExtent b="0" l="0" r="0" t="0"/>
            <wp:wrapSquare wrapText="right" distB="19050" distT="19050" distL="19050" distR="19050"/>
            <wp:docPr id="17"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781175" cy="2457450"/>
                    </a:xfrm>
                    <a:prstGeom prst="rect"/>
                    <a:ln/>
                  </pic:spPr>
                </pic:pic>
              </a:graphicData>
            </a:graphic>
          </wp:anchor>
        </w:drawing>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ambiental y/o paisajístico, debido a afectaciones antrópicas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40" w:lineRule="auto"/>
        <w:ind w:left="0" w:right="781.88110351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 naturales, y cuya recuperación es necesaria para mantener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046.59973144531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equilibrio de los ecosistemas.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0" w:right="781.6394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es el caso de los polígonos correspondientes a las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3.31787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quebradas del Río Machángara, del Río Monjas y una parte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3596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del ramal de la quebrada Carretas, ya que presentan zonas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200439453125" w:line="240" w:lineRule="auto"/>
        <w:ind w:left="0" w:right="781.6394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 asentamientos humanos de hecho en los bordes de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6394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dichas quebradas y su ocupación representa un riesgo para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3046.59973144531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medio ambiente y la población.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9.92004394531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Rural – Expansión Urbana – Desarrollo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60009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todos los PITs de expansión urbana con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73952</wp:posOffset>
            </wp:positionV>
            <wp:extent cx="1790700" cy="2544445"/>
            <wp:effectExtent b="0" l="0" r="0" t="0"/>
            <wp:wrapSquare wrapText="right" distB="19050" distT="19050" distL="19050" distR="1905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790700" cy="2544445"/>
                    </a:xfrm>
                    <a:prstGeom prst="rect"/>
                    <a:ln/>
                  </pic:spPr>
                </pic:pic>
              </a:graphicData>
            </a:graphic>
          </wp:anchor>
        </w:drawing>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79.71923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procesos previos de urbanización muy dispersos y requieren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2.11791992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la dotación de todos los sistemas públicos de soporte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86083984375" w:line="240" w:lineRule="auto"/>
        <w:ind w:left="0" w:right="778.7182617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necesario para transformarse e incorporarse a la estructura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93408203125" w:line="240" w:lineRule="auto"/>
        <w:ind w:left="0" w:right="1217.23999023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urbana existente, están colindantes a la mancha urbana.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08056640625" w:line="240" w:lineRule="auto"/>
        <w:ind w:left="0" w:right="781.6394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Amaguaña (conectar y consolidar territorialmente la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1.6381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parroquia); en Cumbayá, Puembo, Pifo y Tumbaco al ser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0.1989746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áreas en proceso de urbanización producto de las dinámicas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0.039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suburbanización, en Tababela, en zonas de actividades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2745.078735351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complementarias al aeropuerto (ZAC).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8399658203125" w:line="240" w:lineRule="auto"/>
        <w:ind w:left="58.8000488281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uelo Rural – Protección – Conservación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1.398925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con el objetivo de conservar y precautelar el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41022</wp:posOffset>
            </wp:positionV>
            <wp:extent cx="1982978" cy="2235835"/>
            <wp:effectExtent b="0" l="0" r="0" t="0"/>
            <wp:wrapSquare wrapText="right" distB="19050" distT="19050" distL="19050" distR="19050"/>
            <wp:docPr id="18"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1982978" cy="2235835"/>
                    </a:xfrm>
                    <a:prstGeom prst="rect"/>
                    <a:ln/>
                  </pic:spPr>
                </pic:pic>
              </a:graphicData>
            </a:graphic>
          </wp:anchor>
        </w:drawing>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1.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alto valor histórico, paisajístico y ambiental en zonas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78.5986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SNAP, SMANP, Bosques Protectores, Corredores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2716.279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Ecológicos, Humedales y Páramos.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40" w:lineRule="auto"/>
        <w:ind w:left="0" w:right="781.15966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tratamiento es el predominante dentro del suelo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120361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rural y se lo encuentra en áreas como el Chocó Andino,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79.55932617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Ilaló, AIER Atacazo- Pichincha, bosque de Lloa, el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78.23852539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cinturón verde de Quito y el Área de Protección de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31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Humedales de la zona oriental.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71850585937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Rural – Protección – Recuperación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en PITs que han sufrido un proceso de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41783</wp:posOffset>
            </wp:positionV>
            <wp:extent cx="1981200" cy="2365375"/>
            <wp:effectExtent b="0" l="0" r="0" t="0"/>
            <wp:wrapSquare wrapText="right" distB="19050" distT="19050" distL="19050" distR="19050"/>
            <wp:docPr id="14"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981200" cy="2365375"/>
                    </a:xfrm>
                    <a:prstGeom prst="rect"/>
                    <a:ln/>
                  </pic:spPr>
                </pic:pic>
              </a:graphicData>
            </a:graphic>
          </wp:anchor>
        </w:drawing>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398925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deterioro ambiental y/o paisajístico debido al desarrollo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878662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actividades antrópicas, y que necesitan recuperar el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15966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equilibrio de los ecosistemas naturales y evitar el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3360.75988769531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fraccionamiento del suelo.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3857421875" w:line="240" w:lineRule="auto"/>
        <w:ind w:left="0" w:right="782.60009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la parroquia de San Antonio (cuenca baja del río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77.51831054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Monjas y la confluencia con el río Guayllabamba) por el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0.6787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deterioro y contaminación producto de las actividades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200439453125" w:line="240" w:lineRule="auto"/>
        <w:ind w:left="0" w:right="782.3583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extractivas de áridos y pétreos, y en la parroquia de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6394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Guamaní en la zona del INIAP, se evidencian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asentamientos de hecho en la franja de protección sur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358.5998535156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 el límite de Cutuglagua.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91967773437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Rural – Producción – Promoción Productiva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3.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los PITs en concordancia a la Capacidad del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40259</wp:posOffset>
            </wp:positionV>
            <wp:extent cx="1952498" cy="2185035"/>
            <wp:effectExtent b="0" l="0" r="0" t="0"/>
            <wp:wrapSquare wrapText="right" distB="19050" distT="19050" distL="19050" distR="19050"/>
            <wp:docPr id="1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952498" cy="2185035"/>
                    </a:xfrm>
                    <a:prstGeom prst="rect"/>
                    <a:ln/>
                  </pic:spPr>
                </pic:pic>
              </a:graphicData>
            </a:graphic>
          </wp:anchor>
        </w:drawing>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79.720458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Uso de la Tierra (CUT) y zonas que cuentan con vocación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3977050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agroproductiva y están fuera de los sistemas de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79.720458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protección SMANP y SNAP; para potenciar y promover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1.15966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desarrollo agrícola, acuícola, ganadero, forestal y de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983642578125" w:line="240" w:lineRule="auto"/>
        <w:ind w:left="0" w:right="7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turismo, además de privilegiar aquellas actividades que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1720.7592773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garanticen la soberanía alimentaria en el DMQ.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0" w:right="780.1989746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Distribuido en parroquias como Chavezpamba,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6381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Perrucho, Puéllaro , San José de Minas, Amaguaña,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2707.398681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Píntag, Guayllabamba y El Quinche.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840087890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Rural – Producción – Recuperación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2.8393554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PITs que han sido afectados por un proceso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42292</wp:posOffset>
            </wp:positionV>
            <wp:extent cx="1961896" cy="2185035"/>
            <wp:effectExtent b="0" l="0" r="0" t="0"/>
            <wp:wrapSquare wrapText="right" distB="19050" distT="19050" distL="19050" distR="19050"/>
            <wp:docPr id="22"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961896" cy="2185035"/>
                    </a:xfrm>
                    <a:prstGeom prst="rect"/>
                    <a:ln/>
                  </pic:spPr>
                </pic:pic>
              </a:graphicData>
            </a:graphic>
          </wp:anchor>
        </w:drawing>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deterioro ambiental y/o paisajístico, a causa del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6381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desarrollo de las actividades productivas o extractivas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887.3193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mantener el equilibrio de los ecosistemas naturales.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40" w:lineRule="auto"/>
        <w:ind w:left="0" w:right="782.11791992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Como es el caso de la parroquia de Píntag en las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quebradas y ríos provenientes del área de Protección de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2236.279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Humedales que se encuentra deteriorado.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0.52001953125" w:line="240" w:lineRule="auto"/>
        <w:ind w:left="58.8000488281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Suelo Rural – Aprovechamiento Extractivo – Recuperación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189453125" w:line="240" w:lineRule="auto"/>
        <w:ind w:left="0" w:right="785.958251953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Asignado a los PITs que contienen canteras que no tienen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23368</wp:posOffset>
            </wp:positionV>
            <wp:extent cx="1798320" cy="2609850"/>
            <wp:effectExtent b="0" l="0" r="0" t="0"/>
            <wp:wrapSquare wrapText="right" distB="19050" distT="19050" distL="19050" distR="19050"/>
            <wp:docPr id="24"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1798320" cy="2609850"/>
                    </a:xfrm>
                    <a:prstGeom prst="rect"/>
                    <a:ln/>
                  </pic:spPr>
                </pic:pic>
              </a:graphicData>
            </a:graphic>
          </wp:anchor>
        </w:drawing>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787109375" w:line="240" w:lineRule="auto"/>
        <w:ind w:left="0" w:right="1176.43737792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concesión vigente o que se hallan en abandono.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92138671875" w:line="240" w:lineRule="auto"/>
        <w:ind w:left="0" w:right="787.87841796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asignación de este tratamiento impide la habilitación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97021484375" w:line="240" w:lineRule="auto"/>
        <w:ind w:left="0" w:right="787.3986816406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suelo para la extracción de material pétreo, está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0" w:right="783.518066406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dirigido a la recuperación de los pasivos ambientales de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203125" w:line="240" w:lineRule="auto"/>
        <w:ind w:left="0" w:right="786.9189453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conformidad con la normativa vigente (Reglamento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0" w:right="784.3591308593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Ambiental para la Actividad Minera-RAAM), proceso que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0" w:right="789.317626953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 a cargo de la entidad competente. Se encuentra en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200927734375" w:line="240" w:lineRule="auto"/>
        <w:ind w:left="0" w:right="787.39746093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canteras ubicadas principalmente en el barrio de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0" w:right="784.5983886718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Rumicucho en la parroquia de San Antonio y en el barrio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97021484375" w:line="240" w:lineRule="auto"/>
        <w:ind w:left="0" w:right="2683.399658203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la Marquesa de Solá en Pomasqui.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91967773437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Rural – Aprovechamiento Extractivo – Mitigación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15966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PITs que tienen una concesión minera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103759</wp:posOffset>
            </wp:positionV>
            <wp:extent cx="1952117" cy="2117725"/>
            <wp:effectExtent b="0" l="0" r="0" t="0"/>
            <wp:wrapSquare wrapText="right" distB="19050" distT="19050" distL="19050" distR="19050"/>
            <wp:docPr id="19"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1952117" cy="2117725"/>
                    </a:xfrm>
                    <a:prstGeom prst="rect"/>
                    <a:ln/>
                  </pic:spPr>
                </pic:pic>
              </a:graphicData>
            </a:graphic>
          </wp:anchor>
        </w:drawing>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0.679931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vigente o, que tienen zonas con potencial geológico para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79.07836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extracción, verificadas por la Unidad de Áridos y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3310.840148925781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Pétreos del MDMQ.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3857421875" w:line="240" w:lineRule="auto"/>
        <w:ind w:left="0" w:right="7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tratamiento establece las medidas preventivas para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0" w:right="781.878662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minimizar los impactos generados por las actividades de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93408203125"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aprovechamiento extractivo.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08056640625" w:line="240" w:lineRule="auto"/>
        <w:ind w:left="0" w:right="781.6381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encuentra en las parroquias de: Lloa, Píntag, Pifo,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79.799804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Yaruquí, San Antonio, Calderón, Guayllabamba y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86083984375" w:line="240" w:lineRule="auto"/>
        <w:ind w:left="3309.400329589843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Nayón.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0399475097656" w:line="240" w:lineRule="auto"/>
        <w:ind w:left="55.9199523925781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2.2. Tratamientos urbanísticos propuestos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51.360015869140625" w:right="777.998046875" w:firstLine="5.7600402832031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análisis territorial permitió asignar los tratamientos urbanísticos acorde a los conceptos  planteados en la LOOOTUGS; sin embargo, el Distrito Metropolitano de Quito por sus características particulares y las dinámicas territoriales, es necesario la creación de nuevos  tratamientos, como es el caso de las zonas con potencial de transformación por la incidencia  de las estaciones del Metro o BRT, zonas consolidadas en suelo urbano con carencias de  infraestructura y equipamientos, reconocimiento y protección de áreas con valor  arquitectónico y urbanístico que no constan en la declaratoria de Patrimonio Nacional.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5654296875" w:line="258.72960090637207" w:lineRule="auto"/>
        <w:ind w:left="54.96002197265625" w:right="778.118896484375" w:firstLine="2.160034179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suelo rural, se incorporan tratamientos para orientar la restricción de asentamientos  humanos en suelo rural de protección y producción, con el objetivo de fomentar la ocupación  sostenible y proteger las áreas de conservación natural, con presencia de asentamientos  humanos.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89306640625" w:line="240" w:lineRule="auto"/>
        <w:ind w:left="52.5599670410156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nuevos tratamientos urbanísticos para el DMQ son: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59.8966121673584" w:lineRule="auto"/>
        <w:ind w:left="62.400054931640625" w:right="782.880859375" w:firstLine="2.160034179687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 suelo urbano consolidado: Protección urbanística, Potenciación y Mejoramiento  Gradual.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34130859375" w:line="240" w:lineRule="auto"/>
        <w:ind w:left="64.5600891113281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 suelo rural de protección: Ocupación restringida.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40" w:lineRule="auto"/>
        <w:ind w:left="64.5600891113281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 suelo rural de producción: Ocupación sostenible, Ocupación restringida.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204833984375" w:line="258.89628410339355" w:lineRule="auto"/>
        <w:ind w:left="49.9200439453125" w:right="781.0400390625" w:hanging="2.879943847656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 igual que los tratamientos urbanísticos establecidos en la Ley, aquellos propuestos también  guardan concordancia y vinculación con la clasificación y subclasificación del suelo y se  asignan según el siguiente cuadro:</w:t>
      </w:r>
    </w:p>
    <w:tbl>
      <w:tblPr>
        <w:tblStyle w:val="Table2"/>
        <w:tblW w:w="7962.320098876953" w:type="dxa"/>
        <w:jc w:val="left"/>
        <w:tblInd w:w="51.360015869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9.1200256347656"/>
        <w:gridCol w:w="3361.0003662109375"/>
        <w:gridCol w:w="2842.19970703125"/>
        <w:tblGridChange w:id="0">
          <w:tblGrid>
            <w:gridCol w:w="1759.1200256347656"/>
            <w:gridCol w:w="3361.0003662109375"/>
            <w:gridCol w:w="2842.19970703125"/>
          </w:tblGrid>
        </w:tblGridChange>
      </w:tblGrid>
      <w:tr>
        <w:trPr>
          <w:cantSplit w:val="0"/>
          <w:trHeight w:val="86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54780578613" w:lineRule="auto"/>
              <w:ind w:left="131.0400390625" w:right="213.76007080078125" w:hanging="0.720062255859375"/>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CLASIFICACI</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19848632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SUBCLASIFICACIÓN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w:t>
            </w: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RATAMIENTOS</w:t>
            </w:r>
          </w:p>
        </w:tc>
      </w:tr>
      <w:tr>
        <w:trPr>
          <w:cantSplit w:val="0"/>
          <w:trHeight w:val="309.6008300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20068359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URBANO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2010498046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Consolidado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1982421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Conservación</w:t>
            </w:r>
          </w:p>
        </w:tc>
      </w:tr>
      <w:tr>
        <w:trPr>
          <w:cantSplit w:val="0"/>
          <w:trHeight w:val="311.9982910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19873046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Sostenimiento </w:t>
            </w:r>
          </w:p>
        </w:tc>
      </w:tr>
      <w:tr>
        <w:trPr>
          <w:cantSplit w:val="0"/>
          <w:trHeight w:val="309.6014404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40283203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Renovación</w:t>
            </w:r>
          </w:p>
        </w:tc>
      </w:tr>
      <w:tr>
        <w:trPr>
          <w:cantSplit w:val="0"/>
          <w:trHeight w:val="309.600219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2001953125"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Protección urbanística</w:t>
            </w:r>
          </w:p>
        </w:tc>
      </w:tr>
      <w:tr>
        <w:trPr>
          <w:cantSplit w:val="0"/>
          <w:trHeight w:val="309.5983886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2001953125"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Potenciación</w:t>
            </w:r>
          </w:p>
        </w:tc>
      </w:tr>
      <w:tr>
        <w:trPr>
          <w:cantSplit w:val="0"/>
          <w:trHeight w:val="309.6017456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998046875"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Mejoramiento gradual</w:t>
            </w:r>
          </w:p>
        </w:tc>
      </w:tr>
      <w:tr>
        <w:trPr>
          <w:cantSplit w:val="0"/>
          <w:trHeight w:val="309.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No Consolidado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8029785156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Mejoramiento integral</w:t>
            </w:r>
          </w:p>
        </w:tc>
      </w:tr>
      <w:tr>
        <w:trPr>
          <w:cantSplit w:val="0"/>
          <w:trHeight w:val="312.598571777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1982421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Consolidación</w:t>
            </w:r>
          </w:p>
        </w:tc>
      </w:tr>
      <w:tr>
        <w:trPr>
          <w:cantSplit w:val="0"/>
          <w:trHeight w:val="309.6014404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3977050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Desarrollo</w:t>
            </w:r>
          </w:p>
        </w:tc>
      </w:tr>
      <w:tr>
        <w:trPr>
          <w:cantSplit w:val="0"/>
          <w:trHeight w:val="309.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59912109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Protección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1982421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Conservación</w:t>
            </w:r>
          </w:p>
        </w:tc>
      </w:tr>
      <w:tr>
        <w:trPr>
          <w:cantSplit w:val="0"/>
          <w:trHeight w:val="280.7986450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40283203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09.601440429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39978027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598632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Expansión Urbana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397705078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Desarrollo</w:t>
            </w:r>
          </w:p>
        </w:tc>
      </w:tr>
      <w:tr>
        <w:trPr>
          <w:cantSplit w:val="0"/>
          <w:trHeight w:val="309.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59912109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Protección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1982421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Conservación</w:t>
            </w:r>
          </w:p>
        </w:tc>
      </w:tr>
      <w:tr>
        <w:trPr>
          <w:cantSplit w:val="0"/>
          <w:trHeight w:val="309.598846435546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40283203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09.601287841796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Promoción productiva</w:t>
            </w:r>
          </w:p>
        </w:tc>
      </w:tr>
      <w:tr>
        <w:trPr>
          <w:cantSplit w:val="0"/>
          <w:trHeight w:val="309.5199584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599121093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Producción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40283203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11.998748779296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60302734375" w:right="0" w:firstLine="0"/>
              <w:jc w:val="left"/>
              <w:rPr>
                <w:rFonts w:ascii="Garamond" w:cs="Garamond" w:eastAsia="Garamond" w:hAnsi="Garamond"/>
                <w:b w:val="1"/>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Ocupación restringida</w:t>
            </w:r>
          </w:p>
        </w:tc>
      </w:tr>
    </w:tbl>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97.958984375" w:firstLine="0"/>
        <w:jc w:val="righ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highlight w:val="white"/>
          <w:u w:val="none"/>
          <w:vertAlign w:val="baseline"/>
          <w:rtl w:val="0"/>
        </w:rPr>
        <w:t xml:space="preserve">Ocupación sostenible</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p>
    <w:tbl>
      <w:tblPr>
        <w:tblStyle w:val="Table3"/>
        <w:tblW w:w="6203.2000732421875" w:type="dxa"/>
        <w:jc w:val="left"/>
        <w:tblInd w:w="1810.480041503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1.0003662109375"/>
        <w:gridCol w:w="2842.19970703125"/>
        <w:tblGridChange w:id="0">
          <w:tblGrid>
            <w:gridCol w:w="3361.0003662109375"/>
            <w:gridCol w:w="2842.19970703125"/>
          </w:tblGrid>
        </w:tblGridChange>
      </w:tblGrid>
      <w:tr>
        <w:trPr>
          <w:cantSplit w:val="0"/>
          <w:trHeight w:val="312.000732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598510742187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w:t>
            </w: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provechamiento Extractivo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402832031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Recuperación</w:t>
            </w:r>
          </w:p>
        </w:tc>
      </w:tr>
      <w:tr>
        <w:trPr>
          <w:cantSplit w:val="0"/>
          <w:trHeight w:val="309.59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802978515625" w:right="0" w:firstLine="0"/>
              <w:jc w:val="left"/>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Mitigación</w:t>
            </w:r>
          </w:p>
        </w:tc>
      </w:tr>
    </w:tbl>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URBANO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58.9795970916748" w:lineRule="auto"/>
        <w:ind w:left="59.28009033203125" w:right="777.518310546875" w:hanging="2.160034179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suelo urbano del DMQ debido a la rápida expansión presenta diversos niveles de  consolidación y especiales características territoriales, bajo este contexto, se identifican zonas  que, a pesar de encontrarse consolidadas presentan altas deficiencias y requieren procesos  que mejoren la calidad de vida de los habitantes; por otro lado, existen territorios que cuentan  con la capacidad de soporte óptima frente a bajas edificabilidades y que se encuentran dentro  de las centralidades del Modelo Territorial Deseado - MTD; y otros que requieren estrategias  que reactiven los sectores con valores urbanísticos y paisajísticos específicos.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39453125" w:line="240" w:lineRule="auto"/>
        <w:ind w:left="1970.874328613281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Tratamientos Urbanísticos Propuestos para Suelo Urbano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33447265625" w:line="204.52378749847412" w:lineRule="auto"/>
        <w:ind w:left="571.2800598144531" w:right="1360.798950195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4734560" cy="3165983"/>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4734560" cy="316598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Fuente: Secretaría de Hábitat y Ordenamiento Territorial, Ordenanza No. 260, IMP, INPC. Elaboración: SHOT, 2024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469970703125" w:line="240" w:lineRule="auto"/>
        <w:ind w:left="56.880035400390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Protección Urbanística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58.5632038116455" w:lineRule="auto"/>
        <w:ind w:left="60.48004150390625" w:right="785.04150390625" w:hanging="4.79995727539062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Definición del tratamiento de Protección Urbanística: Se aplica en suelo urbano que evidencie valores  urbanísticos y/o paisajísticos representativos en su historia y desarrollo; existencia de patrimonio edificado;  volumetrías, trazados, tejidos y parcelarios en los cuales es necesario mantener la armonía morfológica de su  conjunto.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693359375" w:line="257.89687156677246" w:lineRule="auto"/>
        <w:ind w:left="62.87994384765625" w:right="786.243896484375" w:hanging="11.999969482421875"/>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Este tratamiento busca cualificar, ordenar, mantener, abastecer y, de ser el caso, transformar las zonas en  concordancia con las necesidades y estrategias de protección.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3.078613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DMQ existen conjuntos urbanos cuyas características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44196</wp:posOffset>
            </wp:positionV>
            <wp:extent cx="1818894" cy="2544445"/>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818894" cy="2544445"/>
                    </a:xfrm>
                    <a:prstGeom prst="rect"/>
                    <a:ln/>
                  </pic:spPr>
                </pic:pic>
              </a:graphicData>
            </a:graphic>
          </wp:anchor>
        </w:drawing>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4.278564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arquitectónicas y paisajísticas deben ser protegidas pese a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 ser patrimoniales, de aquí surge el planteamiento de este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779.6789550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tratamiento que busca mantener la armonía morfológica del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099.40002441406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conjunto urbano.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0" w:right="784.0393066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encuentra en Chillogallo en la zona restante a la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3.319091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Declaratoria de Patrimonio Nacional, Chimbacalle, La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5.238037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Magdalena, San Juan y La Mariscal; en las cabeceras de las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79.1992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parroquiales rurales se asigna a la zona destinada como zona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3.319091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amortiguamiento alrededor del núcleo de Conservación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3094.8400878906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Patrimonial.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192382812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la delimitación de los polígonos, se identificaron los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781.638183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bienes que constan en el Inventario Selectivo de Bienes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4001464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Patrimoniales y que se encuentran ubicados fuera de los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0.278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centros o núcleos históricos urbanos, y que, además,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7763671875" w:line="240" w:lineRule="auto"/>
        <w:ind w:left="0" w:right="779.239501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representan un conglomerado de edificaciones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172.359924316406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patrimoniales.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31982421875" w:line="240" w:lineRule="auto"/>
        <w:ind w:left="1213.86657714843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Aglomeración de Bienes Inventariados y estudio de características similares.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36669921875" w:line="203.4219217300415" w:lineRule="auto"/>
        <w:ind w:left="50.2801513671875" w:right="627.198486328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531231" cy="3945255"/>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531231" cy="394525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Fuente: Ordenanza No. 260, Instituto Metropolitano de Patrimonio (IMP), el Instituto Nacional de  Patrimonio Cultural (INPC), Google –Street-View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18878173828125" w:line="240" w:lineRule="auto"/>
        <w:ind w:left="3315.812683105468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Elaboración: SHOT, 2024</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69672775268555" w:lineRule="auto"/>
        <w:ind w:left="54.239959716796875" w:right="777.279052734375" w:firstLine="2.88009643554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Estas zonas se caracterizan, no sólo por contar con bienes inventariados, sino también  porque han adquirido un significado social y cultural que los hace representativos en su  contexto. Para el análisis, se tomó como ejemplo, al barrio de La Floresta. Se realizaron varias  jornadas participativas con representantes del Comité Pro Mejoras de dicho barrio en las que  se pudieron identificar características similares en las diferentes estructuras urbanas y se  evidenció la importancia de preservarlas en la memoria e identidad colectiva.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0224609375" w:line="240" w:lineRule="auto"/>
        <w:ind w:left="1584.81262207031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Bienes Inventariados Casos La Mariscal – La Floresta – Chimbacalle.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3056640625" w:line="204.43111896514893" w:lineRule="auto"/>
        <w:ind w:left="50.2801513671875" w:right="570.3991699218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566791" cy="308356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566791" cy="308356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Zona de amortiguamiento del núcleo de Conservación: Casos Conocoto – Tumbaco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567299" cy="3173095"/>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567299" cy="317309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Fuente: Secretaría de Hábitat y Ordenamiento Territorial, Ordenanza No. 260, IMP, INPC. Elaboración: SHOT, 2024</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880035400390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Potenciación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748046875" w:line="258.11957359313965" w:lineRule="auto"/>
        <w:ind w:left="0" w:right="778.238525390625" w:firstLine="61.7601013183593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640439987182617"/>
          <w:szCs w:val="24.640439987182617"/>
          <w:u w:val="none"/>
          <w:shd w:fill="auto" w:val="clear"/>
          <w:vertAlign w:val="baseline"/>
          <w:rtl w:val="0"/>
        </w:rPr>
        <w:t xml:space="preserve">Concepto del tratamiento de Potenciación: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 aplica en suelo urbano consolidado con potencial  para desarrollarse, que se encuentra en proceso de transformación e incremento del aprovechamiento urbanístico  y requiera mejorar los servicios públicos de soporte. Este tratamiento permite la regulación de las áreas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5" w:line="257.89647102355957" w:lineRule="auto"/>
        <w:ind w:left="62.87994384765625" w:right="786.478271484375" w:hanging="2.39990234375"/>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urbanizadas para posibilitar su potenciación, densificación, mixticidad de usos y adaptación de las  construcciones y de la oferta de sistemas públicos de soporte a las necesidades de la ciudad.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24267578125" w:line="257.89647102355957" w:lineRule="auto"/>
        <w:ind w:left="3027.1603393554688" w:right="784.27978515625" w:hanging="2966.6802978515625"/>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establece para polígonos consolidados con la finalidad de fortalecer los procesos de  transformación y que tienen las condiciones para adaptarse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255777</wp:posOffset>
            </wp:positionV>
            <wp:extent cx="1771650" cy="2457450"/>
            <wp:effectExtent b="0" l="0" r="0" t="0"/>
            <wp:wrapSquare wrapText="right" distB="19050" distT="19050" distL="19050" distR="1905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771650" cy="2457450"/>
                    </a:xfrm>
                    <a:prstGeom prst="rect"/>
                    <a:ln/>
                  </pic:spPr>
                </pic:pic>
              </a:graphicData>
            </a:graphic>
          </wp:anchor>
        </w:drawing>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4658203125" w:line="240" w:lineRule="auto"/>
        <w:ind w:left="0" w:right="784.7595214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las nuevas demandas en relación a proyectos estratégicos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79.4384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como el Metro de Quito, extensiones BRT, entre otros. Este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783.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tratamiento está vinculado con el sistema policéntrico del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62890625" w:line="240" w:lineRule="auto"/>
        <w:ind w:left="3022.36022949218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MTD.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85546875" w:line="240" w:lineRule="auto"/>
        <w:ind w:left="0" w:right="78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es el caso de Iñaquito en el hipercentro, Quitumbe, El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3.15917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Recreo, San Bartolo-La Magdalena, Ponceano, Conocoto y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3019.24011230468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Amaguaña.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99609375" w:line="240" w:lineRule="auto"/>
        <w:ind w:left="0" w:right="783.80004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Estas zonas se encuentran abastecidas con servicios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40" w:lineRule="auto"/>
        <w:ind w:left="0" w:right="783.55957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públicos de soporte, están localizadas cerca de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3.55957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centralidades ya consolidadas y proyectadas. Este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tratamiento tiene la finalidad de potenciar el desarrollo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95556640625" w:line="240" w:lineRule="auto"/>
        <w:ind w:left="0" w:right="779.71923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además de fomentar la mixticidad de usos y la densificación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030.759887695312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poblacional.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3201904296875" w:line="240" w:lineRule="auto"/>
        <w:ind w:left="1400.01281738281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Ejemplo de asignación de tratamiento de potenciación, sector El Recreo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36669921875" w:line="240" w:lineRule="auto"/>
        <w:ind w:left="1493.2800292968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3563112" cy="3464560"/>
            <wp:effectExtent b="0" l="0" r="0" t="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563112" cy="346456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0.212707519531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Fuente: Secretaría de Hábitat y Ordenamiento Territorial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5347900390625" w:line="240" w:lineRule="auto"/>
        <w:ind w:left="3315.812683105468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Elaboración: SHOT, 2024</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69632720947266" w:lineRule="auto"/>
        <w:ind w:left="53.040008544921875" w:right="777.03857421875" w:firstLine="4.080047607421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Polígono de Intervención Territorial del Recreo, asignado con el tratamiento de  potenciación se encuentra dentro de la centralidad zonal Chimbacalle- La Villaflora-La  Magdalena. Tiene un alto dinamismo económico producto de la actividad comercial y la  residencia. Cuenta con la estación BRT del Recreo del y la nueva estación del Metro. Su  ubicación es estratégica en el sur de Quito por su proximidad al Centro Histórico y  accesibilidad. Tiene lotes considerados de oportunidad por su tamaño.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82470703125" w:line="258.7961769104004" w:lineRule="auto"/>
        <w:ind w:left="52.559967041015625" w:right="778.837890625" w:firstLine="4.5600891113281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caso de Ponceano se ha considerado la cercanía a la proyección del sistema Metro de  Quito en el tramo El Labrador - La Ofelia. Al sur en La Magdalena, San Bartolo y Quitumbe  la cercanía a las estaciones de metro La Magdalena, Solanda y Quitumbe. Mientras que, en  San Antonio, Cumbayá, Tumbaco y Conocoto se ha asignado el tratamiento de potencialidad  a los PITs cercanos a la centralidades o nodos de centralidad como Mitad del Mundo,  Cumbayá, San Patricio, El Arenal y Conocoto.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24609375" w:line="240" w:lineRule="auto"/>
        <w:ind w:left="56.159973144531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Mejoramiento Gradual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0.439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territorios que presentan requerimientos de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40387</wp:posOffset>
            </wp:positionV>
            <wp:extent cx="1809496" cy="2618105"/>
            <wp:effectExtent b="0" l="0" r="0" t="0"/>
            <wp:wrapSquare wrapText="right" distB="19050" distT="19050" distL="19050" distR="1905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1809496" cy="2618105"/>
                    </a:xfrm>
                    <a:prstGeom prst="rect"/>
                    <a:ln/>
                  </pic:spPr>
                </pic:pic>
              </a:graphicData>
            </a:graphic>
          </wp:anchor>
        </w:drawing>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8740234375" w:line="240" w:lineRule="auto"/>
        <w:ind w:left="0" w:right="779.478759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intervención como mejora y mantenimiento en la cobertura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1335.15930175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los servicios públicos de soporte y equipamientos.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0" w:right="782.598876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la meseta este tratamiento está asignado, en el sur, en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81.398925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parroquias como La Mena, La Argelia, Guamaní y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2.3583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Turubamba; hacia el norte en Llano Chico, Belisario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3583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Quevedo, El Condado y Calderón, estas zonas tienen en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200439453125" w:line="240" w:lineRule="auto"/>
        <w:ind w:left="0" w:right="780.278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común densidades medias y altas, con una cobertura de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839.23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equipamientos, infraestructura y SPS que requieren mejora.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3857421875" w:line="240" w:lineRule="auto"/>
        <w:ind w:left="0" w:right="782.6000976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trata de zonas que han tenido un proceso acelerado de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8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expansión, con altas densidades poblacionales, pero con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77.2778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carencias significativas en los servicios públicos de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3182.68005371093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soporte.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2.11914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tratamiento se encuentra asignado en las cabeceras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0" w:right="780.439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parroquiales norcentrales y noroccidentales como San José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6533203125" w:line="240" w:lineRule="auto"/>
        <w:ind w:left="0" w:right="777.51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Minas, Chavezpamba, Pacto y Nanegalito que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0.20019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presentan características similares en cuanto a la necesidad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93408203125" w:line="240" w:lineRule="auto"/>
        <w:ind w:left="0" w:right="779.71923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mejora en la dotación y calidad de los sistemas públicos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95849609375" w:line="240" w:lineRule="auto"/>
        <w:ind w:left="3177.399902343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soporte.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08056640625" w:line="240" w:lineRule="auto"/>
        <w:ind w:left="63.359985351562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SUELO RURAL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2008056640625" w:line="258.5409736633301" w:lineRule="auto"/>
        <w:ind w:left="52.559967041015625" w:right="782.838134765625" w:hanging="1.679992675781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territorios rurales del DMQ se caracterizan por presentar distintos niveles de  asentamientos humanos a parte de las cabeceras parroquiales rurales, estos asentamientos  tienen distintos niveles de consolidación y ocupan diversas extensiones de territorio; razón  por la cual, se ha considerado relevante identificarlos y delimitarlos y asignar una política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301502227783" w:lineRule="auto"/>
        <w:ind w:left="54.239959716796875" w:right="784.3212890625"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pública que permita la coexistencia de estos con las realidades territoriales de protección y  producción.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88818359375" w:line="240" w:lineRule="auto"/>
        <w:ind w:left="2201.2744140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Tratamientos Urbanísticos creados para Suelo Rural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3408203125" w:line="201.2797737121582" w:lineRule="auto"/>
        <w:ind w:left="863.8800048828125" w:right="1653.798828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4362704" cy="3603625"/>
            <wp:effectExtent b="0" l="0" r="0" t="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362704" cy="36036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Fuente: Secretaría de Hábitat y Ordenamiento Territorial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47021484375" w:line="240" w:lineRule="auto"/>
        <w:ind w:left="3315.812683105468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Elaboración: SHOT, 2024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533203125" w:line="240" w:lineRule="auto"/>
        <w:ind w:left="61.92001342773437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Ocupación restringida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15966796875" w:line="224.7443962097168" w:lineRule="auto"/>
        <w:ind w:left="0" w:right="780.518798828125" w:firstLine="61.760101318359375"/>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640439987182617"/>
          <w:szCs w:val="24.640439987182617"/>
          <w:u w:val="none"/>
          <w:shd w:fill="auto" w:val="clear"/>
          <w:vertAlign w:val="baseline"/>
          <w:rtl w:val="0"/>
        </w:rPr>
        <w:t xml:space="preserve">Concepto del tratamiento Ocupación restringida: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 aplica en suelo rural con subclasificación  de protección y producción. Tiene por objetivo restringir el fraccionamiento, la ocupación y el aprovechamiento  constructivo para conservar el patrimonio natural y promover la producción agrícola en zonas con presencia  de asentamientos humanos. En este tratamiento se priorizará la vivienda unifamiliar para evitar la expansión  y densificación de los asentamientos humano.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209716796875" w:line="225.1598882675171" w:lineRule="auto"/>
        <w:ind w:left="60.48004150390625" w:right="782.36083984375" w:hanging="2.160034179687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 podrá aplicar también en el suelo rural con subclasificación de protección y producción con presencia de  asentamientos humanos de hecho y consolidados debidamente identificados, en los cuales se podrá asignar uso  de suelo y edificabilidad de acuerdo a lo establecido en el Plan de Uso y Gestión del Suelo”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1600952148438" w:line="258.896427154541" w:lineRule="auto"/>
        <w:ind w:left="52.559967041015625" w:right="780.279541015625" w:firstLine="4.5600891113281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la subclasificación de Protección, se asigna con el objetivo de reconocer y contener a los  asentamientos humanos existentes en la zona, con la finalidad de evitar su expansión hacia  las áreas naturales protegidas. Los polígonos identificados se encuentran en el cuadrante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4.27978515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occidental de la parroquia de Conocoto y en el cuadrante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41022</wp:posOffset>
            </wp:positionV>
            <wp:extent cx="1780921" cy="2518410"/>
            <wp:effectExtent b="0" l="0" r="0" t="0"/>
            <wp:wrapSquare wrapText="right" distB="19050" distT="19050" distL="19050" distR="19050"/>
            <wp:docPr id="12"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1780921" cy="2518410"/>
                    </a:xfrm>
                    <a:prstGeom prst="rect"/>
                    <a:ln/>
                  </pic:spPr>
                </pic:pic>
              </a:graphicData>
            </a:graphic>
          </wp:anchor>
        </w:drawing>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4.758300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oriental de las parroquias de Quitumbe y La Argelia; en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4.51904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ciertas zonas de las parroquias de El Condado y San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3028.840026855468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Antonio.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0263671875" w:line="240" w:lineRule="auto"/>
        <w:ind w:left="3030.2801513671875"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3.79882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Estos polígonos comparten características similares en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4.998779296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cuanto al fraccionamiento y su localización dentro de los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4.28100585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Bosques Protectores del Flanco oriental del Pichincha y el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3040.6002807617188"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Cinturón Verde de Quito.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0.52001953125"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19050" distT="19050" distL="19050" distR="19050">
            <wp:extent cx="5941695" cy="3948430"/>
            <wp:effectExtent b="0" l="0" r="0" t="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941695" cy="394843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87983322143555" w:lineRule="auto"/>
        <w:ind w:left="52.080078125" w:right="777.279052734375" w:firstLine="5.039978027343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la subclasificación de producción, se asigna en zonas de asentamientos humanos que han  surgido a causa de la presión del núcleo urbano sobre el suelo rural. Este es el caso de los  polígonos en las parroquias de Tumbaco, Yaruquí, Calderón y El Condado, mismas que, han  sido asignados con este tratamiento con el objetivo de detener su expansión, fraccionamiento  y orientar un desarrollo adecuado a sus potencialidades y características del suelo y entorno.</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21312713623" w:lineRule="auto"/>
        <w:ind w:left="52.080078125" w:right="779.31884765625" w:firstLine="9.5999145507812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 el objetivo de proteger el Volcán Ilaló, en articulación con la subclasificación propuesta,  y de acuerdo a los Polígonos de Intervención Territorial (PIT) determinados, se proponen  dos tratamientos, uno mayoritario de conservación en la zona centro y sur del volcán y el  tratamiento de ocupación restringida al norte. Se propone el tratamiento de ocupación  restringida en las zonas donde existen procesos de ocupación considerables, con el fin de  limitar el crecimiento y la expansión urbana debido a la presión inmobiliaria, en concordancia  con la protección de los recursos ecológicos del volcán.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76904296875"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19050" distT="19050" distL="19050" distR="19050">
            <wp:extent cx="5941695" cy="3947794"/>
            <wp:effectExtent b="0" l="0" r="0" t="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941695" cy="3947794"/>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920013427734375"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Ocupación Sostenible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5234375" w:line="258.12000274658203" w:lineRule="auto"/>
        <w:ind w:left="57.35992431640625" w:right="780.2783203125" w:hanging="0.240020751953125"/>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640439987182617"/>
          <w:szCs w:val="24.640439987182617"/>
          <w:u w:val="none"/>
          <w:shd w:fill="auto" w:val="clear"/>
          <w:vertAlign w:val="baseline"/>
          <w:rtl w:val="0"/>
        </w:rPr>
        <w:t xml:space="preserve">Definición del tratamiento de Ocupación Sostenible: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 aplica en suelo rural con  subclasificación de producción. Tiene por objetivo regular la ocupación del suelo para promover la  agroproducción sostenible de pequeña escala, en equilibrio con los asentamientos humanos existentes.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0.919189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Asignado a polígonos rurales que no presentan una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42926</wp:posOffset>
            </wp:positionV>
            <wp:extent cx="1942973" cy="2164715"/>
            <wp:effectExtent b="0" l="0" r="0" t="0"/>
            <wp:wrapSquare wrapText="right" distB="19050" distT="19050" distL="19050" distR="19050"/>
            <wp:docPr id="13"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1942973" cy="2164715"/>
                    </a:xfrm>
                    <a:prstGeom prst="rect"/>
                    <a:ln/>
                  </pic:spPr>
                </pic:pic>
              </a:graphicData>
            </a:graphic>
          </wp:anchor>
        </w:drawing>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0556640625" w:line="240" w:lineRule="auto"/>
        <w:ind w:left="0" w:right="781.39892578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producción agrícola intensiva, por lo que admite o tiene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1.4001464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presencia previa de asentamientos humanos y/o con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1650.67932128906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fraccionamiento de suelo conforme a la norma.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40" w:lineRule="auto"/>
        <w:ind w:left="0" w:right="781.1608886718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Destacan las parroquias noroccidentales como Pacto,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20166015625" w:line="240" w:lineRule="auto"/>
        <w:ind w:left="0" w:right="781.878662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Nono, Nanegal, Nanegalito y Gualea y en las parroquias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1185.8001708984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orientales de La Merced, Puembo, Nayón y Alangasí.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9775390625" w:line="240" w:lineRule="auto"/>
        <w:ind w:left="0" w:right="780.91918945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Estos polígonos están orientados a contener su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904296875" w:line="240" w:lineRule="auto"/>
        <w:ind w:left="0" w:right="780.278320312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expansión y fraccionamiento, así como a promover el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780.6787109375"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consumo y la producción sostenible que garantice la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62890625" w:line="240" w:lineRule="auto"/>
        <w:ind w:left="3324.2800903320312"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soberanía alimentaria.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120361328125" w:line="240" w:lineRule="auto"/>
        <w:ind w:left="63.15368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d9d9d9" w:val="clear"/>
          <w:vertAlign w:val="baseline"/>
          <w:rtl w:val="0"/>
        </w:rPr>
        <w:t xml:space="preserve">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CONCLUSIÓN Y RECOMENDACIÓN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05712890625" w:line="258.89634132385254" w:lineRule="auto"/>
        <w:ind w:left="52.559967041015625" w:right="777.7587890625"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creación de los nuevos tratamientos adicionales a los determinados por la Ley Orgánica  de Ordenamiento Territorial, Uso y Gestión de Suelo se justifica conforme los parámetros  descritos en el presente informe y su aplicación se considera necesaria tomando en cuenta  las características especiales y heterogeneidad del Distrito Metropolitano de Quito. Los  nuevos tratamientos propuestos se articulan a los existentes y su asignación guarda relación  con la clasificación y subclasificación del suelo, con las metas propuestas en el modelo  territorial deseado y los objetivos del planeamiento en el distrito.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35595703125" w:line="258.5632038116455" w:lineRule="auto"/>
        <w:ind w:left="54.239959716796875" w:right="778.238525390625" w:firstLine="2.880096435546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este sentido, se considera factible la creación de los tratamientos urbanísticos de  protección urbanística, mejoramiento gradual, potenciación y ocupación sostenible para el  suelo urbano y los tratamientos urbanísticos de ocupación restringida y ocupación sostenible  en el suelo rural, para los efectos legales pertinentes.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5703125" w:line="258.896541595459" w:lineRule="auto"/>
        <w:ind w:left="56.399993896484375" w:right="776.79931640625" w:firstLine="4.080047607421875"/>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recomienda al Concejo Metropolitano la aprobación del contenido del presente informe  justificativo de creación de tratamientos urbanísticos acorde a lo determinado en el artículo  42 de la Ley Orgánica de Ordenamiento Territorial, Uso y Gestión de Suelo</w:t>
      </w:r>
    </w:p>
    <w:tbl>
      <w:tblPr>
        <w:tblStyle w:val="Table4"/>
        <w:tblW w:w="8490.319519042969" w:type="dxa"/>
        <w:jc w:val="left"/>
        <w:tblInd w:w="46.5600585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0.72021484375"/>
        <w:gridCol w:w="2506.1996459960938"/>
        <w:gridCol w:w="1658.800048828125"/>
        <w:gridCol w:w="1558.2000732421875"/>
        <w:gridCol w:w="1406.3995361328125"/>
        <w:tblGridChange w:id="0">
          <w:tblGrid>
            <w:gridCol w:w="1360.72021484375"/>
            <w:gridCol w:w="2506.1996459960938"/>
            <w:gridCol w:w="1658.800048828125"/>
            <w:gridCol w:w="1558.2000732421875"/>
            <w:gridCol w:w="1406.3995361328125"/>
          </w:tblGrid>
        </w:tblGridChange>
      </w:tblGrid>
      <w:tr>
        <w:trPr>
          <w:cantSplit w:val="0"/>
          <w:trHeight w:val="40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40020751953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159851074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RESPONSABLE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2038574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760253906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FECHA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160156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FIRMA</w:t>
            </w:r>
          </w:p>
        </w:tc>
      </w:tr>
      <w:tr>
        <w:trPr>
          <w:cantSplit w:val="0"/>
          <w:trHeight w:val="1476.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600097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Revisión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00732421875" w:line="240" w:lineRule="auto"/>
              <w:ind w:left="121.439971923828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técnica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597045898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 Daniel Castañeda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004638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SHOT-DMOT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4013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27-03-2024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15.9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Revisión y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aprobación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796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Arq. Mauricio Marín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004638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SHOT-DMOT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4013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27-03-2024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type w:val="continuous"/>
      <w:pgSz w:h="16840" w:w="11880" w:orient="portrait"/>
      <w:pgMar w:bottom="1553.2798767089844" w:top="1382.398681640625" w:left="1650.7199096679688" w:right="841.201171875" w:header="0" w:footer="720"/>
      <w:cols w:equalWidth="0" w:num="1">
        <w:col w:space="0" w:w="9388.07891845703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7.png"/><Relationship Id="rId29" Type="http://schemas.openxmlformats.org/officeDocument/2006/relationships/image" Target="media/image11.png"/><Relationship Id="rId7" Type="http://schemas.openxmlformats.org/officeDocument/2006/relationships/image" Target="media/image20.png"/><Relationship Id="rId8" Type="http://schemas.openxmlformats.org/officeDocument/2006/relationships/image" Target="media/image17.png"/><Relationship Id="rId31" Type="http://schemas.openxmlformats.org/officeDocument/2006/relationships/image" Target="media/image9.png"/><Relationship Id="rId30" Type="http://schemas.openxmlformats.org/officeDocument/2006/relationships/image" Target="media/image12.png"/><Relationship Id="rId11" Type="http://schemas.openxmlformats.org/officeDocument/2006/relationships/image" Target="media/image22.png"/><Relationship Id="rId33" Type="http://schemas.openxmlformats.org/officeDocument/2006/relationships/image" Target="media/image13.png"/><Relationship Id="rId10" Type="http://schemas.openxmlformats.org/officeDocument/2006/relationships/image" Target="media/image23.png"/><Relationship Id="rId32" Type="http://schemas.openxmlformats.org/officeDocument/2006/relationships/image" Target="media/image10.png"/><Relationship Id="rId13" Type="http://schemas.openxmlformats.org/officeDocument/2006/relationships/image" Target="media/image19.png"/><Relationship Id="rId12" Type="http://schemas.openxmlformats.org/officeDocument/2006/relationships/image" Target="media/image26.png"/><Relationship Id="rId15" Type="http://schemas.openxmlformats.org/officeDocument/2006/relationships/image" Target="media/image18.png"/><Relationship Id="rId14"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21.png"/><Relationship Id="rId19" Type="http://schemas.openxmlformats.org/officeDocument/2006/relationships/image" Target="media/image28.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