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FD" w:rsidRPr="00886337" w:rsidRDefault="007E6FFD" w:rsidP="007E6F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44546A" w:themeColor="text2"/>
          <w:kern w:val="0"/>
        </w:rPr>
      </w:pPr>
      <w:r w:rsidRPr="00886337">
        <w:rPr>
          <w:rFonts w:ascii="Calibri" w:hAnsi="Calibri" w:cs="Calibri"/>
          <w:b/>
          <w:bCs/>
          <w:color w:val="44546A" w:themeColor="text2"/>
          <w:kern w:val="0"/>
        </w:rPr>
        <w:t>OBSERVACIONES A LA ORDENANZA REFORMATORIA DE LAS ORDENANZAS PMDOT-PUGS-001-2021 DE 13 DE SEPTIEMBRE DE 2021 Y PMDOT-PUGS-002 - 2022 DE 29 DE ABRIL DE 2022</w:t>
      </w:r>
      <w:r w:rsidR="00C35D09">
        <w:rPr>
          <w:rFonts w:ascii="Calibri" w:hAnsi="Calibri" w:cs="Calibri"/>
          <w:b/>
          <w:bCs/>
          <w:color w:val="44546A" w:themeColor="text2"/>
          <w:kern w:val="0"/>
        </w:rPr>
        <w:t>.- PERSPECTIVA DESARROLLO ECÓNOMICO Y PRODUCTIVO DEL DMDQ.</w:t>
      </w:r>
    </w:p>
    <w:p w:rsidR="007E6FFD" w:rsidRPr="00886337" w:rsidRDefault="007E6FFD" w:rsidP="007E6FFD">
      <w:pPr>
        <w:rPr>
          <w:rFonts w:ascii="Calibri" w:hAnsi="Calibri" w:cs="Calibri"/>
          <w:color w:val="000000"/>
          <w:kern w:val="0"/>
          <w:sz w:val="22"/>
          <w:szCs w:val="22"/>
        </w:rPr>
      </w:pPr>
    </w:p>
    <w:p w:rsidR="00E375C6" w:rsidRPr="00886337" w:rsidRDefault="007E6FFD" w:rsidP="007E6FFD">
      <w:pPr>
        <w:jc w:val="both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  <w:r w:rsidRPr="00886337">
        <w:rPr>
          <w:rFonts w:ascii="Calibri" w:hAnsi="Calibri" w:cs="Calibri"/>
          <w:color w:val="000000"/>
          <w:kern w:val="0"/>
          <w:sz w:val="22"/>
          <w:szCs w:val="22"/>
        </w:rPr>
        <w:t>Como observación general es fundamental</w:t>
      </w:r>
      <w:r w:rsidR="0006386E" w:rsidRPr="00886337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86337">
        <w:rPr>
          <w:rFonts w:ascii="Calibri" w:hAnsi="Calibri" w:cs="Calibri"/>
          <w:color w:val="000000"/>
          <w:kern w:val="0"/>
          <w:sz w:val="22"/>
          <w:szCs w:val="22"/>
        </w:rPr>
        <w:t>que para la reforma de las ordenanzas PMDOT-PUGS-001-2021 de 13 de septiembre de 2021 y PMDOT-PUGS-002 - 2022 de 29 de abril de 2022, se establezcan</w:t>
      </w:r>
      <w:r w:rsidR="0006386E" w:rsidRPr="00886337">
        <w:rPr>
          <w:rFonts w:ascii="Calibri" w:hAnsi="Calibri" w:cs="Calibri"/>
          <w:color w:val="000000"/>
          <w:kern w:val="0"/>
          <w:sz w:val="22"/>
          <w:szCs w:val="22"/>
        </w:rPr>
        <w:t xml:space="preserve"> espacios de </w:t>
      </w:r>
      <w:r w:rsidRPr="00886337">
        <w:rPr>
          <w:rFonts w:ascii="Calibri" w:hAnsi="Calibri" w:cs="Calibri"/>
          <w:color w:val="000000"/>
          <w:kern w:val="0"/>
          <w:sz w:val="22"/>
          <w:szCs w:val="22"/>
        </w:rPr>
        <w:t>diálogo</w:t>
      </w:r>
      <w:r w:rsidR="0006386E" w:rsidRPr="00886337">
        <w:rPr>
          <w:rFonts w:ascii="Calibri" w:hAnsi="Calibri" w:cs="Calibri"/>
          <w:color w:val="000000"/>
          <w:kern w:val="0"/>
          <w:sz w:val="22"/>
          <w:szCs w:val="22"/>
        </w:rPr>
        <w:t xml:space="preserve"> con los actores del sector productivo localizados</w:t>
      </w:r>
      <w:r w:rsidR="00E375C6" w:rsidRPr="00886337">
        <w:rPr>
          <w:rFonts w:ascii="Calibri" w:hAnsi="Calibri" w:cs="Calibri"/>
          <w:color w:val="000000"/>
          <w:kern w:val="0"/>
          <w:sz w:val="22"/>
          <w:szCs w:val="22"/>
        </w:rPr>
        <w:t xml:space="preserve">, en particular, </w:t>
      </w:r>
      <w:r w:rsidR="0006386E" w:rsidRPr="00886337">
        <w:rPr>
          <w:rFonts w:ascii="Calibri" w:hAnsi="Calibri" w:cs="Calibri"/>
          <w:color w:val="000000"/>
          <w:kern w:val="0"/>
          <w:sz w:val="22"/>
          <w:szCs w:val="22"/>
        </w:rPr>
        <w:t xml:space="preserve">en </w:t>
      </w:r>
      <w:r w:rsidR="00E375C6" w:rsidRPr="00886337">
        <w:rPr>
          <w:rFonts w:ascii="Calibri" w:hAnsi="Calibri" w:cs="Calibri"/>
          <w:color w:val="000000"/>
          <w:kern w:val="0"/>
          <w:sz w:val="22"/>
          <w:szCs w:val="22"/>
        </w:rPr>
        <w:t>suelo de uso industrial, múltiple y de equipamiento</w:t>
      </w:r>
      <w:r w:rsidRPr="00886337">
        <w:rPr>
          <w:rFonts w:ascii="Calibri" w:hAnsi="Calibri" w:cs="Calibri"/>
          <w:color w:val="000000"/>
          <w:kern w:val="0"/>
          <w:sz w:val="22"/>
          <w:szCs w:val="22"/>
        </w:rPr>
        <w:t xml:space="preserve">, así como de </w:t>
      </w:r>
      <w:r w:rsidR="00E375C6" w:rsidRPr="00886337">
        <w:rPr>
          <w:rFonts w:ascii="Calibri" w:hAnsi="Calibri" w:cs="Calibri"/>
          <w:color w:val="000000"/>
          <w:kern w:val="0"/>
          <w:sz w:val="22"/>
          <w:szCs w:val="22"/>
        </w:rPr>
        <w:t>comercios y servicios especializado</w:t>
      </w:r>
      <w:r w:rsidRPr="00886337">
        <w:rPr>
          <w:rFonts w:ascii="Calibri" w:hAnsi="Calibri" w:cs="Calibri"/>
          <w:color w:val="000000"/>
          <w:kern w:val="0"/>
          <w:sz w:val="22"/>
          <w:szCs w:val="22"/>
        </w:rPr>
        <w:t>,</w:t>
      </w:r>
      <w:r w:rsidR="00884B58" w:rsidRPr="00886337">
        <w:rPr>
          <w:rFonts w:ascii="Calibri" w:hAnsi="Calibri" w:cs="Calibri"/>
          <w:color w:val="000000"/>
          <w:kern w:val="0"/>
          <w:sz w:val="22"/>
          <w:szCs w:val="22"/>
        </w:rPr>
        <w:t xml:space="preserve"> y</w:t>
      </w:r>
      <w:r w:rsidRPr="00886337">
        <w:rPr>
          <w:rFonts w:ascii="Calibri" w:hAnsi="Calibri" w:cs="Calibri"/>
          <w:color w:val="000000"/>
          <w:kern w:val="0"/>
          <w:sz w:val="22"/>
          <w:szCs w:val="22"/>
        </w:rPr>
        <w:t xml:space="preserve"> también de</w:t>
      </w:r>
      <w:r w:rsidR="00884B58" w:rsidRPr="00886337">
        <w:rPr>
          <w:rFonts w:ascii="Calibri" w:hAnsi="Calibri" w:cs="Calibri"/>
          <w:color w:val="000000"/>
          <w:kern w:val="0"/>
          <w:sz w:val="22"/>
          <w:szCs w:val="22"/>
        </w:rPr>
        <w:t xml:space="preserve"> patrimonio cultural.</w:t>
      </w:r>
    </w:p>
    <w:p w:rsidR="00E375C6" w:rsidRPr="00886337" w:rsidRDefault="00E375C6" w:rsidP="007F469C">
      <w:pPr>
        <w:rPr>
          <w:rFonts w:ascii="Calibri" w:hAnsi="Calibri" w:cs="Calibri"/>
          <w:color w:val="000000"/>
          <w:kern w:val="0"/>
          <w:sz w:val="22"/>
          <w:szCs w:val="22"/>
        </w:rPr>
      </w:pPr>
    </w:p>
    <w:p w:rsidR="00535C48" w:rsidRPr="00886337" w:rsidRDefault="007E6FFD" w:rsidP="007F469C">
      <w:pPr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  <w:r w:rsidRPr="00886337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Observaciones específicas al articulado:</w:t>
      </w:r>
    </w:p>
    <w:p w:rsidR="00F474E4" w:rsidRPr="00886337" w:rsidRDefault="00F474E4" w:rsidP="007F469C">
      <w:pPr>
        <w:rPr>
          <w:rFonts w:ascii="Calibri" w:hAnsi="Calibri" w:cs="Calibri"/>
          <w:color w:val="000000"/>
          <w:kern w:val="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D6683" w:rsidRPr="00886337" w:rsidTr="001D6683">
        <w:trPr>
          <w:trHeight w:val="372"/>
        </w:trPr>
        <w:tc>
          <w:tcPr>
            <w:tcW w:w="4247" w:type="dxa"/>
          </w:tcPr>
          <w:p w:rsidR="001D6683" w:rsidRPr="00886337" w:rsidRDefault="001D6683" w:rsidP="001D66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86337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Artículo</w:t>
            </w:r>
          </w:p>
        </w:tc>
        <w:tc>
          <w:tcPr>
            <w:tcW w:w="4247" w:type="dxa"/>
          </w:tcPr>
          <w:p w:rsidR="001D6683" w:rsidRPr="00886337" w:rsidRDefault="001D6683" w:rsidP="001D668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6337">
              <w:rPr>
                <w:rFonts w:ascii="Calibri" w:hAnsi="Calibri" w:cs="Calibri"/>
                <w:b/>
                <w:bCs/>
                <w:sz w:val="22"/>
                <w:szCs w:val="22"/>
              </w:rPr>
              <w:t>Observación</w:t>
            </w:r>
          </w:p>
        </w:tc>
      </w:tr>
      <w:tr w:rsidR="00C95484" w:rsidRPr="00886337" w:rsidTr="00C95484">
        <w:tc>
          <w:tcPr>
            <w:tcW w:w="4247" w:type="dxa"/>
          </w:tcPr>
          <w:p w:rsidR="00C95484" w:rsidRPr="00886337" w:rsidRDefault="00C95484" w:rsidP="007E6F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886337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Artículo 27.- Zona logística comercial regional.-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En concordancia con el modelo territorial deseado, se establece una zona para actividades de equipamientos,</w:t>
            </w:r>
            <w:r w:rsidR="001D6683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comercios y servicios metropolitanos, localizada en Pifo, en el polígono de</w:t>
            </w:r>
            <w:r w:rsidR="001D6683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expansión urbana situado entre la vía Panamericana y la Troncal de la Sierra (E-35).</w:t>
            </w:r>
          </w:p>
          <w:p w:rsidR="00C95484" w:rsidRPr="00886337" w:rsidRDefault="00C95484" w:rsidP="001D66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La planificación de este polígono se realizará considerando las disposiciones</w:t>
            </w:r>
            <w:r w:rsidR="001D6683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generales de los instrumentos de planificación complementaria identificados en el</w:t>
            </w:r>
            <w:r w:rsidR="001D6683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presente Plan.</w:t>
            </w:r>
          </w:p>
          <w:p w:rsidR="000E6D8D" w:rsidRPr="00886337" w:rsidRDefault="000E6D8D" w:rsidP="001D66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7" w:type="dxa"/>
          </w:tcPr>
          <w:p w:rsidR="00C95484" w:rsidRPr="00886337" w:rsidRDefault="00C95484" w:rsidP="007E6FF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6337">
              <w:rPr>
                <w:rFonts w:ascii="Calibri" w:hAnsi="Calibri" w:cs="Calibri"/>
                <w:sz w:val="22"/>
                <w:szCs w:val="22"/>
              </w:rPr>
              <w:t>Sería importante evaluar la viabilidad de establecer una zona logística comercial en el área sur de Quito.</w:t>
            </w:r>
          </w:p>
        </w:tc>
      </w:tr>
      <w:tr w:rsidR="00C95484" w:rsidRPr="00886337" w:rsidTr="00C95484">
        <w:tc>
          <w:tcPr>
            <w:tcW w:w="4247" w:type="dxa"/>
          </w:tcPr>
          <w:p w:rsidR="00E3625F" w:rsidRPr="00886337" w:rsidRDefault="00E3625F" w:rsidP="007E6F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86337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Artículo 30.- Lineamientos para la consolidación de la Zona de Desarrollo</w:t>
            </w:r>
            <w:r w:rsidR="002A0064" w:rsidRPr="00886337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Económico del Distrito Metropolitano de Quito.-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Para la consolidación de la</w:t>
            </w:r>
            <w:r w:rsidR="001D6683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Zona de Desarrollo Económico del Distrito Metropolitano de Quito, en el marco</w:t>
            </w:r>
            <w:r w:rsidR="001D6683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de lo establecido en la legislación nacional vigente, se cumplirán los siguientes</w:t>
            </w:r>
            <w:r w:rsidR="001D6683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lineamientos:</w:t>
            </w:r>
          </w:p>
          <w:p w:rsidR="002A0064" w:rsidRPr="00886337" w:rsidRDefault="002A0064" w:rsidP="007E6F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  <w:p w:rsidR="00E3625F" w:rsidRPr="00886337" w:rsidRDefault="00E3625F" w:rsidP="007E6F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a) Se deberá generar un desarrollo que permita consolidar una zona para actividades</w:t>
            </w:r>
          </w:p>
          <w:p w:rsidR="00E3625F" w:rsidRPr="00886337" w:rsidRDefault="00E3625F" w:rsidP="007E6F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logísticas e industriales con valor agregado en los productos de exportación de</w:t>
            </w:r>
            <w:r w:rsidR="001D6683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bienes y servicios, con actividades comerciales complementarias a la actividad</w:t>
            </w:r>
          </w:p>
          <w:p w:rsidR="00C95484" w:rsidRPr="00886337" w:rsidRDefault="00E3625F" w:rsidP="007E6FF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aeroportuaria.</w:t>
            </w:r>
          </w:p>
        </w:tc>
        <w:tc>
          <w:tcPr>
            <w:tcW w:w="4247" w:type="dxa"/>
          </w:tcPr>
          <w:p w:rsidR="000E6D8D" w:rsidRPr="00886337" w:rsidRDefault="000E6D8D" w:rsidP="007E6F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Para el literal a del artículo 30 se propone el siguiente texto alternativo:</w:t>
            </w:r>
          </w:p>
          <w:p w:rsidR="000E6D8D" w:rsidRPr="00886337" w:rsidRDefault="000E6D8D" w:rsidP="007E6F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  <w:p w:rsidR="00E3625F" w:rsidRPr="00886337" w:rsidRDefault="00E3625F" w:rsidP="007E6F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a) Se deberá generar un desarrollo que permita consolidar una zona para actividades logísticas, industriales y de transferencia y </w:t>
            </w:r>
            <w:r w:rsidR="007E6FFD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desagregación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de </w:t>
            </w:r>
            <w:r w:rsidR="00886337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tecnología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e </w:t>
            </w:r>
            <w:r w:rsidR="00886337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innovación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con valor agregado en los productos de exportación de bienes y servicios, con actividades comerciales complementarias a la actividad aeroportuaria.</w:t>
            </w:r>
          </w:p>
          <w:p w:rsidR="00E3625F" w:rsidRPr="00886337" w:rsidRDefault="00E3625F" w:rsidP="007E6F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95484" w:rsidRPr="00886337" w:rsidRDefault="00E3625F" w:rsidP="007E6F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6337">
              <w:rPr>
                <w:rFonts w:ascii="Calibri" w:hAnsi="Calibri" w:cs="Calibri"/>
                <w:sz w:val="22"/>
                <w:szCs w:val="22"/>
              </w:rPr>
              <w:t>E</w:t>
            </w:r>
            <w:r w:rsidR="00F500A8" w:rsidRPr="00886337">
              <w:rPr>
                <w:rFonts w:ascii="Calibri" w:hAnsi="Calibri" w:cs="Calibri"/>
                <w:sz w:val="22"/>
                <w:szCs w:val="22"/>
              </w:rPr>
              <w:t xml:space="preserve">sta </w:t>
            </w:r>
            <w:r w:rsidR="000E6D8D" w:rsidRPr="00886337">
              <w:rPr>
                <w:rFonts w:ascii="Calibri" w:hAnsi="Calibri" w:cs="Calibri"/>
                <w:sz w:val="22"/>
                <w:szCs w:val="22"/>
              </w:rPr>
              <w:t>observación</w:t>
            </w:r>
            <w:r w:rsidR="00F500A8" w:rsidRPr="00886337">
              <w:rPr>
                <w:rFonts w:ascii="Calibri" w:hAnsi="Calibri" w:cs="Calibri"/>
                <w:sz w:val="22"/>
                <w:szCs w:val="22"/>
              </w:rPr>
              <w:t xml:space="preserve"> responde a las áreas de </w:t>
            </w:r>
            <w:r w:rsidR="000E6D8D" w:rsidRPr="00886337">
              <w:rPr>
                <w:rFonts w:ascii="Calibri" w:hAnsi="Calibri" w:cs="Calibri"/>
                <w:sz w:val="22"/>
                <w:szCs w:val="22"/>
              </w:rPr>
              <w:t>especialización</w:t>
            </w:r>
            <w:r w:rsidR="00F500A8" w:rsidRPr="00886337">
              <w:rPr>
                <w:rFonts w:ascii="Calibri" w:hAnsi="Calibri" w:cs="Calibri"/>
                <w:sz w:val="22"/>
                <w:szCs w:val="22"/>
              </w:rPr>
              <w:t xml:space="preserve"> y </w:t>
            </w:r>
            <w:r w:rsidR="000E6D8D" w:rsidRPr="00886337">
              <w:rPr>
                <w:rFonts w:ascii="Calibri" w:hAnsi="Calibri" w:cs="Calibri"/>
                <w:sz w:val="22"/>
                <w:szCs w:val="22"/>
              </w:rPr>
              <w:t>vocación</w:t>
            </w:r>
            <w:r w:rsidR="00F500A8" w:rsidRPr="00886337">
              <w:rPr>
                <w:rFonts w:ascii="Calibri" w:hAnsi="Calibri" w:cs="Calibri"/>
                <w:sz w:val="22"/>
                <w:szCs w:val="22"/>
              </w:rPr>
              <w:t xml:space="preserve"> productiva de la ciudad</w:t>
            </w:r>
            <w:r w:rsidR="000E6D8D" w:rsidRPr="00886337">
              <w:rPr>
                <w:rFonts w:ascii="Calibri" w:hAnsi="Calibri" w:cs="Calibri"/>
                <w:sz w:val="22"/>
                <w:szCs w:val="22"/>
              </w:rPr>
              <w:t xml:space="preserve">. Por tanto, será esencial que </w:t>
            </w:r>
            <w:r w:rsidR="00F500A8" w:rsidRPr="00886337">
              <w:rPr>
                <w:rFonts w:ascii="Calibri" w:hAnsi="Calibri" w:cs="Calibri"/>
                <w:sz w:val="22"/>
                <w:szCs w:val="22"/>
              </w:rPr>
              <w:t>la Zona de Desarrollo Económico del Distrito Metropolitano de Quito</w:t>
            </w:r>
            <w:r w:rsidR="000E6D8D" w:rsidRPr="00886337">
              <w:rPr>
                <w:rFonts w:ascii="Calibri" w:hAnsi="Calibri" w:cs="Calibri"/>
                <w:sz w:val="22"/>
                <w:szCs w:val="22"/>
              </w:rPr>
              <w:t xml:space="preserve"> gestione ante la autoridad competente </w:t>
            </w:r>
            <w:r w:rsidR="00F500A8" w:rsidRPr="00886337">
              <w:rPr>
                <w:rFonts w:ascii="Calibri" w:hAnsi="Calibri" w:cs="Calibri"/>
                <w:sz w:val="22"/>
                <w:szCs w:val="22"/>
              </w:rPr>
              <w:t xml:space="preserve">la tipología de </w:t>
            </w:r>
            <w:r w:rsidRPr="00886337">
              <w:rPr>
                <w:rFonts w:ascii="Calibri" w:hAnsi="Calibri" w:cs="Calibri"/>
                <w:sz w:val="22"/>
                <w:szCs w:val="22"/>
              </w:rPr>
              <w:t xml:space="preserve">actividades de transferencia y de </w:t>
            </w:r>
            <w:r w:rsidR="000E6D8D" w:rsidRPr="00886337">
              <w:rPr>
                <w:rFonts w:ascii="Calibri" w:hAnsi="Calibri" w:cs="Calibri"/>
                <w:sz w:val="22"/>
                <w:szCs w:val="22"/>
              </w:rPr>
              <w:t>desagregación</w:t>
            </w:r>
            <w:r w:rsidRPr="00886337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r w:rsidR="000E6D8D" w:rsidRPr="00886337">
              <w:rPr>
                <w:rFonts w:ascii="Calibri" w:hAnsi="Calibri" w:cs="Calibri"/>
                <w:sz w:val="22"/>
                <w:szCs w:val="22"/>
              </w:rPr>
              <w:t>tecnología</w:t>
            </w:r>
            <w:r w:rsidRPr="00886337"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r w:rsidR="000E6D8D" w:rsidRPr="00886337">
              <w:rPr>
                <w:rFonts w:ascii="Calibri" w:hAnsi="Calibri" w:cs="Calibri"/>
                <w:sz w:val="22"/>
                <w:szCs w:val="22"/>
              </w:rPr>
              <w:t>innovación</w:t>
            </w:r>
            <w:r w:rsidR="00F500A8" w:rsidRPr="00886337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0E6D8D" w:rsidRPr="00886337" w:rsidRDefault="000E6D8D" w:rsidP="007E6F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484" w:rsidRPr="00886337" w:rsidTr="00C95484">
        <w:tc>
          <w:tcPr>
            <w:tcW w:w="4247" w:type="dxa"/>
          </w:tcPr>
          <w:p w:rsidR="00C95484" w:rsidRPr="00886337" w:rsidRDefault="00FC6A1D" w:rsidP="007E6FFD">
            <w:pPr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886337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Artículo 31.- Zonas agroproductivas.-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(…)</w:t>
            </w:r>
            <w:r w:rsidRPr="00886337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Las actividades que se pueden realizar en las zonas agroproductivas son:</w:t>
            </w:r>
          </w:p>
          <w:p w:rsidR="009E2FC9" w:rsidRPr="00886337" w:rsidRDefault="009E2FC9" w:rsidP="007E6FFD">
            <w:pPr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lastRenderedPageBreak/>
              <w:t>(…)</w:t>
            </w:r>
          </w:p>
          <w:p w:rsidR="009E2FC9" w:rsidRPr="00886337" w:rsidRDefault="009E2FC9" w:rsidP="000E6D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886337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Turismo comunitario: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Es toda actividad turística solidaria que se propone y</w:t>
            </w:r>
            <w:r w:rsidR="000E6D8D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gestiona por las mismas comunidades permitiendo así su participación desde</w:t>
            </w:r>
            <w:r w:rsidR="000E6D8D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una perspectiva intercultural, manejo adecuado de los recursos naturales y</w:t>
            </w:r>
            <w:r w:rsidR="000E6D8D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valoración del patrimonio cultural, con un principio de equidad en la</w:t>
            </w:r>
            <w:r w:rsidR="000E6D8D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distribución de los beneficios locales.</w:t>
            </w:r>
          </w:p>
          <w:p w:rsidR="000E6D8D" w:rsidRPr="00886337" w:rsidRDefault="000E6D8D" w:rsidP="000E6D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7" w:type="dxa"/>
          </w:tcPr>
          <w:p w:rsidR="00C95484" w:rsidRPr="00886337" w:rsidRDefault="009E2FC9" w:rsidP="007E6FF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6337">
              <w:rPr>
                <w:rFonts w:ascii="Calibri" w:hAnsi="Calibri" w:cs="Calibri"/>
                <w:sz w:val="22"/>
                <w:szCs w:val="22"/>
              </w:rPr>
              <w:lastRenderedPageBreak/>
              <w:t>Adicional a turismo comunitario se sugiere incorporar las actividades</w:t>
            </w:r>
            <w:r w:rsidR="00DB37AA" w:rsidRPr="008863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sz w:val="22"/>
                <w:szCs w:val="22"/>
              </w:rPr>
              <w:t>de ecoturismo</w:t>
            </w:r>
            <w:r w:rsidR="00DB37AA" w:rsidRPr="00886337">
              <w:rPr>
                <w:rFonts w:ascii="Calibri" w:hAnsi="Calibri" w:cs="Calibri"/>
                <w:sz w:val="22"/>
                <w:szCs w:val="22"/>
              </w:rPr>
              <w:t xml:space="preserve"> y </w:t>
            </w:r>
            <w:r w:rsidR="00DB37AA" w:rsidRPr="00886337">
              <w:rPr>
                <w:rFonts w:ascii="Calibri" w:hAnsi="Calibri" w:cs="Calibri"/>
                <w:sz w:val="22"/>
                <w:szCs w:val="22"/>
              </w:rPr>
              <w:lastRenderedPageBreak/>
              <w:t>turismo de naturaleza</w:t>
            </w:r>
            <w:r w:rsidR="0001747C" w:rsidRPr="00886337">
              <w:rPr>
                <w:rFonts w:ascii="Calibri" w:hAnsi="Calibri" w:cs="Calibri"/>
                <w:sz w:val="22"/>
                <w:szCs w:val="22"/>
              </w:rPr>
              <w:t>,</w:t>
            </w:r>
            <w:r w:rsidRPr="00886337">
              <w:rPr>
                <w:rFonts w:ascii="Calibri" w:hAnsi="Calibri" w:cs="Calibri"/>
                <w:sz w:val="22"/>
                <w:szCs w:val="22"/>
              </w:rPr>
              <w:t xml:space="preserve"> agroturismo</w:t>
            </w:r>
            <w:r w:rsidR="0001747C" w:rsidRPr="00886337">
              <w:rPr>
                <w:rFonts w:ascii="Calibri" w:hAnsi="Calibri" w:cs="Calibri"/>
                <w:sz w:val="22"/>
                <w:szCs w:val="22"/>
              </w:rPr>
              <w:t xml:space="preserve"> y turismo gastronómico.</w:t>
            </w:r>
          </w:p>
        </w:tc>
      </w:tr>
      <w:tr w:rsidR="00FC6A1D" w:rsidRPr="00886337" w:rsidTr="009737DA">
        <w:tc>
          <w:tcPr>
            <w:tcW w:w="4247" w:type="dxa"/>
          </w:tcPr>
          <w:p w:rsidR="00FC6A1D" w:rsidRPr="00886337" w:rsidRDefault="00DB37AA" w:rsidP="000E6D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886337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 xml:space="preserve">Artículo 67.- Polígonos de Intervención Territorial.-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Los polígonos de</w:t>
            </w:r>
            <w:r w:rsidR="000E6D8D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intervención territorial se definen a partir de las características homogéneas del</w:t>
            </w:r>
            <w:r w:rsidR="000E6D8D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territorio. El límite político-administrativo no representa un aspecto determinante</w:t>
            </w:r>
            <w:r w:rsidR="000E6D8D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para su definición. En el Distrito Metropolitano de Quito se determinan 551</w:t>
            </w:r>
            <w:r w:rsidR="000E6D8D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polígonos de intervención territorial, de los cuales 381 son urbanos y 170 son rurales,</w:t>
            </w:r>
            <w:r w:rsidR="000E6D8D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conforme el resumen contenido en la siguiente tabla:</w:t>
            </w:r>
            <w:r w:rsidR="00884B58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(…)</w:t>
            </w:r>
          </w:p>
          <w:p w:rsidR="000E6D8D" w:rsidRPr="00886337" w:rsidRDefault="000E6D8D" w:rsidP="000E6D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7" w:type="dxa"/>
          </w:tcPr>
          <w:p w:rsidR="00FC6A1D" w:rsidRPr="00886337" w:rsidRDefault="00DB37AA" w:rsidP="007E6FF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6337">
              <w:rPr>
                <w:rFonts w:ascii="Calibri" w:hAnsi="Calibri" w:cs="Calibri"/>
                <w:sz w:val="22"/>
                <w:szCs w:val="22"/>
              </w:rPr>
              <w:t xml:space="preserve">En el artículo </w:t>
            </w:r>
            <w:r w:rsidR="000E6D8D" w:rsidRPr="00886337">
              <w:rPr>
                <w:rFonts w:ascii="Calibri" w:hAnsi="Calibri" w:cs="Calibri"/>
                <w:sz w:val="22"/>
                <w:szCs w:val="22"/>
              </w:rPr>
              <w:t xml:space="preserve">67 </w:t>
            </w:r>
            <w:r w:rsidRPr="00886337">
              <w:rPr>
                <w:rFonts w:ascii="Calibri" w:hAnsi="Calibri" w:cs="Calibri"/>
                <w:sz w:val="22"/>
                <w:szCs w:val="22"/>
              </w:rPr>
              <w:t xml:space="preserve">se señalan 551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polígonos de intervención territorial, sin embargo, en la Tabla 2 constan 564 polígonos de intervención territorial.</w:t>
            </w:r>
          </w:p>
        </w:tc>
      </w:tr>
      <w:tr w:rsidR="00FC6A1D" w:rsidRPr="00886337" w:rsidTr="009737DA">
        <w:tc>
          <w:tcPr>
            <w:tcW w:w="4247" w:type="dxa"/>
          </w:tcPr>
          <w:p w:rsidR="00884B58" w:rsidRPr="00886337" w:rsidRDefault="00884B58" w:rsidP="007E6F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86337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Artículo 132.- Condiciones de implantación de actividades comerciales y de</w:t>
            </w:r>
          </w:p>
          <w:p w:rsidR="00FC6A1D" w:rsidRPr="00886337" w:rsidRDefault="00884B58" w:rsidP="007E6FFD">
            <w:pPr>
              <w:jc w:val="both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86337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servicios.-</w:t>
            </w:r>
          </w:p>
          <w:p w:rsidR="00F92BDF" w:rsidRPr="00886337" w:rsidRDefault="00F92BDF" w:rsidP="007E6FF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6337">
              <w:rPr>
                <w:rFonts w:ascii="Calibri" w:hAnsi="Calibri" w:cs="Calibri"/>
                <w:sz w:val="22"/>
                <w:szCs w:val="22"/>
              </w:rPr>
              <w:t xml:space="preserve">(…) </w:t>
            </w:r>
          </w:p>
          <w:p w:rsidR="00F92BDF" w:rsidRPr="00886337" w:rsidRDefault="00F92BDF" w:rsidP="000E6D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n) Los centros de diversión que corresponden a Comercio Zonal CZ1A o</w:t>
            </w:r>
            <w:r w:rsidR="000E6D8D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CZ1B podrán ubicarse a distancias menores a las establecidas, cuando</w:t>
            </w:r>
            <w:r w:rsidR="000E6D8D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formen parte o estén integrados a hoteles calificados por la Corporación</w:t>
            </w:r>
            <w:r w:rsidR="000E6D8D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Metropolitana de Turismo y que cuenten con la Licencia Metropolitana</w:t>
            </w:r>
            <w:r w:rsidR="000E6D8D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Única para el Ejercicio de Actividades Económicas (LUAE).</w:t>
            </w:r>
          </w:p>
          <w:p w:rsidR="000E6D8D" w:rsidRPr="00886337" w:rsidRDefault="000E6D8D" w:rsidP="000E6D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7" w:type="dxa"/>
          </w:tcPr>
          <w:p w:rsidR="00FC6A1D" w:rsidRPr="00886337" w:rsidRDefault="00F92BDF" w:rsidP="0065580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886337">
              <w:rPr>
                <w:rFonts w:ascii="Calibri" w:hAnsi="Calibri" w:cs="Calibri"/>
                <w:sz w:val="22"/>
                <w:szCs w:val="22"/>
              </w:rPr>
              <w:t>En lugar de la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Corporación</w:t>
            </w:r>
            <w:r w:rsidR="00655809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Metropolitana de Turismo debería con</w:t>
            </w:r>
            <w:r w:rsidR="00655809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s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tar la Empresa Pública Metropolitana de Gestión de Destino Turístico Quito Turismo</w:t>
            </w:r>
            <w:r w:rsidR="00655809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7E6FFD" w:rsidRPr="00886337" w:rsidTr="009737DA">
        <w:tc>
          <w:tcPr>
            <w:tcW w:w="4247" w:type="dxa"/>
          </w:tcPr>
          <w:p w:rsidR="007E6FFD" w:rsidRPr="00886337" w:rsidRDefault="007E6FFD" w:rsidP="007E6F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886337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Artículo 184.- Identificación de planes urbanísticos complementarios.-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En</w:t>
            </w:r>
            <w:r w:rsidR="00655809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función de l</w:t>
            </w:r>
            <w:r w:rsidRPr="00886337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a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s necesidades del territorio, se identifican las siguientes zonas que</w:t>
            </w:r>
            <w:r w:rsidR="00655809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requieren especificar o detallar las disposiciones contenidas en el presente plan, a través de la aplicación de planes urbanísticos complementarios.</w:t>
            </w:r>
          </w:p>
          <w:p w:rsidR="00655809" w:rsidRPr="00886337" w:rsidRDefault="00655809" w:rsidP="007E6F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7" w:type="dxa"/>
          </w:tcPr>
          <w:p w:rsidR="007E6FFD" w:rsidRPr="00886337" w:rsidRDefault="007E6FFD" w:rsidP="00CC44CA">
            <w:pPr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Se sugiere que la identificación de sectores sujetos a planes urbanísticos</w:t>
            </w:r>
            <w:r w:rsidR="00CC44CA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complementario</w:t>
            </w:r>
            <w:r w:rsidR="00CC44CA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s, como los p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lanes parciales de expansión urbana</w:t>
            </w:r>
            <w:r w:rsidR="00CC44CA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,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sea consensuad</w:t>
            </w:r>
            <w:r w:rsidR="00CC44CA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a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con </w:t>
            </w:r>
            <w:r w:rsidR="00CC44CA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los actores del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sector productivo del Distrito Metropolitano de Quito. </w:t>
            </w:r>
          </w:p>
          <w:p w:rsidR="007E6FFD" w:rsidRPr="00886337" w:rsidRDefault="007E6FFD" w:rsidP="007E6FFD">
            <w:pPr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FC6A1D" w:rsidRPr="00886337" w:rsidTr="009737DA">
        <w:tc>
          <w:tcPr>
            <w:tcW w:w="4247" w:type="dxa"/>
          </w:tcPr>
          <w:p w:rsidR="00FC6A1D" w:rsidRPr="00886337" w:rsidRDefault="00535C48" w:rsidP="007E6FF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6337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Artículo 188.- Identificación de proyectos integrales.-</w:t>
            </w:r>
          </w:p>
        </w:tc>
        <w:tc>
          <w:tcPr>
            <w:tcW w:w="4247" w:type="dxa"/>
          </w:tcPr>
          <w:p w:rsidR="00535C48" w:rsidRPr="00886337" w:rsidRDefault="00535C48" w:rsidP="007E6FFD">
            <w:pPr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Se recomienda incorporar un proyecto integral para la Administración Zonal del Chocó Andino.</w:t>
            </w:r>
          </w:p>
          <w:p w:rsidR="00FC6A1D" w:rsidRPr="00886337" w:rsidRDefault="00FC6A1D" w:rsidP="007E6FF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6A1D" w:rsidRPr="00886337" w:rsidTr="009737DA">
        <w:tc>
          <w:tcPr>
            <w:tcW w:w="4247" w:type="dxa"/>
          </w:tcPr>
          <w:p w:rsidR="00D56571" w:rsidRPr="00886337" w:rsidRDefault="009540EB" w:rsidP="007E6FFD">
            <w:pPr>
              <w:jc w:val="both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86337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Disposici</w:t>
            </w:r>
            <w:r w:rsidR="00593902" w:rsidRPr="00886337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ón</w:t>
            </w:r>
            <w:r w:rsidRPr="00886337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Reformatoria</w:t>
            </w:r>
            <w:r w:rsidR="00593902" w:rsidRPr="00886337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56571" w:rsidRPr="00886337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Cuarta.- </w:t>
            </w:r>
            <w:r w:rsidR="00D56571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Elimínese las disposiciones generales: quinta, séptima, décimo segunda,</w:t>
            </w:r>
            <w:r w:rsidR="00593902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="00D56571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décimo tercera, décimo cuarta, décimo sexta, vigésimo primera, vigésimo segunda,</w:t>
            </w:r>
            <w:r w:rsidR="00593902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="00D56571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vigésimo tercera, y vigésimo cuarta de la Ordenanza Metropolitana No. PMDOT-PUGS-001-2021, sancionada el 13 de septiembre de 2021, reformada mediante</w:t>
            </w:r>
            <w:r w:rsidR="00593902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="00D56571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Ordenanza Metropolitana No. 044-2022 de 2 de noviembre de 2022; y las</w:t>
            </w:r>
            <w:r w:rsidR="00593902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="00D56571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disposiciones generales vigésimo quinta, vigésimo sexta y vigésimo séptima de la</w:t>
            </w:r>
            <w:r w:rsidR="00593902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="00D56571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Ordenanza Metropolitana No. PMDOT-PUGS-001-2021, sancionada el 13 de</w:t>
            </w:r>
            <w:r w:rsidR="00593902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="00D56571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septiembre de 2021, incorporadas mediante ordenanza No. 044-2022 de 02 de</w:t>
            </w:r>
            <w:r w:rsidR="00593902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="00D56571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noviembre de 2022.</w:t>
            </w:r>
          </w:p>
        </w:tc>
        <w:tc>
          <w:tcPr>
            <w:tcW w:w="4247" w:type="dxa"/>
          </w:tcPr>
          <w:p w:rsidR="00607F24" w:rsidRPr="00886337" w:rsidRDefault="00593902" w:rsidP="007E6FFD">
            <w:pPr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886337">
              <w:rPr>
                <w:rFonts w:ascii="Calibri" w:hAnsi="Calibri" w:cs="Calibri"/>
                <w:sz w:val="22"/>
                <w:szCs w:val="22"/>
              </w:rPr>
              <w:t>En función del texto de la Disposición Reformatoria Cuarta del actual proyecto de ordenanza, s</w:t>
            </w:r>
            <w:r w:rsidR="00607F24" w:rsidRPr="00886337">
              <w:rPr>
                <w:rFonts w:ascii="Calibri" w:hAnsi="Calibri" w:cs="Calibri"/>
                <w:sz w:val="22"/>
                <w:szCs w:val="22"/>
              </w:rPr>
              <w:t xml:space="preserve">e entiende que la </w:t>
            </w:r>
            <w:r w:rsidRPr="00886337">
              <w:rPr>
                <w:rFonts w:ascii="Calibri" w:hAnsi="Calibri" w:cs="Calibri"/>
                <w:sz w:val="22"/>
                <w:szCs w:val="22"/>
              </w:rPr>
              <w:t>Disposición</w:t>
            </w:r>
            <w:r w:rsidR="00607F24" w:rsidRPr="00886337">
              <w:rPr>
                <w:rFonts w:ascii="Calibri" w:hAnsi="Calibri" w:cs="Calibri"/>
                <w:sz w:val="22"/>
                <w:szCs w:val="22"/>
              </w:rPr>
              <w:t xml:space="preserve"> General </w:t>
            </w:r>
            <w:r w:rsidR="00607F24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Novena de la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ordenanza </w:t>
            </w:r>
            <w:r w:rsidR="00607F24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PMDOT-PUGS No. 001 – 2021 no se elimina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. Dado su enfoque </w:t>
            </w:r>
            <w:r w:rsidR="00607F24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preponderan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te</w:t>
            </w:r>
            <w:r w:rsidR="00607F24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para el sector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industrial</w:t>
            </w:r>
            <w:r w:rsidR="00607F24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,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sería</w:t>
            </w:r>
            <w:r w:rsidR="00607F24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recomendable que esta disposición se incluya en las disposiciones generales del actual proyecto de ordenanza.</w:t>
            </w:r>
          </w:p>
          <w:p w:rsidR="00607F24" w:rsidRPr="00886337" w:rsidRDefault="00607F24" w:rsidP="007E6FF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93902" w:rsidRPr="00886337" w:rsidRDefault="00593902" w:rsidP="007E6FFD">
            <w:pPr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886337">
              <w:rPr>
                <w:rFonts w:ascii="Calibri" w:hAnsi="Calibri" w:cs="Calibri"/>
                <w:sz w:val="22"/>
                <w:szCs w:val="22"/>
              </w:rPr>
              <w:t xml:space="preserve">La Disposición General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Novena de la ordenanza PMDOT-PUGS No. 001 – 2021 establece lo siguiente: </w:t>
            </w:r>
          </w:p>
          <w:p w:rsidR="00593902" w:rsidRPr="00886337" w:rsidRDefault="00593902" w:rsidP="007E6FF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07F24" w:rsidRPr="00886337" w:rsidRDefault="00607F24" w:rsidP="007E6F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“Novena.- Las actividades económicas correspondientes a las diferentes tipologías que de</w:t>
            </w:r>
            <w:r w:rsidR="00593902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acuerdo al uso de suelo vigente sean incompatibles y/o no cumplan condiciones de</w:t>
            </w:r>
            <w:r w:rsidR="00593902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implantación, de conformidad con lo previsto en el PUGS, podrán obtener la preexistencia</w:t>
            </w:r>
            <w:r w:rsidR="00593902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de manera automática y permanecer en su ubicación actual, siempre y cuando cumplan al</w:t>
            </w:r>
            <w:r w:rsidR="00593902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menos una de las condiciones señaladas a continuación: a) Haber obtenido una o más</w:t>
            </w:r>
            <w:r w:rsidR="00593902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autorizaciones municipales, que evidencien que han venido realizando la misma actividad</w:t>
            </w:r>
            <w:r w:rsidR="00593902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económica con anterioridad al año 2016, en el mismo lote o predio. b) Haber obtenido una o</w:t>
            </w:r>
            <w:r w:rsidR="00593902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más licencias metropolitanas únicas para actividades económicas (LUAE) en el período</w:t>
            </w:r>
            <w:r w:rsidR="00593902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comprendido entre enero de 2016 y la fecha de aprobación de la presente Ordenanza, que</w:t>
            </w:r>
          </w:p>
          <w:p w:rsidR="00FC6A1D" w:rsidRPr="00886337" w:rsidRDefault="00607F24" w:rsidP="0059390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evidencien que han venido realizando la misma actividad económica, en el mismo lote o</w:t>
            </w:r>
            <w:r w:rsidR="00593902"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886337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predio.”</w:t>
            </w:r>
          </w:p>
        </w:tc>
      </w:tr>
    </w:tbl>
    <w:p w:rsidR="00F474E4" w:rsidRPr="00886337" w:rsidRDefault="00F474E4" w:rsidP="00F474E4">
      <w:pPr>
        <w:rPr>
          <w:rFonts w:ascii="Calibri" w:hAnsi="Calibri" w:cs="Calibri"/>
        </w:rPr>
      </w:pPr>
    </w:p>
    <w:p w:rsidR="00E375C6" w:rsidRPr="00886337" w:rsidRDefault="00E375C6" w:rsidP="00F474E4">
      <w:pPr>
        <w:rPr>
          <w:rFonts w:ascii="Calibri" w:hAnsi="Calibri" w:cs="Calibri"/>
        </w:rPr>
      </w:pPr>
      <w:bookmarkStart w:id="0" w:name="_GoBack"/>
      <w:bookmarkEnd w:id="0"/>
    </w:p>
    <w:sectPr w:rsidR="00E375C6" w:rsidRPr="0088633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86" w:rsidRDefault="00225086" w:rsidP="00BF62FE">
      <w:r>
        <w:separator/>
      </w:r>
    </w:p>
  </w:endnote>
  <w:endnote w:type="continuationSeparator" w:id="0">
    <w:p w:rsidR="00225086" w:rsidRDefault="00225086" w:rsidP="00BF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FE" w:rsidRDefault="00BF62FE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AC376E">
      <w:rPr>
        <w:caps/>
        <w:noProof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BF62FE" w:rsidRDefault="00BF62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86" w:rsidRDefault="00225086" w:rsidP="00BF62FE">
      <w:r>
        <w:separator/>
      </w:r>
    </w:p>
  </w:footnote>
  <w:footnote w:type="continuationSeparator" w:id="0">
    <w:p w:rsidR="00225086" w:rsidRDefault="00225086" w:rsidP="00BF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34FD"/>
    <w:multiLevelType w:val="hybridMultilevel"/>
    <w:tmpl w:val="32E4A8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1A"/>
    <w:rsid w:val="0001747C"/>
    <w:rsid w:val="0006386E"/>
    <w:rsid w:val="000E6D8D"/>
    <w:rsid w:val="001D6683"/>
    <w:rsid w:val="00225086"/>
    <w:rsid w:val="002A0064"/>
    <w:rsid w:val="0033241A"/>
    <w:rsid w:val="00535C48"/>
    <w:rsid w:val="00593902"/>
    <w:rsid w:val="005A49AB"/>
    <w:rsid w:val="0060599E"/>
    <w:rsid w:val="00607F24"/>
    <w:rsid w:val="00655809"/>
    <w:rsid w:val="006719B1"/>
    <w:rsid w:val="00751079"/>
    <w:rsid w:val="007E6FFD"/>
    <w:rsid w:val="007F469C"/>
    <w:rsid w:val="008665DF"/>
    <w:rsid w:val="00884B58"/>
    <w:rsid w:val="00886337"/>
    <w:rsid w:val="009540EB"/>
    <w:rsid w:val="009E2FC9"/>
    <w:rsid w:val="00AC376E"/>
    <w:rsid w:val="00B65C3B"/>
    <w:rsid w:val="00BF62FE"/>
    <w:rsid w:val="00C35D09"/>
    <w:rsid w:val="00C95484"/>
    <w:rsid w:val="00CC44CA"/>
    <w:rsid w:val="00D56571"/>
    <w:rsid w:val="00DB37AA"/>
    <w:rsid w:val="00E3625F"/>
    <w:rsid w:val="00E375C6"/>
    <w:rsid w:val="00F474E4"/>
    <w:rsid w:val="00F500A8"/>
    <w:rsid w:val="00F92BDF"/>
    <w:rsid w:val="00FC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7528"/>
  <w15:chartTrackingRefBased/>
  <w15:docId w15:val="{3B7054CE-0A31-6E47-8ACF-6F59F6E3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C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D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5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62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5C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C3B"/>
    <w:rPr>
      <w:rFonts w:ascii="Segoe U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F62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62F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F6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2F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Borja</dc:creator>
  <cp:keywords/>
  <dc:description/>
  <cp:lastModifiedBy>HP</cp:lastModifiedBy>
  <cp:revision>4</cp:revision>
  <cp:lastPrinted>2024-04-15T19:38:00Z</cp:lastPrinted>
  <dcterms:created xsi:type="dcterms:W3CDTF">2024-04-16T19:21:00Z</dcterms:created>
  <dcterms:modified xsi:type="dcterms:W3CDTF">2024-04-17T17:04:00Z</dcterms:modified>
</cp:coreProperties>
</file>