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2" w:rsidRPr="00056584" w:rsidRDefault="00D16D72" w:rsidP="00056584">
      <w:pPr>
        <w:spacing w:after="0" w:line="276" w:lineRule="auto"/>
        <w:rPr>
          <w:rFonts w:ascii="Palatino Linotype" w:hAnsi="Palatino Linotype" w:cs="Arial"/>
          <w:iCs/>
          <w:sz w:val="24"/>
          <w:szCs w:val="24"/>
        </w:rPr>
      </w:pPr>
      <w:r w:rsidRPr="00056584">
        <w:rPr>
          <w:rFonts w:ascii="Palatino Linotype" w:hAnsi="Palatino Linotype"/>
          <w:sz w:val="24"/>
          <w:szCs w:val="24"/>
        </w:rPr>
        <w:t>El presente informe tiene por objeto justificar la viabilidad jurídica del proyecto de: “</w:t>
      </w:r>
      <w:r w:rsidRPr="00056584">
        <w:rPr>
          <w:rFonts w:ascii="Palatino Linotype" w:hAnsi="Palatino Linotype" w:cs="Arial"/>
          <w:iCs/>
          <w:sz w:val="24"/>
          <w:szCs w:val="24"/>
        </w:rPr>
        <w:t>Ordenanza metropolitana reformatoria que agrega y sustituye el Capítulo VIII ´De la participación y organización juvenil en el gobierno autónomo descentralizado del Distrito Metropolitano de Quito´ del Título II ´Del sistema metropolitano de participación ciudadana y control social´, del Libro I.3 ´De la participación ciudadana y gobierno abierto del Código Municipal para el Distrito Metropolitano de Quito´”.</w:t>
      </w:r>
    </w:p>
    <w:p w:rsidR="00CF4AAA" w:rsidRPr="00056584" w:rsidRDefault="00CF4AAA" w:rsidP="00056584">
      <w:pPr>
        <w:spacing w:after="0" w:line="276" w:lineRule="auto"/>
        <w:rPr>
          <w:rFonts w:ascii="Palatino Linotype" w:hAnsi="Palatino Linotype" w:cs="Arial"/>
          <w:iCs/>
          <w:sz w:val="24"/>
          <w:szCs w:val="24"/>
        </w:rPr>
      </w:pPr>
    </w:p>
    <w:p w:rsidR="00D16D72" w:rsidRPr="00706105" w:rsidRDefault="00D16D72" w:rsidP="0070610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706105">
        <w:rPr>
          <w:rFonts w:ascii="Palatino Linotype" w:hAnsi="Palatino Linotype"/>
          <w:b/>
          <w:sz w:val="24"/>
          <w:szCs w:val="24"/>
        </w:rPr>
        <w:t>Sobre la competencia del GADDMQ respecto al objeto de regulación.</w:t>
      </w:r>
    </w:p>
    <w:p w:rsidR="007C2F93" w:rsidRPr="00056584" w:rsidRDefault="007C2F93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E0196" w:rsidRDefault="00BE0196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Desde una perspectiva general, a todos los niveles de gobierno le corresponde promover el ejercicio de derechos fundamentales, entendiendo por tal a la generación de condiciones y a la adopción de mecanismos idóneos para fomentar y permitir que las personas puedan ejercer con libertad los derechos fundamentales reconocidos en la constitución y los tratados internacionales de derechos humanos.</w:t>
      </w:r>
    </w:p>
    <w:p w:rsidR="00BE0196" w:rsidRDefault="00BE0196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7C2F93" w:rsidRPr="00056584" w:rsidRDefault="00BE0196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</w:rPr>
        <w:t>En este sentido, e</w:t>
      </w:r>
      <w:r w:rsidR="007C2F93" w:rsidRPr="00056584">
        <w:rPr>
          <w:rFonts w:ascii="Palatino Linotype" w:hAnsi="Palatino Linotype"/>
          <w:sz w:val="24"/>
          <w:szCs w:val="24"/>
        </w:rPr>
        <w:t>l artículo 95 de la Constitución de la República reconoce el derecho de: “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 xml:space="preserve">Las ciudadanas y ciudadanos, en forma individual y colectiva, participarán de manera protagónica en la </w:t>
      </w:r>
      <w:r w:rsidR="007C2F93" w:rsidRPr="00056584">
        <w:rPr>
          <w:rFonts w:ascii="Palatino Linotype" w:hAnsi="Palatino Linotype"/>
          <w:sz w:val="24"/>
          <w:szCs w:val="24"/>
          <w:u w:val="single"/>
          <w:lang w:val="es-ES"/>
        </w:rPr>
        <w:t>toma de decisiones, planificación y gestión de los asuntos públicos, y en el control popular de las instituciones del Estado y la sociedad, y de sus representantes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>, en un proceso permanente de construcción del poder ciudadano. La participación se orientará por los principios de igualdad, autonomía, deliberación pública, respeto a la diferencia, control popular, solidaridad e interculturalidad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 xml:space="preserve">” 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>(el énfasis no corresponde al texto original).</w:t>
      </w:r>
    </w:p>
    <w:p w:rsidR="007C2F93" w:rsidRPr="00056584" w:rsidRDefault="007C2F93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056584">
        <w:rPr>
          <w:rFonts w:ascii="Palatino Linotype" w:hAnsi="Palatino Linotype"/>
          <w:sz w:val="24"/>
          <w:szCs w:val="24"/>
          <w:lang w:val="es-ES"/>
        </w:rPr>
        <w:br/>
        <w:t>La participación de la ciudadanía en todos los asuntos de interés público es un derecho, que se ejercerá a través de los mecanismos de la democracia representativa, directa y comunitaria.</w:t>
      </w:r>
    </w:p>
    <w:p w:rsidR="00CF4AAA" w:rsidRPr="00056584" w:rsidRDefault="00CF4AAA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7C2F93" w:rsidRPr="00056584" w:rsidRDefault="00D16D72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056584">
        <w:rPr>
          <w:rFonts w:ascii="Palatino Linotype" w:hAnsi="Palatino Linotype"/>
          <w:sz w:val="24"/>
          <w:szCs w:val="24"/>
        </w:rPr>
        <w:t xml:space="preserve">El artículo </w:t>
      </w:r>
      <w:r w:rsidR="007C2F93" w:rsidRPr="00056584">
        <w:rPr>
          <w:rFonts w:ascii="Palatino Linotype" w:hAnsi="Palatino Linotype"/>
          <w:bCs/>
          <w:sz w:val="24"/>
          <w:szCs w:val="24"/>
          <w:lang w:val="es-ES"/>
        </w:rPr>
        <w:t>238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>, inciso primero de la Constitución de la República establece: “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 xml:space="preserve">Los gobiernos autónomos descentralizados gozarán de autonomía política, administrativa y financiera, y se regirán por los principios de solidaridad, subsidiariedad, equidad interterritorial, integración y </w:t>
      </w:r>
      <w:r w:rsidR="007C2F93" w:rsidRPr="00056584">
        <w:rPr>
          <w:rFonts w:ascii="Palatino Linotype" w:hAnsi="Palatino Linotype"/>
          <w:sz w:val="24"/>
          <w:szCs w:val="24"/>
          <w:u w:val="single"/>
          <w:lang w:val="es-ES"/>
        </w:rPr>
        <w:t>participación ciudadana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 xml:space="preserve">. 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lastRenderedPageBreak/>
        <w:t>En ningún caso el ejercicio de la autonomía permitirá la secesión del territorio nacional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>” (el énfasis no corresponde al texto original)</w:t>
      </w:r>
      <w:r w:rsidR="007C2F93" w:rsidRPr="00056584">
        <w:rPr>
          <w:rFonts w:ascii="Palatino Linotype" w:hAnsi="Palatino Linotype"/>
          <w:sz w:val="24"/>
          <w:szCs w:val="24"/>
          <w:lang w:val="es-ES"/>
        </w:rPr>
        <w:t>.</w:t>
      </w:r>
    </w:p>
    <w:p w:rsidR="00CF4AAA" w:rsidRPr="00056584" w:rsidRDefault="00CF4AAA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7C2F93" w:rsidRPr="00056584" w:rsidRDefault="007C2F93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056584">
        <w:rPr>
          <w:rFonts w:ascii="Palatino Linotype" w:hAnsi="Palatino Linotype"/>
          <w:sz w:val="24"/>
          <w:szCs w:val="24"/>
        </w:rPr>
        <w:t>El artículo 85, inciso final de la Constitución de la República, señala: “</w:t>
      </w:r>
      <w:r w:rsidRPr="00056584">
        <w:rPr>
          <w:rFonts w:ascii="Palatino Linotype" w:hAnsi="Palatino Linotype"/>
          <w:sz w:val="24"/>
          <w:szCs w:val="24"/>
          <w:lang w:val="es-ES"/>
        </w:rPr>
        <w:t xml:space="preserve">En la formulación, ejecución, evaluación y control de las políticas públicas y servicios públicos </w:t>
      </w:r>
      <w:r w:rsidRPr="00056584">
        <w:rPr>
          <w:rFonts w:ascii="Palatino Linotype" w:hAnsi="Palatino Linotype"/>
          <w:sz w:val="24"/>
          <w:szCs w:val="24"/>
          <w:u w:val="single"/>
          <w:lang w:val="es-ES"/>
        </w:rPr>
        <w:t>se garantizará la participación</w:t>
      </w:r>
      <w:r w:rsidRPr="00056584">
        <w:rPr>
          <w:rFonts w:ascii="Palatino Linotype" w:hAnsi="Palatino Linotype"/>
          <w:sz w:val="24"/>
          <w:szCs w:val="24"/>
          <w:lang w:val="es-ES"/>
        </w:rPr>
        <w:t xml:space="preserve"> de las personas, comunidades, pueblos y nacionalidades</w:t>
      </w:r>
      <w:r w:rsidRPr="00056584">
        <w:rPr>
          <w:rFonts w:ascii="Palatino Linotype" w:hAnsi="Palatino Linotype"/>
          <w:sz w:val="24"/>
          <w:szCs w:val="24"/>
          <w:lang w:val="es-ES"/>
        </w:rPr>
        <w:t xml:space="preserve">” </w:t>
      </w:r>
      <w:r w:rsidRPr="00056584">
        <w:rPr>
          <w:rFonts w:ascii="Palatino Linotype" w:hAnsi="Palatino Linotype"/>
          <w:sz w:val="24"/>
          <w:szCs w:val="24"/>
          <w:lang w:val="es-ES"/>
        </w:rPr>
        <w:t>(el énfasis no corresponde al texto original).</w:t>
      </w:r>
    </w:p>
    <w:p w:rsidR="00CF4AAA" w:rsidRPr="00056584" w:rsidRDefault="00CF4AAA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D16D72" w:rsidRPr="00056584" w:rsidRDefault="007C2F93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056584">
        <w:rPr>
          <w:rFonts w:ascii="Palatino Linotype" w:hAnsi="Palatino Linotype"/>
          <w:sz w:val="24"/>
          <w:szCs w:val="24"/>
        </w:rPr>
        <w:t xml:space="preserve">Desde </w:t>
      </w:r>
      <w:r w:rsidR="00BE0196">
        <w:rPr>
          <w:rFonts w:ascii="Palatino Linotype" w:hAnsi="Palatino Linotype"/>
          <w:sz w:val="24"/>
          <w:szCs w:val="24"/>
        </w:rPr>
        <w:t>una</w:t>
      </w:r>
      <w:r w:rsidRPr="00056584">
        <w:rPr>
          <w:rFonts w:ascii="Palatino Linotype" w:hAnsi="Palatino Linotype"/>
          <w:sz w:val="24"/>
          <w:szCs w:val="24"/>
        </w:rPr>
        <w:t xml:space="preserve"> perspectiva </w:t>
      </w:r>
      <w:r w:rsidR="00BE0196">
        <w:rPr>
          <w:rFonts w:ascii="Palatino Linotype" w:hAnsi="Palatino Linotype"/>
          <w:sz w:val="24"/>
          <w:szCs w:val="24"/>
        </w:rPr>
        <w:t xml:space="preserve">sistemática, </w:t>
      </w:r>
      <w:r w:rsidRPr="00056584">
        <w:rPr>
          <w:rFonts w:ascii="Palatino Linotype" w:hAnsi="Palatino Linotype"/>
          <w:sz w:val="24"/>
          <w:szCs w:val="24"/>
        </w:rPr>
        <w:t xml:space="preserve">queda claro que la participación ciudadana en todos los asuntos de interés público constituye un derecho y </w:t>
      </w:r>
      <w:r w:rsidR="00CF4AAA" w:rsidRPr="00056584">
        <w:rPr>
          <w:rFonts w:ascii="Palatino Linotype" w:hAnsi="Palatino Linotype"/>
          <w:sz w:val="24"/>
          <w:szCs w:val="24"/>
        </w:rPr>
        <w:t xml:space="preserve">un </w:t>
      </w:r>
      <w:r w:rsidRPr="00056584">
        <w:rPr>
          <w:rFonts w:ascii="Palatino Linotype" w:hAnsi="Palatino Linotype"/>
          <w:sz w:val="24"/>
          <w:szCs w:val="24"/>
        </w:rPr>
        <w:t xml:space="preserve">valor </w:t>
      </w:r>
      <w:r w:rsidR="00CF4AAA" w:rsidRPr="00056584">
        <w:rPr>
          <w:rFonts w:ascii="Palatino Linotype" w:hAnsi="Palatino Linotype"/>
          <w:sz w:val="24"/>
          <w:szCs w:val="24"/>
        </w:rPr>
        <w:t xml:space="preserve">fundamental y </w:t>
      </w:r>
      <w:r w:rsidRPr="00056584">
        <w:rPr>
          <w:rFonts w:ascii="Palatino Linotype" w:hAnsi="Palatino Linotype"/>
          <w:sz w:val="24"/>
          <w:szCs w:val="24"/>
        </w:rPr>
        <w:t xml:space="preserve">transversal </w:t>
      </w:r>
      <w:r w:rsidR="00CF4AAA" w:rsidRPr="00056584">
        <w:rPr>
          <w:rFonts w:ascii="Palatino Linotype" w:hAnsi="Palatino Linotype"/>
          <w:sz w:val="24"/>
          <w:szCs w:val="24"/>
        </w:rPr>
        <w:t>del sistema constitucional ecuatoriano; razón por la cual, corresponde a las entidades estatales, de todos los niveles de gobierno generar mecanismos eficaces de participación ciudadana que permitan ejercer a plenitud el derecho reconocido en el citado artículo 95 de la Constitución.</w:t>
      </w:r>
    </w:p>
    <w:p w:rsidR="00CF4AAA" w:rsidRPr="00056584" w:rsidRDefault="00CF4AAA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CF4AAA" w:rsidRPr="00056584" w:rsidRDefault="00CF4AAA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056584">
        <w:rPr>
          <w:rFonts w:ascii="Palatino Linotype" w:hAnsi="Palatino Linotype"/>
          <w:sz w:val="24"/>
          <w:szCs w:val="24"/>
        </w:rPr>
        <w:t>Al respecto, cabe señalar que el artículo 100 de la Constitución de la República, en su parte pertinente, es explícito al expresar que, “</w:t>
      </w:r>
      <w:r w:rsidRPr="00056584">
        <w:rPr>
          <w:rFonts w:ascii="Palatino Linotype" w:hAnsi="Palatino Linotype"/>
          <w:sz w:val="24"/>
          <w:szCs w:val="24"/>
          <w:lang w:val="es-ES"/>
        </w:rPr>
        <w:t xml:space="preserve">En </w:t>
      </w:r>
      <w:r w:rsidRPr="00056584">
        <w:rPr>
          <w:rFonts w:ascii="Palatino Linotype" w:hAnsi="Palatino Linotype"/>
          <w:sz w:val="24"/>
          <w:szCs w:val="24"/>
          <w:u w:val="single"/>
          <w:lang w:val="es-ES"/>
        </w:rPr>
        <w:t>todos los niveles de gobierno</w:t>
      </w:r>
      <w:r w:rsidRPr="00056584">
        <w:rPr>
          <w:rFonts w:ascii="Palatino Linotype" w:hAnsi="Palatino Linotype"/>
          <w:sz w:val="24"/>
          <w:szCs w:val="24"/>
          <w:lang w:val="es-ES"/>
        </w:rPr>
        <w:t xml:space="preserve"> se conformarán instancias de participación integradas por autoridades electas, representantes del régimen dependiente y representantes de la sociedad del ámbito territorial de cada nivel de gobierno, que funcionarán regid</w:t>
      </w:r>
      <w:r w:rsidRPr="00056584">
        <w:rPr>
          <w:rFonts w:ascii="Palatino Linotype" w:hAnsi="Palatino Linotype"/>
          <w:sz w:val="24"/>
          <w:szCs w:val="24"/>
          <w:lang w:val="es-ES"/>
        </w:rPr>
        <w:t>as por principios democráticos”. Para el efecto, el propio cuerpo normativo ejemplifica los mecanismos que pueden adoptarse para permitir dicha participación, al señalar, en su inciso final: “</w:t>
      </w:r>
      <w:r w:rsidRPr="00056584">
        <w:rPr>
          <w:rFonts w:ascii="Palatino Linotype" w:hAnsi="Palatino Linotype"/>
          <w:sz w:val="24"/>
          <w:szCs w:val="24"/>
          <w:lang w:val="es-ES"/>
        </w:rPr>
        <w:t xml:space="preserve">Para el ejercicio de esta participación se organizarán audiencias públicas, veedurías, asambleas, cabildos populares, consejos consultivos, observatorios </w:t>
      </w:r>
      <w:r w:rsidRPr="00056584">
        <w:rPr>
          <w:rFonts w:ascii="Palatino Linotype" w:hAnsi="Palatino Linotype"/>
          <w:sz w:val="24"/>
          <w:szCs w:val="24"/>
          <w:u w:val="single"/>
          <w:lang w:val="es-ES"/>
        </w:rPr>
        <w:t>y las demás instancias que promueva la ciudadanía</w:t>
      </w:r>
      <w:r w:rsidRPr="00056584">
        <w:rPr>
          <w:rFonts w:ascii="Palatino Linotype" w:hAnsi="Palatino Linotype"/>
          <w:sz w:val="24"/>
          <w:szCs w:val="24"/>
          <w:lang w:val="es-ES"/>
        </w:rPr>
        <w:t>”</w:t>
      </w:r>
      <w:r w:rsidRPr="00056584">
        <w:rPr>
          <w:rFonts w:ascii="Palatino Linotype" w:hAnsi="Palatino Linotype"/>
          <w:sz w:val="24"/>
          <w:szCs w:val="24"/>
          <w:lang w:val="es-ES"/>
        </w:rPr>
        <w:t>.</w:t>
      </w:r>
    </w:p>
    <w:p w:rsidR="00CF4AAA" w:rsidRPr="00056584" w:rsidRDefault="00CF4AAA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</w:p>
    <w:p w:rsidR="006E54C8" w:rsidRPr="00056584" w:rsidRDefault="00CF4AAA" w:rsidP="00056584">
      <w:pPr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056584">
        <w:rPr>
          <w:rFonts w:ascii="Palatino Linotype" w:hAnsi="Palatino Linotype"/>
          <w:sz w:val="24"/>
          <w:szCs w:val="24"/>
          <w:lang w:val="es-ES"/>
        </w:rPr>
        <w:t xml:space="preserve">En tal sentido, los mecanismos de participación ciudadana previstos en la constitución no son exclusivos ni excluyentes; por el contrario, resultan complementarios siempre que contribuyan a los fines propios de la democracia participativo. El tal sentido, los gobiernos autónomos descentralizados están en la obligación constitucional </w:t>
      </w:r>
      <w:r w:rsidR="007B1328" w:rsidRPr="00056584">
        <w:rPr>
          <w:rFonts w:ascii="Palatino Linotype" w:hAnsi="Palatino Linotype"/>
          <w:sz w:val="24"/>
          <w:szCs w:val="24"/>
          <w:lang w:val="es-ES"/>
        </w:rPr>
        <w:t>de generar mayores y mejores mecanismos de participación ciudadana para la conformación del poder popular, elemento constitutivo de todo modelo democrático. Así lo entiende el Código Orgánico de Organización Territorial, Autonomía y Descentralización, cuando en el artículo 87, letra f) establece: “</w:t>
      </w:r>
      <w:r w:rsidR="007B1328" w:rsidRPr="00056584">
        <w:rPr>
          <w:rFonts w:ascii="Palatino Linotype" w:hAnsi="Palatino Linotype" w:cs="TimesNewRomanPSMT"/>
          <w:sz w:val="24"/>
          <w:szCs w:val="24"/>
        </w:rPr>
        <w:t>Al concejo metropolitano le corresponde:</w:t>
      </w:r>
      <w:r w:rsidR="007B1328" w:rsidRPr="00056584">
        <w:rPr>
          <w:rFonts w:ascii="Palatino Linotype" w:hAnsi="Palatino Linotype" w:cs="TimesNewRomanPSMT"/>
          <w:sz w:val="24"/>
          <w:szCs w:val="24"/>
        </w:rPr>
        <w:t>…</w:t>
      </w:r>
      <w:r w:rsidR="007B1328" w:rsidRPr="00056584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7B1328" w:rsidRPr="00056584">
        <w:rPr>
          <w:rFonts w:ascii="Palatino Linotype" w:hAnsi="Palatino Linotype" w:cs="TimesNewRomanPSMT"/>
          <w:sz w:val="24"/>
          <w:szCs w:val="24"/>
        </w:rPr>
        <w:t>f) Aprobar u observar el presupuesto del gobierno autónomo metropolitano, que deberá guardar</w:t>
      </w:r>
      <w:r w:rsidR="007B1328" w:rsidRPr="00056584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7B1328" w:rsidRPr="00056584">
        <w:rPr>
          <w:rFonts w:ascii="Palatino Linotype" w:hAnsi="Palatino Linotype" w:cs="TimesNewRomanPSMT"/>
          <w:sz w:val="24"/>
          <w:szCs w:val="24"/>
        </w:rPr>
        <w:t xml:space="preserve">concordancia </w:t>
      </w:r>
      <w:r w:rsidR="007B1328" w:rsidRPr="00056584">
        <w:rPr>
          <w:rFonts w:ascii="Palatino Linotype" w:hAnsi="Palatino Linotype" w:cs="TimesNewRomanPSMT"/>
          <w:sz w:val="24"/>
          <w:szCs w:val="24"/>
        </w:rPr>
        <w:t xml:space="preserve">con el plan metropolitano de desarrollo y de ordenamiento </w:t>
      </w:r>
      <w:bookmarkStart w:id="0" w:name="_GoBack"/>
      <w:bookmarkEnd w:id="0"/>
      <w:r w:rsidR="007B1328" w:rsidRPr="00056584">
        <w:rPr>
          <w:rFonts w:ascii="Palatino Linotype" w:hAnsi="Palatino Linotype" w:cs="TimesNewRomanPSMT"/>
          <w:sz w:val="24"/>
          <w:szCs w:val="24"/>
        </w:rPr>
        <w:lastRenderedPageBreak/>
        <w:t xml:space="preserve">territorial y </w:t>
      </w:r>
      <w:r w:rsidR="007B1328" w:rsidRPr="00056584">
        <w:rPr>
          <w:rFonts w:ascii="Palatino Linotype" w:hAnsi="Palatino Linotype" w:cs="TimesNewRomanPSMT"/>
          <w:sz w:val="24"/>
          <w:szCs w:val="24"/>
          <w:u w:val="single"/>
        </w:rPr>
        <w:t>garantizar una</w:t>
      </w:r>
      <w:r w:rsidR="007B1328" w:rsidRPr="00056584">
        <w:rPr>
          <w:rFonts w:ascii="Palatino Linotype" w:hAnsi="Palatino Linotype"/>
          <w:sz w:val="24"/>
          <w:szCs w:val="24"/>
          <w:u w:val="single"/>
          <w:lang w:val="es-ES"/>
        </w:rPr>
        <w:t xml:space="preserve"> </w:t>
      </w:r>
      <w:r w:rsidR="007B1328" w:rsidRPr="00056584">
        <w:rPr>
          <w:rFonts w:ascii="Palatino Linotype" w:hAnsi="Palatino Linotype" w:cs="TimesNewRomanPSMT"/>
          <w:sz w:val="24"/>
          <w:szCs w:val="24"/>
          <w:u w:val="single"/>
        </w:rPr>
        <w:t>participación ciudadana en la que estén representad</w:t>
      </w:r>
      <w:r w:rsidR="007B1328" w:rsidRPr="00056584">
        <w:rPr>
          <w:rFonts w:ascii="Palatino Linotype" w:hAnsi="Palatino Linotype" w:cs="TimesNewRomanPSMT"/>
          <w:sz w:val="24"/>
          <w:szCs w:val="24"/>
          <w:u w:val="single"/>
        </w:rPr>
        <w:t xml:space="preserve">os los intereses colectivos del </w:t>
      </w:r>
      <w:r w:rsidR="007B1328" w:rsidRPr="00056584">
        <w:rPr>
          <w:rFonts w:ascii="Palatino Linotype" w:hAnsi="Palatino Linotype" w:cs="TimesNewRomanPSMT"/>
          <w:sz w:val="24"/>
          <w:szCs w:val="24"/>
          <w:u w:val="single"/>
        </w:rPr>
        <w:t>distrito en el marco</w:t>
      </w:r>
      <w:r w:rsidR="007B1328" w:rsidRPr="00056584">
        <w:rPr>
          <w:rFonts w:ascii="Palatino Linotype" w:hAnsi="Palatino Linotype"/>
          <w:sz w:val="24"/>
          <w:szCs w:val="24"/>
          <w:u w:val="single"/>
          <w:lang w:val="es-ES"/>
        </w:rPr>
        <w:t xml:space="preserve"> </w:t>
      </w:r>
      <w:r w:rsidR="007B1328" w:rsidRPr="00056584">
        <w:rPr>
          <w:rFonts w:ascii="Palatino Linotype" w:hAnsi="Palatino Linotype" w:cs="TimesNewRomanPSMT"/>
          <w:sz w:val="24"/>
          <w:szCs w:val="24"/>
          <w:u w:val="single"/>
        </w:rPr>
        <w:t>de la Constitución y la ley</w:t>
      </w:r>
      <w:r w:rsidR="007B1328" w:rsidRPr="00056584">
        <w:rPr>
          <w:rFonts w:ascii="Palatino Linotype" w:hAnsi="Palatino Linotype" w:cs="TimesNewRomanPSMT"/>
          <w:sz w:val="24"/>
          <w:szCs w:val="24"/>
        </w:rPr>
        <w:t>. De igual forma, aprobará u observará la liquidación presupuestaria del</w:t>
      </w:r>
      <w:r w:rsidR="007B1328" w:rsidRPr="00056584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7B1328" w:rsidRPr="00056584">
        <w:rPr>
          <w:rFonts w:ascii="Palatino Linotype" w:hAnsi="Palatino Linotype" w:cs="TimesNewRomanPSMT"/>
          <w:sz w:val="24"/>
          <w:szCs w:val="24"/>
        </w:rPr>
        <w:t>año inmediato anterior, con las respectivas reformas</w:t>
      </w:r>
      <w:r w:rsidR="007B1328" w:rsidRPr="00056584">
        <w:rPr>
          <w:rFonts w:ascii="Palatino Linotype" w:hAnsi="Palatino Linotype" w:cs="TimesNewRomanPSMT"/>
          <w:sz w:val="24"/>
          <w:szCs w:val="24"/>
        </w:rPr>
        <w:t>”.</w:t>
      </w:r>
    </w:p>
    <w:p w:rsidR="00E727F9" w:rsidRPr="00056584" w:rsidRDefault="00E727F9" w:rsidP="00056584">
      <w:pPr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:rsidR="00E727F9" w:rsidRPr="00056584" w:rsidRDefault="00E727F9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056584">
        <w:rPr>
          <w:rFonts w:ascii="Palatino Linotype" w:hAnsi="Palatino Linotype" w:cs="TimesNewRomanPSMT"/>
          <w:sz w:val="24"/>
          <w:szCs w:val="24"/>
        </w:rPr>
        <w:t xml:space="preserve">Entre los diversos colectivos ciudadanos cuya participación ciudadana debe garantizarse, aparecen entre los grupos de atención prioritaria, las y los adolescentes y jóvenes, a quienes el artículo 39 de la Constitución de la República les reconoce </w:t>
      </w:r>
      <w:r w:rsidRPr="00056584">
        <w:rPr>
          <w:rFonts w:ascii="Palatino Linotype" w:hAnsi="Palatino Linotype"/>
          <w:sz w:val="24"/>
          <w:szCs w:val="24"/>
          <w:lang w:val="es-ES"/>
        </w:rPr>
        <w:t xml:space="preserve">como </w:t>
      </w:r>
      <w:r w:rsidRPr="00056584">
        <w:rPr>
          <w:rFonts w:ascii="Palatino Linotype" w:hAnsi="Palatino Linotype"/>
          <w:sz w:val="24"/>
          <w:szCs w:val="24"/>
          <w:lang w:val="es-ES"/>
        </w:rPr>
        <w:t>“…</w:t>
      </w:r>
      <w:r w:rsidRPr="00056584">
        <w:rPr>
          <w:rFonts w:ascii="Palatino Linotype" w:hAnsi="Palatino Linotype"/>
          <w:sz w:val="24"/>
          <w:szCs w:val="24"/>
          <w:lang w:val="es-ES"/>
        </w:rPr>
        <w:t>actores estratégicos del desarrollo del país, y les garantizará la educación, salud, vivienda, recreación, deporte, tiempo libre, libertad de expresión y asociación. El Estado fomentará su incorporación al trabajo en condiciones justas y dignas, con énfasis en la capacitación, la garantía de acceso al primer empleo y la promoción de sus habilidades de emprendimiento</w:t>
      </w:r>
      <w:r w:rsidRPr="00056584">
        <w:rPr>
          <w:rFonts w:ascii="Palatino Linotype" w:hAnsi="Palatino Linotype"/>
          <w:sz w:val="24"/>
          <w:szCs w:val="24"/>
          <w:lang w:val="es-ES"/>
        </w:rPr>
        <w:t xml:space="preserve">”. </w:t>
      </w:r>
    </w:p>
    <w:p w:rsidR="00E727F9" w:rsidRPr="00056584" w:rsidRDefault="00E727F9" w:rsidP="00056584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</w:p>
    <w:p w:rsidR="00E727F9" w:rsidRPr="00056584" w:rsidRDefault="00E727F9" w:rsidP="00056584">
      <w:pPr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056584">
        <w:rPr>
          <w:rFonts w:ascii="Palatino Linotype" w:hAnsi="Palatino Linotype" w:cs="TimesNewRomanPSMT"/>
          <w:sz w:val="24"/>
          <w:szCs w:val="24"/>
        </w:rPr>
        <w:t xml:space="preserve">Queda claro que </w:t>
      </w:r>
      <w:r w:rsidR="00056584" w:rsidRPr="00056584">
        <w:rPr>
          <w:rFonts w:ascii="Palatino Linotype" w:hAnsi="Palatino Linotype" w:cs="TimesNewRomanPSMT"/>
          <w:sz w:val="24"/>
          <w:szCs w:val="24"/>
        </w:rPr>
        <w:t>no es posible constituirse como actor estratégico del desarrollo del país y de la respectiva colectividad sin los medios de participación ciudadana no son lo verdaderamente eficientes para permitir que la voz de las y los jóvenes sea escuchada por las autoridades y por los demás miembros de un colectivo; de ahí que los gobiernos autónomos descentralizados han de prever los mecanismos institucionales, normativos y de gestión para canalizar los aportes de este grupo etario  como una forma de promover el ejercicio de una ciudadanía responsable y comprometida con el interés general.</w:t>
      </w:r>
    </w:p>
    <w:p w:rsidR="007B1328" w:rsidRPr="00056584" w:rsidRDefault="007B1328" w:rsidP="00056584">
      <w:pPr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:rsidR="007B1328" w:rsidRPr="00056584" w:rsidRDefault="007B1328" w:rsidP="00056584">
      <w:pPr>
        <w:spacing w:after="0" w:line="276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056584">
        <w:rPr>
          <w:rFonts w:ascii="Palatino Linotype" w:hAnsi="Palatino Linotype" w:cs="TimesNewRomanPSMT"/>
          <w:sz w:val="24"/>
          <w:szCs w:val="24"/>
        </w:rPr>
        <w:t xml:space="preserve">Cabe señalar que el proyecto de ordenanza sobre el que versa el presente informe tiene por objeto: </w:t>
      </w:r>
      <w:r w:rsidR="00845D2D" w:rsidRPr="00056584">
        <w:rPr>
          <w:rFonts w:ascii="Palatino Linotype" w:hAnsi="Palatino Linotype" w:cs="TimesNewRomanPSMT"/>
          <w:sz w:val="24"/>
          <w:szCs w:val="24"/>
        </w:rPr>
        <w:t>“</w:t>
      </w:r>
      <w:r w:rsidR="00845D2D" w:rsidRPr="00056584">
        <w:rPr>
          <w:rFonts w:ascii="Palatino Linotype" w:hAnsi="Palatino Linotype" w:cs="Arial"/>
          <w:bCs/>
          <w:sz w:val="24"/>
          <w:szCs w:val="24"/>
        </w:rPr>
        <w:t>Garantizar a todos los y las adolescentes y jóvenes el ejercicio pleno de la participación ciudadana, propiciando su incidencia de forma individual, colectiva o comunitaria en la intervención para la construcción de políticas públicas o normativa metropolitana, fortaleciendo  sus capacidades en la vida social, económica, política, cultural y ambiental del Distrito Metropolitano de Quito</w:t>
      </w:r>
      <w:r w:rsidR="006E54C8" w:rsidRPr="00056584">
        <w:rPr>
          <w:rFonts w:ascii="Palatino Linotype" w:hAnsi="Palatino Linotype" w:cs="Arial"/>
          <w:bCs/>
          <w:sz w:val="24"/>
          <w:szCs w:val="24"/>
        </w:rPr>
        <w:t>”; conforme lo expone su artículo 1</w:t>
      </w:r>
      <w:r w:rsidR="00845D2D" w:rsidRPr="00056584">
        <w:rPr>
          <w:rFonts w:ascii="Palatino Linotype" w:hAnsi="Palatino Linotype" w:cs="Arial"/>
          <w:bCs/>
          <w:sz w:val="24"/>
          <w:szCs w:val="24"/>
        </w:rPr>
        <w:t>.</w:t>
      </w:r>
    </w:p>
    <w:p w:rsidR="00056584" w:rsidRPr="00056584" w:rsidRDefault="00056584" w:rsidP="00056584">
      <w:pPr>
        <w:spacing w:after="0" w:line="276" w:lineRule="auto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056584" w:rsidRDefault="00056584" w:rsidP="007B1328">
      <w:pPr>
        <w:spacing w:after="0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 xml:space="preserve">Dentro del cuerpo normativo propuestos constan disposiciones relativas </w:t>
      </w:r>
      <w:r w:rsidR="00F60297">
        <w:rPr>
          <w:rFonts w:ascii="Palatino Linotype" w:hAnsi="Palatino Linotype"/>
          <w:sz w:val="24"/>
          <w:szCs w:val="24"/>
          <w:lang w:val="es-ES"/>
        </w:rPr>
        <w:t>a los principios fundamentales que guían esta forma de participación juvenil en el seno del Concejo Metropolitano de Quito, el objetivo y conformación del denominado “curul de guambras”, los requisitos para acceder a él y la forma en la que se ha de difundir los resultados de esta participación.</w:t>
      </w:r>
    </w:p>
    <w:p w:rsidR="00F60297" w:rsidRDefault="00F60297" w:rsidP="007B1328">
      <w:pPr>
        <w:spacing w:after="0"/>
        <w:jc w:val="both"/>
        <w:rPr>
          <w:rFonts w:ascii="Palatino Linotype" w:hAnsi="Palatino Linotype"/>
          <w:sz w:val="24"/>
          <w:szCs w:val="24"/>
          <w:lang w:val="es-ES"/>
        </w:rPr>
      </w:pPr>
    </w:p>
    <w:p w:rsidR="00706105" w:rsidRPr="00706105" w:rsidRDefault="00706105" w:rsidP="00706105">
      <w:pPr>
        <w:pStyle w:val="Prrafodelista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  <w:sz w:val="24"/>
          <w:szCs w:val="24"/>
          <w:lang w:val="es-ES"/>
        </w:rPr>
      </w:pPr>
      <w:r w:rsidRPr="00706105">
        <w:rPr>
          <w:rFonts w:ascii="Palatino Linotype" w:hAnsi="Palatino Linotype"/>
          <w:b/>
          <w:sz w:val="24"/>
          <w:szCs w:val="24"/>
          <w:lang w:val="es-ES"/>
        </w:rPr>
        <w:lastRenderedPageBreak/>
        <w:t xml:space="preserve">Conclusión </w:t>
      </w:r>
    </w:p>
    <w:p w:rsidR="00706105" w:rsidRDefault="00706105" w:rsidP="007B1328">
      <w:pPr>
        <w:spacing w:after="0"/>
        <w:jc w:val="both"/>
        <w:rPr>
          <w:rFonts w:ascii="Palatino Linotype" w:hAnsi="Palatino Linotype"/>
          <w:sz w:val="24"/>
          <w:szCs w:val="24"/>
          <w:lang w:val="es-ES"/>
        </w:rPr>
      </w:pPr>
    </w:p>
    <w:p w:rsidR="00F60297" w:rsidRDefault="00706105" w:rsidP="007B1328">
      <w:pPr>
        <w:spacing w:after="0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E</w:t>
      </w:r>
      <w:r w:rsidR="00D775BD">
        <w:rPr>
          <w:rFonts w:ascii="Palatino Linotype" w:hAnsi="Palatino Linotype"/>
          <w:sz w:val="24"/>
          <w:szCs w:val="24"/>
          <w:lang w:val="es-ES"/>
        </w:rPr>
        <w:t>l proyecto de ordenanza, materia del presente informe se alinea con la obligación que tienen los gobiernos autónomos descentralizados para promover la participación ciudadana de jóvenes y adolescentes, escuchar sus propuestas, demandas y aspiraciones, las mismas que pueden tomar cuerpo y constituirse en propuestas concretas para debate del Concejo Metropolitano, en caso de que la iniciativa sea asumida por un miembro del cuerpo edilicio o mediante otros mecanismos de participación ciudadana como la iniciativa popular normativa.</w:t>
      </w:r>
    </w:p>
    <w:p w:rsidR="00D775BD" w:rsidRDefault="00D775BD" w:rsidP="007B1328">
      <w:pPr>
        <w:spacing w:after="0"/>
        <w:jc w:val="both"/>
        <w:rPr>
          <w:rFonts w:ascii="Palatino Linotype" w:hAnsi="Palatino Linotype"/>
          <w:sz w:val="24"/>
          <w:szCs w:val="24"/>
          <w:lang w:val="es-ES"/>
        </w:rPr>
      </w:pPr>
    </w:p>
    <w:p w:rsidR="00D775BD" w:rsidRPr="007B1328" w:rsidRDefault="00D775BD" w:rsidP="007B1328">
      <w:pPr>
        <w:spacing w:after="0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 xml:space="preserve">En definitiva, la presente propuesta es coherente con la promoción de derechos de participación y está dentro del marco de competencias y atribuciones del Gobierno Autónomo Descentralizado del </w:t>
      </w:r>
      <w:r w:rsidR="00706105">
        <w:rPr>
          <w:rFonts w:ascii="Palatino Linotype" w:hAnsi="Palatino Linotype"/>
          <w:sz w:val="24"/>
          <w:szCs w:val="24"/>
          <w:lang w:val="es-ES"/>
        </w:rPr>
        <w:t>Distrito Metropolitano de Quito.</w:t>
      </w:r>
    </w:p>
    <w:sectPr w:rsidR="00D775BD" w:rsidRPr="007B1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00D"/>
    <w:multiLevelType w:val="hybridMultilevel"/>
    <w:tmpl w:val="2FFC4DF2"/>
    <w:lvl w:ilvl="0" w:tplc="751AEE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2478A5"/>
    <w:multiLevelType w:val="hybridMultilevel"/>
    <w:tmpl w:val="4170C07A"/>
    <w:lvl w:ilvl="0" w:tplc="9134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72"/>
    <w:rsid w:val="00056584"/>
    <w:rsid w:val="00057FC0"/>
    <w:rsid w:val="00173B99"/>
    <w:rsid w:val="001D03FC"/>
    <w:rsid w:val="0053241F"/>
    <w:rsid w:val="006E54C8"/>
    <w:rsid w:val="00706105"/>
    <w:rsid w:val="007B1328"/>
    <w:rsid w:val="007C2F93"/>
    <w:rsid w:val="00845D2D"/>
    <w:rsid w:val="00BE0196"/>
    <w:rsid w:val="00CF4AAA"/>
    <w:rsid w:val="00D16D72"/>
    <w:rsid w:val="00D775BD"/>
    <w:rsid w:val="00E727F9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BD61"/>
  <w15:chartTrackingRefBased/>
  <w15:docId w15:val="{DCAC177E-4C09-47E1-9452-2AF3CC4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D72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7C2F9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Concejo</dc:creator>
  <cp:keywords/>
  <dc:description/>
  <cp:lastModifiedBy>Secretaria de Concejo</cp:lastModifiedBy>
  <cp:revision>5</cp:revision>
  <dcterms:created xsi:type="dcterms:W3CDTF">2022-10-17T16:18:00Z</dcterms:created>
  <dcterms:modified xsi:type="dcterms:W3CDTF">2022-10-17T17:38:00Z</dcterms:modified>
</cp:coreProperties>
</file>