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RESOLUCIÓN No. C XXX – 2024</w:t>
      </w:r>
    </w:p>
    <w:p>
      <w:pPr>
        <w:autoSpaceDE w:val="0"/>
        <w:autoSpaceDN w:val="0"/>
        <w:adjustRightInd w:val="0"/>
        <w:jc w:val="center"/>
        <w:rPr>
          <w:rFonts w:asciiTheme="minorHAnsi" w:hAnsiTheme="minorHAnsi" w:cstheme="minorHAnsi"/>
          <w:sz w:val="22"/>
          <w:szCs w:val="22"/>
        </w:rPr>
      </w:pPr>
    </w:p>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EL CONCEJO METROPOLITANO DE QUITO</w:t>
      </w:r>
    </w:p>
    <w:p>
      <w:pPr>
        <w:autoSpaceDE w:val="0"/>
        <w:autoSpaceDN w:val="0"/>
        <w:adjustRightInd w:val="0"/>
        <w:jc w:val="center"/>
        <w:rPr>
          <w:rFonts w:asciiTheme="minorHAnsi" w:hAnsiTheme="minorHAnsi" w:cstheme="minorHAnsi"/>
          <w:sz w:val="22"/>
          <w:szCs w:val="22"/>
        </w:rPr>
      </w:pPr>
    </w:p>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CONSIDERANDO:</w:t>
      </w:r>
    </w:p>
    <w:p>
      <w:pPr>
        <w:autoSpaceDE w:val="0"/>
        <w:autoSpaceDN w:val="0"/>
        <w:adjustRightInd w:val="0"/>
        <w:jc w:val="both"/>
        <w:rPr>
          <w:rFonts w:asciiTheme="minorHAnsi" w:hAnsiTheme="minorHAnsi" w:cstheme="minorHAnsi"/>
          <w:sz w:val="22"/>
          <w:szCs w:val="22"/>
        </w:rPr>
      </w:pPr>
    </w:p>
    <w:p>
      <w:pPr>
        <w:autoSpaceDE w:val="0"/>
        <w:autoSpaceDN w:val="0"/>
        <w:adjustRightInd w:val="0"/>
        <w:ind w:left="709" w:hanging="709"/>
        <w:jc w:val="both"/>
        <w:rPr>
          <w:rFonts w:asciiTheme="minorHAnsi" w:hAnsiTheme="minorHAnsi" w:eastAsiaTheme="minorHAnsi" w:cstheme="minorHAnsi"/>
          <w:sz w:val="22"/>
          <w:szCs w:val="22"/>
          <w:lang w:val="es-EC" w:eastAsia="en-US"/>
        </w:rPr>
      </w:pPr>
      <w:bookmarkStart w:id="0" w:name="_GoBack"/>
      <w:bookmarkEnd w:id="0"/>
    </w:p>
    <w:p>
      <w:pPr>
        <w:ind w:left="700" w:hanging="700"/>
        <w:jc w:val="both"/>
        <w:rPr>
          <w:rFonts w:asciiTheme="minorHAnsi" w:hAnsiTheme="minorHAnsi" w:cstheme="minorHAnsi"/>
          <w:sz w:val="22"/>
          <w:szCs w:val="22"/>
          <w:lang w:eastAsia="ar-SA"/>
        </w:rPr>
      </w:pPr>
      <w:r>
        <w:rPr>
          <w:rFonts w:asciiTheme="minorHAnsi" w:hAnsiTheme="minorHAnsi" w:cstheme="minorHAnsi"/>
          <w:b/>
          <w:bCs/>
          <w:sz w:val="22"/>
          <w:szCs w:val="22"/>
          <w:lang w:eastAsia="ar-SA"/>
        </w:rPr>
        <w:t>Que,</w:t>
      </w:r>
      <w:r>
        <w:rPr>
          <w:rFonts w:asciiTheme="minorHAnsi" w:hAnsiTheme="minorHAnsi" w:cstheme="minorHAnsi"/>
          <w:sz w:val="22"/>
          <w:szCs w:val="22"/>
          <w:lang w:eastAsia="ar-SA"/>
        </w:rPr>
        <w:tab/>
      </w:r>
      <w:r>
        <w:rPr>
          <w:rFonts w:asciiTheme="minorHAnsi" w:hAnsiTheme="minorHAnsi" w:cstheme="minorHAnsi"/>
          <w:sz w:val="22"/>
          <w:szCs w:val="22"/>
          <w:lang w:eastAsia="ar-SA"/>
        </w:rPr>
        <w:t>el art. 226 de la Constitución de la República (la «</w:t>
      </w:r>
      <w:r>
        <w:rPr>
          <w:rFonts w:asciiTheme="minorHAnsi" w:hAnsiTheme="minorHAnsi" w:cstheme="minorHAnsi"/>
          <w:sz w:val="22"/>
          <w:szCs w:val="22"/>
          <w:u w:val="single"/>
          <w:lang w:eastAsia="ar-SA"/>
        </w:rPr>
        <w:t>Constitución</w:t>
      </w:r>
      <w:r>
        <w:rPr>
          <w:rFonts w:asciiTheme="minorHAnsi" w:hAnsiTheme="minorHAnsi" w:cstheme="minorHAnsi"/>
          <w:sz w:val="22"/>
          <w:szCs w:val="22"/>
          <w:lang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pPr>
        <w:ind w:left="700" w:hanging="700"/>
        <w:jc w:val="both"/>
        <w:rPr>
          <w:rFonts w:asciiTheme="minorHAnsi" w:hAnsiTheme="minorHAnsi" w:cstheme="minorHAnsi"/>
          <w:sz w:val="22"/>
          <w:szCs w:val="22"/>
          <w:lang w:eastAsia="ar-SA"/>
        </w:rPr>
      </w:pPr>
    </w:p>
    <w:p>
      <w:pPr>
        <w:ind w:left="700" w:hanging="700"/>
        <w:jc w:val="both"/>
        <w:rPr>
          <w:rFonts w:asciiTheme="minorHAnsi" w:hAnsiTheme="minorHAnsi" w:cstheme="minorHAnsi"/>
          <w:iCs/>
          <w:sz w:val="22"/>
          <w:szCs w:val="22"/>
          <w:lang w:eastAsia="ar-SA"/>
        </w:rPr>
      </w:pPr>
      <w:r>
        <w:rPr>
          <w:rFonts w:asciiTheme="minorHAnsi" w:hAnsiTheme="minorHAnsi" w:cstheme="minorHAnsi"/>
          <w:b/>
          <w:bCs/>
          <w:sz w:val="22"/>
          <w:szCs w:val="22"/>
          <w:lang w:eastAsia="ar-SA"/>
        </w:rPr>
        <w:t>Que,</w:t>
      </w:r>
      <w:r>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ab/>
      </w:r>
      <w:r>
        <w:rPr>
          <w:rFonts w:asciiTheme="minorHAnsi" w:hAnsiTheme="minorHAnsi" w:cstheme="minorHAnsi"/>
          <w:sz w:val="22"/>
          <w:szCs w:val="22"/>
          <w:lang w:eastAsia="ar-SA"/>
        </w:rPr>
        <w:t xml:space="preserve">de acuerdo con el art. 227 de la Constitución, </w:t>
      </w:r>
      <w:r>
        <w:rPr>
          <w:rFonts w:asciiTheme="minorHAnsi" w:hAnsiTheme="minorHAnsi" w:cstheme="minorHAnsi"/>
          <w:iCs/>
          <w:sz w:val="22"/>
          <w:szCs w:val="22"/>
          <w:lang w:eastAsia="ar-SA"/>
        </w:rPr>
        <w:t>la administración pública constituye un servicio a la colectividad que se rige por los principios de eficiencia, calidad, jerarquía, desconcentración, descentralización, coordinación, participación, planificación, transparencia y evaluación;</w:t>
      </w:r>
    </w:p>
    <w:p>
      <w:pPr>
        <w:ind w:left="700" w:hanging="700"/>
        <w:jc w:val="both"/>
        <w:rPr>
          <w:rFonts w:asciiTheme="minorHAnsi" w:hAnsiTheme="minorHAnsi" w:cstheme="minorHAnsi"/>
          <w:iCs/>
          <w:sz w:val="22"/>
          <w:szCs w:val="22"/>
          <w:lang w:eastAsia="ar-SA"/>
        </w:rPr>
      </w:pPr>
    </w:p>
    <w:p>
      <w:pPr>
        <w:ind w:left="700" w:hanging="700"/>
        <w:jc w:val="both"/>
        <w:rPr>
          <w:rFonts w:asciiTheme="minorHAnsi" w:hAnsiTheme="minorHAnsi" w:cstheme="minorHAnsi"/>
          <w:iCs/>
          <w:sz w:val="22"/>
          <w:szCs w:val="22"/>
          <w:lang w:eastAsia="ar-SA"/>
        </w:rPr>
      </w:pPr>
      <w:r>
        <w:rPr>
          <w:rFonts w:asciiTheme="minorHAnsi" w:hAnsiTheme="minorHAnsi" w:cstheme="minorHAnsi"/>
          <w:b/>
          <w:bCs/>
          <w:sz w:val="22"/>
          <w:szCs w:val="22"/>
          <w:lang w:eastAsia="ar-SA"/>
        </w:rPr>
        <w:t>Que,</w:t>
      </w:r>
      <w:r>
        <w:rPr>
          <w:rFonts w:asciiTheme="minorHAnsi" w:hAnsiTheme="minorHAnsi" w:cstheme="minorHAnsi"/>
          <w:b/>
          <w:bCs/>
          <w:sz w:val="22"/>
          <w:szCs w:val="22"/>
          <w:lang w:eastAsia="ar-SA"/>
        </w:rPr>
        <w:tab/>
      </w:r>
      <w:r>
        <w:rPr>
          <w:rFonts w:asciiTheme="minorHAnsi" w:hAnsiTheme="minorHAnsi" w:cstheme="minorHAnsi"/>
          <w:bCs/>
          <w:sz w:val="22"/>
          <w:szCs w:val="22"/>
          <w:lang w:eastAsia="ar-SA"/>
        </w:rPr>
        <w:t>el art. 240 de la Constitución, los gobiernos autónomos descentralizados de los distritos metropolitanos tendrán facultades legislativas en el ámbito de sus competencias y jurisdicciones territoriales;</w:t>
      </w:r>
    </w:p>
    <w:p>
      <w:pPr>
        <w:autoSpaceDE w:val="0"/>
        <w:autoSpaceDN w:val="0"/>
        <w:adjustRightInd w:val="0"/>
        <w:ind w:left="709" w:hanging="709"/>
        <w:jc w:val="both"/>
        <w:rPr>
          <w:rFonts w:asciiTheme="minorHAnsi" w:hAnsiTheme="minorHAnsi" w:eastAsiaTheme="minorHAnsi" w:cstheme="minorHAnsi"/>
          <w:sz w:val="22"/>
          <w:szCs w:val="22"/>
          <w:lang w:val="es-EC" w:eastAsia="en-US"/>
        </w:rPr>
      </w:pP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 xml:space="preserve">el numeral 1, del artículo 264 de la Constitución, establece que serán competencias exclusivas de los gobiernos municipales, sin perjuicio de otras que determine la ley: </w:t>
      </w:r>
      <w:r>
        <w:rPr>
          <w:rFonts w:asciiTheme="minorHAnsi" w:hAnsiTheme="minorHAnsi" w:eastAsiaTheme="minorHAnsi" w:cstheme="minorHAnsi"/>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p>
    <w:p>
      <w:pPr>
        <w:autoSpaceDE w:val="0"/>
        <w:autoSpaceDN w:val="0"/>
        <w:adjustRightInd w:val="0"/>
        <w:ind w:left="709" w:hanging="709"/>
        <w:jc w:val="both"/>
        <w:rPr>
          <w:rFonts w:asciiTheme="minorHAnsi" w:hAnsiTheme="minorHAnsi" w:cstheme="minorHAnsi"/>
          <w:sz w:val="22"/>
          <w:szCs w:val="22"/>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el artículo 266 de la Constitución dispone: “</w:t>
      </w:r>
      <w:r>
        <w:rPr>
          <w:rFonts w:asciiTheme="minorHAnsi" w:hAnsiTheme="minorHAnsi" w:eastAsiaTheme="minorHAnsi" w:cstheme="minorHAnsi"/>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pPr>
        <w:autoSpaceDE w:val="0"/>
        <w:autoSpaceDN w:val="0"/>
        <w:adjustRightInd w:val="0"/>
        <w:ind w:left="709" w:hanging="709"/>
        <w:jc w:val="both"/>
        <w:rPr>
          <w:rFonts w:asciiTheme="minorHAnsi" w:hAnsiTheme="minorHAnsi" w:cstheme="minorHAnsi"/>
          <w:sz w:val="22"/>
          <w:szCs w:val="22"/>
        </w:rPr>
      </w:pPr>
    </w:p>
    <w:p>
      <w:pPr>
        <w:pStyle w:val="8"/>
        <w:ind w:left="709" w:hanging="709"/>
        <w:rPr>
          <w:rFonts w:cstheme="minorHAnsi"/>
        </w:rPr>
      </w:pPr>
      <w:r>
        <w:rPr>
          <w:rFonts w:cstheme="minorHAnsi"/>
          <w:b/>
        </w:rPr>
        <w:t>Que,</w:t>
      </w:r>
      <w:r>
        <w:rPr>
          <w:rFonts w:cstheme="minorHAnsi"/>
        </w:rPr>
        <w:t xml:space="preserve"> </w:t>
      </w:r>
      <w:r>
        <w:rPr>
          <w:rFonts w:cstheme="minorHAnsi"/>
        </w:rPr>
        <w:tab/>
      </w:r>
      <w:r>
        <w:rPr>
          <w:rFonts w:cstheme="minorHAnsi"/>
        </w:rPr>
        <w:t xml:space="preserve">el artículo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pPr>
        <w:pStyle w:val="8"/>
        <w:ind w:left="709" w:hanging="709"/>
        <w:rPr>
          <w:rFonts w:cstheme="minorHAnsi"/>
          <w:b/>
        </w:rPr>
      </w:pPr>
    </w:p>
    <w:p>
      <w:pPr>
        <w:ind w:left="705" w:hanging="705"/>
        <w:rPr>
          <w:rFonts w:asciiTheme="minorHAnsi" w:hAnsiTheme="minorHAnsi" w:eastAsiaTheme="minorHAnsi" w:cstheme="minorHAnsi"/>
          <w:sz w:val="22"/>
          <w:szCs w:val="22"/>
          <w:lang w:val="es-EC" w:eastAsia="en-US"/>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el artículo 84 del COOTAD, establece como funciones del gobierno del distrito metropolitano, las siguientes:</w:t>
      </w:r>
    </w:p>
    <w:p>
      <w:pPr>
        <w:pStyle w:val="12"/>
        <w:numPr>
          <w:ilvl w:val="0"/>
          <w:numId w:val="1"/>
        </w:numPr>
        <w:spacing w:after="0" w:line="240" w:lineRule="auto"/>
        <w:jc w:val="both"/>
        <w:rPr>
          <w:rFonts w:cstheme="minorHAnsi"/>
        </w:rPr>
      </w:pPr>
      <w:r>
        <w:rPr>
          <w:rFonts w:cstheme="minorHAnsi"/>
        </w:rPr>
        <w:t>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y,</w:t>
      </w:r>
    </w:p>
    <w:p>
      <w:pPr>
        <w:pStyle w:val="12"/>
        <w:numPr>
          <w:ilvl w:val="0"/>
          <w:numId w:val="1"/>
        </w:numPr>
        <w:spacing w:after="0" w:line="240" w:lineRule="auto"/>
        <w:jc w:val="both"/>
        <w:rPr>
          <w:rFonts w:cstheme="minorHAnsi"/>
        </w:rPr>
      </w:pPr>
      <w:r>
        <w:rPr>
          <w:rFonts w:cstheme="minorHAnsi"/>
        </w:rPr>
        <w:t>Regular y controlar el uso del espacio público metropolitano, y, de manera particular, el ejercicio de todo tipo de actividad que se desarrolle en él, la colocación de publicidad, redes o señalización.</w:t>
      </w:r>
    </w:p>
    <w:p>
      <w:pPr>
        <w:jc w:val="both"/>
        <w:rPr>
          <w:rFonts w:eastAsiaTheme="minorHAnsi" w:cstheme="minorHAnsi"/>
        </w:rPr>
      </w:pPr>
    </w:p>
    <w:p>
      <w:pPr>
        <w:pStyle w:val="8"/>
        <w:ind w:left="709" w:hanging="709"/>
        <w:rPr>
          <w:rFonts w:cstheme="minorHAnsi"/>
        </w:rPr>
      </w:pPr>
      <w:r>
        <w:rPr>
          <w:rFonts w:cstheme="minorHAnsi"/>
          <w:b/>
        </w:rPr>
        <w:t>Que,</w:t>
      </w:r>
      <w:r>
        <w:rPr>
          <w:rFonts w:cstheme="minorHAnsi"/>
        </w:rPr>
        <w:t xml:space="preserve"> </w:t>
      </w:r>
      <w:r>
        <w:rPr>
          <w:rFonts w:cstheme="minorHAnsi"/>
        </w:rPr>
        <w:tab/>
      </w:r>
      <w:r>
        <w:rPr>
          <w:rFonts w:cstheme="minorHAnsi"/>
        </w:rPr>
        <w:t xml:space="preserve">los literales a) y d) del artículo 87 del COOTAD, establecen como atribuciones del Concejo Metropolitano: “a)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w:t>
      </w:r>
    </w:p>
    <w:p>
      <w:pPr>
        <w:pStyle w:val="8"/>
        <w:ind w:left="709" w:hanging="709"/>
        <w:rPr>
          <w:rFonts w:cstheme="minorHAnsi"/>
        </w:rPr>
      </w:pPr>
    </w:p>
    <w:p>
      <w:pPr>
        <w:pStyle w:val="8"/>
        <w:ind w:left="709" w:hanging="709"/>
        <w:rPr>
          <w:rFonts w:cstheme="minorHAnsi"/>
        </w:rPr>
      </w:pPr>
      <w:r>
        <w:rPr>
          <w:rFonts w:cstheme="minorHAnsi"/>
          <w:b/>
        </w:rPr>
        <w:t>Que,</w:t>
      </w:r>
      <w:r>
        <w:rPr>
          <w:rFonts w:cstheme="minorHAnsi"/>
        </w:rPr>
        <w:t xml:space="preserve"> </w:t>
      </w:r>
      <w:r>
        <w:rPr>
          <w:rFonts w:cstheme="minorHAnsi"/>
        </w:rPr>
        <w:tab/>
      </w:r>
      <w:r>
        <w:rPr>
          <w:rFonts w:cstheme="minorHAnsi"/>
        </w:rPr>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pPr>
        <w:pStyle w:val="8"/>
        <w:ind w:left="709" w:hanging="709"/>
        <w:rPr>
          <w:rFonts w:cstheme="minorHAnsi"/>
        </w:rPr>
      </w:pP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 xml:space="preserve">el artículo 415 del COOTAD, establece que: </w:t>
      </w:r>
      <w:r>
        <w:rPr>
          <w:rFonts w:asciiTheme="minorHAnsi" w:hAnsiTheme="minorHAnsi" w:eastAsiaTheme="minorHAnsi" w:cs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p>
    <w:p>
      <w:pPr>
        <w:autoSpaceDE w:val="0"/>
        <w:autoSpaceDN w:val="0"/>
        <w:adjustRightInd w:val="0"/>
        <w:ind w:left="705" w:hanging="705"/>
        <w:jc w:val="both"/>
        <w:rPr>
          <w:rFonts w:asciiTheme="minorHAnsi" w:hAnsiTheme="minorHAnsi" w:cstheme="minorHAnsi"/>
          <w:i/>
          <w:sz w:val="22"/>
          <w:szCs w:val="22"/>
          <w:lang w:eastAsia="ar-SA"/>
        </w:rPr>
      </w:pPr>
      <w:r>
        <w:rPr>
          <w:rFonts w:ascii="Palatino Linotype" w:hAnsi="Palatino Linotype" w:cs="Arial"/>
          <w:b/>
          <w:lang w:eastAsia="es-EC"/>
        </w:rPr>
        <w:t>Que,</w:t>
      </w:r>
      <w:r>
        <w:rPr>
          <w:rFonts w:ascii="Palatino Linotype" w:hAnsi="Palatino Linotype" w:cs="Arial"/>
          <w:lang w:eastAsia="es-EC"/>
        </w:rPr>
        <w:t xml:space="preserve"> </w:t>
      </w:r>
      <w:r>
        <w:rPr>
          <w:rFonts w:ascii="Palatino Linotype" w:hAnsi="Palatino Linotype" w:cs="Arial"/>
          <w:lang w:eastAsia="es-EC"/>
        </w:rPr>
        <w:tab/>
      </w:r>
      <w:r>
        <w:rPr>
          <w:rFonts w:asciiTheme="minorHAnsi" w:hAnsiTheme="minorHAnsi" w:cstheme="minorHAnsi"/>
          <w:sz w:val="22"/>
          <w:szCs w:val="22"/>
          <w:lang w:eastAsia="ar-SA"/>
        </w:rPr>
        <w:t>el artículo 417 del COOTAD, determina que:</w:t>
      </w:r>
      <w:r>
        <w:rPr>
          <w:rFonts w:asciiTheme="minorHAnsi" w:hAnsiTheme="minorHAnsi" w:cstheme="minorHAnsi"/>
          <w:i/>
          <w:sz w:val="22"/>
          <w:szCs w:val="22"/>
          <w:lang w:eastAsia="ar-SA"/>
        </w:rPr>
        <w:t xml:space="preserve"> “Son bienes de uso público aquellos cuyo uso por los particulares es directo y general, en forma gratuita. Sin embargo, podrán también ser materia de utilización exclusiva y temporal, mediante el pago de una regalía. Los bienes de uso público, por hallarse fuera del mercado, no figurarán contablemente en el activo del balance del gobierno autónomo descentralizado, pero llevarán un registro general de dichos bienes para fines de administración.</w:t>
      </w:r>
    </w:p>
    <w:p>
      <w:pPr>
        <w:autoSpaceDE w:val="0"/>
        <w:autoSpaceDN w:val="0"/>
        <w:adjustRightInd w:val="0"/>
        <w:jc w:val="both"/>
        <w:rPr>
          <w:rFonts w:asciiTheme="minorHAnsi" w:hAnsiTheme="minorHAnsi" w:cstheme="minorHAnsi"/>
          <w:i/>
          <w:sz w:val="22"/>
          <w:szCs w:val="22"/>
          <w:lang w:eastAsia="ar-SA"/>
        </w:rPr>
      </w:pPr>
    </w:p>
    <w:p>
      <w:pPr>
        <w:autoSpaceDE w:val="0"/>
        <w:autoSpaceDN w:val="0"/>
        <w:adjustRightInd w:val="0"/>
        <w:ind w:firstLine="705"/>
        <w:jc w:val="both"/>
        <w:rPr>
          <w:rFonts w:asciiTheme="minorHAnsi" w:hAnsiTheme="minorHAnsi" w:cstheme="minorHAnsi"/>
          <w:i/>
          <w:sz w:val="22"/>
          <w:szCs w:val="22"/>
          <w:lang w:eastAsia="ar-SA"/>
        </w:rPr>
      </w:pPr>
      <w:r>
        <w:rPr>
          <w:rFonts w:asciiTheme="minorHAnsi" w:hAnsiTheme="minorHAnsi" w:cstheme="minorHAnsi"/>
          <w:i/>
          <w:sz w:val="22"/>
          <w:szCs w:val="22"/>
          <w:lang w:eastAsia="ar-SA"/>
        </w:rPr>
        <w:t>Constituyen bienes de uso público:</w:t>
      </w:r>
    </w:p>
    <w:p>
      <w:pPr>
        <w:autoSpaceDE w:val="0"/>
        <w:autoSpaceDN w:val="0"/>
        <w:adjustRightInd w:val="0"/>
        <w:ind w:left="360"/>
        <w:jc w:val="both"/>
        <w:rPr>
          <w:rFonts w:asciiTheme="minorHAnsi" w:hAnsiTheme="minorHAnsi" w:cstheme="minorHAnsi"/>
          <w:i/>
          <w:sz w:val="22"/>
          <w:szCs w:val="22"/>
          <w:lang w:eastAsia="ar-SA"/>
        </w:rPr>
      </w:pP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calles, avenidas, puentes, pasajes y demás vías de comunicación y circulación;</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plazas, parques y demás espacios destinados a la recreación u ornato público y promoción turística;</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aceras que formen parte integrante de las calles y plazas y demás elementos y superficies accesorios de las vías de comunicación o espacios públicos a que se refieren los literales a) y b);</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quebradas con sus taludes y franjas de protección; los esteros y los ríos con sus lechos y sus zonas de remanso y protección, siempre que no sean de propiedad privada, de conformidad con la ley y las ordenanzas;</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superficies obtenidas por rellenos de quebradas con sus taludes;</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fuentes ornamentales de agua destinadas a empleo inmediato de los particulares o al ornato público;</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Las casas comunales, canchas, mercados, escenarios deportivos, conchas acústicas y otros de análoga función de servicio comunitario; y,</w:t>
      </w:r>
    </w:p>
    <w:p>
      <w:pPr>
        <w:pStyle w:val="12"/>
        <w:numPr>
          <w:ilvl w:val="0"/>
          <w:numId w:val="2"/>
        </w:numPr>
        <w:autoSpaceDE w:val="0"/>
        <w:autoSpaceDN w:val="0"/>
        <w:adjustRightInd w:val="0"/>
        <w:spacing w:after="0" w:line="240" w:lineRule="auto"/>
        <w:ind w:left="1080"/>
        <w:jc w:val="both"/>
        <w:rPr>
          <w:rFonts w:eastAsia="Times New Roman" w:cstheme="minorHAnsi"/>
          <w:i/>
          <w:lang w:eastAsia="ar-SA"/>
        </w:rPr>
      </w:pPr>
      <w:r>
        <w:rPr>
          <w:rFonts w:eastAsia="Times New Roman" w:cstheme="minorHAnsi"/>
          <w:i/>
          <w:lang w:eastAsia="ar-SA"/>
        </w:rPr>
        <w:t>Los demás bienes que en razón de su uso o destino cumplen una función semejante a los citados en los literales precedentes, y los demás que ponga el Estado bajo el dominio de los gobiernos autónomos descentralizados.</w:t>
      </w:r>
    </w:p>
    <w:p>
      <w:pPr>
        <w:autoSpaceDE w:val="0"/>
        <w:autoSpaceDN w:val="0"/>
        <w:adjustRightInd w:val="0"/>
        <w:ind w:left="360"/>
        <w:jc w:val="both"/>
        <w:rPr>
          <w:rFonts w:asciiTheme="minorHAnsi" w:hAnsiTheme="minorHAnsi" w:cstheme="minorHAnsi"/>
          <w:i/>
          <w:sz w:val="22"/>
          <w:szCs w:val="22"/>
          <w:lang w:eastAsia="ar-SA"/>
        </w:rPr>
      </w:pPr>
    </w:p>
    <w:p>
      <w:pPr>
        <w:pStyle w:val="4"/>
        <w:ind w:left="939" w:right="118"/>
        <w:jc w:val="both"/>
        <w:rPr>
          <w:rFonts w:asciiTheme="minorHAnsi" w:hAnsiTheme="minorHAnsi" w:cstheme="minorHAnsi"/>
          <w:lang w:eastAsia="ar-SA"/>
        </w:rPr>
      </w:pPr>
      <w:r>
        <w:rPr>
          <w:rFonts w:asciiTheme="minorHAnsi" w:hAnsiTheme="minorHAnsi" w:cstheme="minorHAnsi"/>
          <w:i/>
          <w:lang w:eastAsia="ar-SA"/>
        </w:rPr>
        <w:t xml:space="preserve">Aunque se encuentren en urbanizaciones particulares y no exista documento de transferencia de tales bienes al gobierno autónomo descentralizado, por parte de los propietarios, los bienes citados en este artículo, se considerarán de uso y dominio público. Los bienes considerados en los literales f) y g) se incluirán en esta norma, siempre y cuando hayan sido parte del porcentaje que </w:t>
      </w:r>
      <w:r>
        <w:rPr>
          <w:rFonts w:asciiTheme="minorHAnsi" w:hAnsiTheme="minorHAnsi" w:cstheme="minorHAnsi"/>
          <w:lang w:eastAsia="ar-SA"/>
        </w:rPr>
        <w:t>obligatoriamente deben dejar los urbanizadores en beneficio de la comunidad.”</w:t>
      </w:r>
    </w:p>
    <w:p>
      <w:pPr>
        <w:autoSpaceDE w:val="0"/>
        <w:autoSpaceDN w:val="0"/>
        <w:adjustRightInd w:val="0"/>
        <w:jc w:val="both"/>
        <w:rPr>
          <w:rFonts w:asciiTheme="minorHAnsi" w:hAnsiTheme="minorHAnsi" w:eastAsiaTheme="minorHAnsi" w:cstheme="minorHAnsi"/>
          <w:i/>
          <w:sz w:val="22"/>
          <w:szCs w:val="22"/>
          <w:lang w:val="es-EC" w:eastAsia="en-US"/>
        </w:rPr>
      </w:pP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 xml:space="preserve">el artículo 419 del COOTAD, indica que: </w:t>
      </w:r>
      <w:r>
        <w:rPr>
          <w:rFonts w:asciiTheme="minorHAnsi" w:hAnsiTheme="minorHAnsi" w:eastAsiaTheme="minorHAnsi" w:cstheme="minorHAnsi"/>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p>
    <w:p>
      <w:pPr>
        <w:autoSpaceDE w:val="0"/>
        <w:autoSpaceDN w:val="0"/>
        <w:adjustRightInd w:val="0"/>
        <w:ind w:left="709" w:hanging="709"/>
        <w:jc w:val="both"/>
        <w:rPr>
          <w:rFonts w:asciiTheme="minorHAnsi" w:hAnsiTheme="minorHAnsi" w:cstheme="minorHAnsi"/>
          <w:sz w:val="22"/>
          <w:szCs w:val="22"/>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cstheme="minorHAnsi"/>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r>
        <w:rPr>
          <w:rFonts w:asciiTheme="minorHAnsi" w:hAnsiTheme="minorHAnsi" w:eastAsiaTheme="minorHAnsi" w:cstheme="minorHAnsi"/>
          <w:b/>
          <w:sz w:val="22"/>
          <w:szCs w:val="22"/>
          <w:lang w:val="es-EC" w:eastAsia="en-US"/>
        </w:rPr>
        <w:t>Que,</w:t>
      </w:r>
      <w:r>
        <w:rPr>
          <w:rFonts w:asciiTheme="minorHAnsi" w:hAnsiTheme="minorHAnsi" w:eastAsiaTheme="minorHAnsi" w:cstheme="minorHAnsi"/>
          <w:sz w:val="22"/>
          <w:szCs w:val="22"/>
          <w:lang w:val="es-EC" w:eastAsia="en-US"/>
        </w:rPr>
        <w:t xml:space="preserve"> </w:t>
      </w:r>
      <w:r>
        <w:rPr>
          <w:rFonts w:asciiTheme="minorHAnsi" w:hAnsiTheme="minorHAnsi" w:eastAsiaTheme="minorHAnsi" w:cstheme="minorHAnsi"/>
          <w:sz w:val="22"/>
          <w:szCs w:val="22"/>
          <w:lang w:val="es-EC" w:eastAsia="en-US"/>
        </w:rPr>
        <w:tab/>
      </w:r>
      <w:r>
        <w:rPr>
          <w:rFonts w:asciiTheme="minorHAnsi" w:hAnsiTheme="minorHAnsi" w:eastAsiaTheme="minorHAnsi" w:cstheme="minorHAnsi"/>
          <w:sz w:val="22"/>
          <w:szCs w:val="22"/>
          <w:lang w:val="es-EC" w:eastAsia="en-US"/>
        </w:rPr>
        <w:t>e</w:t>
      </w:r>
      <w:r>
        <w:rPr>
          <w:rFonts w:asciiTheme="minorHAnsi" w:hAnsiTheme="minorHAnsi" w:cstheme="minorHAnsi"/>
          <w:sz w:val="22"/>
          <w:szCs w:val="22"/>
        </w:rPr>
        <w:t xml:space="preserve">l Concejo Metropolitano de Quito mediante Resolución Nro. C 207 de 29 de julio de 2016, declaro como bien mostrenco el predio Nro. 94807, lo situándolo categóricamente como bien de dominio privado; </w:t>
      </w:r>
    </w:p>
    <w:p>
      <w:pPr>
        <w:autoSpaceDE w:val="0"/>
        <w:autoSpaceDN w:val="0"/>
        <w:adjustRightInd w:val="0"/>
        <w:ind w:left="709" w:hanging="709"/>
        <w:jc w:val="both"/>
        <w:rPr>
          <w:rFonts w:asciiTheme="minorHAnsi" w:hAnsiTheme="minorHAnsi" w:eastAsiaTheme="minorHAnsi" w:cstheme="minorHAnsi"/>
          <w:i/>
          <w:sz w:val="22"/>
          <w:szCs w:val="22"/>
          <w:lang w:val="es-EC" w:eastAsia="en-US"/>
        </w:rPr>
      </w:pPr>
    </w:p>
    <w:p>
      <w:pPr>
        <w:autoSpaceDE w:val="0"/>
        <w:autoSpaceDN w:val="0"/>
        <w:adjustRightInd w:val="0"/>
        <w:ind w:left="709" w:hanging="709"/>
        <w:jc w:val="both"/>
        <w:rPr>
          <w:rFonts w:asciiTheme="minorHAnsi" w:hAnsiTheme="minorHAnsi" w:eastAsiaTheme="minorHAnsi" w:cstheme="minorHAnsi"/>
          <w:sz w:val="22"/>
          <w:szCs w:val="22"/>
          <w:lang w:val="es-EC" w:eastAsia="en-US"/>
        </w:rPr>
      </w:pPr>
      <w:r>
        <w:rPr>
          <w:rFonts w:asciiTheme="minorHAnsi" w:hAnsiTheme="minorHAnsi" w:cstheme="minorHAnsi"/>
          <w:b/>
          <w:sz w:val="22"/>
          <w:szCs w:val="22"/>
        </w:rPr>
        <w:t xml:space="preserve">Que, </w:t>
      </w:r>
      <w:r>
        <w:rPr>
          <w:rFonts w:asciiTheme="minorHAnsi" w:hAnsiTheme="minorHAnsi" w:cstheme="minorHAnsi"/>
          <w:b/>
          <w:sz w:val="22"/>
          <w:szCs w:val="22"/>
        </w:rPr>
        <w:tab/>
      </w:r>
      <w:r>
        <w:rPr>
          <w:rFonts w:asciiTheme="minorHAnsi" w:hAnsiTheme="minorHAnsi" w:cstheme="minorHAnsi"/>
          <w:b/>
          <w:sz w:val="22"/>
          <w:szCs w:val="22"/>
        </w:rPr>
        <w:t>(</w:t>
      </w:r>
      <w:r>
        <w:rPr>
          <w:rFonts w:asciiTheme="minorHAnsi" w:hAnsiTheme="minorHAnsi" w:eastAsiaTheme="minorHAnsi" w:cstheme="minorHAnsi"/>
          <w:sz w:val="22"/>
          <w:szCs w:val="22"/>
          <w:lang w:val="es-EC" w:eastAsia="en-US"/>
        </w:rPr>
        <w:t>informes técnicos y jurídicos) ; y,</w:t>
      </w:r>
    </w:p>
    <w:p>
      <w:pPr>
        <w:autoSpaceDE w:val="0"/>
        <w:autoSpaceDN w:val="0"/>
        <w:adjustRightInd w:val="0"/>
        <w:ind w:left="709" w:hanging="709"/>
        <w:jc w:val="both"/>
        <w:rPr>
          <w:rFonts w:asciiTheme="minorHAnsi" w:hAnsiTheme="minorHAnsi" w:eastAsiaTheme="minorHAnsi" w:cstheme="minorHAnsi"/>
          <w:sz w:val="22"/>
          <w:szCs w:val="22"/>
          <w:lang w:val="es-EC" w:eastAsia="en-US"/>
        </w:rPr>
      </w:pPr>
    </w:p>
    <w:p>
      <w:pPr>
        <w:autoSpaceDE w:val="0"/>
        <w:autoSpaceDN w:val="0"/>
        <w:adjustRightInd w:val="0"/>
        <w:jc w:val="both"/>
        <w:rPr>
          <w:rFonts w:asciiTheme="minorHAnsi" w:hAnsiTheme="minorHAnsi" w:cstheme="minorHAnsi"/>
          <w:sz w:val="22"/>
          <w:szCs w:val="22"/>
        </w:rPr>
      </w:pPr>
    </w:p>
    <w:p>
      <w:pPr>
        <w:pStyle w:val="8"/>
        <w:rPr>
          <w:rFonts w:cstheme="minorHAnsi"/>
          <w:b/>
        </w:rPr>
      </w:pPr>
      <w:r>
        <w:rPr>
          <w:rFonts w:cstheme="minorHAnsi"/>
          <w:b/>
          <w:bCs/>
        </w:rPr>
        <w:t xml:space="preserve">El Concejo Metropolitana de Quito, en ejercicio de sus atribuciones previstas en los artículos </w:t>
      </w:r>
      <w:r>
        <w:rPr>
          <w:rFonts w:cstheme="minorHAnsi"/>
          <w:b/>
        </w:rPr>
        <w:t xml:space="preserve">240 de la Constitución de la República y artículos 87 letra a); y, 323 del Código Orgánico de Organización Territorial, Autonomía y Descentralización; </w:t>
      </w:r>
    </w:p>
    <w:p>
      <w:pPr>
        <w:autoSpaceDE w:val="0"/>
        <w:autoSpaceDN w:val="0"/>
        <w:adjustRightInd w:val="0"/>
        <w:jc w:val="both"/>
        <w:rPr>
          <w:rFonts w:asciiTheme="minorHAnsi" w:hAnsiTheme="minorHAnsi" w:eastAsiaTheme="minorHAnsi" w:cstheme="minorHAnsi"/>
          <w:b/>
          <w:bCs/>
          <w:sz w:val="22"/>
          <w:szCs w:val="22"/>
          <w:lang w:val="es-EC" w:eastAsia="en-US"/>
        </w:rPr>
      </w:pPr>
    </w:p>
    <w:p>
      <w:pPr>
        <w:autoSpaceDE w:val="0"/>
        <w:autoSpaceDN w:val="0"/>
        <w:adjustRightInd w:val="0"/>
        <w:jc w:val="center"/>
        <w:rPr>
          <w:rFonts w:asciiTheme="minorHAnsi" w:hAnsiTheme="minorHAnsi" w:eastAsiaTheme="minorHAnsi" w:cstheme="minorHAnsi"/>
          <w:b/>
          <w:bCs/>
          <w:sz w:val="22"/>
          <w:szCs w:val="22"/>
          <w:lang w:val="es-EC" w:eastAsia="en-US"/>
        </w:rPr>
      </w:pPr>
      <w:r>
        <w:rPr>
          <w:rFonts w:asciiTheme="minorHAnsi" w:hAnsiTheme="minorHAnsi" w:eastAsiaTheme="minorHAnsi" w:cstheme="minorHAnsi"/>
          <w:b/>
          <w:bCs/>
          <w:sz w:val="22"/>
          <w:szCs w:val="22"/>
          <w:lang w:val="es-EC" w:eastAsia="en-US"/>
        </w:rPr>
        <w:t>RESUELVE:</w:t>
      </w:r>
    </w:p>
    <w:p>
      <w:pPr>
        <w:autoSpaceDE w:val="0"/>
        <w:autoSpaceDN w:val="0"/>
        <w:adjustRightInd w:val="0"/>
        <w:jc w:val="both"/>
        <w:rPr>
          <w:rFonts w:asciiTheme="minorHAnsi" w:hAnsiTheme="minorHAnsi" w:eastAsiaTheme="minorHAnsi" w:cstheme="minorHAnsi"/>
          <w:b/>
          <w:bCs/>
          <w:sz w:val="22"/>
          <w:szCs w:val="22"/>
          <w:lang w:val="es-EC" w:eastAsia="en-US"/>
        </w:rPr>
      </w:pPr>
    </w:p>
    <w:p>
      <w:pPr>
        <w:pStyle w:val="10"/>
        <w:jc w:val="both"/>
        <w:rPr>
          <w:rFonts w:asciiTheme="minorHAnsi" w:hAnsiTheme="minorHAnsi" w:cstheme="minorHAnsi"/>
          <w:sz w:val="22"/>
          <w:szCs w:val="22"/>
        </w:rPr>
      </w:pPr>
      <w:r>
        <w:rPr>
          <w:rFonts w:asciiTheme="minorHAnsi" w:hAnsiTheme="minorHAnsi" w:cstheme="minorHAnsi"/>
          <w:b/>
          <w:sz w:val="22"/>
          <w:szCs w:val="22"/>
        </w:rPr>
        <w:t>Artículo 1.-</w:t>
      </w:r>
      <w:r>
        <w:rPr>
          <w:rFonts w:asciiTheme="minorHAnsi" w:hAnsiTheme="minorHAnsi" w:cstheme="minorHAnsi"/>
          <w:sz w:val="22"/>
          <w:szCs w:val="22"/>
        </w:rPr>
        <w:t xml:space="preserve"> Autorizar el cambio de categoría de bien municipal de dominio privado a bien municipal de dominio público, del bien inmueble signado con el predio No. 94807, con el objeto de que este sea utilizado como mercado minorista del Distrito Metropolitano de Quito.</w:t>
      </w:r>
    </w:p>
    <w:p>
      <w:pPr>
        <w:pStyle w:val="10"/>
        <w:jc w:val="both"/>
        <w:rPr>
          <w:rFonts w:asciiTheme="minorHAnsi" w:hAnsiTheme="minorHAnsi" w:cstheme="minorHAnsi"/>
          <w:sz w:val="22"/>
          <w:szCs w:val="22"/>
        </w:rPr>
      </w:pPr>
    </w:p>
    <w:p>
      <w:pPr>
        <w:pStyle w:val="8"/>
        <w:jc w:val="center"/>
        <w:rPr>
          <w:rFonts w:cstheme="minorHAnsi"/>
          <w:b/>
        </w:rPr>
      </w:pPr>
      <w:r>
        <w:rPr>
          <w:rFonts w:cstheme="minorHAnsi"/>
          <w:b/>
        </w:rPr>
        <w:t>DISPOSICIÓN TRANSITORIA</w:t>
      </w:r>
    </w:p>
    <w:p>
      <w:pPr>
        <w:pStyle w:val="8"/>
        <w:rPr>
          <w:rFonts w:cstheme="minorHAnsi"/>
        </w:rPr>
      </w:pPr>
    </w:p>
    <w:p>
      <w:pPr>
        <w:pStyle w:val="8"/>
        <w:rPr>
          <w:rFonts w:cstheme="minorHAnsi"/>
        </w:rPr>
      </w:pPr>
      <w:r>
        <w:rPr>
          <w:rFonts w:cstheme="minorHAnsi"/>
          <w:b/>
        </w:rPr>
        <w:t>Primera. –</w:t>
      </w:r>
      <w:r>
        <w:rPr>
          <w:rFonts w:cstheme="minorHAnsi"/>
        </w:rPr>
        <w:t xml:space="preserve"> La Dirección de Gestión de Inmuebles realizará en el término de noventa días las acciones administrativas pertinentes para entregar la custodia del bien inmueble signado con el predio No……., a la Agencia Metropolitana de Coordinación de Comercio.</w:t>
      </w:r>
    </w:p>
    <w:p>
      <w:pPr>
        <w:pStyle w:val="8"/>
        <w:rPr>
          <w:rFonts w:cstheme="minorHAnsi"/>
        </w:rPr>
      </w:pPr>
    </w:p>
    <w:p>
      <w:pPr>
        <w:pStyle w:val="8"/>
        <w:rPr>
          <w:rFonts w:cstheme="minorHAnsi"/>
        </w:rPr>
      </w:pPr>
      <w:r>
        <w:rPr>
          <w:rFonts w:cstheme="minorHAnsi"/>
          <w:b/>
        </w:rPr>
        <w:t>Primera. –</w:t>
      </w:r>
      <w:r>
        <w:rPr>
          <w:rFonts w:cstheme="minorHAnsi"/>
        </w:rPr>
        <w:t xml:space="preserve"> La Agencia Metropolitana de Coordinación de Comercio, en el término de treinta días realizará las acciones administrativas pertinentes para asignar un Administrador del Mercado y socializar las normas que rigen a los comerciantes y mercados.</w:t>
      </w:r>
    </w:p>
    <w:p>
      <w:pPr>
        <w:pStyle w:val="8"/>
        <w:rPr>
          <w:rFonts w:cstheme="minorHAnsi"/>
        </w:rPr>
      </w:pPr>
    </w:p>
    <w:p>
      <w:pPr>
        <w:pStyle w:val="8"/>
        <w:rPr>
          <w:rFonts w:cstheme="minorHAnsi"/>
        </w:rPr>
      </w:pPr>
      <w:r>
        <w:rPr>
          <w:rFonts w:cstheme="minorHAnsi"/>
          <w:b/>
        </w:rPr>
        <w:t>Primera. –</w:t>
      </w:r>
      <w:r>
        <w:rPr>
          <w:rFonts w:cstheme="minorHAnsi"/>
        </w:rPr>
        <w:t xml:space="preserve"> La Agencia de Coordinación Distrital de Comercio, en el término máximo de sesenta días realizará las acciones administrativas correspondientes para la adjudicación de puestos en el mercado, conforme la normativa metropolitana vigente, respetando a los comerciantes que actualmente se encuentran desarrollando sus actividades en el Centro de Comercio. </w:t>
      </w:r>
    </w:p>
    <w:p>
      <w:pPr>
        <w:pStyle w:val="10"/>
        <w:jc w:val="both"/>
        <w:rPr>
          <w:rFonts w:asciiTheme="minorHAnsi" w:hAnsiTheme="minorHAnsi" w:cstheme="minorHAnsi"/>
          <w:sz w:val="22"/>
          <w:szCs w:val="22"/>
        </w:rPr>
      </w:pPr>
    </w:p>
    <w:p>
      <w:pPr>
        <w:pStyle w:val="8"/>
        <w:jc w:val="center"/>
        <w:rPr>
          <w:rFonts w:cstheme="minorHAnsi"/>
          <w:b/>
        </w:rPr>
      </w:pPr>
      <w:r>
        <w:rPr>
          <w:rFonts w:cstheme="minorHAnsi"/>
          <w:b/>
        </w:rPr>
        <w:t>DISPOSICIÓN GENERAL</w:t>
      </w:r>
    </w:p>
    <w:p>
      <w:pPr>
        <w:pStyle w:val="8"/>
        <w:rPr>
          <w:rFonts w:cstheme="minorHAnsi"/>
        </w:rPr>
      </w:pPr>
    </w:p>
    <w:p>
      <w:pPr>
        <w:pStyle w:val="8"/>
        <w:rPr>
          <w:rFonts w:cstheme="minorHAnsi"/>
        </w:rPr>
      </w:pPr>
      <w:r>
        <w:rPr>
          <w:rFonts w:cstheme="minorHAnsi"/>
          <w:b/>
        </w:rPr>
        <w:t>Única. -</w:t>
      </w:r>
      <w:r>
        <w:rPr>
          <w:rFonts w:cstheme="minorHAnsi"/>
        </w:rPr>
        <w:t xml:space="preserve"> La Dirección de Gestión de Bienes Inmuebles, realizará las gestiones administrativas correspondientes para completar el cambio de categoría del bien inmueble singado con predio No…..</w:t>
      </w:r>
    </w:p>
    <w:p>
      <w:pPr>
        <w:pStyle w:val="8"/>
        <w:rPr>
          <w:rFonts w:cstheme="minorHAnsi"/>
        </w:rPr>
      </w:pPr>
    </w:p>
    <w:p>
      <w:pPr>
        <w:pStyle w:val="8"/>
        <w:rPr>
          <w:rFonts w:cstheme="minorHAnsi"/>
        </w:rPr>
      </w:pPr>
    </w:p>
    <w:p>
      <w:pPr>
        <w:autoSpaceDE w:val="0"/>
        <w:autoSpaceDN w:val="0"/>
        <w:adjustRightInd w:val="0"/>
        <w:jc w:val="both"/>
        <w:rPr>
          <w:rFonts w:asciiTheme="minorHAnsi" w:hAnsiTheme="minorHAnsi" w:cstheme="minorHAnsi"/>
          <w:sz w:val="22"/>
          <w:szCs w:val="22"/>
        </w:rPr>
      </w:pPr>
      <w:r>
        <w:rPr>
          <w:rFonts w:asciiTheme="minorHAnsi" w:hAnsiTheme="minorHAnsi" w:eastAsiaTheme="minorHAnsi" w:cstheme="minorHAnsi"/>
          <w:b/>
          <w:sz w:val="22"/>
          <w:szCs w:val="22"/>
          <w:lang w:val="es-EC" w:eastAsia="en-US"/>
        </w:rPr>
        <w:t xml:space="preserve">Disposición Final. - </w:t>
      </w:r>
      <w:r>
        <w:rPr>
          <w:rFonts w:asciiTheme="minorHAnsi" w:hAnsiTheme="minorHAnsi" w:eastAsiaTheme="minorHAnsi" w:cstheme="minorHAnsi"/>
          <w:sz w:val="22"/>
          <w:szCs w:val="22"/>
          <w:lang w:val="es-EC" w:eastAsia="en-US"/>
        </w:rPr>
        <w:t xml:space="preserve">La presente Resolución entrará en vigencia a partir de su suscripción sin perjuicio de su publicación. </w:t>
      </w:r>
    </w:p>
    <w:p>
      <w:pPr>
        <w:autoSpaceDE w:val="0"/>
        <w:autoSpaceDN w:val="0"/>
        <w:adjustRightInd w:val="0"/>
        <w:jc w:val="both"/>
        <w:rPr>
          <w:rFonts w:asciiTheme="minorHAnsi" w:hAnsiTheme="minorHAnsi" w:eastAsiaTheme="minorHAnsi" w:cstheme="minorHAnsi"/>
          <w:sz w:val="22"/>
          <w:szCs w:val="22"/>
          <w:lang w:val="es-EC" w:eastAsia="en-US"/>
        </w:rPr>
      </w:pPr>
    </w:p>
    <w:p>
      <w:pPr>
        <w:jc w:val="both"/>
        <w:rPr>
          <w:rFonts w:asciiTheme="minorHAnsi" w:hAnsiTheme="minorHAnsi" w:cstheme="minorHAnsi"/>
          <w:sz w:val="22"/>
          <w:szCs w:val="22"/>
        </w:rPr>
      </w:pPr>
    </w:p>
    <w:p>
      <w:pPr>
        <w:rPr>
          <w:rFonts w:asciiTheme="minorHAnsi" w:hAnsiTheme="minorHAnsi" w:cstheme="minorHAnsi"/>
          <w:sz w:val="22"/>
          <w:szCs w:val="22"/>
        </w:rPr>
      </w:pPr>
    </w:p>
    <w:sectPr>
      <w:pgSz w:w="11906" w:h="16838"/>
      <w:pgMar w:top="1417" w:right="1701" w:bottom="1417" w:left="1701" w:header="1984" w:footer="1191"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25AD6"/>
    <w:multiLevelType w:val="multilevel"/>
    <w:tmpl w:val="2C125A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F4047A5"/>
    <w:multiLevelType w:val="multilevel"/>
    <w:tmpl w:val="3F4047A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D5"/>
    <w:rsid w:val="000127BB"/>
    <w:rsid w:val="00062DB7"/>
    <w:rsid w:val="000A6374"/>
    <w:rsid w:val="00115C22"/>
    <w:rsid w:val="001C1C8E"/>
    <w:rsid w:val="001E4A78"/>
    <w:rsid w:val="0023459D"/>
    <w:rsid w:val="002E13F9"/>
    <w:rsid w:val="00301B51"/>
    <w:rsid w:val="00347CA7"/>
    <w:rsid w:val="003A440A"/>
    <w:rsid w:val="003B079C"/>
    <w:rsid w:val="003C5849"/>
    <w:rsid w:val="003F7BA0"/>
    <w:rsid w:val="005100D3"/>
    <w:rsid w:val="005741BD"/>
    <w:rsid w:val="005A01B8"/>
    <w:rsid w:val="005F5BE2"/>
    <w:rsid w:val="00613359"/>
    <w:rsid w:val="00740ED7"/>
    <w:rsid w:val="00753FD2"/>
    <w:rsid w:val="007C4E71"/>
    <w:rsid w:val="007F362E"/>
    <w:rsid w:val="008057EF"/>
    <w:rsid w:val="00814076"/>
    <w:rsid w:val="008D237C"/>
    <w:rsid w:val="00902D20"/>
    <w:rsid w:val="00905F97"/>
    <w:rsid w:val="00973E9A"/>
    <w:rsid w:val="009856D9"/>
    <w:rsid w:val="009E2848"/>
    <w:rsid w:val="00A17F3E"/>
    <w:rsid w:val="00B34354"/>
    <w:rsid w:val="00B42BC5"/>
    <w:rsid w:val="00B57125"/>
    <w:rsid w:val="00C741AE"/>
    <w:rsid w:val="00C91200"/>
    <w:rsid w:val="00C96DC9"/>
    <w:rsid w:val="00CF0172"/>
    <w:rsid w:val="00D1173A"/>
    <w:rsid w:val="00D20BE6"/>
    <w:rsid w:val="00D2568E"/>
    <w:rsid w:val="00D44593"/>
    <w:rsid w:val="00D53815"/>
    <w:rsid w:val="00E761CF"/>
    <w:rsid w:val="00EA47D5"/>
    <w:rsid w:val="00EC24D5"/>
    <w:rsid w:val="00ED41BF"/>
    <w:rsid w:val="00ED6D27"/>
    <w:rsid w:val="00EF590C"/>
    <w:rsid w:val="00F94A81"/>
    <w:rsid w:val="3C564C8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4"/>
    <w:qFormat/>
    <w:uiPriority w:val="1"/>
    <w:pPr>
      <w:widowControl w:val="0"/>
      <w:autoSpaceDE w:val="0"/>
      <w:autoSpaceDN w:val="0"/>
    </w:pPr>
    <w:rPr>
      <w:sz w:val="22"/>
      <w:szCs w:val="22"/>
      <w:lang w:eastAsia="en-US"/>
    </w:rPr>
  </w:style>
  <w:style w:type="paragraph" w:styleId="5">
    <w:name w:val="footer"/>
    <w:basedOn w:val="1"/>
    <w:link w:val="11"/>
    <w:unhideWhenUsed/>
    <w:qFormat/>
    <w:uiPriority w:val="99"/>
    <w:pPr>
      <w:tabs>
        <w:tab w:val="center" w:pos="4252"/>
        <w:tab w:val="right" w:pos="8504"/>
      </w:tabs>
    </w:pPr>
  </w:style>
  <w:style w:type="paragraph" w:styleId="6">
    <w:name w:val="header"/>
    <w:basedOn w:val="1"/>
    <w:link w:val="9"/>
    <w:unhideWhenUsed/>
    <w:qFormat/>
    <w:uiPriority w:val="99"/>
    <w:pPr>
      <w:tabs>
        <w:tab w:val="center" w:pos="4252"/>
        <w:tab w:val="right" w:pos="8504"/>
      </w:tabs>
    </w:pPr>
  </w:style>
  <w:style w:type="character" w:customStyle="1" w:styleId="7">
    <w:name w:val="Sin espaciado Car"/>
    <w:basedOn w:val="2"/>
    <w:link w:val="8"/>
    <w:locked/>
    <w:uiPriority w:val="1"/>
  </w:style>
  <w:style w:type="paragraph" w:styleId="8">
    <w:name w:val="No Spacing"/>
    <w:basedOn w:val="1"/>
    <w:link w:val="7"/>
    <w:qFormat/>
    <w:uiPriority w:val="1"/>
    <w:pPr>
      <w:jc w:val="both"/>
    </w:pPr>
    <w:rPr>
      <w:rFonts w:asciiTheme="minorHAnsi" w:hAnsiTheme="minorHAnsi" w:eastAsiaTheme="minorHAnsi" w:cstheme="minorBidi"/>
      <w:sz w:val="22"/>
      <w:szCs w:val="22"/>
      <w:lang w:val="es-EC" w:eastAsia="en-US"/>
    </w:rPr>
  </w:style>
  <w:style w:type="character" w:customStyle="1" w:styleId="9">
    <w:name w:val="Encabezado Car"/>
    <w:basedOn w:val="2"/>
    <w:link w:val="6"/>
    <w:qFormat/>
    <w:uiPriority w:val="99"/>
    <w:rPr>
      <w:rFonts w:ascii="Times New Roman" w:hAnsi="Times New Roman" w:eastAsia="Times New Roman" w:cs="Times New Roman"/>
      <w:sz w:val="24"/>
      <w:szCs w:val="24"/>
      <w:lang w:val="es-ES" w:eastAsia="es-ES"/>
    </w:rPr>
  </w:style>
  <w:style w:type="paragraph" w:customStyle="1" w:styleId="10">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s-EC" w:eastAsia="en-US" w:bidi="ar-SA"/>
    </w:rPr>
  </w:style>
  <w:style w:type="character" w:customStyle="1" w:styleId="11">
    <w:name w:val="Pie de página Car"/>
    <w:basedOn w:val="2"/>
    <w:link w:val="5"/>
    <w:uiPriority w:val="99"/>
    <w:rPr>
      <w:rFonts w:ascii="Times New Roman" w:hAnsi="Times New Roman" w:eastAsia="Times New Roman" w:cs="Times New Roman"/>
      <w:sz w:val="24"/>
      <w:szCs w:val="24"/>
      <w:lang w:val="es-ES" w:eastAsia="es-ES"/>
    </w:rPr>
  </w:style>
  <w:style w:type="paragraph" w:styleId="12">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es-EC" w:eastAsia="en-US"/>
    </w:rPr>
  </w:style>
  <w:style w:type="character" w:customStyle="1" w:styleId="13">
    <w:name w:val="nrmar"/>
    <w:basedOn w:val="2"/>
    <w:qFormat/>
    <w:uiPriority w:val="0"/>
  </w:style>
  <w:style w:type="character" w:customStyle="1" w:styleId="14">
    <w:name w:val="Texto independiente Car"/>
    <w:basedOn w:val="2"/>
    <w:link w:val="4"/>
    <w:uiPriority w:val="1"/>
    <w:rPr>
      <w:rFonts w:ascii="Times New Roman" w:hAnsi="Times New Roman" w:eastAsia="Times New Roman" w:cs="Times New Roman"/>
      <w:lang w:val="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0F37-3E90-4F94-BCE3-AAC734635EB6}">
  <ds:schemaRefs/>
</ds:datastoreItem>
</file>

<file path=docProps/app.xml><?xml version="1.0" encoding="utf-8"?>
<Properties xmlns="http://schemas.openxmlformats.org/officeDocument/2006/extended-properties" xmlns:vt="http://schemas.openxmlformats.org/officeDocument/2006/docPropsVTypes">
  <Template>Normal</Template>
  <Pages>4</Pages>
  <Words>1478</Words>
  <Characters>8134</Characters>
  <Lines>67</Lines>
  <Paragraphs>19</Paragraphs>
  <TotalTime>28</TotalTime>
  <ScaleCrop>false</ScaleCrop>
  <LinksUpToDate>false</LinksUpToDate>
  <CharactersWithSpaces>9593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2023-10-12T15:14:00Z</dcterms:created>
  <dc:creator>Ana Belen Segovia Caceres</dc:creator>
  <cp:lastModifiedBy>glromero</cp:lastModifiedBy>
  <dcterms:modified xsi:type="dcterms:W3CDTF">2024-01-22T22:35:22Z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17EAB0E10B4244D6B10706BC56BBAFBF_13</vt:lpwstr>
  </property>
</Properties>
</file>