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0B" w:rsidRPr="005D493B" w:rsidRDefault="00857F0B" w:rsidP="005D493B">
      <w:pPr>
        <w:pStyle w:val="Textoindependiente"/>
        <w:spacing w:line="360" w:lineRule="auto"/>
        <w:ind w:left="102" w:right="11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57F0B" w:rsidRPr="005D493B" w:rsidRDefault="00857F0B" w:rsidP="005D493B">
      <w:pPr>
        <w:pStyle w:val="Textoindependiente"/>
        <w:spacing w:line="360" w:lineRule="auto"/>
        <w:ind w:left="102" w:right="114"/>
        <w:jc w:val="center"/>
        <w:rPr>
          <w:rFonts w:ascii="Times New Roman" w:hAnsi="Times New Roman" w:cs="Times New Roman"/>
          <w:b/>
        </w:rPr>
      </w:pPr>
      <w:r w:rsidRPr="005D493B">
        <w:rPr>
          <w:rFonts w:ascii="Times New Roman" w:hAnsi="Times New Roman" w:cs="Times New Roman"/>
          <w:b/>
        </w:rPr>
        <w:t xml:space="preserve">BORRADOR DE </w:t>
      </w:r>
      <w:r w:rsidRPr="005D493B">
        <w:rPr>
          <w:rFonts w:ascii="Times New Roman" w:hAnsi="Times New Roman" w:cs="Times New Roman"/>
          <w:b/>
        </w:rPr>
        <w:t>RESOLUCIÓN</w:t>
      </w:r>
      <w:r w:rsidR="003804B5" w:rsidRPr="003804B5">
        <w:t xml:space="preserve"> </w:t>
      </w:r>
      <w:r w:rsidR="003804B5" w:rsidRPr="003804B5">
        <w:rPr>
          <w:rFonts w:ascii="Times New Roman" w:hAnsi="Times New Roman" w:cs="Times New Roman"/>
          <w:b/>
        </w:rPr>
        <w:t>PARTICIONES JUDICIALES</w:t>
      </w:r>
      <w:r w:rsidR="003804B5" w:rsidRPr="005D493B">
        <w:rPr>
          <w:rFonts w:ascii="Times New Roman" w:hAnsi="Times New Roman" w:cs="Times New Roman"/>
          <w:b/>
        </w:rPr>
        <w:t xml:space="preserve"> </w:t>
      </w:r>
      <w:r w:rsidRPr="005D493B">
        <w:rPr>
          <w:rFonts w:ascii="Times New Roman" w:hAnsi="Times New Roman" w:cs="Times New Roman"/>
          <w:b/>
        </w:rPr>
        <w:t>No.</w:t>
      </w:r>
    </w:p>
    <w:p w:rsidR="00857F0B" w:rsidRPr="005D493B" w:rsidRDefault="00857F0B" w:rsidP="005D493B">
      <w:pPr>
        <w:pStyle w:val="Textoindependiente"/>
        <w:spacing w:line="360" w:lineRule="auto"/>
        <w:ind w:left="102" w:right="114"/>
        <w:jc w:val="center"/>
        <w:rPr>
          <w:rFonts w:ascii="Times New Roman" w:hAnsi="Times New Roman" w:cs="Times New Roman"/>
          <w:b/>
        </w:rPr>
      </w:pPr>
      <w:r w:rsidRPr="005D493B">
        <w:rPr>
          <w:rFonts w:ascii="Times New Roman" w:hAnsi="Times New Roman" w:cs="Times New Roman"/>
          <w:b/>
        </w:rPr>
        <w:t>EL CONCEJO METROPOLITANO DE QUITO</w:t>
      </w:r>
    </w:p>
    <w:p w:rsidR="005D493B" w:rsidRPr="005D493B" w:rsidRDefault="005D493B" w:rsidP="005D493B">
      <w:pPr>
        <w:pStyle w:val="Textoindependiente"/>
        <w:spacing w:line="360" w:lineRule="auto"/>
        <w:ind w:left="102" w:right="114"/>
        <w:jc w:val="center"/>
        <w:rPr>
          <w:rFonts w:ascii="Times New Roman" w:hAnsi="Times New Roman" w:cs="Times New Roman"/>
          <w:b/>
        </w:rPr>
      </w:pPr>
    </w:p>
    <w:p w:rsidR="00857F0B" w:rsidRPr="005D493B" w:rsidRDefault="005D493B" w:rsidP="005D493B">
      <w:pPr>
        <w:pStyle w:val="Textoindependiente"/>
        <w:spacing w:line="360" w:lineRule="auto"/>
        <w:ind w:left="102" w:right="114"/>
        <w:jc w:val="center"/>
        <w:rPr>
          <w:rFonts w:ascii="Times New Roman" w:hAnsi="Times New Roman" w:cs="Times New Roman"/>
          <w:b/>
        </w:rPr>
      </w:pPr>
      <w:r w:rsidRPr="005D493B">
        <w:rPr>
          <w:rFonts w:ascii="Times New Roman" w:hAnsi="Times New Roman" w:cs="Times New Roman"/>
          <w:b/>
        </w:rPr>
        <w:t>CONSIDERANDO</w:t>
      </w:r>
    </w:p>
    <w:p w:rsidR="00857F0B" w:rsidRPr="005D493B" w:rsidRDefault="00857F0B" w:rsidP="005D493B">
      <w:pPr>
        <w:pStyle w:val="Textoindependiente"/>
        <w:spacing w:line="360" w:lineRule="auto"/>
        <w:ind w:left="102" w:right="114" w:hanging="709"/>
        <w:jc w:val="both"/>
        <w:rPr>
          <w:rFonts w:ascii="Times New Roman" w:hAnsi="Times New Roman" w:cs="Times New Roman"/>
        </w:rPr>
      </w:pPr>
      <w:r w:rsidRPr="005D493B">
        <w:rPr>
          <w:rFonts w:ascii="Times New Roman" w:hAnsi="Times New Roman" w:cs="Times New Roman"/>
          <w:b/>
        </w:rPr>
        <w:t xml:space="preserve">Que, </w:t>
      </w:r>
      <w:r w:rsidR="00451959" w:rsidRPr="005D493B">
        <w:rPr>
          <w:rFonts w:ascii="Times New Roman" w:hAnsi="Times New Roman" w:cs="Times New Roman"/>
          <w:b/>
        </w:rPr>
        <w:tab/>
      </w:r>
      <w:r w:rsidRPr="005D493B">
        <w:rPr>
          <w:rStyle w:val="fontstyle01"/>
        </w:rPr>
        <w:t>el artículo 238 de la Constitución señala: Los gobiernos autónomos descentralizados gozarán de autonomía política, administrativa y financiera, y se regirán por los principios de solidaridad, subsidiariedad, equidad interterritorial, integración y participación ciudadana. En ningún caso el ejercicio de la autonomía permitirá la secesión del territorio nacional.</w:t>
      </w:r>
      <w:r w:rsidRPr="005D493B">
        <w:rPr>
          <w:rFonts w:ascii="Times New Roman" w:hAnsi="Times New Roman" w:cs="Times New Roman"/>
        </w:rPr>
        <w:t xml:space="preserve"> </w:t>
      </w:r>
    </w:p>
    <w:p w:rsidR="00857F0B" w:rsidRPr="005D493B" w:rsidRDefault="00857F0B" w:rsidP="005D493B">
      <w:pPr>
        <w:pStyle w:val="Textoindependiente"/>
        <w:spacing w:line="360" w:lineRule="auto"/>
        <w:ind w:left="102" w:right="114" w:hanging="709"/>
        <w:jc w:val="both"/>
        <w:rPr>
          <w:rFonts w:ascii="Times New Roman" w:hAnsi="Times New Roman" w:cs="Times New Roman"/>
          <w:b/>
        </w:rPr>
      </w:pPr>
    </w:p>
    <w:p w:rsidR="00857F0B" w:rsidRPr="005D493B" w:rsidRDefault="00857F0B" w:rsidP="005D493B">
      <w:pPr>
        <w:pStyle w:val="Textoindependiente"/>
        <w:spacing w:line="360" w:lineRule="auto"/>
        <w:ind w:left="102" w:right="114" w:hanging="709"/>
        <w:jc w:val="both"/>
        <w:rPr>
          <w:rFonts w:ascii="Times New Roman" w:hAnsi="Times New Roman" w:cs="Times New Roman"/>
          <w:spacing w:val="1"/>
        </w:rPr>
      </w:pPr>
      <w:r w:rsidRPr="005D493B">
        <w:rPr>
          <w:rFonts w:ascii="Times New Roman" w:hAnsi="Times New Roman" w:cs="Times New Roman"/>
          <w:b/>
        </w:rPr>
        <w:t xml:space="preserve">Que, </w:t>
      </w:r>
      <w:r w:rsidRPr="005D493B">
        <w:rPr>
          <w:rStyle w:val="fontstyle01"/>
        </w:rPr>
        <w:t>el artículo 7 del Código Orgánico de Organización Territorial, Autonomía y Descentralización manifiesta: Facultad normativa.- Para el pleno ejercicio de sus competencias y de las facultades que de manera concurrente podrán asumir, se reconoce a los consejos regionales y provinciales concejos metropolitanos y municipales, la capacidad para dictar normas de carácter general a través de ordenanzas, acuerdos y resoluciones, aplicables dentro de su circunscripción territorial.</w:t>
      </w:r>
      <w:r w:rsidRPr="005D493B">
        <w:rPr>
          <w:rFonts w:ascii="Times New Roman" w:hAnsi="Times New Roman" w:cs="Times New Roman"/>
          <w:spacing w:val="1"/>
        </w:rPr>
        <w:t xml:space="preserve"> </w:t>
      </w:r>
    </w:p>
    <w:p w:rsidR="00857F0B" w:rsidRPr="005D493B" w:rsidRDefault="00857F0B" w:rsidP="005D493B">
      <w:pPr>
        <w:pStyle w:val="Textoindependiente"/>
        <w:spacing w:line="360" w:lineRule="auto"/>
        <w:ind w:left="102" w:right="114" w:hanging="709"/>
        <w:jc w:val="both"/>
        <w:rPr>
          <w:rFonts w:ascii="Times New Roman" w:hAnsi="Times New Roman" w:cs="Times New Roman"/>
          <w:b/>
        </w:rPr>
      </w:pPr>
    </w:p>
    <w:p w:rsidR="00857F0B" w:rsidRPr="005D493B" w:rsidRDefault="00857F0B" w:rsidP="005D493B">
      <w:pPr>
        <w:pStyle w:val="Textoindependiente"/>
        <w:spacing w:line="360" w:lineRule="auto"/>
        <w:ind w:left="102" w:right="114" w:hanging="709"/>
        <w:jc w:val="both"/>
        <w:rPr>
          <w:rFonts w:ascii="Times New Roman" w:hAnsi="Times New Roman" w:cs="Times New Roman"/>
        </w:rPr>
      </w:pPr>
      <w:r w:rsidRPr="005D493B">
        <w:rPr>
          <w:rFonts w:ascii="Times New Roman" w:hAnsi="Times New Roman" w:cs="Times New Roman"/>
          <w:b/>
        </w:rPr>
        <w:t>Que,</w:t>
      </w:r>
      <w:r w:rsidRPr="005D493B">
        <w:rPr>
          <w:rFonts w:ascii="Times New Roman" w:hAnsi="Times New Roman" w:cs="Times New Roman"/>
          <w:b/>
          <w:spacing w:val="1"/>
        </w:rPr>
        <w:t xml:space="preserve"> </w:t>
      </w:r>
      <w:r w:rsidRPr="005D493B">
        <w:rPr>
          <w:rStyle w:val="fontstyle01"/>
        </w:rPr>
        <w:t>el artículo 54 literal c) del Código Orgánico de Organización Territorial, Autonomía y Descentralización establece que son funciones del Gobierno Autónomo Descentralizado Municipal: Establecer el régimen de uso del suelo y urbanístico, para lo cual determinará las condiciones de urbanización, parcelación, lotización, división o cualquier otra forma de fraccionamiento de conformidad con la planificación cantonal, asegurando porcentajes para zonas verdes y áreas comunales.</w:t>
      </w:r>
      <w:r w:rsidRPr="005D493B">
        <w:rPr>
          <w:rFonts w:ascii="Times New Roman" w:hAnsi="Times New Roman" w:cs="Times New Roman"/>
        </w:rPr>
        <w:t xml:space="preserve"> </w:t>
      </w:r>
    </w:p>
    <w:p w:rsidR="00857F0B" w:rsidRPr="005D493B" w:rsidRDefault="00857F0B" w:rsidP="005D493B">
      <w:pPr>
        <w:pStyle w:val="Textoindependiente"/>
        <w:spacing w:line="360" w:lineRule="auto"/>
        <w:ind w:left="102" w:right="114" w:hanging="709"/>
        <w:jc w:val="both"/>
        <w:rPr>
          <w:rFonts w:ascii="Times New Roman" w:hAnsi="Times New Roman" w:cs="Times New Roman"/>
          <w:b/>
        </w:rPr>
      </w:pPr>
    </w:p>
    <w:p w:rsidR="00857F0B" w:rsidRPr="005D493B" w:rsidRDefault="00857F0B" w:rsidP="005D493B">
      <w:pPr>
        <w:pStyle w:val="Textoindependiente"/>
        <w:spacing w:line="360" w:lineRule="auto"/>
        <w:ind w:left="102" w:right="114" w:hanging="709"/>
        <w:jc w:val="both"/>
        <w:rPr>
          <w:rFonts w:ascii="Times New Roman" w:hAnsi="Times New Roman" w:cs="Times New Roman"/>
          <w:spacing w:val="-3"/>
        </w:rPr>
      </w:pPr>
      <w:r w:rsidRPr="005D493B">
        <w:rPr>
          <w:rFonts w:ascii="Times New Roman" w:hAnsi="Times New Roman" w:cs="Times New Roman"/>
          <w:b/>
        </w:rPr>
        <w:t xml:space="preserve">Que, </w:t>
      </w:r>
      <w:r w:rsidR="00451959" w:rsidRPr="005D493B">
        <w:rPr>
          <w:rFonts w:ascii="Times New Roman" w:hAnsi="Times New Roman" w:cs="Times New Roman"/>
          <w:b/>
        </w:rPr>
        <w:tab/>
      </w:r>
      <w:r w:rsidRPr="005D493B">
        <w:rPr>
          <w:rStyle w:val="fontstyle01"/>
        </w:rPr>
        <w:t>el artículo 55 del Código Orgánico de Organización Territorial, Autonomía y Descentralización señala que son competencias exclusivas del gobierno autónomo descentralizado municipal sin perjuicio de otras que determine la ley. Literal</w:t>
      </w:r>
      <w:r w:rsidR="00451959" w:rsidRPr="005D493B">
        <w:rPr>
          <w:rStyle w:val="fontstyle01"/>
        </w:rPr>
        <w:t xml:space="preserve"> </w:t>
      </w:r>
      <w:r w:rsidRPr="005D493B">
        <w:rPr>
          <w:rStyle w:val="fontstyle01"/>
        </w:rPr>
        <w:t xml:space="preserve">b) Ejercer el control sobre el uso y ocupación del suelo en el cantón. </w:t>
      </w:r>
    </w:p>
    <w:p w:rsidR="00857F0B" w:rsidRPr="005D493B" w:rsidRDefault="00857F0B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  <w:spacing w:val="-3"/>
        </w:rPr>
      </w:pPr>
    </w:p>
    <w:p w:rsidR="00857F0B" w:rsidRPr="005D493B" w:rsidRDefault="00857F0B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  <w:r w:rsidRPr="005D493B">
        <w:rPr>
          <w:rFonts w:ascii="Times New Roman" w:hAnsi="Times New Roman" w:cs="Times New Roman"/>
          <w:b/>
        </w:rPr>
        <w:t>Que,</w:t>
      </w:r>
      <w:r w:rsidRPr="005D493B">
        <w:rPr>
          <w:rFonts w:ascii="Times New Roman" w:hAnsi="Times New Roman" w:cs="Times New Roman"/>
          <w:b/>
          <w:spacing w:val="-2"/>
        </w:rPr>
        <w:t xml:space="preserve"> </w:t>
      </w:r>
      <w:r w:rsidR="00451959" w:rsidRPr="005D493B">
        <w:rPr>
          <w:rFonts w:ascii="Times New Roman" w:hAnsi="Times New Roman" w:cs="Times New Roman"/>
          <w:b/>
          <w:spacing w:val="-2"/>
        </w:rPr>
        <w:t xml:space="preserve"> </w:t>
      </w:r>
      <w:r w:rsidRPr="005D493B">
        <w:rPr>
          <w:rStyle w:val="fontstyle01"/>
        </w:rPr>
        <w:t>el artículo 57 literal a) del Código Orgánico de Organización Territorial Autonomía y Descentralización expresa: Atribuciones del concejo municipal. Al concejo municipal le corresponde: El ejercicio de la facultad normativa en las materias de competencia del gobierno autónomo descentralizado municipal, mediante la expedición de ordenanzas cantonales, acuerdos y resoluciones, en uso de sus facultades enmarcadas en la Constitución y la Ley.</w:t>
      </w:r>
      <w:r w:rsidRPr="005D493B">
        <w:rPr>
          <w:rFonts w:ascii="Times New Roman" w:hAnsi="Times New Roman" w:cs="Times New Roman"/>
        </w:rPr>
        <w:t xml:space="preserve"> </w:t>
      </w:r>
    </w:p>
    <w:p w:rsidR="00857F0B" w:rsidRPr="005D493B" w:rsidRDefault="00857F0B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  <w:b/>
        </w:rPr>
      </w:pPr>
    </w:p>
    <w:p w:rsidR="00857F0B" w:rsidRPr="005D493B" w:rsidRDefault="00857F0B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  <w:r w:rsidRPr="005D493B">
        <w:rPr>
          <w:rFonts w:ascii="Times New Roman" w:hAnsi="Times New Roman" w:cs="Times New Roman"/>
          <w:b/>
        </w:rPr>
        <w:t>Que,</w:t>
      </w:r>
      <w:r w:rsidRPr="005D493B">
        <w:rPr>
          <w:rFonts w:ascii="Times New Roman" w:hAnsi="Times New Roman" w:cs="Times New Roman"/>
          <w:b/>
          <w:spacing w:val="-59"/>
        </w:rPr>
        <w:t xml:space="preserve"> </w:t>
      </w:r>
      <w:r w:rsidR="00451959" w:rsidRPr="005D493B">
        <w:rPr>
          <w:rFonts w:ascii="Times New Roman" w:hAnsi="Times New Roman" w:cs="Times New Roman"/>
          <w:b/>
          <w:spacing w:val="-59"/>
        </w:rPr>
        <w:t xml:space="preserve">  </w:t>
      </w:r>
      <w:r w:rsidR="00451959" w:rsidRPr="005D493B">
        <w:rPr>
          <w:rFonts w:ascii="Times New Roman" w:hAnsi="Times New Roman" w:cs="Times New Roman"/>
          <w:b/>
          <w:spacing w:val="-59"/>
        </w:rPr>
        <w:tab/>
      </w:r>
      <w:r w:rsidRPr="005D493B">
        <w:rPr>
          <w:rStyle w:val="fontstyle01"/>
        </w:rPr>
        <w:t xml:space="preserve">el artículo 323 del Código Orgánico de Organización Territorial, Autonomía y </w:t>
      </w:r>
      <w:r w:rsidRPr="005D493B">
        <w:rPr>
          <w:rStyle w:val="fontstyle01"/>
        </w:rPr>
        <w:lastRenderedPageBreak/>
        <w:t>Descentralización determina. Aprobación de otros actos normativos.- El órgano normativo del respectivo gobierno autónomo descentralizado podrá expedir además, acuerdos y resoluciones sobre temas que tengan carácter especial o específico, los que serán aprobados por el órgano legislativo del gobierno autónomo, por simple mayoría, en un solo debate y serán notificados a los interesados, sin perjuicio de disponer su publicación en cualquiera de los medios determinados en el artículo precedente, de existir mérito para ello.</w:t>
      </w:r>
      <w:r w:rsidRPr="005D493B">
        <w:rPr>
          <w:rFonts w:ascii="Times New Roman" w:hAnsi="Times New Roman" w:cs="Times New Roman"/>
        </w:rPr>
        <w:t xml:space="preserve"> </w:t>
      </w:r>
    </w:p>
    <w:p w:rsidR="00857F0B" w:rsidRPr="005D493B" w:rsidRDefault="00857F0B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</w:p>
    <w:p w:rsidR="00857F0B" w:rsidRPr="005D493B" w:rsidRDefault="00857F0B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  <w:r w:rsidRPr="005D493B">
        <w:rPr>
          <w:rFonts w:ascii="Times New Roman" w:hAnsi="Times New Roman" w:cs="Times New Roman"/>
          <w:b/>
        </w:rPr>
        <w:t>Que,</w:t>
      </w:r>
      <w:r w:rsidRPr="005D493B">
        <w:rPr>
          <w:rFonts w:ascii="Times New Roman" w:hAnsi="Times New Roman" w:cs="Times New Roman"/>
        </w:rPr>
        <w:t xml:space="preserve"> </w:t>
      </w:r>
      <w:r w:rsidR="00451959" w:rsidRPr="005D493B">
        <w:rPr>
          <w:rFonts w:ascii="Times New Roman" w:hAnsi="Times New Roman" w:cs="Times New Roman"/>
        </w:rPr>
        <w:tab/>
      </w:r>
      <w:r w:rsidRPr="005D493B">
        <w:rPr>
          <w:rStyle w:val="fontstyle01"/>
        </w:rPr>
        <w:t>el artículo 326 del COOTAD establece que los órganos legislativos de los gobiernos autónomos descentralizados, conformarán comisiones de trabajo las que emitirán conclusiones y recomendaciones que serán consideradas como base para la discusión y aprobación de sus decisiones</w:t>
      </w:r>
    </w:p>
    <w:p w:rsidR="00857F0B" w:rsidRPr="005D493B" w:rsidRDefault="00857F0B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</w:p>
    <w:p w:rsidR="00857F0B" w:rsidRPr="005D493B" w:rsidRDefault="00857F0B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  <w:r w:rsidRPr="005D493B">
        <w:rPr>
          <w:rFonts w:ascii="Times New Roman" w:hAnsi="Times New Roman" w:cs="Times New Roman"/>
          <w:b/>
        </w:rPr>
        <w:t>Que,</w:t>
      </w:r>
      <w:r w:rsidRPr="005D493B">
        <w:rPr>
          <w:rFonts w:ascii="Times New Roman" w:hAnsi="Times New Roman" w:cs="Times New Roman"/>
        </w:rPr>
        <w:t xml:space="preserve"> </w:t>
      </w:r>
      <w:r w:rsidR="00451959" w:rsidRPr="005D493B">
        <w:rPr>
          <w:rFonts w:ascii="Times New Roman" w:hAnsi="Times New Roman" w:cs="Times New Roman"/>
        </w:rPr>
        <w:tab/>
      </w:r>
      <w:r w:rsidRPr="005D493B">
        <w:rPr>
          <w:rStyle w:val="fontstyle01"/>
        </w:rPr>
        <w:t xml:space="preserve">el artículo 470 del COOTAD establece que el Gobierno Autónomo Descentralizado municipal o metropolitano, en cualquier división o fraccionamiento de suelo rural de expansión urbana o suelo urbano, exigirá que el propietario dote a los predios resultantes de infraestructura básica y vías de acceso, los que serán entregados al Gobierno Autónomo Descentralizado municipal o metropolitano. Según el caso, se aplicará el régimen de propiedad horizontal y demás normas de convivencia existentes para el efecto, que se regularán mediante este Código y las ordenanzas. Para quienes realicen el fraccionamiento de inmuebles, con fines comerciales, sin contar con la autorización de la respectiva autoridad, las municipalidades afectadas aplicarán las sanciones económicas y administrativas previstas en las respectivas ordenanzas; sin perjuicio de las sanciones penales si los hechos constituyen un delito, en este último caso las municipalidades también </w:t>
      </w:r>
      <w:proofErr w:type="gramStart"/>
      <w:r w:rsidRPr="005D493B">
        <w:rPr>
          <w:rStyle w:val="fontstyle01"/>
        </w:rPr>
        <w:t>podrá</w:t>
      </w:r>
      <w:proofErr w:type="gramEnd"/>
      <w:r w:rsidRPr="005D493B">
        <w:rPr>
          <w:rStyle w:val="fontstyle01"/>
        </w:rPr>
        <w:t xml:space="preserve"> considerarse como parte perjudicada. Se entenderá por reestructuración de lotes un nuevo trazado de parcelaciones defectuosas, que podrá imponerse obligatoriamente con alguno de estos fines;</w:t>
      </w:r>
    </w:p>
    <w:p w:rsidR="00857F0B" w:rsidRPr="005D493B" w:rsidRDefault="00857F0B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</w:p>
    <w:p w:rsidR="00857F0B" w:rsidRPr="005D493B" w:rsidRDefault="00857F0B" w:rsidP="005D493B">
      <w:pPr>
        <w:pStyle w:val="Textoindependiente"/>
        <w:spacing w:line="360" w:lineRule="auto"/>
        <w:ind w:left="102" w:right="112" w:hanging="709"/>
        <w:jc w:val="both"/>
        <w:rPr>
          <w:rStyle w:val="fontstyle01"/>
        </w:rPr>
      </w:pPr>
      <w:r w:rsidRPr="005D493B">
        <w:rPr>
          <w:rFonts w:ascii="Times New Roman" w:hAnsi="Times New Roman" w:cs="Times New Roman"/>
          <w:b/>
        </w:rPr>
        <w:t>Que,</w:t>
      </w:r>
      <w:r w:rsidRPr="005D493B">
        <w:rPr>
          <w:rFonts w:ascii="Times New Roman" w:hAnsi="Times New Roman" w:cs="Times New Roman"/>
        </w:rPr>
        <w:t xml:space="preserve"> </w:t>
      </w:r>
      <w:r w:rsidR="00451959" w:rsidRPr="005D493B">
        <w:rPr>
          <w:rFonts w:ascii="Times New Roman" w:hAnsi="Times New Roman" w:cs="Times New Roman"/>
        </w:rPr>
        <w:tab/>
      </w:r>
      <w:r w:rsidRPr="005D493B">
        <w:rPr>
          <w:rStyle w:val="fontstyle01"/>
        </w:rPr>
        <w:t>el artículo 472 del COOTAD establece que para la fijación de las superficies mínimas en los fraccionamientos urbanos se atenderá a las normas que al efecto contenga el plan de ordenamiento territorial. Los notarios y los registradores de la propiedad, para la suscripción e inscripción de una escritura de fraccionamiento respectivamente, exigirán la autorización del ejecutivo de este nivel de gobierno, concedida para el fraccionamiento de los terrenos;</w:t>
      </w:r>
    </w:p>
    <w:p w:rsidR="00857F0B" w:rsidRPr="005D493B" w:rsidRDefault="00857F0B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  <w:b/>
        </w:rPr>
      </w:pPr>
    </w:p>
    <w:p w:rsidR="003804B5" w:rsidRDefault="00857F0B" w:rsidP="003804B5">
      <w:pPr>
        <w:pStyle w:val="Textoindependiente"/>
        <w:spacing w:line="360" w:lineRule="auto"/>
        <w:ind w:left="102" w:right="112" w:hanging="709"/>
        <w:jc w:val="both"/>
        <w:rPr>
          <w:rStyle w:val="fontstyle01"/>
        </w:rPr>
      </w:pPr>
      <w:r w:rsidRPr="005D493B">
        <w:rPr>
          <w:rFonts w:ascii="Times New Roman" w:hAnsi="Times New Roman" w:cs="Times New Roman"/>
          <w:b/>
        </w:rPr>
        <w:t xml:space="preserve">Que, </w:t>
      </w:r>
      <w:r w:rsidRPr="005D493B">
        <w:rPr>
          <w:rStyle w:val="fontstyle01"/>
        </w:rPr>
        <w:t xml:space="preserve">el artículo 473 del Código Orgánico de Organización Territorial, Autonomía y Descentralización establece: Partición judicial y extrajudicial de inmuebles.- En el caso de partición judicial de inmuebles, los jueces ordenarán que se cite con la demanda a la municipalidad del cantón o distrito metropolitano y no se podrá realizar la partición sino con informe favorable del respectivo concejo. Si de hecho se realiza la partición, será nula. En el </w:t>
      </w:r>
      <w:r w:rsidRPr="005D493B">
        <w:rPr>
          <w:rStyle w:val="fontstyle01"/>
        </w:rPr>
        <w:lastRenderedPageBreak/>
        <w:t>caso de partición extrajudicial, los interesados pedirán al gobie</w:t>
      </w:r>
      <w:r w:rsidR="003804B5">
        <w:rPr>
          <w:rStyle w:val="fontstyle01"/>
        </w:rPr>
        <w:t>rno municipal o metropolitano.</w:t>
      </w:r>
    </w:p>
    <w:p w:rsidR="003804B5" w:rsidRDefault="003804B5" w:rsidP="003804B5">
      <w:pPr>
        <w:pStyle w:val="Textoindependiente"/>
        <w:spacing w:line="360" w:lineRule="auto"/>
        <w:ind w:left="102" w:right="112" w:hanging="709"/>
        <w:jc w:val="both"/>
        <w:rPr>
          <w:rStyle w:val="fontstyle01"/>
        </w:rPr>
      </w:pPr>
    </w:p>
    <w:p w:rsidR="003804B5" w:rsidRDefault="003804B5" w:rsidP="003804B5">
      <w:pPr>
        <w:pStyle w:val="Textoindependiente"/>
        <w:spacing w:line="360" w:lineRule="auto"/>
        <w:ind w:left="102" w:right="112" w:hanging="709"/>
        <w:jc w:val="both"/>
        <w:rPr>
          <w:rStyle w:val="fontstyle01"/>
        </w:rPr>
      </w:pPr>
      <w:r w:rsidRPr="003804B5">
        <w:rPr>
          <w:rStyle w:val="fontstyle01"/>
          <w:b/>
        </w:rPr>
        <w:t>Que,</w:t>
      </w:r>
      <w:r w:rsidRPr="003804B5">
        <w:rPr>
          <w:rStyle w:val="fontstyle01"/>
        </w:rPr>
        <w:t xml:space="preserve"> </w:t>
      </w:r>
      <w:r>
        <w:rPr>
          <w:rStyle w:val="fontstyle01"/>
        </w:rPr>
        <w:tab/>
      </w:r>
      <w:r w:rsidRPr="003804B5">
        <w:rPr>
          <w:rStyle w:val="fontstyle01"/>
        </w:rPr>
        <w:t>el artículo 2156 del Código Municipal para el Distrito Metropolitano de Quito, en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adelante, “Código Municipal”, señala que las asignaciones de zonificación para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habilitación del suelo y edificación son: “a. Para habilitación del suelo: el tamaño mínimo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de lote, expresado en metros cuadrados; el frente mínimo del lote, expresado en metros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lineales”;</w:t>
      </w:r>
    </w:p>
    <w:p w:rsidR="003804B5" w:rsidRPr="003804B5" w:rsidRDefault="003804B5" w:rsidP="003804B5">
      <w:pPr>
        <w:pStyle w:val="Textoindependiente"/>
        <w:spacing w:line="360" w:lineRule="auto"/>
        <w:ind w:left="102" w:right="112" w:hanging="709"/>
        <w:jc w:val="both"/>
        <w:rPr>
          <w:rStyle w:val="fontstyle01"/>
        </w:rPr>
      </w:pPr>
    </w:p>
    <w:p w:rsidR="003804B5" w:rsidRDefault="003804B5" w:rsidP="003804B5">
      <w:pPr>
        <w:pStyle w:val="Textoindependiente"/>
        <w:spacing w:line="360" w:lineRule="auto"/>
        <w:ind w:left="102" w:right="112" w:hanging="709"/>
        <w:jc w:val="both"/>
        <w:rPr>
          <w:rStyle w:val="fontstyle01"/>
        </w:rPr>
      </w:pPr>
      <w:r w:rsidRPr="003804B5">
        <w:rPr>
          <w:rStyle w:val="fontstyle01"/>
          <w:b/>
        </w:rPr>
        <w:t>Que,</w:t>
      </w:r>
      <w:r w:rsidRPr="003804B5">
        <w:rPr>
          <w:rStyle w:val="fontstyle01"/>
        </w:rPr>
        <w:t xml:space="preserve"> </w:t>
      </w:r>
      <w:r>
        <w:rPr>
          <w:rStyle w:val="fontstyle01"/>
        </w:rPr>
        <w:tab/>
      </w:r>
      <w:r w:rsidRPr="003804B5">
        <w:rPr>
          <w:rStyle w:val="fontstyle01"/>
        </w:rPr>
        <w:t>el artículo 2157 del Código Municipal establece: "1. La delimitación de la zonificación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en relación a la forma de ocupación y edificabilidad se realiza por sectores y ejes, y se aplicará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a los lotes en las siguientes condiciones: a. En cada sector la asignación de cada tipo de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zonificación se aplicará a todos los lotes que lo conforman (...)</w:t>
      </w:r>
    </w:p>
    <w:p w:rsidR="003804B5" w:rsidRDefault="003804B5" w:rsidP="003804B5">
      <w:pPr>
        <w:pStyle w:val="Textoindependiente"/>
        <w:spacing w:line="360" w:lineRule="auto"/>
        <w:ind w:left="102" w:right="112" w:hanging="709"/>
        <w:jc w:val="both"/>
        <w:rPr>
          <w:rStyle w:val="fontstyle01"/>
        </w:rPr>
      </w:pPr>
    </w:p>
    <w:p w:rsidR="00857F0B" w:rsidRDefault="003804B5" w:rsidP="003804B5">
      <w:pPr>
        <w:pStyle w:val="Textoindependiente"/>
        <w:spacing w:line="360" w:lineRule="auto"/>
        <w:ind w:left="102" w:right="112" w:hanging="709"/>
        <w:jc w:val="both"/>
        <w:rPr>
          <w:rStyle w:val="fontstyle01"/>
        </w:rPr>
      </w:pPr>
      <w:r w:rsidRPr="003804B5">
        <w:rPr>
          <w:rStyle w:val="fontstyle01"/>
          <w:b/>
        </w:rPr>
        <w:t>Que,</w:t>
      </w:r>
      <w:r w:rsidRPr="003804B5">
        <w:rPr>
          <w:rStyle w:val="fontstyle01"/>
        </w:rPr>
        <w:t xml:space="preserve"> </w:t>
      </w:r>
      <w:r>
        <w:rPr>
          <w:rStyle w:val="fontstyle01"/>
        </w:rPr>
        <w:tab/>
      </w:r>
      <w:r w:rsidRPr="003804B5">
        <w:rPr>
          <w:rStyle w:val="fontstyle01"/>
        </w:rPr>
        <w:t>el Código Municipal en su artículo 2162, números 1 y 5, determina que: “1. Los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proyectos de subdivisión son propuestas que tienen por finalidad dividir y habilitar predios,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conforme la zonificación establecida en el PUOS y demás instrumentos de planificación. En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todos los casos deberá observarse el lote mínimo establecido en la normativa vigente. (...) 5.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Se considera, además, como subdivisión a las habilitaciones originadas por partición judicial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que pueden generarse en suelo urbano y rural. Éstas deberán sujetarse a la zonificación y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normativa vigentes</w:t>
      </w:r>
      <w:r>
        <w:rPr>
          <w:rStyle w:val="fontstyle01"/>
        </w:rPr>
        <w:t xml:space="preserve"> </w:t>
      </w:r>
      <w:r w:rsidR="00857F0B" w:rsidRPr="005D493B">
        <w:rPr>
          <w:rStyle w:val="fontstyle01"/>
        </w:rPr>
        <w:t>la autorización respectiva, sin la cual no podrá realizarse la partición.</w:t>
      </w:r>
    </w:p>
    <w:p w:rsidR="003804B5" w:rsidRDefault="003804B5" w:rsidP="005D493B">
      <w:pPr>
        <w:pStyle w:val="Textoindependiente"/>
        <w:spacing w:line="360" w:lineRule="auto"/>
        <w:ind w:left="102" w:right="112" w:hanging="709"/>
        <w:jc w:val="both"/>
        <w:rPr>
          <w:rStyle w:val="fontstyle01"/>
        </w:rPr>
      </w:pPr>
    </w:p>
    <w:p w:rsidR="003804B5" w:rsidRPr="005D493B" w:rsidRDefault="003804B5" w:rsidP="003804B5">
      <w:pPr>
        <w:pStyle w:val="Textoindependiente"/>
        <w:spacing w:line="360" w:lineRule="auto"/>
        <w:ind w:left="102" w:right="112" w:hanging="709"/>
        <w:jc w:val="both"/>
        <w:rPr>
          <w:rStyle w:val="fontstyle01"/>
        </w:rPr>
      </w:pPr>
      <w:r w:rsidRPr="003804B5">
        <w:rPr>
          <w:rStyle w:val="fontstyle01"/>
          <w:b/>
        </w:rPr>
        <w:t>Que,</w:t>
      </w:r>
      <w:r w:rsidRPr="003804B5">
        <w:rPr>
          <w:rStyle w:val="fontstyle01"/>
        </w:rPr>
        <w:t xml:space="preserve"> </w:t>
      </w:r>
      <w:r>
        <w:rPr>
          <w:rStyle w:val="fontstyle01"/>
        </w:rPr>
        <w:tab/>
      </w:r>
      <w:r w:rsidRPr="003804B5">
        <w:rPr>
          <w:rStyle w:val="fontstyle01"/>
        </w:rPr>
        <w:t>el Código Municipal en su artículo 2164, sobre las dimensiones y áreas mínimas de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lotes, establece: "Las habilitaciones del suelo observarán las dimensiones y las superficies de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los lotes, y grados o porcentajes de pendientes establecidas en el PUOS, y demás instrumentos</w:t>
      </w:r>
      <w:r>
        <w:rPr>
          <w:rStyle w:val="fontstyle01"/>
        </w:rPr>
        <w:t xml:space="preserve"> </w:t>
      </w:r>
      <w:r w:rsidRPr="003804B5">
        <w:rPr>
          <w:rStyle w:val="fontstyle01"/>
        </w:rPr>
        <w:t>de planificación, de conformidad con el ordenamiento jurídico metropolitano”;</w:t>
      </w:r>
    </w:p>
    <w:p w:rsidR="001C4B01" w:rsidRPr="005D493B" w:rsidRDefault="001C4B01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</w:p>
    <w:p w:rsidR="001C4B01" w:rsidRPr="005D493B" w:rsidRDefault="001C4B01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  <w:r w:rsidRPr="005D493B">
        <w:rPr>
          <w:rFonts w:ascii="Times New Roman" w:hAnsi="Times New Roman" w:cs="Times New Roman"/>
          <w:b/>
        </w:rPr>
        <w:t>Que,</w:t>
      </w:r>
      <w:r w:rsidRPr="005D493B">
        <w:rPr>
          <w:rFonts w:ascii="Times New Roman" w:hAnsi="Times New Roman" w:cs="Times New Roman"/>
        </w:rPr>
        <w:t xml:space="preserve"> </w:t>
      </w:r>
      <w:r w:rsidR="00451959" w:rsidRPr="005D493B">
        <w:rPr>
          <w:rFonts w:ascii="Times New Roman" w:hAnsi="Times New Roman" w:cs="Times New Roman"/>
        </w:rPr>
        <w:tab/>
      </w:r>
      <w:r w:rsidRPr="005D493B">
        <w:rPr>
          <w:rStyle w:val="fontstyle01"/>
        </w:rPr>
        <w:t xml:space="preserve">mediante oficio GADDMDMQ-AZVCH-2021-1784-O, de fecha 25 de junio del 2021, el Administrador Zonal, envía informe de FACTIBILIDAD para la Secretaria del Concejo, para lo cual adjunta el Informe Técnico AZCVCH-DGT-2022-001-IT y el </w:t>
      </w:r>
      <w:r w:rsidR="00606A23" w:rsidRPr="005D493B">
        <w:rPr>
          <w:rStyle w:val="fontstyle01"/>
        </w:rPr>
        <w:t xml:space="preserve">Informe Legal </w:t>
      </w:r>
      <w:r w:rsidRPr="005D493B">
        <w:rPr>
          <w:rStyle w:val="fontstyle01"/>
        </w:rPr>
        <w:t>DJ-AMZVCH-2021-20, de fechas 21 y 24 de junio del 2021 respectivamente</w:t>
      </w:r>
      <w:r w:rsidR="00606A23" w:rsidRPr="005D493B">
        <w:rPr>
          <w:rStyle w:val="fontstyle01"/>
        </w:rPr>
        <w:t>.</w:t>
      </w:r>
    </w:p>
    <w:p w:rsidR="00857F0B" w:rsidRPr="005D493B" w:rsidRDefault="00857F0B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</w:p>
    <w:p w:rsidR="00857F0B" w:rsidRPr="005D493B" w:rsidRDefault="00857F0B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  <w:r w:rsidRPr="005D493B">
        <w:rPr>
          <w:rFonts w:ascii="Times New Roman" w:hAnsi="Times New Roman" w:cs="Times New Roman"/>
          <w:b/>
        </w:rPr>
        <w:t xml:space="preserve">Que </w:t>
      </w:r>
      <w:r w:rsidR="00451959" w:rsidRPr="005D493B">
        <w:rPr>
          <w:rFonts w:ascii="Times New Roman" w:hAnsi="Times New Roman" w:cs="Times New Roman"/>
          <w:b/>
        </w:rPr>
        <w:tab/>
      </w:r>
      <w:r w:rsidRPr="005D493B">
        <w:rPr>
          <w:rStyle w:val="fontstyle01"/>
        </w:rPr>
        <w:t xml:space="preserve">mediante </w:t>
      </w:r>
      <w:r w:rsidR="001C4B01" w:rsidRPr="005D493B">
        <w:rPr>
          <w:rStyle w:val="fontstyle01"/>
        </w:rPr>
        <w:t xml:space="preserve">Informe Técnico </w:t>
      </w:r>
      <w:r w:rsidRPr="005D493B">
        <w:rPr>
          <w:rStyle w:val="fontstyle01"/>
        </w:rPr>
        <w:t xml:space="preserve">de </w:t>
      </w:r>
      <w:r w:rsidR="00606A23" w:rsidRPr="005D493B">
        <w:rPr>
          <w:rStyle w:val="fontstyle01"/>
        </w:rPr>
        <w:t xml:space="preserve">Partición Judicial </w:t>
      </w:r>
      <w:r w:rsidRPr="005D493B">
        <w:rPr>
          <w:rStyle w:val="fontstyle01"/>
        </w:rPr>
        <w:t xml:space="preserve">AZCVCH-DGT-2022-001-IT, de fecha 15 de julio del 2022, se emite Informe </w:t>
      </w:r>
      <w:r w:rsidR="00606A23" w:rsidRPr="005D493B">
        <w:rPr>
          <w:rStyle w:val="fontstyle01"/>
        </w:rPr>
        <w:t xml:space="preserve">Técnico  </w:t>
      </w:r>
      <w:r w:rsidR="001C4B01" w:rsidRPr="005D493B">
        <w:rPr>
          <w:rStyle w:val="fontstyle01"/>
        </w:rPr>
        <w:t>FAVORABLE,</w:t>
      </w:r>
      <w:r w:rsidRPr="005D493B">
        <w:rPr>
          <w:rStyle w:val="fontstyle01"/>
        </w:rPr>
        <w:t xml:space="preserve"> indicando que el bien inmueble es </w:t>
      </w:r>
      <w:r w:rsidR="001C4B01" w:rsidRPr="005D493B">
        <w:rPr>
          <w:rStyle w:val="fontstyle01"/>
        </w:rPr>
        <w:t xml:space="preserve">FACTIBLE </w:t>
      </w:r>
      <w:r w:rsidRPr="005D493B">
        <w:rPr>
          <w:rStyle w:val="fontstyle01"/>
        </w:rPr>
        <w:t xml:space="preserve">de </w:t>
      </w:r>
      <w:r w:rsidR="001C4B01" w:rsidRPr="005D493B">
        <w:rPr>
          <w:rStyle w:val="fontstyle01"/>
        </w:rPr>
        <w:t>partición, predio Nro. 121419</w:t>
      </w:r>
      <w:r w:rsidR="001C4B01" w:rsidRPr="005D493B">
        <w:rPr>
          <w:rFonts w:ascii="Times New Roman" w:hAnsi="Times New Roman" w:cs="Times New Roman"/>
        </w:rPr>
        <w:t>.</w:t>
      </w:r>
    </w:p>
    <w:p w:rsidR="001C4B01" w:rsidRPr="005D493B" w:rsidRDefault="001C4B01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</w:p>
    <w:p w:rsidR="001C4B01" w:rsidRPr="005D493B" w:rsidRDefault="001C4B01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  <w:r w:rsidRPr="005D493B">
        <w:rPr>
          <w:rFonts w:ascii="Times New Roman" w:hAnsi="Times New Roman" w:cs="Times New Roman"/>
          <w:b/>
        </w:rPr>
        <w:t>Que,</w:t>
      </w:r>
      <w:r w:rsidRPr="005D493B">
        <w:rPr>
          <w:rFonts w:ascii="Times New Roman" w:hAnsi="Times New Roman" w:cs="Times New Roman"/>
        </w:rPr>
        <w:t xml:space="preserve"> </w:t>
      </w:r>
      <w:r w:rsidR="00451959" w:rsidRPr="005D493B">
        <w:rPr>
          <w:rFonts w:ascii="Times New Roman" w:hAnsi="Times New Roman" w:cs="Times New Roman"/>
        </w:rPr>
        <w:tab/>
      </w:r>
      <w:r w:rsidRPr="005D493B">
        <w:rPr>
          <w:rStyle w:val="fontstyle01"/>
        </w:rPr>
        <w:t xml:space="preserve">mediante documentos GADDMQ-SGCM-2022-1862-O, de fecha 01 de abril del 2022, indica se requiere presentación del plano del proyecto de partición, el mismo que será remitido a la Administración Zonal Valle de los Chillos, para que este órgano remita el informe </w:t>
      </w:r>
      <w:r w:rsidRPr="005D493B">
        <w:rPr>
          <w:rStyle w:val="fontstyle01"/>
        </w:rPr>
        <w:lastRenderedPageBreak/>
        <w:t>correspondiente al régimen jurídico aplicable.</w:t>
      </w:r>
    </w:p>
    <w:p w:rsidR="001C4B01" w:rsidRPr="005D493B" w:rsidRDefault="001C4B01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</w:p>
    <w:p w:rsidR="001C4B01" w:rsidRPr="005D493B" w:rsidRDefault="001C4B01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  <w:r w:rsidRPr="005D493B">
        <w:rPr>
          <w:rFonts w:ascii="Times New Roman" w:hAnsi="Times New Roman" w:cs="Times New Roman"/>
          <w:b/>
        </w:rPr>
        <w:t>Que,</w:t>
      </w:r>
      <w:r w:rsidRPr="005D493B">
        <w:rPr>
          <w:rFonts w:ascii="Times New Roman" w:hAnsi="Times New Roman" w:cs="Times New Roman"/>
        </w:rPr>
        <w:t xml:space="preserve"> </w:t>
      </w:r>
      <w:r w:rsidR="00451959" w:rsidRPr="005D493B">
        <w:rPr>
          <w:rFonts w:ascii="Times New Roman" w:hAnsi="Times New Roman" w:cs="Times New Roman"/>
        </w:rPr>
        <w:tab/>
      </w:r>
      <w:r w:rsidRPr="005D493B">
        <w:rPr>
          <w:rStyle w:val="fontstyle01"/>
        </w:rPr>
        <w:t xml:space="preserve">mediante </w:t>
      </w:r>
      <w:r w:rsidR="00451959" w:rsidRPr="005D493B">
        <w:rPr>
          <w:rStyle w:val="fontstyle01"/>
        </w:rPr>
        <w:t>GADDMDMQ-AZVCH-2022-2148-E, de fecha 17 de mayo del 2022 se solicita la partición del predio 121419, y se presenta el proyecto de fraccionamiento propuesto por las partes procesales dentro de la causa No. 17204-2018-04639</w:t>
      </w:r>
    </w:p>
    <w:p w:rsidR="00451959" w:rsidRPr="005D493B" w:rsidRDefault="00451959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</w:p>
    <w:p w:rsidR="00451959" w:rsidRPr="005D493B" w:rsidRDefault="00451959" w:rsidP="005D493B">
      <w:pPr>
        <w:spacing w:after="0"/>
        <w:ind w:hanging="709"/>
        <w:jc w:val="both"/>
        <w:rPr>
          <w:rStyle w:val="fontstyle01"/>
          <w:rFonts w:eastAsia="Arial MT" w:cs="Arial MT"/>
        </w:rPr>
      </w:pPr>
      <w:r w:rsidRPr="005D493B">
        <w:rPr>
          <w:rFonts w:ascii="Times New Roman" w:hAnsi="Times New Roman" w:cs="Times New Roman"/>
          <w:b/>
        </w:rPr>
        <w:t>Que,</w:t>
      </w:r>
      <w:r w:rsidRPr="005D493B">
        <w:rPr>
          <w:rFonts w:ascii="Times New Roman" w:hAnsi="Times New Roman" w:cs="Times New Roman"/>
        </w:rPr>
        <w:t xml:space="preserve"> </w:t>
      </w:r>
      <w:r w:rsidRPr="005D493B">
        <w:rPr>
          <w:rFonts w:ascii="Times New Roman" w:hAnsi="Times New Roman" w:cs="Times New Roman"/>
        </w:rPr>
        <w:tab/>
      </w:r>
      <w:r w:rsidRPr="005D493B">
        <w:rPr>
          <w:rStyle w:val="fontstyle01"/>
          <w:rFonts w:eastAsia="Arial MT" w:cs="Arial MT"/>
        </w:rPr>
        <w:t>con Memorando Nro. GADDMQ-AZVCH-DGT-2022-543-M,  de fecha 19 de julio de 2022, el Director de Gestión de Territorio de la Administración Zonal los Chillos, en su parte pertinente indica; el “(…) a fin de que se dé cumplimiento a los establecido en la Ordenanza Metropolitana No. 033, adjunto al presente documento se remite expediente físico que consta de 47 fojas, 6 planos y 2 CD, entre los cuales consta el Informe Técnico Partición Judicial No. AZVCH-DGT-2022-001, de 15 de julio de 2022, IRM No. 770385 del predio 121419, e Informe técnico de replanteo vial No. GADDMQ-AZVCH-UTV-2022-0023-IT, de 15 de julio de 2022.</w:t>
      </w:r>
    </w:p>
    <w:p w:rsidR="00451959" w:rsidRPr="005D493B" w:rsidRDefault="00451959" w:rsidP="005D493B">
      <w:pPr>
        <w:spacing w:after="0"/>
        <w:jc w:val="both"/>
        <w:rPr>
          <w:rStyle w:val="fontstyle01"/>
          <w:rFonts w:eastAsia="Arial MT" w:cs="Arial MT"/>
        </w:rPr>
      </w:pPr>
    </w:p>
    <w:p w:rsidR="00857F0B" w:rsidRPr="005D493B" w:rsidRDefault="00857F0B" w:rsidP="005D493B">
      <w:pPr>
        <w:pStyle w:val="Textoindependiente"/>
        <w:spacing w:line="360" w:lineRule="auto"/>
        <w:ind w:right="112"/>
        <w:jc w:val="both"/>
        <w:rPr>
          <w:rStyle w:val="fontstyle01"/>
        </w:rPr>
      </w:pPr>
      <w:r w:rsidRPr="005D493B">
        <w:rPr>
          <w:rStyle w:val="fontstyle01"/>
        </w:rPr>
        <w:t>En ejercicio de sus atribuciones previstas en el artículo 240 de la Constitución de la</w:t>
      </w:r>
    </w:p>
    <w:p w:rsidR="00857F0B" w:rsidRPr="005D493B" w:rsidRDefault="00857F0B" w:rsidP="005D493B">
      <w:pPr>
        <w:pStyle w:val="Textoindependiente"/>
        <w:spacing w:line="360" w:lineRule="auto"/>
        <w:ind w:right="112"/>
        <w:jc w:val="both"/>
        <w:rPr>
          <w:rStyle w:val="fontstyle01"/>
        </w:rPr>
      </w:pPr>
      <w:r w:rsidRPr="005D493B">
        <w:rPr>
          <w:rStyle w:val="fontstyle01"/>
        </w:rPr>
        <w:t xml:space="preserve">República y artículos 8; 87 </w:t>
      </w:r>
      <w:proofErr w:type="gramStart"/>
      <w:r w:rsidRPr="005D493B">
        <w:rPr>
          <w:rStyle w:val="fontstyle01"/>
        </w:rPr>
        <w:t>letra</w:t>
      </w:r>
      <w:proofErr w:type="gramEnd"/>
      <w:r w:rsidRPr="005D493B">
        <w:rPr>
          <w:rStyle w:val="fontstyle01"/>
        </w:rPr>
        <w:t xml:space="preserve"> a); y, 323 del Código Orgánico de Organización Territorial, Autonomía y Descentralización:</w:t>
      </w:r>
    </w:p>
    <w:p w:rsidR="00857F0B" w:rsidRPr="005D493B" w:rsidRDefault="00857F0B" w:rsidP="005D493B">
      <w:pPr>
        <w:pStyle w:val="Textoindependiente"/>
        <w:spacing w:line="360" w:lineRule="auto"/>
        <w:ind w:left="102" w:right="112"/>
        <w:jc w:val="both"/>
        <w:rPr>
          <w:rFonts w:ascii="Times New Roman" w:hAnsi="Times New Roman" w:cs="Times New Roman"/>
        </w:rPr>
      </w:pPr>
    </w:p>
    <w:p w:rsidR="00857F0B" w:rsidRPr="005D493B" w:rsidRDefault="00606A23" w:rsidP="005D493B">
      <w:pPr>
        <w:pStyle w:val="Textoindependiente"/>
        <w:spacing w:line="360" w:lineRule="auto"/>
        <w:ind w:left="102" w:right="112"/>
        <w:jc w:val="center"/>
        <w:rPr>
          <w:rFonts w:ascii="Times New Roman" w:hAnsi="Times New Roman" w:cs="Times New Roman"/>
        </w:rPr>
      </w:pPr>
      <w:r w:rsidRPr="005D493B">
        <w:rPr>
          <w:rFonts w:ascii="Times New Roman" w:hAnsi="Times New Roman" w:cs="Times New Roman"/>
          <w:b/>
        </w:rPr>
        <w:t>Resuelve</w:t>
      </w:r>
      <w:r w:rsidR="00857F0B" w:rsidRPr="005D493B">
        <w:rPr>
          <w:rFonts w:ascii="Times New Roman" w:hAnsi="Times New Roman" w:cs="Times New Roman"/>
          <w:b/>
        </w:rPr>
        <w:t>:</w:t>
      </w:r>
    </w:p>
    <w:p w:rsidR="00606A23" w:rsidRPr="005D493B" w:rsidRDefault="00606A23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  <w:r w:rsidRPr="005D493B">
        <w:rPr>
          <w:rFonts w:ascii="Arial" w:hAnsi="Arial"/>
          <w:b/>
        </w:rPr>
        <w:t xml:space="preserve">Art. 1.- </w:t>
      </w:r>
      <w:r w:rsidRPr="005D493B">
        <w:rPr>
          <w:rStyle w:val="fontstyle01"/>
        </w:rPr>
        <w:t>ACOGER: el Informe Técnico AZCVCH-DGT-2022-001-IT y el Informe Legal DJ-AMZVCH-2021-20, de fechas 21 y 24 de junio del 2021 respectivamente, respecto al proyecto de fraccionamiento propuesto por las partes procesales dentro de la causa No. 17204-2018-04639.</w:t>
      </w:r>
    </w:p>
    <w:p w:rsidR="00606A23" w:rsidRPr="005D493B" w:rsidRDefault="00606A23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</w:p>
    <w:p w:rsidR="002D58D0" w:rsidRPr="005D493B" w:rsidRDefault="00606A23" w:rsidP="005D493B">
      <w:pPr>
        <w:pStyle w:val="Textoindependiente"/>
        <w:spacing w:line="360" w:lineRule="auto"/>
        <w:ind w:left="102" w:right="112" w:hanging="709"/>
        <w:jc w:val="both"/>
        <w:rPr>
          <w:rFonts w:ascii="Arial" w:hAnsi="Arial"/>
          <w:b/>
        </w:rPr>
      </w:pPr>
      <w:r w:rsidRPr="005D493B">
        <w:rPr>
          <w:rFonts w:ascii="Arial" w:hAnsi="Arial"/>
          <w:b/>
        </w:rPr>
        <w:t>Art. 2</w:t>
      </w:r>
      <w:r w:rsidRPr="005D493B">
        <w:rPr>
          <w:rFonts w:ascii="Arial" w:hAnsi="Arial"/>
          <w:b/>
        </w:rPr>
        <w:t xml:space="preserve">.- </w:t>
      </w:r>
      <w:r w:rsidRPr="005D493B">
        <w:rPr>
          <w:rStyle w:val="fontstyle01"/>
        </w:rPr>
        <w:t>AUTORIZAR,  el  proyecto de fraccionamiento propuesto por las partes procesales dentro de la causa No. 17204-2018-04639, de conformidad a lo establecido en la Ordenanza Metropolitana No. 033 de 20 de mayo de 2022.</w:t>
      </w:r>
    </w:p>
    <w:p w:rsidR="003804B5" w:rsidRDefault="003804B5" w:rsidP="005D493B">
      <w:pPr>
        <w:pStyle w:val="Textoindependiente"/>
        <w:spacing w:line="360" w:lineRule="auto"/>
        <w:ind w:left="102" w:right="112" w:hanging="709"/>
        <w:jc w:val="both"/>
        <w:rPr>
          <w:rFonts w:ascii="Times New Roman" w:hAnsi="Times New Roman" w:cs="Times New Roman"/>
        </w:rPr>
      </w:pPr>
    </w:p>
    <w:p w:rsidR="00780649" w:rsidRDefault="00780649" w:rsidP="00780649">
      <w:pPr>
        <w:pStyle w:val="Textoindependiente"/>
        <w:spacing w:line="360" w:lineRule="auto"/>
        <w:ind w:left="102" w:right="112" w:hanging="709"/>
        <w:jc w:val="both"/>
        <w:rPr>
          <w:rFonts w:ascii="Times-Bold" w:eastAsiaTheme="minorHAnsi" w:hAnsi="Times-Bold" w:cstheme="minorBidi"/>
          <w:bCs/>
          <w:color w:val="000000"/>
        </w:rPr>
      </w:pPr>
      <w:r w:rsidRPr="00780649">
        <w:rPr>
          <w:rFonts w:ascii="Times-Bold" w:eastAsiaTheme="minorHAnsi" w:hAnsi="Times-Bold" w:cstheme="minorBidi"/>
          <w:bCs/>
          <w:color w:val="000000"/>
        </w:rPr>
        <w:t>Alcaldía del Distrito Metropolitano.-Distrito Metropolitano de Quito, 30 de mayo</w:t>
      </w:r>
      <w:r>
        <w:rPr>
          <w:rFonts w:ascii="Times-Bold" w:eastAsiaTheme="minorHAnsi" w:hAnsi="Times-Bold" w:cstheme="minorBidi"/>
          <w:bCs/>
          <w:color w:val="000000"/>
        </w:rPr>
        <w:t xml:space="preserve"> d</w:t>
      </w:r>
      <w:r w:rsidRPr="00780649">
        <w:rPr>
          <w:rFonts w:ascii="Times-Bold" w:eastAsiaTheme="minorHAnsi" w:hAnsi="Times-Bold" w:cstheme="minorBidi"/>
          <w:bCs/>
          <w:color w:val="000000"/>
        </w:rPr>
        <w:t>e</w:t>
      </w:r>
      <w:r w:rsidRPr="00780649">
        <w:rPr>
          <w:rFonts w:ascii="Times-Bold" w:eastAsiaTheme="minorHAnsi" w:hAnsi="Times-Bold" w:cstheme="minorBidi"/>
          <w:bCs/>
          <w:color w:val="000000"/>
        </w:rPr>
        <w:t xml:space="preserve"> 2022.  </w:t>
      </w:r>
    </w:p>
    <w:p w:rsidR="00780649" w:rsidRPr="00780649" w:rsidRDefault="00780649" w:rsidP="00780649">
      <w:pPr>
        <w:pStyle w:val="Textoindependiente"/>
        <w:spacing w:line="360" w:lineRule="auto"/>
        <w:ind w:left="102" w:right="112" w:hanging="709"/>
        <w:jc w:val="both"/>
        <w:rPr>
          <w:rFonts w:ascii="Times-Bold" w:eastAsiaTheme="minorHAnsi" w:hAnsi="Times-Bold" w:cstheme="minorBidi"/>
          <w:bCs/>
          <w:color w:val="000000"/>
        </w:rPr>
      </w:pPr>
    </w:p>
    <w:p w:rsidR="00780649" w:rsidRPr="00780649" w:rsidRDefault="00780649" w:rsidP="00780649">
      <w:pPr>
        <w:pStyle w:val="Textoindependiente"/>
        <w:spacing w:line="360" w:lineRule="auto"/>
        <w:ind w:left="102" w:right="112" w:hanging="709"/>
        <w:jc w:val="center"/>
        <w:rPr>
          <w:rFonts w:ascii="Times-Bold" w:eastAsiaTheme="minorHAnsi" w:hAnsi="Times-Bold" w:cstheme="minorBidi"/>
          <w:b/>
          <w:bCs/>
          <w:color w:val="000000"/>
        </w:rPr>
      </w:pPr>
      <w:r w:rsidRPr="00780649">
        <w:rPr>
          <w:rFonts w:ascii="Times-Bold" w:eastAsiaTheme="minorHAnsi" w:hAnsi="Times-Bold" w:cstheme="minorBidi"/>
          <w:b/>
          <w:bCs/>
          <w:color w:val="000000"/>
        </w:rPr>
        <w:t>EJECÚTESE:</w:t>
      </w:r>
    </w:p>
    <w:p w:rsidR="00780649" w:rsidRPr="00780649" w:rsidRDefault="00780649" w:rsidP="00780649">
      <w:pPr>
        <w:pStyle w:val="Textoindependiente"/>
        <w:spacing w:line="360" w:lineRule="auto"/>
        <w:ind w:left="102" w:right="112" w:hanging="709"/>
        <w:jc w:val="both"/>
        <w:rPr>
          <w:rFonts w:ascii="Times-Bold" w:eastAsiaTheme="minorHAnsi" w:hAnsi="Times-Bold" w:cstheme="minorBidi"/>
          <w:bCs/>
          <w:color w:val="000000"/>
        </w:rPr>
      </w:pPr>
      <w:r w:rsidRPr="00780649">
        <w:rPr>
          <w:rFonts w:ascii="Times-Bold" w:eastAsiaTheme="minorHAnsi" w:hAnsi="Times-Bold" w:cstheme="minorBidi"/>
          <w:bCs/>
          <w:color w:val="000000"/>
        </w:rPr>
        <w:t xml:space="preserve"> </w:t>
      </w:r>
    </w:p>
    <w:p w:rsidR="00780649" w:rsidRPr="00780649" w:rsidRDefault="00780649" w:rsidP="00780649">
      <w:pPr>
        <w:pStyle w:val="Textoindependiente"/>
        <w:spacing w:line="360" w:lineRule="auto"/>
        <w:ind w:left="102" w:right="112" w:hanging="709"/>
        <w:jc w:val="both"/>
        <w:rPr>
          <w:rFonts w:ascii="Times-Bold" w:eastAsiaTheme="minorHAnsi" w:hAnsi="Times-Bold" w:cstheme="minorBidi"/>
          <w:bCs/>
          <w:color w:val="000000"/>
        </w:rPr>
      </w:pPr>
      <w:r w:rsidRPr="00780649">
        <w:rPr>
          <w:rFonts w:ascii="Times-Bold" w:eastAsiaTheme="minorHAnsi" w:hAnsi="Times-Bold" w:cstheme="minorBidi"/>
          <w:bCs/>
          <w:color w:val="000000"/>
        </w:rPr>
        <w:t xml:space="preserve"> </w:t>
      </w:r>
    </w:p>
    <w:p w:rsidR="00780649" w:rsidRPr="00780649" w:rsidRDefault="00780649" w:rsidP="00780649">
      <w:pPr>
        <w:pStyle w:val="Textoindependiente"/>
        <w:spacing w:line="360" w:lineRule="auto"/>
        <w:ind w:left="102" w:right="112" w:hanging="709"/>
        <w:jc w:val="center"/>
        <w:rPr>
          <w:rFonts w:ascii="Times-Bold" w:eastAsiaTheme="minorHAnsi" w:hAnsi="Times-Bold" w:cstheme="minorBidi"/>
          <w:bCs/>
          <w:color w:val="000000"/>
        </w:rPr>
      </w:pPr>
      <w:r w:rsidRPr="00780649">
        <w:rPr>
          <w:rFonts w:ascii="Times-Bold" w:eastAsiaTheme="minorHAnsi" w:hAnsi="Times-Bold" w:cstheme="minorBidi"/>
          <w:bCs/>
          <w:color w:val="000000"/>
        </w:rPr>
        <w:t xml:space="preserve">Dr. Santiago </w:t>
      </w:r>
      <w:proofErr w:type="spellStart"/>
      <w:r w:rsidRPr="00780649">
        <w:rPr>
          <w:rFonts w:ascii="Times-Bold" w:eastAsiaTheme="minorHAnsi" w:hAnsi="Times-Bold" w:cstheme="minorBidi"/>
          <w:bCs/>
          <w:color w:val="000000"/>
        </w:rPr>
        <w:t>Guarderas</w:t>
      </w:r>
      <w:proofErr w:type="spellEnd"/>
      <w:r w:rsidRPr="00780649">
        <w:rPr>
          <w:rFonts w:ascii="Times-Bold" w:eastAsiaTheme="minorHAnsi" w:hAnsi="Times-Bold" w:cstheme="minorBidi"/>
          <w:bCs/>
          <w:color w:val="000000"/>
        </w:rPr>
        <w:t xml:space="preserve"> Izquierdo.</w:t>
      </w:r>
    </w:p>
    <w:p w:rsidR="003804B5" w:rsidRDefault="00780649" w:rsidP="00780649">
      <w:pPr>
        <w:pStyle w:val="Textoindependiente"/>
        <w:spacing w:line="360" w:lineRule="auto"/>
        <w:ind w:left="102" w:right="112" w:hanging="709"/>
        <w:jc w:val="center"/>
        <w:rPr>
          <w:rFonts w:ascii="Times-Bold" w:eastAsiaTheme="minorHAnsi" w:hAnsi="Times-Bold" w:cstheme="minorBidi"/>
          <w:b/>
          <w:bCs/>
          <w:color w:val="000000"/>
        </w:rPr>
      </w:pPr>
      <w:r w:rsidRPr="00780649">
        <w:rPr>
          <w:rFonts w:ascii="Times-Bold" w:eastAsiaTheme="minorHAnsi" w:hAnsi="Times-Bold" w:cstheme="minorBidi"/>
          <w:b/>
          <w:bCs/>
          <w:color w:val="000000"/>
        </w:rPr>
        <w:t>ALCALDE DEL DISTRITO METROPOLITANO DE QUITO</w:t>
      </w:r>
    </w:p>
    <w:p w:rsidR="00780649" w:rsidRDefault="00780649" w:rsidP="00780649">
      <w:pPr>
        <w:pStyle w:val="Textoindependiente"/>
        <w:spacing w:line="360" w:lineRule="auto"/>
        <w:ind w:left="102" w:right="112" w:hanging="709"/>
        <w:jc w:val="center"/>
        <w:rPr>
          <w:rFonts w:ascii="Times-Bold" w:eastAsiaTheme="minorHAnsi" w:hAnsi="Times-Bold" w:cstheme="minorBidi"/>
          <w:b/>
          <w:bCs/>
          <w:color w:val="000000"/>
        </w:rPr>
      </w:pPr>
    </w:p>
    <w:p w:rsidR="00780649" w:rsidRDefault="00780649" w:rsidP="00780649">
      <w:pPr>
        <w:pStyle w:val="Textoindependiente"/>
        <w:spacing w:line="360" w:lineRule="auto"/>
        <w:ind w:left="-567" w:right="112"/>
        <w:jc w:val="both"/>
        <w:rPr>
          <w:rFonts w:ascii="Times-Roman" w:eastAsiaTheme="minorHAnsi" w:hAnsi="Times-Roman" w:cstheme="minorBidi"/>
          <w:color w:val="000000"/>
        </w:rPr>
      </w:pPr>
      <w:r w:rsidRPr="00780649">
        <w:rPr>
          <w:rFonts w:ascii="Times-Bold" w:eastAsiaTheme="minorHAnsi" w:hAnsi="Times-Bold" w:cstheme="minorBidi"/>
          <w:b/>
          <w:bCs/>
          <w:color w:val="000000"/>
        </w:rPr>
        <w:t xml:space="preserve">CERTIFICO, </w:t>
      </w:r>
      <w:r w:rsidRPr="00780649">
        <w:rPr>
          <w:rFonts w:ascii="Times-Roman" w:eastAsiaTheme="minorHAnsi" w:hAnsi="Times-Roman" w:cstheme="minorBidi"/>
          <w:color w:val="000000"/>
        </w:rPr>
        <w:t>que la presente resolución fue discutida y aprobada en sesión pública ordinaria</w:t>
      </w:r>
      <w:r>
        <w:rPr>
          <w:rFonts w:ascii="Times-Roman" w:eastAsiaTheme="minorHAnsi" w:hAnsi="Times-Roman" w:cstheme="minorBidi"/>
          <w:color w:val="000000"/>
        </w:rPr>
        <w:t xml:space="preserve"> </w:t>
      </w:r>
      <w:r w:rsidRPr="00780649">
        <w:rPr>
          <w:rFonts w:ascii="Times-Roman" w:eastAsiaTheme="minorHAnsi" w:hAnsi="Times-Roman" w:cstheme="minorBidi"/>
          <w:color w:val="000000"/>
        </w:rPr>
        <w:t xml:space="preserve">del Concejo Metropolitano de Quito, el </w:t>
      </w:r>
      <w:r>
        <w:rPr>
          <w:rFonts w:ascii="Times-Roman" w:eastAsiaTheme="minorHAnsi" w:hAnsi="Times-Roman" w:cstheme="minorBidi"/>
          <w:color w:val="000000"/>
        </w:rPr>
        <w:t>xx</w:t>
      </w:r>
      <w:r w:rsidRPr="00780649">
        <w:rPr>
          <w:rFonts w:ascii="Times-Roman" w:eastAsiaTheme="minorHAnsi" w:hAnsi="Times-Roman" w:cstheme="minorBidi"/>
          <w:color w:val="000000"/>
        </w:rPr>
        <w:t xml:space="preserve"> de junio de </w:t>
      </w:r>
      <w:r>
        <w:rPr>
          <w:rFonts w:ascii="Times-Roman" w:eastAsiaTheme="minorHAnsi" w:hAnsi="Times-Roman" w:cstheme="minorBidi"/>
          <w:color w:val="000000"/>
        </w:rPr>
        <w:t>xx</w:t>
      </w:r>
      <w:r w:rsidRPr="00780649">
        <w:rPr>
          <w:rFonts w:ascii="Times-Roman" w:eastAsiaTheme="minorHAnsi" w:hAnsi="Times-Roman" w:cstheme="minorBidi"/>
          <w:color w:val="000000"/>
        </w:rPr>
        <w:t>; y, suscrita por el Dr. Santiago</w:t>
      </w:r>
      <w:r>
        <w:rPr>
          <w:rFonts w:ascii="Times-Roman" w:eastAsiaTheme="minorHAnsi" w:hAnsi="Times-Roman" w:cstheme="minorBidi"/>
          <w:color w:val="000000"/>
        </w:rPr>
        <w:t xml:space="preserve"> </w:t>
      </w:r>
      <w:proofErr w:type="spellStart"/>
      <w:r w:rsidRPr="00780649">
        <w:rPr>
          <w:rFonts w:ascii="Times-Roman" w:eastAsiaTheme="minorHAnsi" w:hAnsi="Times-Roman" w:cstheme="minorBidi"/>
          <w:color w:val="000000"/>
        </w:rPr>
        <w:t>Guarderas</w:t>
      </w:r>
      <w:proofErr w:type="spellEnd"/>
      <w:r w:rsidRPr="00780649">
        <w:rPr>
          <w:rFonts w:ascii="Times-Roman" w:eastAsiaTheme="minorHAnsi" w:hAnsi="Times-Roman" w:cstheme="minorBidi"/>
          <w:color w:val="000000"/>
        </w:rPr>
        <w:t xml:space="preserve"> Izquierdo, Vicealcalde del Distrito Metropolitano de Quito el </w:t>
      </w:r>
      <w:r>
        <w:rPr>
          <w:rFonts w:ascii="Times-Roman" w:eastAsiaTheme="minorHAnsi" w:hAnsi="Times-Roman" w:cstheme="minorBidi"/>
          <w:color w:val="000000"/>
        </w:rPr>
        <w:t>xx</w:t>
      </w:r>
      <w:r w:rsidRPr="00780649">
        <w:rPr>
          <w:rFonts w:ascii="Times-Roman" w:eastAsiaTheme="minorHAnsi" w:hAnsi="Times-Roman" w:cstheme="minorBidi"/>
          <w:color w:val="000000"/>
        </w:rPr>
        <w:t xml:space="preserve"> de </w:t>
      </w:r>
      <w:r>
        <w:rPr>
          <w:rFonts w:ascii="Times-Roman" w:eastAsiaTheme="minorHAnsi" w:hAnsi="Times-Roman" w:cstheme="minorBidi"/>
          <w:color w:val="000000"/>
        </w:rPr>
        <w:t>xx</w:t>
      </w:r>
      <w:r w:rsidRPr="00780649">
        <w:rPr>
          <w:rFonts w:ascii="Times-Roman" w:eastAsiaTheme="minorHAnsi" w:hAnsi="Times-Roman" w:cstheme="minorBidi"/>
          <w:color w:val="000000"/>
        </w:rPr>
        <w:t xml:space="preserve"> de </w:t>
      </w:r>
      <w:r>
        <w:rPr>
          <w:rFonts w:ascii="Times-Roman" w:eastAsiaTheme="minorHAnsi" w:hAnsi="Times-Roman" w:cstheme="minorBidi"/>
          <w:color w:val="000000"/>
        </w:rPr>
        <w:t>xx</w:t>
      </w:r>
    </w:p>
    <w:p w:rsidR="00780649" w:rsidRPr="00780649" w:rsidRDefault="00780649" w:rsidP="00780649">
      <w:pPr>
        <w:pStyle w:val="Textoindependiente"/>
        <w:spacing w:line="360" w:lineRule="auto"/>
        <w:ind w:left="-567" w:right="1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Lo </w:t>
      </w:r>
      <w:r w:rsidRPr="00780649">
        <w:rPr>
          <w:rFonts w:ascii="Times New Roman" w:hAnsi="Times New Roman" w:cs="Times New Roman"/>
          <w:b/>
        </w:rPr>
        <w:t>Certifico</w:t>
      </w:r>
      <w:r w:rsidRPr="00780649">
        <w:rPr>
          <w:rFonts w:ascii="Times New Roman" w:hAnsi="Times New Roman" w:cs="Times New Roman"/>
          <w:b/>
        </w:rPr>
        <w:t xml:space="preserve">. - </w:t>
      </w:r>
      <w:r w:rsidRPr="00780649">
        <w:rPr>
          <w:rFonts w:ascii="Times New Roman" w:hAnsi="Times New Roman" w:cs="Times New Roman"/>
        </w:rPr>
        <w:t xml:space="preserve">Distrito Metropolitano de Quito, </w:t>
      </w:r>
      <w:r>
        <w:rPr>
          <w:rFonts w:ascii="Times New Roman" w:hAnsi="Times New Roman" w:cs="Times New Roman"/>
        </w:rPr>
        <w:t>XX</w:t>
      </w:r>
      <w:r w:rsidRPr="00780649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XX</w:t>
      </w:r>
      <w:r w:rsidRPr="00780649">
        <w:rPr>
          <w:rFonts w:ascii="Times New Roman" w:hAnsi="Times New Roman" w:cs="Times New Roman"/>
        </w:rPr>
        <w:t xml:space="preserve"> de 2022.</w:t>
      </w:r>
      <w:r w:rsidRPr="00780649">
        <w:rPr>
          <w:rFonts w:ascii="Times New Roman" w:hAnsi="Times New Roman" w:cs="Times New Roman"/>
          <w:b/>
        </w:rPr>
        <w:t xml:space="preserve"> </w:t>
      </w:r>
    </w:p>
    <w:p w:rsidR="00780649" w:rsidRPr="00780649" w:rsidRDefault="00780649" w:rsidP="00780649">
      <w:pPr>
        <w:pStyle w:val="Textoindependiente"/>
        <w:spacing w:line="360" w:lineRule="auto"/>
        <w:ind w:left="-567" w:right="112"/>
        <w:jc w:val="both"/>
        <w:rPr>
          <w:rFonts w:ascii="Times New Roman" w:hAnsi="Times New Roman" w:cs="Times New Roman"/>
          <w:b/>
        </w:rPr>
      </w:pPr>
      <w:r w:rsidRPr="00780649">
        <w:rPr>
          <w:rFonts w:ascii="Times New Roman" w:hAnsi="Times New Roman" w:cs="Times New Roman"/>
          <w:b/>
        </w:rPr>
        <w:t xml:space="preserve"> </w:t>
      </w:r>
    </w:p>
    <w:p w:rsidR="00780649" w:rsidRPr="00780649" w:rsidRDefault="00780649" w:rsidP="00780649">
      <w:pPr>
        <w:pStyle w:val="Textoindependiente"/>
        <w:spacing w:line="360" w:lineRule="auto"/>
        <w:ind w:left="-567" w:right="112"/>
        <w:jc w:val="both"/>
        <w:rPr>
          <w:rFonts w:ascii="Times New Roman" w:hAnsi="Times New Roman" w:cs="Times New Roman"/>
          <w:b/>
        </w:rPr>
      </w:pPr>
      <w:r w:rsidRPr="00780649">
        <w:rPr>
          <w:rFonts w:ascii="Times New Roman" w:hAnsi="Times New Roman" w:cs="Times New Roman"/>
          <w:b/>
        </w:rPr>
        <w:t xml:space="preserve"> </w:t>
      </w:r>
    </w:p>
    <w:p w:rsidR="00780649" w:rsidRPr="00780649" w:rsidRDefault="00780649" w:rsidP="00780649">
      <w:pPr>
        <w:pStyle w:val="Textoindependiente"/>
        <w:spacing w:line="360" w:lineRule="auto"/>
        <w:ind w:left="-567" w:right="112"/>
        <w:jc w:val="both"/>
        <w:rPr>
          <w:rFonts w:ascii="Times New Roman" w:hAnsi="Times New Roman" w:cs="Times New Roman"/>
          <w:b/>
        </w:rPr>
      </w:pPr>
      <w:r w:rsidRPr="00780649">
        <w:rPr>
          <w:rFonts w:ascii="Times New Roman" w:hAnsi="Times New Roman" w:cs="Times New Roman"/>
          <w:b/>
        </w:rPr>
        <w:t xml:space="preserve"> </w:t>
      </w:r>
    </w:p>
    <w:p w:rsidR="00780649" w:rsidRPr="00780649" w:rsidRDefault="00780649" w:rsidP="00780649">
      <w:pPr>
        <w:pStyle w:val="Textoindependiente"/>
        <w:spacing w:line="360" w:lineRule="auto"/>
        <w:ind w:left="-567" w:right="112"/>
        <w:jc w:val="both"/>
        <w:rPr>
          <w:rFonts w:ascii="Times New Roman" w:hAnsi="Times New Roman" w:cs="Times New Roman"/>
          <w:b/>
        </w:rPr>
      </w:pPr>
      <w:r w:rsidRPr="00780649">
        <w:rPr>
          <w:rFonts w:ascii="Times New Roman" w:hAnsi="Times New Roman" w:cs="Times New Roman"/>
          <w:b/>
        </w:rPr>
        <w:t xml:space="preserve"> </w:t>
      </w:r>
    </w:p>
    <w:p w:rsidR="00780649" w:rsidRPr="00780649" w:rsidRDefault="00780649" w:rsidP="00780649">
      <w:pPr>
        <w:pStyle w:val="Textoindependiente"/>
        <w:spacing w:line="360" w:lineRule="auto"/>
        <w:ind w:left="-567" w:right="112"/>
        <w:jc w:val="center"/>
        <w:rPr>
          <w:rFonts w:ascii="Times New Roman" w:hAnsi="Times New Roman" w:cs="Times New Roman"/>
          <w:b/>
        </w:rPr>
      </w:pPr>
      <w:r w:rsidRPr="00780649">
        <w:rPr>
          <w:rFonts w:ascii="Times New Roman" w:hAnsi="Times New Roman" w:cs="Times New Roman"/>
          <w:b/>
        </w:rPr>
        <w:t>Ab. Pablo Santillán Paredes</w:t>
      </w:r>
    </w:p>
    <w:p w:rsidR="00780649" w:rsidRPr="00780649" w:rsidRDefault="00780649" w:rsidP="00780649">
      <w:pPr>
        <w:pStyle w:val="Textoindependiente"/>
        <w:spacing w:line="360" w:lineRule="auto"/>
        <w:ind w:left="-567" w:right="112"/>
        <w:jc w:val="center"/>
        <w:rPr>
          <w:rFonts w:ascii="Times New Roman" w:hAnsi="Times New Roman" w:cs="Times New Roman"/>
          <w:b/>
        </w:rPr>
      </w:pPr>
      <w:r w:rsidRPr="00780649">
        <w:rPr>
          <w:rFonts w:ascii="Times New Roman" w:hAnsi="Times New Roman" w:cs="Times New Roman"/>
          <w:b/>
        </w:rPr>
        <w:t>SECRETARIO GENERAL DEL CONCEJO METROPOLITANO DE QUITO</w:t>
      </w:r>
    </w:p>
    <w:sectPr w:rsidR="00780649" w:rsidRPr="00780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0B"/>
    <w:rsid w:val="00072263"/>
    <w:rsid w:val="00096EC7"/>
    <w:rsid w:val="001C4B01"/>
    <w:rsid w:val="002D58D0"/>
    <w:rsid w:val="003804B5"/>
    <w:rsid w:val="00387C3A"/>
    <w:rsid w:val="003C5BAC"/>
    <w:rsid w:val="00450B25"/>
    <w:rsid w:val="00451959"/>
    <w:rsid w:val="005D493B"/>
    <w:rsid w:val="00606A23"/>
    <w:rsid w:val="00701E59"/>
    <w:rsid w:val="00780649"/>
    <w:rsid w:val="007D6C7D"/>
    <w:rsid w:val="00857F0B"/>
    <w:rsid w:val="00BD4A97"/>
    <w:rsid w:val="00E5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57F0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7F0B"/>
    <w:rPr>
      <w:rFonts w:ascii="Arial MT" w:eastAsia="Arial MT" w:hAnsi="Arial MT" w:cs="Arial MT"/>
    </w:rPr>
  </w:style>
  <w:style w:type="character" w:customStyle="1" w:styleId="fontstyle0">
    <w:name w:val="fontstyle0"/>
    <w:basedOn w:val="Fuentedeprrafopredeter"/>
    <w:rsid w:val="00606A23"/>
  </w:style>
  <w:style w:type="character" w:customStyle="1" w:styleId="fontstyle01">
    <w:name w:val="fontstyle01"/>
    <w:basedOn w:val="Fuentedeprrafopredeter"/>
    <w:rsid w:val="00606A23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3804B5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Fuentedeprrafopredeter"/>
    <w:rsid w:val="00380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57F0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7F0B"/>
    <w:rPr>
      <w:rFonts w:ascii="Arial MT" w:eastAsia="Arial MT" w:hAnsi="Arial MT" w:cs="Arial MT"/>
    </w:rPr>
  </w:style>
  <w:style w:type="character" w:customStyle="1" w:styleId="fontstyle0">
    <w:name w:val="fontstyle0"/>
    <w:basedOn w:val="Fuentedeprrafopredeter"/>
    <w:rsid w:val="00606A23"/>
  </w:style>
  <w:style w:type="character" w:customStyle="1" w:styleId="fontstyle01">
    <w:name w:val="fontstyle01"/>
    <w:basedOn w:val="Fuentedeprrafopredeter"/>
    <w:rsid w:val="00606A23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3804B5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Fuentedeprrafopredeter"/>
    <w:rsid w:val="0038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1541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Valeria Tapia Tapia</dc:creator>
  <cp:lastModifiedBy>Nataly Valeria Tapia Tapia</cp:lastModifiedBy>
  <cp:revision>1</cp:revision>
  <dcterms:created xsi:type="dcterms:W3CDTF">2022-08-08T15:33:00Z</dcterms:created>
  <dcterms:modified xsi:type="dcterms:W3CDTF">2022-08-08T17:01:00Z</dcterms:modified>
</cp:coreProperties>
</file>