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94" w:rsidRPr="00E260B7" w:rsidRDefault="002E0E94" w:rsidP="002E0E94">
      <w:pPr>
        <w:autoSpaceDE w:val="0"/>
        <w:autoSpaceDN w:val="0"/>
        <w:adjustRightInd w:val="0"/>
        <w:spacing w:line="276" w:lineRule="auto"/>
        <w:jc w:val="center"/>
        <w:rPr>
          <w:rFonts w:ascii="Palatino Linotype" w:eastAsiaTheme="minorHAnsi" w:hAnsi="Palatino Linotype"/>
          <w:b/>
          <w:sz w:val="22"/>
          <w:szCs w:val="22"/>
          <w:lang w:eastAsia="en-US"/>
        </w:rPr>
      </w:pPr>
      <w:r w:rsidRPr="00E260B7">
        <w:rPr>
          <w:rFonts w:ascii="Palatino Linotype" w:eastAsiaTheme="minorHAnsi" w:hAnsi="Palatino Linotype"/>
          <w:b/>
          <w:sz w:val="22"/>
          <w:szCs w:val="22"/>
          <w:lang w:eastAsia="en-US"/>
        </w:rPr>
        <w:t>EL CONCEJO METROPOLITANO DE QUITO</w:t>
      </w:r>
    </w:p>
    <w:p w:rsidR="002E0E94" w:rsidRPr="00E260B7" w:rsidRDefault="002E0E94" w:rsidP="002E0E94">
      <w:pPr>
        <w:autoSpaceDE w:val="0"/>
        <w:autoSpaceDN w:val="0"/>
        <w:adjustRightInd w:val="0"/>
        <w:spacing w:line="276" w:lineRule="auto"/>
        <w:jc w:val="center"/>
        <w:rPr>
          <w:rFonts w:ascii="Palatino Linotype" w:eastAsiaTheme="minorHAnsi" w:hAnsi="Palatino Linotype"/>
          <w:b/>
          <w:sz w:val="22"/>
          <w:szCs w:val="22"/>
          <w:lang w:eastAsia="en-US"/>
        </w:rPr>
      </w:pPr>
    </w:p>
    <w:p w:rsidR="002E0E94" w:rsidRPr="00E260B7" w:rsidRDefault="002E0E94" w:rsidP="002E0E94">
      <w:pPr>
        <w:autoSpaceDE w:val="0"/>
        <w:autoSpaceDN w:val="0"/>
        <w:adjustRightInd w:val="0"/>
        <w:spacing w:line="276" w:lineRule="auto"/>
        <w:jc w:val="center"/>
        <w:rPr>
          <w:rFonts w:ascii="Palatino Linotype" w:eastAsiaTheme="minorHAnsi" w:hAnsi="Palatino Linotype"/>
          <w:b/>
          <w:sz w:val="22"/>
          <w:szCs w:val="22"/>
          <w:lang w:eastAsia="en-US"/>
        </w:rPr>
      </w:pPr>
      <w:r w:rsidRPr="00E260B7">
        <w:rPr>
          <w:rFonts w:ascii="Palatino Linotype" w:eastAsiaTheme="minorHAnsi" w:hAnsi="Palatino Linotype"/>
          <w:b/>
          <w:sz w:val="22"/>
          <w:szCs w:val="22"/>
          <w:lang w:eastAsia="en-US"/>
        </w:rPr>
        <w:t>CONSIDERANDO:</w:t>
      </w:r>
    </w:p>
    <w:p w:rsidR="002E0E94" w:rsidRPr="00E260B7" w:rsidRDefault="002E0E94" w:rsidP="002E0E94">
      <w:pPr>
        <w:autoSpaceDE w:val="0"/>
        <w:autoSpaceDN w:val="0"/>
        <w:adjustRightInd w:val="0"/>
        <w:spacing w:line="276" w:lineRule="auto"/>
        <w:jc w:val="center"/>
        <w:rPr>
          <w:rFonts w:ascii="Palatino Linotype" w:eastAsiaTheme="minorHAnsi" w:hAnsi="Palatino Linotype"/>
          <w:b/>
          <w:sz w:val="22"/>
          <w:szCs w:val="22"/>
          <w:lang w:eastAsia="en-US"/>
        </w:rPr>
      </w:pPr>
    </w:p>
    <w:p w:rsidR="002E0E94" w:rsidRPr="00E260B7" w:rsidRDefault="002E0E94" w:rsidP="002E0E94">
      <w:pPr>
        <w:autoSpaceDE w:val="0"/>
        <w:autoSpaceDN w:val="0"/>
        <w:adjustRightInd w:val="0"/>
        <w:spacing w:line="276" w:lineRule="auto"/>
        <w:ind w:left="705" w:hanging="705"/>
        <w:jc w:val="both"/>
        <w:rPr>
          <w:rFonts w:ascii="Palatino Linotype" w:eastAsiaTheme="minorHAnsi" w:hAnsi="Palatino Linotype"/>
          <w:i/>
          <w:iCs/>
          <w:sz w:val="22"/>
          <w:szCs w:val="22"/>
          <w:lang w:eastAsia="en-US"/>
        </w:rPr>
      </w:pPr>
      <w:r w:rsidRPr="00E260B7">
        <w:rPr>
          <w:rFonts w:ascii="Palatino Linotype" w:eastAsiaTheme="minorHAnsi" w:hAnsi="Palatino Linotype"/>
          <w:b/>
          <w:bCs/>
          <w:sz w:val="22"/>
          <w:szCs w:val="22"/>
          <w:lang w:eastAsia="en-US"/>
        </w:rPr>
        <w:t>Que</w:t>
      </w:r>
      <w:r w:rsidRPr="00E260B7">
        <w:rPr>
          <w:rFonts w:ascii="Palatino Linotype" w:eastAsiaTheme="minorHAnsi" w:hAnsi="Palatino Linotype"/>
          <w:sz w:val="22"/>
          <w:szCs w:val="22"/>
          <w:lang w:eastAsia="en-US"/>
        </w:rPr>
        <w:t xml:space="preserve">, </w:t>
      </w:r>
      <w:r w:rsidRPr="00E260B7">
        <w:rPr>
          <w:rFonts w:ascii="Palatino Linotype" w:eastAsiaTheme="minorHAnsi" w:hAnsi="Palatino Linotype"/>
          <w:sz w:val="22"/>
          <w:szCs w:val="22"/>
          <w:lang w:eastAsia="en-US"/>
        </w:rPr>
        <w:tab/>
        <w:t xml:space="preserve"> el artículo 240 de la Constitución de República del Ecuador, en adelante Constitución, establece: “</w:t>
      </w:r>
      <w:r w:rsidRPr="00E260B7">
        <w:rPr>
          <w:rFonts w:ascii="Palatino Linotype" w:eastAsiaTheme="minorHAnsi" w:hAnsi="Palatino Linotype"/>
          <w:i/>
          <w:iCs/>
          <w:sz w:val="22"/>
          <w:szCs w:val="22"/>
          <w:lang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2E0E94" w:rsidRPr="00E260B7" w:rsidRDefault="002E0E94" w:rsidP="002E0E94">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2E0E94" w:rsidRPr="00E260B7" w:rsidRDefault="002E0E94" w:rsidP="002E0E94">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260B7">
        <w:rPr>
          <w:rFonts w:ascii="Palatino Linotype" w:eastAsiaTheme="minorHAnsi" w:hAnsi="Palatino Linotype"/>
          <w:b/>
          <w:sz w:val="22"/>
          <w:szCs w:val="22"/>
          <w:lang w:eastAsia="en-US"/>
        </w:rPr>
        <w:t>Que,</w:t>
      </w:r>
      <w:r w:rsidRPr="00E260B7">
        <w:rPr>
          <w:rFonts w:ascii="Palatino Linotype" w:eastAsiaTheme="minorHAnsi" w:hAnsi="Palatino Linotype"/>
          <w:sz w:val="22"/>
          <w:szCs w:val="22"/>
          <w:lang w:eastAsia="en-US"/>
        </w:rPr>
        <w:t xml:space="preserve"> </w:t>
      </w:r>
      <w:r w:rsidRPr="00E260B7">
        <w:rPr>
          <w:rFonts w:ascii="Palatino Linotype" w:eastAsiaTheme="minorHAnsi" w:hAnsi="Palatino Linotype"/>
          <w:sz w:val="22"/>
          <w:szCs w:val="22"/>
          <w:lang w:eastAsia="en-US"/>
        </w:rPr>
        <w:tab/>
        <w:t xml:space="preserve">la Constitución de la República del Ecuador en su artículo 266, determina: </w:t>
      </w:r>
      <w:r w:rsidRPr="00E260B7">
        <w:rPr>
          <w:rFonts w:ascii="Palatino Linotype" w:eastAsiaTheme="minorHAnsi" w:hAnsi="Palatino Linotype"/>
          <w:i/>
          <w:sz w:val="22"/>
          <w:szCs w:val="22"/>
          <w:lang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260B7">
        <w:rPr>
          <w:rFonts w:ascii="Palatino Linotype" w:eastAsiaTheme="minorHAnsi" w:hAnsi="Palatino Linotype"/>
          <w:sz w:val="22"/>
          <w:szCs w:val="22"/>
          <w:lang w:eastAsia="en-US"/>
        </w:rPr>
        <w:t>;</w:t>
      </w:r>
    </w:p>
    <w:p w:rsidR="002E0E94" w:rsidRPr="00E260B7" w:rsidRDefault="002E0E94" w:rsidP="002E0E94">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2E0E94" w:rsidRPr="00E260B7" w:rsidRDefault="002E0E94" w:rsidP="002E0E94">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260B7">
        <w:rPr>
          <w:rFonts w:ascii="Palatino Linotype" w:eastAsiaTheme="minorHAnsi" w:hAnsi="Palatino Linotype"/>
          <w:b/>
          <w:bCs/>
          <w:sz w:val="22"/>
          <w:szCs w:val="22"/>
          <w:lang w:eastAsia="en-US"/>
        </w:rPr>
        <w:t>Que,</w:t>
      </w:r>
      <w:r w:rsidRPr="00E260B7">
        <w:rPr>
          <w:rFonts w:ascii="Palatino Linotype" w:eastAsiaTheme="minorHAnsi" w:hAnsi="Palatino Linotype"/>
          <w:sz w:val="22"/>
          <w:szCs w:val="22"/>
          <w:lang w:eastAsia="en-US"/>
        </w:rPr>
        <w:t xml:space="preserve"> </w:t>
      </w:r>
      <w:r w:rsidRPr="00E260B7">
        <w:rPr>
          <w:rFonts w:ascii="Palatino Linotype" w:eastAsiaTheme="minorHAnsi" w:hAnsi="Palatino Linotype"/>
          <w:sz w:val="22"/>
          <w:szCs w:val="22"/>
          <w:lang w:eastAsia="en-US"/>
        </w:rPr>
        <w:tab/>
        <w:t xml:space="preserve">el literal c) del artículo 84, del Código Orgánico de Organización Territorial, Autonomía y Descentralización, en adelante COOTAD, manifiesta: </w:t>
      </w:r>
      <w:r w:rsidRPr="00E260B7">
        <w:rPr>
          <w:rFonts w:ascii="Palatino Linotype" w:eastAsiaTheme="minorHAnsi" w:hAnsi="Palatino Linotype"/>
          <w:i/>
          <w:sz w:val="22"/>
          <w:szCs w:val="22"/>
          <w:lang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2E0E94" w:rsidRPr="00E260B7" w:rsidRDefault="002E0E94" w:rsidP="002E0E94">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2E0E94" w:rsidRPr="00E260B7" w:rsidRDefault="002E0E94" w:rsidP="002E0E94">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260B7">
        <w:rPr>
          <w:rFonts w:ascii="Palatino Linotype" w:eastAsiaTheme="minorHAnsi" w:hAnsi="Palatino Linotype"/>
          <w:b/>
          <w:sz w:val="22"/>
          <w:szCs w:val="22"/>
          <w:lang w:eastAsia="en-US"/>
        </w:rPr>
        <w:t>Que,</w:t>
      </w:r>
      <w:r w:rsidRPr="00E260B7">
        <w:rPr>
          <w:rFonts w:ascii="Palatino Linotype" w:eastAsiaTheme="minorHAnsi" w:hAnsi="Palatino Linotype"/>
          <w:sz w:val="22"/>
          <w:szCs w:val="22"/>
          <w:lang w:eastAsia="en-US"/>
        </w:rPr>
        <w:t xml:space="preserve"> </w:t>
      </w:r>
      <w:r w:rsidRPr="00E260B7">
        <w:rPr>
          <w:rFonts w:ascii="Palatino Linotype" w:eastAsiaTheme="minorHAnsi" w:hAnsi="Palatino Linotype"/>
          <w:sz w:val="22"/>
          <w:szCs w:val="22"/>
          <w:lang w:eastAsia="en-US"/>
        </w:rPr>
        <w:tab/>
        <w:t>el artículo 87 del Código Orgánico de Organización Territorial Autonomía y Descentralización, en adelante, “COOTAD”, establecen como atribuciones del Concejo Metropolitano: “</w:t>
      </w:r>
      <w:r w:rsidRPr="00E260B7">
        <w:rPr>
          <w:rFonts w:ascii="Palatino Linotype" w:eastAsiaTheme="minorHAnsi" w:hAnsi="Palatino Linotype"/>
          <w:i/>
          <w:sz w:val="22"/>
          <w:szCs w:val="22"/>
          <w:lang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y) Regular y controlar el uso del suelo en el territorio del distrito metropolitano, de conformidad con las leyes sobre la materia, y establecer el régimen urbanístico de la tierra;”;</w:t>
      </w:r>
    </w:p>
    <w:p w:rsidR="002E0E94" w:rsidRPr="00E260B7" w:rsidRDefault="002E0E94" w:rsidP="002E0E94">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2E0E94" w:rsidRPr="00E260B7" w:rsidRDefault="002E0E94" w:rsidP="002E0E94">
      <w:pPr>
        <w:autoSpaceDE w:val="0"/>
        <w:autoSpaceDN w:val="0"/>
        <w:adjustRightInd w:val="0"/>
        <w:spacing w:line="276" w:lineRule="auto"/>
        <w:ind w:left="709" w:hanging="709"/>
        <w:jc w:val="both"/>
        <w:rPr>
          <w:rFonts w:ascii="Palatino Linotype" w:eastAsiaTheme="minorHAnsi" w:hAnsi="Palatino Linotype"/>
          <w:i/>
          <w:iCs/>
          <w:sz w:val="22"/>
          <w:szCs w:val="22"/>
          <w:lang w:eastAsia="en-US"/>
        </w:rPr>
      </w:pPr>
      <w:r w:rsidRPr="00E260B7">
        <w:rPr>
          <w:rFonts w:ascii="Palatino Linotype" w:eastAsiaTheme="minorHAnsi" w:hAnsi="Palatino Linotype"/>
          <w:sz w:val="22"/>
          <w:szCs w:val="22"/>
          <w:lang w:eastAsia="en-US"/>
        </w:rPr>
        <w:t xml:space="preserve">Que, </w:t>
      </w:r>
      <w:r w:rsidRPr="00E260B7">
        <w:rPr>
          <w:rFonts w:ascii="Palatino Linotype" w:eastAsiaTheme="minorHAnsi" w:hAnsi="Palatino Linotype"/>
          <w:sz w:val="22"/>
          <w:szCs w:val="22"/>
          <w:lang w:eastAsia="en-US"/>
        </w:rPr>
        <w:tab/>
        <w:t>el artículo 323 del COOTAD, establece: “</w:t>
      </w:r>
      <w:r w:rsidRPr="00E260B7">
        <w:rPr>
          <w:rFonts w:ascii="Palatino Linotype" w:eastAsiaTheme="minorHAnsi" w:hAnsi="Palatino Linotype"/>
          <w:i/>
          <w:iCs/>
          <w:sz w:val="22"/>
          <w:szCs w:val="22"/>
          <w:lang w:eastAsia="en-US"/>
        </w:rPr>
        <w:t xml:space="preserve">Aprobación de otros actos normativos.- El órgano normativo del respectivo gobierno autónomo descentralizado podrá expedir además, acuerdos y resoluciones sobre temas que tengan carácter especial o específico, los que serán </w:t>
      </w:r>
      <w:r w:rsidRPr="00E260B7">
        <w:rPr>
          <w:rFonts w:ascii="Palatino Linotype" w:eastAsiaTheme="minorHAnsi" w:hAnsi="Palatino Linotype"/>
          <w:i/>
          <w:iCs/>
          <w:sz w:val="22"/>
          <w:szCs w:val="22"/>
          <w:lang w:eastAsia="en-US"/>
        </w:rPr>
        <w:lastRenderedPageBreak/>
        <w:t>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2E0E94" w:rsidRPr="00E260B7" w:rsidRDefault="002E0E94" w:rsidP="002E0E94">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2E0E94" w:rsidRPr="00E260B7" w:rsidRDefault="002E0E94" w:rsidP="002E0E94">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260B7">
        <w:rPr>
          <w:rFonts w:ascii="Palatino Linotype" w:eastAsiaTheme="minorHAnsi" w:hAnsi="Palatino Linotype"/>
          <w:b/>
          <w:sz w:val="22"/>
          <w:szCs w:val="22"/>
          <w:lang w:eastAsia="en-US"/>
        </w:rPr>
        <w:t>Que,</w:t>
      </w:r>
      <w:r w:rsidRPr="00E260B7">
        <w:rPr>
          <w:rFonts w:ascii="Palatino Linotype" w:eastAsiaTheme="minorHAnsi" w:hAnsi="Palatino Linotype"/>
          <w:sz w:val="22"/>
          <w:szCs w:val="22"/>
          <w:lang w:eastAsia="en-US"/>
        </w:rPr>
        <w:t xml:space="preserve"> </w:t>
      </w:r>
      <w:r w:rsidRPr="00E260B7">
        <w:rPr>
          <w:rFonts w:ascii="Palatino Linotype" w:eastAsiaTheme="minorHAnsi" w:hAnsi="Palatino Linotype"/>
          <w:sz w:val="22"/>
          <w:szCs w:val="22"/>
          <w:lang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2E0E94" w:rsidRPr="00E260B7" w:rsidRDefault="002E0E94" w:rsidP="002E0E94">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2E0E94" w:rsidRPr="00E260B7" w:rsidRDefault="002E0E94" w:rsidP="002E0E94">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260B7">
        <w:rPr>
          <w:rFonts w:ascii="Palatino Linotype" w:eastAsiaTheme="minorHAnsi" w:hAnsi="Palatino Linotype"/>
          <w:b/>
          <w:sz w:val="22"/>
          <w:szCs w:val="22"/>
          <w:lang w:eastAsia="en-US"/>
        </w:rPr>
        <w:t>Que,</w:t>
      </w:r>
      <w:r w:rsidRPr="00E260B7">
        <w:rPr>
          <w:rFonts w:ascii="Palatino Linotype" w:eastAsiaTheme="minorHAnsi" w:hAnsi="Palatino Linotype"/>
          <w:sz w:val="22"/>
          <w:szCs w:val="22"/>
          <w:lang w:eastAsia="en-US"/>
        </w:rPr>
        <w:t xml:space="preserve"> </w:t>
      </w:r>
      <w:r w:rsidRPr="00E260B7">
        <w:rPr>
          <w:rFonts w:ascii="Palatino Linotype" w:eastAsiaTheme="minorHAnsi" w:hAnsi="Palatino Linotype"/>
          <w:sz w:val="22"/>
          <w:szCs w:val="22"/>
          <w:lang w:eastAsia="en-US"/>
        </w:rPr>
        <w:tab/>
        <w:t xml:space="preserve">el artículo 424 del COOTAD, señala: </w:t>
      </w:r>
      <w:r w:rsidRPr="00E260B7">
        <w:rPr>
          <w:rFonts w:ascii="Palatino Linotype" w:eastAsiaTheme="minorHAnsi" w:hAnsi="Palatino Linotype"/>
          <w:i/>
          <w:sz w:val="22"/>
          <w:szCs w:val="22"/>
          <w:lang w:eastAsia="en-US"/>
        </w:rPr>
        <w:t xml:space="preserve">“Área verde, comunitaria y vías. -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 </w:t>
      </w:r>
    </w:p>
    <w:p w:rsidR="002E0E94" w:rsidRPr="00E260B7" w:rsidRDefault="002E0E94" w:rsidP="002E0E94">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p>
    <w:p w:rsidR="002E0E94" w:rsidRPr="00E260B7" w:rsidRDefault="002E0E94" w:rsidP="002E0E94">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260B7">
        <w:rPr>
          <w:rFonts w:ascii="Palatino Linotype" w:eastAsiaTheme="minorHAnsi" w:hAnsi="Palatino Linotype"/>
          <w:b/>
          <w:sz w:val="22"/>
          <w:szCs w:val="22"/>
          <w:lang w:eastAsia="en-US"/>
        </w:rPr>
        <w:t>Que,</w:t>
      </w:r>
      <w:r w:rsidRPr="00E260B7">
        <w:rPr>
          <w:rFonts w:ascii="Palatino Linotype" w:eastAsiaTheme="minorHAnsi" w:hAnsi="Palatino Linotype"/>
          <w:b/>
          <w:sz w:val="22"/>
          <w:szCs w:val="22"/>
          <w:lang w:eastAsia="en-US"/>
        </w:rPr>
        <w:tab/>
      </w:r>
      <w:r w:rsidRPr="00E260B7">
        <w:rPr>
          <w:rFonts w:ascii="Palatino Linotype" w:eastAsiaTheme="minorHAnsi" w:hAnsi="Palatino Linotype"/>
          <w:sz w:val="22"/>
          <w:szCs w:val="22"/>
          <w:lang w:eastAsia="en-US"/>
        </w:rPr>
        <w:t xml:space="preserve">el artículo 472 del COOTAD, señala que: </w:t>
      </w:r>
      <w:r w:rsidRPr="00E260B7">
        <w:rPr>
          <w:rFonts w:ascii="Palatino Linotype" w:eastAsiaTheme="minorHAnsi" w:hAnsi="Palatino Linotype"/>
          <w:i/>
          <w:sz w:val="22"/>
          <w:szCs w:val="22"/>
          <w:lang w:eastAsia="en-US"/>
        </w:rPr>
        <w:t>“Para la fijación de las superficies mínimas en los fraccionamientos urbanos se atenderá a las normas que al efecto contenga el plan de ordenamiento territorial. Los notarios y los registradores de la propiedad, para la suscripción e inscripción de una escritura de fraccionamiento respectivamente, exigirán la autorización del ejecutivo de este nivel de gobierno, concedida para el fraccionamiento de los terrenos”</w:t>
      </w:r>
      <w:r w:rsidRPr="00E260B7">
        <w:rPr>
          <w:rFonts w:ascii="Palatino Linotype" w:eastAsiaTheme="minorHAnsi" w:hAnsi="Palatino Linotype"/>
          <w:sz w:val="22"/>
          <w:szCs w:val="22"/>
          <w:lang w:eastAsia="en-US"/>
        </w:rPr>
        <w:t>;</w:t>
      </w:r>
    </w:p>
    <w:p w:rsidR="002E0E94" w:rsidRPr="00E260B7" w:rsidRDefault="002E0E94" w:rsidP="002E0E94">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2E0E94" w:rsidRPr="00E260B7" w:rsidRDefault="002E0E94" w:rsidP="002E0E94">
      <w:pPr>
        <w:autoSpaceDE w:val="0"/>
        <w:autoSpaceDN w:val="0"/>
        <w:adjustRightInd w:val="0"/>
        <w:spacing w:line="276" w:lineRule="auto"/>
        <w:ind w:left="709" w:hanging="709"/>
        <w:jc w:val="both"/>
        <w:rPr>
          <w:rFonts w:ascii="Palatino Linotype" w:eastAsiaTheme="minorHAnsi" w:hAnsi="Palatino Linotype"/>
          <w:i/>
          <w:sz w:val="22"/>
          <w:szCs w:val="22"/>
          <w:lang w:eastAsia="en-US"/>
        </w:rPr>
      </w:pPr>
      <w:r w:rsidRPr="00E260B7">
        <w:rPr>
          <w:rFonts w:ascii="Palatino Linotype" w:eastAsiaTheme="minorHAnsi" w:hAnsi="Palatino Linotype"/>
          <w:b/>
          <w:sz w:val="22"/>
          <w:szCs w:val="22"/>
          <w:lang w:eastAsia="en-US"/>
        </w:rPr>
        <w:t>Que,</w:t>
      </w:r>
      <w:r w:rsidRPr="00E260B7">
        <w:rPr>
          <w:rFonts w:ascii="Palatino Linotype" w:eastAsiaTheme="minorHAnsi" w:hAnsi="Palatino Linotype"/>
          <w:sz w:val="22"/>
          <w:szCs w:val="22"/>
          <w:lang w:eastAsia="en-US"/>
        </w:rPr>
        <w:t xml:space="preserve"> </w:t>
      </w:r>
      <w:r w:rsidRPr="00E260B7">
        <w:rPr>
          <w:rFonts w:ascii="Palatino Linotype" w:eastAsiaTheme="minorHAnsi" w:hAnsi="Palatino Linotype"/>
          <w:sz w:val="22"/>
          <w:szCs w:val="22"/>
          <w:lang w:eastAsia="en-US"/>
        </w:rPr>
        <w:tab/>
        <w:t xml:space="preserve">el artículo 2410 del el Código Civil Ecuatoriano, determina que: </w:t>
      </w:r>
      <w:r w:rsidRPr="00E260B7">
        <w:rPr>
          <w:rFonts w:ascii="Palatino Linotype" w:eastAsiaTheme="minorHAnsi" w:hAnsi="Palatino Linotype"/>
          <w:i/>
          <w:sz w:val="22"/>
          <w:szCs w:val="22"/>
          <w:lang w:eastAsia="en-US"/>
        </w:rPr>
        <w:t xml:space="preserve">“Dominio de las cosas comerciales que no ha sido adquirido por la prescripción ordinaria, puede serlo por la extraordinaria, bajo las reglas que van a expresarse: 1. Cabe la prescripción extraordinaria contra título inscrito; 2. Para la prescripción extraordinaria no es necesario título alguno; basta la posesión material en los términos del Art. 715; 3. Se presume en ella de derecho la buena fe, sin embargo de la falta de un título adquisitivo de dominio…”; </w:t>
      </w:r>
    </w:p>
    <w:p w:rsidR="002E0E94" w:rsidRPr="00E260B7" w:rsidRDefault="002E0E94" w:rsidP="002E0E94">
      <w:pPr>
        <w:autoSpaceDE w:val="0"/>
        <w:autoSpaceDN w:val="0"/>
        <w:adjustRightInd w:val="0"/>
        <w:spacing w:line="276" w:lineRule="auto"/>
        <w:jc w:val="both"/>
        <w:rPr>
          <w:rFonts w:ascii="Palatino Linotype" w:hAnsi="Palatino Linotype"/>
          <w:sz w:val="22"/>
          <w:szCs w:val="22"/>
        </w:rPr>
      </w:pPr>
    </w:p>
    <w:p w:rsidR="002E0E94" w:rsidRPr="00E260B7" w:rsidRDefault="002E0E94" w:rsidP="002E0E94">
      <w:pPr>
        <w:autoSpaceDE w:val="0"/>
        <w:autoSpaceDN w:val="0"/>
        <w:adjustRightInd w:val="0"/>
        <w:spacing w:line="276" w:lineRule="auto"/>
        <w:ind w:left="709" w:hanging="709"/>
        <w:jc w:val="both"/>
        <w:rPr>
          <w:rFonts w:ascii="Palatino Linotype" w:eastAsiaTheme="minorHAnsi" w:hAnsi="Palatino Linotype"/>
          <w:sz w:val="22"/>
          <w:szCs w:val="22"/>
          <w:lang w:eastAsia="en-US"/>
        </w:rPr>
      </w:pPr>
      <w:r w:rsidRPr="00E260B7">
        <w:rPr>
          <w:rFonts w:ascii="Palatino Linotype" w:eastAsiaTheme="minorHAnsi" w:hAnsi="Palatino Linotype"/>
          <w:b/>
          <w:sz w:val="22"/>
          <w:szCs w:val="22"/>
          <w:lang w:eastAsia="en-US"/>
        </w:rPr>
        <w:lastRenderedPageBreak/>
        <w:t>Que,</w:t>
      </w:r>
      <w:r w:rsidRPr="00E260B7">
        <w:rPr>
          <w:rFonts w:ascii="Palatino Linotype" w:eastAsiaTheme="minorHAnsi" w:hAnsi="Palatino Linotype"/>
          <w:sz w:val="22"/>
          <w:szCs w:val="22"/>
          <w:lang w:eastAsia="en-US"/>
        </w:rPr>
        <w:tab/>
        <w:t>el numeral 1, del artículo 2 de la Ley de Régimen para el Distrito Metropolitano de Quito, determina, como finalidad, que el Municipio del Distrito Metropolitano de Quito: “</w:t>
      </w:r>
      <w:r w:rsidRPr="00E260B7">
        <w:rPr>
          <w:rFonts w:ascii="Palatino Linotype" w:eastAsiaTheme="minorHAnsi" w:hAnsi="Palatino Linotype"/>
          <w:i/>
          <w:iCs/>
          <w:sz w:val="22"/>
          <w:szCs w:val="22"/>
          <w:lang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E260B7">
        <w:rPr>
          <w:rFonts w:ascii="Palatino Linotype" w:eastAsiaTheme="minorHAnsi" w:hAnsi="Palatino Linotype"/>
          <w:sz w:val="22"/>
          <w:szCs w:val="22"/>
          <w:lang w:eastAsia="en-US"/>
        </w:rPr>
        <w:t>;</w:t>
      </w:r>
    </w:p>
    <w:p w:rsidR="002E0E94" w:rsidRPr="00E260B7" w:rsidRDefault="002E0E94" w:rsidP="002E0E94">
      <w:pPr>
        <w:autoSpaceDE w:val="0"/>
        <w:autoSpaceDN w:val="0"/>
        <w:adjustRightInd w:val="0"/>
        <w:spacing w:line="276" w:lineRule="auto"/>
        <w:ind w:left="709" w:hanging="709"/>
        <w:jc w:val="both"/>
        <w:rPr>
          <w:rFonts w:ascii="Palatino Linotype" w:eastAsiaTheme="minorHAnsi" w:hAnsi="Palatino Linotype"/>
          <w:sz w:val="22"/>
          <w:szCs w:val="22"/>
          <w:lang w:eastAsia="en-US"/>
        </w:rPr>
      </w:pPr>
    </w:p>
    <w:p w:rsidR="002E0E94" w:rsidRPr="00E260B7" w:rsidRDefault="002E0E94" w:rsidP="002E0E94">
      <w:pPr>
        <w:autoSpaceDE w:val="0"/>
        <w:autoSpaceDN w:val="0"/>
        <w:adjustRightInd w:val="0"/>
        <w:spacing w:line="276" w:lineRule="auto"/>
        <w:ind w:left="709" w:hanging="709"/>
        <w:jc w:val="both"/>
        <w:rPr>
          <w:rFonts w:ascii="Palatino Linotype" w:hAnsi="Palatino Linotype"/>
          <w:sz w:val="22"/>
          <w:szCs w:val="22"/>
        </w:rPr>
      </w:pPr>
      <w:r w:rsidRPr="00E260B7">
        <w:rPr>
          <w:rFonts w:ascii="Palatino Linotype" w:eastAsiaTheme="minorHAnsi" w:hAnsi="Palatino Linotype"/>
          <w:b/>
          <w:sz w:val="22"/>
          <w:szCs w:val="22"/>
          <w:lang w:eastAsia="en-US"/>
        </w:rPr>
        <w:t>Que,</w:t>
      </w:r>
      <w:r w:rsidRPr="00E260B7">
        <w:rPr>
          <w:rFonts w:ascii="Palatino Linotype" w:eastAsiaTheme="minorHAnsi" w:hAnsi="Palatino Linotype"/>
          <w:sz w:val="22"/>
          <w:szCs w:val="22"/>
          <w:lang w:eastAsia="en-US"/>
        </w:rPr>
        <w:t xml:space="preserve"> </w:t>
      </w:r>
      <w:r w:rsidRPr="00E260B7">
        <w:rPr>
          <w:rFonts w:ascii="Palatino Linotype" w:eastAsiaTheme="minorHAnsi" w:hAnsi="Palatino Linotype"/>
          <w:sz w:val="22"/>
          <w:szCs w:val="22"/>
          <w:lang w:eastAsia="en-US"/>
        </w:rPr>
        <w:tab/>
        <w:t xml:space="preserve">el Código Municipal para el Distrito Metropolitano de Quito, en adelante Código Municipal, en su artículo 2556, establece: </w:t>
      </w:r>
      <w:r w:rsidRPr="00E260B7">
        <w:rPr>
          <w:rFonts w:ascii="Palatino Linotype" w:eastAsiaTheme="minorHAnsi" w:hAnsi="Palatino Linotype"/>
          <w:i/>
          <w:sz w:val="22"/>
          <w:szCs w:val="22"/>
          <w:lang w:eastAsia="en-US"/>
        </w:rPr>
        <w:t>“</w:t>
      </w:r>
      <w:r w:rsidRPr="00E260B7">
        <w:rPr>
          <w:rFonts w:ascii="Palatino Linotype" w:hAnsi="Palatino Linotype"/>
          <w:i/>
          <w:sz w:val="22"/>
          <w:szCs w:val="22"/>
        </w:rPr>
        <w:t xml:space="preserve">(…) </w:t>
      </w:r>
      <w:r w:rsidRPr="00E260B7">
        <w:rPr>
          <w:rFonts w:ascii="Palatino Linotype" w:hAnsi="Palatino Linotype"/>
          <w:i/>
          <w:sz w:val="22"/>
          <w:szCs w:val="22"/>
          <w:lang w:val="es-ES_tradnl"/>
        </w:rPr>
        <w:t>Los proyectos de subdivisión tienen por finalidad dividir y habilitar lotes, conforme el aprovechamiento urbanístico establecido en el Plan de Uso y Gestión del Suelo y planes urbanísticos complementarios. En todos los casos deberá observarse el lote mínimo establecido en la normativa vigente (…)”</w:t>
      </w:r>
      <w:r w:rsidRPr="00E260B7">
        <w:rPr>
          <w:rFonts w:ascii="Palatino Linotype" w:hAnsi="Palatino Linotype"/>
          <w:sz w:val="22"/>
          <w:szCs w:val="22"/>
        </w:rPr>
        <w:t xml:space="preserve">; </w:t>
      </w:r>
    </w:p>
    <w:p w:rsidR="002E0E94" w:rsidRPr="00E260B7" w:rsidRDefault="002E0E94" w:rsidP="002E0E94">
      <w:pPr>
        <w:autoSpaceDE w:val="0"/>
        <w:autoSpaceDN w:val="0"/>
        <w:adjustRightInd w:val="0"/>
        <w:spacing w:line="276" w:lineRule="auto"/>
        <w:ind w:left="709" w:hanging="709"/>
        <w:jc w:val="both"/>
        <w:rPr>
          <w:rFonts w:ascii="Palatino Linotype" w:eastAsiaTheme="minorHAnsi" w:hAnsi="Palatino Linotype"/>
          <w:b/>
          <w:sz w:val="22"/>
          <w:szCs w:val="22"/>
          <w:lang w:eastAsia="en-US"/>
        </w:rPr>
      </w:pPr>
    </w:p>
    <w:p w:rsidR="002E0E94" w:rsidRPr="00E260B7" w:rsidRDefault="002E0E94" w:rsidP="002E0E94">
      <w:pPr>
        <w:pStyle w:val="Default"/>
        <w:ind w:left="708" w:hanging="708"/>
        <w:jc w:val="both"/>
        <w:rPr>
          <w:rFonts w:cs="Times New Roman"/>
          <w:i/>
          <w:sz w:val="22"/>
          <w:szCs w:val="22"/>
          <w:lang w:val="es-ES_tradnl"/>
        </w:rPr>
      </w:pPr>
      <w:r w:rsidRPr="00E260B7">
        <w:rPr>
          <w:rFonts w:cs="Times New Roman"/>
          <w:b/>
          <w:sz w:val="22"/>
          <w:szCs w:val="22"/>
        </w:rPr>
        <w:t>Que,</w:t>
      </w:r>
      <w:r w:rsidRPr="00E260B7">
        <w:rPr>
          <w:rFonts w:cs="Times New Roman"/>
          <w:sz w:val="22"/>
          <w:szCs w:val="22"/>
        </w:rPr>
        <w:t xml:space="preserve"> </w:t>
      </w:r>
      <w:r w:rsidRPr="00E260B7">
        <w:rPr>
          <w:rFonts w:cs="Times New Roman"/>
          <w:sz w:val="22"/>
          <w:szCs w:val="22"/>
        </w:rPr>
        <w:tab/>
        <w:t>el Código Municipal en su artículo 2567, establece: “</w:t>
      </w:r>
      <w:r w:rsidRPr="004E1FB5">
        <w:rPr>
          <w:rFonts w:cs="Times New Roman"/>
          <w:b/>
          <w:i/>
          <w:sz w:val="22"/>
          <w:szCs w:val="22"/>
          <w:lang w:val="es-ES_tradnl"/>
        </w:rPr>
        <w:t>Compensac</w:t>
      </w:r>
      <w:r w:rsidRPr="00E260B7">
        <w:rPr>
          <w:rFonts w:cs="Times New Roman"/>
          <w:b/>
          <w:i/>
          <w:sz w:val="22"/>
          <w:szCs w:val="22"/>
          <w:lang w:val="es-ES_tradnl"/>
        </w:rPr>
        <w:t xml:space="preserve">ión para áreas verdes, áreas comunitarias en particiones judiciales.- </w:t>
      </w:r>
      <w:r w:rsidRPr="00E260B7">
        <w:rPr>
          <w:rFonts w:cs="Times New Roman"/>
          <w:i/>
          <w:sz w:val="22"/>
          <w:szCs w:val="22"/>
          <w:lang w:val="es-ES_tradnl"/>
        </w:rPr>
        <w:t xml:space="preserve">En Particiones judiciales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w:t>
      </w:r>
    </w:p>
    <w:p w:rsidR="002E0E94" w:rsidRPr="00E260B7" w:rsidRDefault="002E0E94" w:rsidP="002E0E94">
      <w:pPr>
        <w:pStyle w:val="Default"/>
        <w:ind w:left="708"/>
        <w:jc w:val="both"/>
        <w:rPr>
          <w:rFonts w:cs="Times New Roman"/>
          <w:sz w:val="22"/>
          <w:szCs w:val="22"/>
          <w:lang w:val="es-ES_tradnl"/>
        </w:rPr>
      </w:pPr>
    </w:p>
    <w:p w:rsidR="002E0E94" w:rsidRPr="00E260B7" w:rsidRDefault="002E0E94" w:rsidP="002E0E94">
      <w:pPr>
        <w:pStyle w:val="Default"/>
        <w:ind w:left="708"/>
        <w:jc w:val="both"/>
        <w:rPr>
          <w:rFonts w:cs="Times New Roman"/>
          <w:i/>
          <w:sz w:val="22"/>
          <w:szCs w:val="22"/>
          <w:lang w:val="es-ES_tradnl"/>
        </w:rPr>
      </w:pPr>
      <w:r w:rsidRPr="00E260B7">
        <w:rPr>
          <w:rFonts w:cs="Times New Roman"/>
          <w:i/>
          <w:sz w:val="22"/>
          <w:szCs w:val="22"/>
          <w:lang w:val="es-ES_tradnl"/>
        </w:rPr>
        <w:t>En el caso de la sentencia ejecutoriada dictada dentro del juicio de prescripción extraordinaria adquisitiva de dominio, de una parte de un lote que obliga a un fraccionamiento, se deberá calcular el aporte del 15% del área útil adquirida mediante sentencia.</w:t>
      </w:r>
    </w:p>
    <w:p w:rsidR="002E0E94" w:rsidRPr="00E260B7" w:rsidRDefault="002E0E94" w:rsidP="002E0E94">
      <w:pPr>
        <w:pStyle w:val="Default"/>
        <w:ind w:left="708"/>
        <w:jc w:val="both"/>
        <w:rPr>
          <w:rFonts w:cs="Times New Roman"/>
          <w:i/>
          <w:sz w:val="22"/>
          <w:szCs w:val="22"/>
          <w:lang w:val="es-ES_tradnl"/>
        </w:rPr>
      </w:pPr>
    </w:p>
    <w:p w:rsidR="002E0E94" w:rsidRPr="00E260B7" w:rsidRDefault="002E0E94" w:rsidP="002E0E94">
      <w:pPr>
        <w:pStyle w:val="Default"/>
        <w:ind w:left="708"/>
        <w:jc w:val="both"/>
        <w:rPr>
          <w:rFonts w:cs="Times New Roman"/>
          <w:i/>
          <w:sz w:val="22"/>
          <w:szCs w:val="22"/>
          <w:lang w:val="es-ES_tradnl"/>
        </w:rPr>
      </w:pPr>
      <w:r w:rsidRPr="00E260B7">
        <w:rPr>
          <w:rFonts w:cs="Times New Roman"/>
          <w:i/>
          <w:sz w:val="22"/>
          <w:szCs w:val="22"/>
          <w:lang w:val="es-ES_tradnl"/>
        </w:rPr>
        <w:t>Si el área de la sentencia es inferior a 3000.00 m2</w:t>
      </w:r>
      <w:r w:rsidRPr="004E1FB5">
        <w:rPr>
          <w:rFonts w:cs="Times New Roman"/>
          <w:i/>
          <w:sz w:val="22"/>
          <w:szCs w:val="22"/>
          <w:lang w:val="es-ES_tradnl"/>
        </w:rPr>
        <w:t xml:space="preserve">, la contribución del 15% del área </w:t>
      </w:r>
      <w:r w:rsidRPr="00E260B7">
        <w:rPr>
          <w:rFonts w:cs="Times New Roman"/>
          <w:i/>
          <w:sz w:val="22"/>
          <w:szCs w:val="22"/>
          <w:lang w:val="es-ES_tradnl"/>
        </w:rPr>
        <w:t>útil urbanizable adjudicada se compensará en valor monetario según el avalúo catastral actualizado, cuando sea menor al lote mínimo asignado en la edificabilidad vigente”;</w:t>
      </w:r>
    </w:p>
    <w:p w:rsidR="002E0E94" w:rsidRPr="00E260B7" w:rsidRDefault="002E0E94" w:rsidP="002E0E94">
      <w:pPr>
        <w:autoSpaceDE w:val="0"/>
        <w:autoSpaceDN w:val="0"/>
        <w:adjustRightInd w:val="0"/>
        <w:spacing w:line="276" w:lineRule="auto"/>
        <w:ind w:left="709" w:hanging="709"/>
        <w:jc w:val="both"/>
        <w:rPr>
          <w:rFonts w:ascii="Palatino Linotype" w:eastAsiaTheme="minorHAnsi" w:hAnsi="Palatino Linotype"/>
          <w:sz w:val="22"/>
          <w:szCs w:val="22"/>
          <w:highlight w:val="yellow"/>
          <w:lang w:eastAsia="en-US"/>
        </w:rPr>
      </w:pPr>
    </w:p>
    <w:p w:rsidR="002E0E94" w:rsidRPr="00E260B7" w:rsidRDefault="002E0E94" w:rsidP="002E0E94">
      <w:pPr>
        <w:autoSpaceDE w:val="0"/>
        <w:autoSpaceDN w:val="0"/>
        <w:adjustRightInd w:val="0"/>
        <w:spacing w:line="276" w:lineRule="auto"/>
        <w:ind w:left="709" w:hanging="709"/>
        <w:jc w:val="both"/>
        <w:rPr>
          <w:rFonts w:ascii="Palatino Linotype" w:eastAsiaTheme="minorHAnsi" w:hAnsi="Palatino Linotype"/>
          <w:sz w:val="22"/>
          <w:szCs w:val="22"/>
          <w:highlight w:val="yellow"/>
          <w:lang w:eastAsia="en-US"/>
        </w:rPr>
      </w:pPr>
    </w:p>
    <w:p w:rsidR="002E0E94" w:rsidRPr="00E260B7" w:rsidRDefault="002E0E94" w:rsidP="002E0E94">
      <w:pPr>
        <w:autoSpaceDE w:val="0"/>
        <w:autoSpaceDN w:val="0"/>
        <w:adjustRightInd w:val="0"/>
        <w:ind w:left="708" w:hanging="708"/>
        <w:jc w:val="both"/>
        <w:rPr>
          <w:rFonts w:ascii="Palatino Linotype" w:eastAsiaTheme="minorHAnsi" w:hAnsi="Palatino Linotype"/>
          <w:sz w:val="22"/>
          <w:szCs w:val="22"/>
          <w:lang w:eastAsia="en-US"/>
        </w:rPr>
      </w:pPr>
      <w:r w:rsidRPr="00E260B7">
        <w:rPr>
          <w:rFonts w:ascii="Palatino Linotype" w:eastAsiaTheme="minorHAnsi" w:hAnsi="Palatino Linotype"/>
          <w:b/>
          <w:sz w:val="22"/>
          <w:szCs w:val="22"/>
          <w:lang w:eastAsia="en-US"/>
        </w:rPr>
        <w:t>Que,</w:t>
      </w:r>
      <w:r w:rsidRPr="00E260B7">
        <w:rPr>
          <w:rFonts w:ascii="Palatino Linotype" w:eastAsiaTheme="minorHAnsi" w:hAnsi="Palatino Linotype"/>
          <w:sz w:val="22"/>
          <w:szCs w:val="22"/>
          <w:lang w:eastAsia="en-US"/>
        </w:rPr>
        <w:t xml:space="preserve"> mediante oficio Nro.</w:t>
      </w:r>
      <w:r w:rsidRPr="00E260B7">
        <w:rPr>
          <w:rFonts w:ascii="Palatino Linotype" w:hAnsi="Palatino Linotype"/>
          <w:sz w:val="22"/>
          <w:szCs w:val="22"/>
        </w:rPr>
        <w:t xml:space="preserve"> 2950-2010 de 31 de octubre de 2011</w:t>
      </w:r>
      <w:r w:rsidRPr="00E260B7">
        <w:rPr>
          <w:rFonts w:ascii="Palatino Linotype" w:eastAsiaTheme="minorHAnsi" w:hAnsi="Palatino Linotype"/>
          <w:sz w:val="22"/>
          <w:szCs w:val="22"/>
          <w:lang w:eastAsia="en-US"/>
        </w:rPr>
        <w:t xml:space="preserve"> la Procuraduría Metropolitana emitió un </w:t>
      </w:r>
      <w:r w:rsidRPr="00E260B7">
        <w:rPr>
          <w:rFonts w:ascii="Palatino Linotype" w:hAnsi="Palatino Linotype"/>
          <w:sz w:val="22"/>
          <w:szCs w:val="22"/>
        </w:rPr>
        <w:t xml:space="preserve">pronunciamiento en forma general, respecto al marco legal y operativo para todos los casos de </w:t>
      </w:r>
      <w:r w:rsidRPr="00E260B7">
        <w:rPr>
          <w:rFonts w:ascii="Palatino Linotype" w:eastAsiaTheme="minorHAnsi" w:hAnsi="Palatino Linotype"/>
          <w:sz w:val="22"/>
          <w:szCs w:val="22"/>
          <w:lang w:eastAsia="en-US"/>
        </w:rPr>
        <w:t xml:space="preserve">prescripción extraordinaria adquisitiva de dominio; </w:t>
      </w:r>
    </w:p>
    <w:p w:rsidR="002E0E94" w:rsidRPr="00E260B7" w:rsidRDefault="002E0E94" w:rsidP="002E0E94">
      <w:pPr>
        <w:autoSpaceDE w:val="0"/>
        <w:autoSpaceDN w:val="0"/>
        <w:adjustRightInd w:val="0"/>
        <w:ind w:left="708" w:hanging="708"/>
        <w:jc w:val="both"/>
        <w:rPr>
          <w:rFonts w:ascii="Palatino Linotype" w:eastAsiaTheme="minorHAnsi" w:hAnsi="Palatino Linotype"/>
          <w:b/>
          <w:sz w:val="22"/>
          <w:szCs w:val="22"/>
          <w:lang w:eastAsia="en-US"/>
        </w:rPr>
      </w:pPr>
    </w:p>
    <w:p w:rsidR="002E0E94" w:rsidRPr="00E260B7" w:rsidRDefault="002E0E94" w:rsidP="002E0E94">
      <w:pPr>
        <w:pStyle w:val="Default"/>
        <w:ind w:left="708" w:hanging="708"/>
        <w:jc w:val="both"/>
        <w:rPr>
          <w:rFonts w:cs="Times New Roman"/>
          <w:sz w:val="22"/>
          <w:szCs w:val="22"/>
        </w:rPr>
      </w:pPr>
      <w:r w:rsidRPr="00E260B7">
        <w:rPr>
          <w:rFonts w:cs="Times New Roman"/>
          <w:b/>
          <w:sz w:val="22"/>
          <w:szCs w:val="22"/>
        </w:rPr>
        <w:t>Que,</w:t>
      </w:r>
      <w:r w:rsidRPr="00E260B7">
        <w:rPr>
          <w:rFonts w:cs="Times New Roman"/>
          <w:sz w:val="22"/>
          <w:szCs w:val="22"/>
        </w:rPr>
        <w:t xml:space="preserve"> mediante oficio GADDMQ-PM-2021-0396-O de 29 de enero de 2021, el Dr. Edison Yépez Vinueza, Subprocurador Metropolitano, señala: </w:t>
      </w:r>
    </w:p>
    <w:p w:rsidR="002E0E94" w:rsidRPr="00E260B7" w:rsidRDefault="002E0E94" w:rsidP="002E0E94">
      <w:pPr>
        <w:tabs>
          <w:tab w:val="left" w:pos="426"/>
        </w:tabs>
        <w:ind w:left="1416" w:right="566"/>
        <w:jc w:val="both"/>
        <w:rPr>
          <w:rFonts w:ascii="Palatino Linotype" w:hAnsi="Palatino Linotype"/>
          <w:i/>
          <w:sz w:val="22"/>
          <w:szCs w:val="22"/>
        </w:rPr>
      </w:pPr>
    </w:p>
    <w:p w:rsidR="002E0E94" w:rsidRPr="00E260B7" w:rsidRDefault="002E0E94" w:rsidP="002E0E94">
      <w:pPr>
        <w:tabs>
          <w:tab w:val="left" w:pos="284"/>
        </w:tabs>
        <w:ind w:left="708"/>
        <w:jc w:val="both"/>
        <w:rPr>
          <w:rFonts w:ascii="Palatino Linotype" w:hAnsi="Palatino Linotype"/>
          <w:i/>
          <w:sz w:val="22"/>
          <w:szCs w:val="22"/>
        </w:rPr>
      </w:pPr>
      <w:r w:rsidRPr="00E260B7">
        <w:rPr>
          <w:rFonts w:ascii="Palatino Linotype" w:hAnsi="Palatino Linotype"/>
          <w:i/>
          <w:sz w:val="22"/>
          <w:szCs w:val="22"/>
        </w:rPr>
        <w:t xml:space="preserve">“(…) Mediante oficio No. 2950-2010 de 31 de octubre de 2011, la Procuraduría Metropolitana absuelve la consulta planteada por la Secretaría de Coordinación Territorial y </w:t>
      </w:r>
      <w:r w:rsidRPr="00E260B7">
        <w:rPr>
          <w:rFonts w:ascii="Palatino Linotype" w:hAnsi="Palatino Linotype"/>
          <w:i/>
          <w:sz w:val="22"/>
          <w:szCs w:val="22"/>
        </w:rPr>
        <w:lastRenderedPageBreak/>
        <w:t>Participación Ciudadana, para los casos de fraccionamiento producidos a causa de las sentencias dictadas en juicios de prescripción adquisitiva de dominio y se pronunció respecto del procedimiento a seguir para el cumplimiento y ejecución de dichas sentencias.</w:t>
      </w:r>
    </w:p>
    <w:p w:rsidR="002E0E94" w:rsidRPr="00E260B7" w:rsidRDefault="002E0E94" w:rsidP="002E0E94">
      <w:pPr>
        <w:tabs>
          <w:tab w:val="left" w:pos="284"/>
        </w:tabs>
        <w:ind w:left="708"/>
        <w:jc w:val="both"/>
        <w:rPr>
          <w:rFonts w:ascii="Palatino Linotype" w:hAnsi="Palatino Linotype"/>
          <w:i/>
          <w:sz w:val="22"/>
          <w:szCs w:val="22"/>
        </w:rPr>
      </w:pPr>
      <w:r w:rsidRPr="00E260B7">
        <w:rPr>
          <w:rFonts w:ascii="Palatino Linotype" w:hAnsi="Palatino Linotype"/>
          <w:i/>
          <w:sz w:val="22"/>
          <w:szCs w:val="22"/>
        </w:rPr>
        <w:t>En este sentido, corresponde a las Administraciones Zonales determinar en cada caso particular, la aplicación del criterio anteriormente señalado, para lo cual deberá tomar en cuenta en sujeción a la normativa vigente y por tratarse de un fraccionamiento, los parámetros de lote mínimo, frente mínimo y contribución o compensación de áreas verdes.</w:t>
      </w:r>
    </w:p>
    <w:p w:rsidR="002E0E94" w:rsidRPr="00E260B7" w:rsidRDefault="002E0E94" w:rsidP="002E0E94">
      <w:pPr>
        <w:tabs>
          <w:tab w:val="left" w:pos="284"/>
        </w:tabs>
        <w:ind w:left="708"/>
        <w:jc w:val="both"/>
        <w:rPr>
          <w:rFonts w:ascii="Palatino Linotype" w:hAnsi="Palatino Linotype"/>
          <w:i/>
          <w:sz w:val="22"/>
          <w:szCs w:val="22"/>
        </w:rPr>
      </w:pPr>
    </w:p>
    <w:p w:rsidR="002E0E94" w:rsidRPr="00E260B7" w:rsidRDefault="002E0E94" w:rsidP="002E0E94">
      <w:pPr>
        <w:tabs>
          <w:tab w:val="left" w:pos="284"/>
        </w:tabs>
        <w:ind w:left="708"/>
        <w:jc w:val="both"/>
        <w:rPr>
          <w:rFonts w:ascii="Palatino Linotype" w:hAnsi="Palatino Linotype"/>
          <w:i/>
          <w:sz w:val="22"/>
          <w:szCs w:val="22"/>
        </w:rPr>
      </w:pPr>
      <w:r w:rsidRPr="00E260B7">
        <w:rPr>
          <w:rFonts w:ascii="Palatino Linotype" w:hAnsi="Palatino Linotype"/>
          <w:i/>
          <w:sz w:val="22"/>
          <w:szCs w:val="22"/>
        </w:rPr>
        <w:t>En el evento de que la subdivisión que se genere con la ejecución de la sentencia no cumpla con los parámetros de zonificación respecto a lote y frente mínimos, se remitirá el expediente con los informes de la Administración Zonal, para conocimiento y resolución del Concejo Metropolitano.</w:t>
      </w:r>
    </w:p>
    <w:p w:rsidR="002E0E94" w:rsidRPr="00E260B7" w:rsidRDefault="002E0E94" w:rsidP="002E0E94">
      <w:pPr>
        <w:tabs>
          <w:tab w:val="left" w:pos="284"/>
        </w:tabs>
        <w:ind w:left="708"/>
        <w:jc w:val="both"/>
        <w:rPr>
          <w:rFonts w:ascii="Palatino Linotype" w:hAnsi="Palatino Linotype"/>
          <w:i/>
          <w:sz w:val="22"/>
          <w:szCs w:val="22"/>
        </w:rPr>
      </w:pPr>
    </w:p>
    <w:p w:rsidR="002E0E94" w:rsidRPr="00E260B7" w:rsidRDefault="002E0E94" w:rsidP="002E0E94">
      <w:pPr>
        <w:autoSpaceDE w:val="0"/>
        <w:autoSpaceDN w:val="0"/>
        <w:adjustRightInd w:val="0"/>
        <w:ind w:left="708" w:hanging="708"/>
        <w:jc w:val="both"/>
        <w:rPr>
          <w:rFonts w:ascii="Palatino Linotype" w:hAnsi="Palatino Linotype"/>
          <w:b/>
          <w:sz w:val="22"/>
          <w:szCs w:val="22"/>
        </w:rPr>
      </w:pPr>
      <w:r w:rsidRPr="00E260B7">
        <w:rPr>
          <w:rFonts w:ascii="Palatino Linotype" w:hAnsi="Palatino Linotype"/>
          <w:i/>
          <w:sz w:val="22"/>
          <w:szCs w:val="22"/>
        </w:rPr>
        <w:t xml:space="preserve">             Por lo expuesto, las Administraciones Zonales de acuerdo al régimen jurídico aplicable realizarán el análisis de cumplimiento de los parámetros de zonificación y de la contribución o compensación del área verde, e informarán al Concejo Metropolitano, según los supuestos fácticos que presenten cada uno de los casos en particular.”;</w:t>
      </w:r>
      <w:r w:rsidRPr="00E260B7">
        <w:rPr>
          <w:rFonts w:ascii="Palatino Linotype" w:hAnsi="Palatino Linotype"/>
          <w:b/>
          <w:sz w:val="22"/>
          <w:szCs w:val="22"/>
        </w:rPr>
        <w:t xml:space="preserve"> </w:t>
      </w:r>
    </w:p>
    <w:p w:rsidR="002E0E94" w:rsidRPr="00E260B7" w:rsidRDefault="002E0E94" w:rsidP="002E0E94">
      <w:pPr>
        <w:autoSpaceDE w:val="0"/>
        <w:autoSpaceDN w:val="0"/>
        <w:adjustRightInd w:val="0"/>
        <w:ind w:left="708" w:hanging="708"/>
        <w:jc w:val="both"/>
        <w:rPr>
          <w:rFonts w:ascii="Palatino Linotype" w:hAnsi="Palatino Linotype"/>
          <w:b/>
          <w:sz w:val="22"/>
          <w:szCs w:val="22"/>
        </w:rPr>
      </w:pPr>
    </w:p>
    <w:p w:rsidR="002E0E94" w:rsidRPr="00E260B7" w:rsidRDefault="002E0E94" w:rsidP="002E0E94">
      <w:pPr>
        <w:autoSpaceDE w:val="0"/>
        <w:autoSpaceDN w:val="0"/>
        <w:adjustRightInd w:val="0"/>
        <w:ind w:left="708" w:hanging="708"/>
        <w:jc w:val="both"/>
        <w:rPr>
          <w:rFonts w:ascii="Palatino Linotype" w:hAnsi="Palatino Linotype"/>
          <w:sz w:val="22"/>
          <w:szCs w:val="22"/>
        </w:rPr>
      </w:pPr>
      <w:r w:rsidRPr="00E260B7">
        <w:rPr>
          <w:rFonts w:ascii="Palatino Linotype" w:eastAsiaTheme="minorHAnsi" w:hAnsi="Palatino Linotype"/>
          <w:b/>
          <w:sz w:val="22"/>
          <w:szCs w:val="22"/>
          <w:lang w:eastAsia="en-US"/>
        </w:rPr>
        <w:t>Que,</w:t>
      </w:r>
      <w:r w:rsidRPr="00E260B7">
        <w:rPr>
          <w:rFonts w:ascii="Palatino Linotype" w:eastAsiaTheme="minorHAnsi" w:hAnsi="Palatino Linotype"/>
          <w:sz w:val="22"/>
          <w:szCs w:val="22"/>
          <w:lang w:eastAsia="en-US"/>
        </w:rPr>
        <w:t xml:space="preserve">  </w:t>
      </w:r>
      <w:r w:rsidRPr="00E260B7">
        <w:rPr>
          <w:rFonts w:ascii="Palatino Linotype" w:hAnsi="Palatino Linotype"/>
          <w:sz w:val="22"/>
          <w:szCs w:val="22"/>
        </w:rPr>
        <w:t xml:space="preserve"> mediante sentencia dictada el 15 de diciembre del 2021, por la Sala Especializada de lo Civil y Mercantil de la Corte Provincial de Justicia de Pichincha, provincia de Pichincha, dentro del Juicio Nro. 17233-2019-01660, resolvió: </w:t>
      </w:r>
      <w:r w:rsidRPr="00E260B7">
        <w:rPr>
          <w:rFonts w:ascii="Palatino Linotype" w:hAnsi="Palatino Linotype"/>
          <w:i/>
          <w:sz w:val="22"/>
          <w:szCs w:val="22"/>
        </w:rPr>
        <w:t>“(…) acepta el recurso de apelación interpuesto por los accionantes Segundo Salvador Dumancela Dumancela y Gloria Judith Rengifo Vásquez, revoca la sentencia subida en grado; en consecuencia admite la demanda y declara la prescripción extraordinaria adquisitiva de dominio a favor de Segundo Salvador Dumancela Dumancela y Gloria Judith Rengifo Vásquez, respecto del lote de terreno con una superficie de 150,47 m2, situado en la parroquia de Quitumbe, Distrito Metropolitano de Quito, provincia de Pichincha, dentro de los siguientes  linderos: NORTE: en 14,71 m con propiedad  de los demandados; SUR: en 14,54m con calle La Cocha; ESTE: en 10,40m con propiedad de David Falcón; y, OESTE: en 10,17m con propiedad del señor Jorge Vásquez; el bien inmueble se encuentra dentro del predio No. 211280 con clave catastral No. 3240702010 (…)”.</w:t>
      </w:r>
      <w:r w:rsidRPr="00E260B7">
        <w:rPr>
          <w:rFonts w:ascii="Palatino Linotype" w:hAnsi="Palatino Linotype"/>
          <w:sz w:val="22"/>
          <w:szCs w:val="22"/>
        </w:rPr>
        <w:t xml:space="preserve">  </w:t>
      </w:r>
    </w:p>
    <w:p w:rsidR="002E0E94" w:rsidRPr="00E260B7" w:rsidRDefault="002E0E94" w:rsidP="002E0E94">
      <w:pPr>
        <w:autoSpaceDE w:val="0"/>
        <w:autoSpaceDN w:val="0"/>
        <w:adjustRightInd w:val="0"/>
        <w:ind w:left="708" w:hanging="708"/>
        <w:jc w:val="both"/>
        <w:rPr>
          <w:rFonts w:ascii="Palatino Linotype" w:hAnsi="Palatino Linotype"/>
          <w:b/>
          <w:sz w:val="22"/>
          <w:szCs w:val="22"/>
        </w:rPr>
      </w:pPr>
    </w:p>
    <w:p w:rsidR="002E0E94" w:rsidRPr="00E260B7" w:rsidRDefault="002E0E94" w:rsidP="002E0E94">
      <w:pPr>
        <w:autoSpaceDE w:val="0"/>
        <w:autoSpaceDN w:val="0"/>
        <w:adjustRightInd w:val="0"/>
        <w:ind w:left="708" w:hanging="708"/>
        <w:jc w:val="both"/>
        <w:rPr>
          <w:rFonts w:ascii="Palatino Linotype" w:hAnsi="Palatino Linotype"/>
          <w:color w:val="000000" w:themeColor="text1"/>
          <w:sz w:val="22"/>
          <w:szCs w:val="22"/>
        </w:rPr>
      </w:pPr>
      <w:r w:rsidRPr="00E260B7">
        <w:rPr>
          <w:rFonts w:ascii="Palatino Linotype" w:hAnsi="Palatino Linotype"/>
          <w:b/>
          <w:sz w:val="22"/>
          <w:szCs w:val="22"/>
        </w:rPr>
        <w:t xml:space="preserve">Que, </w:t>
      </w:r>
      <w:r w:rsidRPr="00E260B7">
        <w:rPr>
          <w:rFonts w:ascii="Palatino Linotype" w:hAnsi="Palatino Linotype"/>
          <w:color w:val="000000" w:themeColor="text1"/>
          <w:sz w:val="22"/>
          <w:szCs w:val="22"/>
        </w:rPr>
        <w:t xml:space="preserve">mediante </w:t>
      </w:r>
      <w:r w:rsidRPr="00E260B7">
        <w:rPr>
          <w:rFonts w:ascii="Palatino Linotype" w:hAnsi="Palatino Linotype"/>
          <w:sz w:val="22"/>
          <w:szCs w:val="22"/>
        </w:rPr>
        <w:t xml:space="preserve">Informe Técnico de Prescripción Extraordinaria Adquisitiva </w:t>
      </w:r>
      <w:r w:rsidRPr="00E260B7">
        <w:rPr>
          <w:rFonts w:ascii="Palatino Linotype" w:eastAsia="Calibri" w:hAnsi="Palatino Linotype"/>
          <w:sz w:val="22"/>
          <w:szCs w:val="22"/>
          <w:lang w:eastAsia="en-US"/>
        </w:rPr>
        <w:t>Nro. AZQ-DGT-UGU-IT-2023-044</w:t>
      </w:r>
      <w:r w:rsidRPr="00E260B7">
        <w:rPr>
          <w:rFonts w:ascii="Palatino Linotype" w:hAnsi="Palatino Linotype"/>
          <w:sz w:val="22"/>
          <w:szCs w:val="22"/>
        </w:rPr>
        <w:t>, suscrito por la Arq. Ana Lucía Loza, Responsable de la Unidad de Gestión Urbana</w:t>
      </w:r>
      <w:r w:rsidRPr="00E260B7">
        <w:rPr>
          <w:rFonts w:ascii="Palatino Linotype" w:hAnsi="Palatino Linotype"/>
          <w:color w:val="000000" w:themeColor="text1"/>
          <w:sz w:val="22"/>
          <w:szCs w:val="22"/>
        </w:rPr>
        <w:t>, señala:</w:t>
      </w:r>
    </w:p>
    <w:p w:rsidR="002E0E94" w:rsidRPr="00E260B7" w:rsidRDefault="002E0E94" w:rsidP="002E0E94">
      <w:pPr>
        <w:autoSpaceDE w:val="0"/>
        <w:autoSpaceDN w:val="0"/>
        <w:adjustRightInd w:val="0"/>
        <w:jc w:val="both"/>
        <w:rPr>
          <w:rFonts w:ascii="Palatino Linotype" w:eastAsiaTheme="minorHAnsi" w:hAnsi="Palatino Linotype"/>
          <w:color w:val="000000" w:themeColor="text1"/>
          <w:sz w:val="22"/>
          <w:szCs w:val="22"/>
          <w:lang w:val="es-ES" w:eastAsia="en-US"/>
        </w:rPr>
      </w:pPr>
    </w:p>
    <w:p w:rsidR="002E0E94" w:rsidRPr="00E260B7" w:rsidRDefault="002E0E94" w:rsidP="002E0E94">
      <w:pPr>
        <w:pStyle w:val="Sinespaciado"/>
        <w:ind w:left="709"/>
        <w:rPr>
          <w:rFonts w:ascii="Palatino Linotype" w:hAnsi="Palatino Linotype" w:cs="Times New Roman"/>
          <w:i/>
          <w:sz w:val="22"/>
          <w:szCs w:val="22"/>
        </w:rPr>
      </w:pPr>
      <w:r w:rsidRPr="00E260B7">
        <w:rPr>
          <w:rFonts w:ascii="Palatino Linotype" w:hAnsi="Palatino Linotype" w:cs="Times New Roman"/>
          <w:i/>
          <w:sz w:val="22"/>
          <w:szCs w:val="22"/>
        </w:rPr>
        <w:t xml:space="preserve">(…) la prescripción adquisitiva de dominio de una parte del inmueble del predio No. 211280, No Cumple con los datos establecidos en la zonificación vigente, tales como, “lote mínimo” y aunque de acuerdo a levantamiento topográfico cumple la condición de “frente mínimo”, el área prescrita corresponde a 150,47 m2 menor a 400m2 zonificación vigente; razón por la que </w:t>
      </w:r>
      <w:r w:rsidRPr="00E260B7">
        <w:rPr>
          <w:rFonts w:ascii="Palatino Linotype" w:hAnsi="Palatino Linotype" w:cs="Times New Roman"/>
          <w:i/>
          <w:sz w:val="22"/>
          <w:szCs w:val="22"/>
        </w:rPr>
        <w:lastRenderedPageBreak/>
        <w:t xml:space="preserve">se emite </w:t>
      </w:r>
      <w:r w:rsidRPr="00E260B7">
        <w:rPr>
          <w:rFonts w:ascii="Palatino Linotype" w:hAnsi="Palatino Linotype" w:cs="Times New Roman"/>
          <w:b/>
          <w:i/>
          <w:sz w:val="22"/>
          <w:szCs w:val="22"/>
          <w:u w:val="single"/>
        </w:rPr>
        <w:t>Informe Técnico desfavorable, motivo que no cumple con las condiciones generales de los inmuebles de la zona (…)</w:t>
      </w:r>
      <w:r w:rsidRPr="00E260B7">
        <w:rPr>
          <w:rFonts w:ascii="Palatino Linotype" w:hAnsi="Palatino Linotype" w:cs="Times New Roman"/>
          <w:i/>
          <w:sz w:val="22"/>
          <w:szCs w:val="22"/>
        </w:rPr>
        <w:t>.” (…).”;</w:t>
      </w:r>
    </w:p>
    <w:p w:rsidR="002E0E94" w:rsidRPr="00E260B7" w:rsidRDefault="002E0E94" w:rsidP="002E0E94">
      <w:pPr>
        <w:autoSpaceDE w:val="0"/>
        <w:autoSpaceDN w:val="0"/>
        <w:adjustRightInd w:val="0"/>
        <w:ind w:left="708" w:hanging="708"/>
        <w:jc w:val="both"/>
        <w:rPr>
          <w:rFonts w:ascii="Palatino Linotype" w:hAnsi="Palatino Linotype"/>
          <w:b/>
          <w:bCs/>
          <w:i/>
          <w:color w:val="000000" w:themeColor="text1"/>
          <w:sz w:val="22"/>
          <w:szCs w:val="22"/>
          <w:lang w:val="es-ES"/>
        </w:rPr>
      </w:pPr>
    </w:p>
    <w:p w:rsidR="002E0E94" w:rsidRPr="00E260B7" w:rsidRDefault="002E0E94" w:rsidP="002E0E94">
      <w:pPr>
        <w:pStyle w:val="Sinespaciado"/>
        <w:ind w:left="709" w:hanging="709"/>
        <w:rPr>
          <w:rFonts w:ascii="Palatino Linotype" w:hAnsi="Palatino Linotype" w:cs="Times New Roman"/>
          <w:sz w:val="22"/>
          <w:szCs w:val="22"/>
        </w:rPr>
      </w:pPr>
      <w:r w:rsidRPr="00E260B7">
        <w:rPr>
          <w:rFonts w:ascii="Palatino Linotype" w:hAnsi="Palatino Linotype" w:cs="Times New Roman"/>
          <w:b/>
          <w:sz w:val="22"/>
          <w:szCs w:val="22"/>
        </w:rPr>
        <w:t xml:space="preserve">Que, </w:t>
      </w:r>
      <w:r w:rsidRPr="00E260B7">
        <w:rPr>
          <w:rFonts w:ascii="Palatino Linotype" w:hAnsi="Palatino Linotype" w:cs="Times New Roman"/>
          <w:sz w:val="22"/>
          <w:szCs w:val="22"/>
        </w:rPr>
        <w:t>en el mismo</w:t>
      </w:r>
      <w:r w:rsidRPr="00E260B7">
        <w:rPr>
          <w:rFonts w:ascii="Palatino Linotype" w:hAnsi="Palatino Linotype" w:cs="Times New Roman"/>
          <w:b/>
          <w:sz w:val="22"/>
          <w:szCs w:val="22"/>
        </w:rPr>
        <w:t xml:space="preserve"> </w:t>
      </w:r>
      <w:r w:rsidRPr="00E260B7">
        <w:rPr>
          <w:rFonts w:ascii="Palatino Linotype" w:hAnsi="Palatino Linotype" w:cs="Times New Roman"/>
          <w:sz w:val="22"/>
          <w:szCs w:val="22"/>
        </w:rPr>
        <w:t xml:space="preserve">Informe Técnico de Prescripción Extraordinaria Adquisitiva Nro. </w:t>
      </w:r>
      <w:r w:rsidRPr="00E260B7">
        <w:rPr>
          <w:rFonts w:ascii="Palatino Linotype" w:eastAsia="Calibri" w:hAnsi="Palatino Linotype" w:cs="Times New Roman"/>
          <w:sz w:val="22"/>
          <w:szCs w:val="22"/>
        </w:rPr>
        <w:t>AZQ-DGT-UGU-IT-2023-044</w:t>
      </w:r>
      <w:r w:rsidRPr="00E260B7">
        <w:rPr>
          <w:rFonts w:ascii="Palatino Linotype" w:hAnsi="Palatino Linotype" w:cs="Times New Roman"/>
          <w:sz w:val="22"/>
          <w:szCs w:val="22"/>
        </w:rPr>
        <w:t>, consta el valor monetario por concepto de contribución del 15% del área útil adjudicada mediante sentencia, equivalente a DOS MIL TRESCIENTOS SESENTA Y NUEVE DOLARES CON 90/100 DE LOS ESTADOS UNIDOS DE NORTEAMÉRICA  (USD 2.369,90), conforme el  cálculo realizado por el área técnica;</w:t>
      </w:r>
    </w:p>
    <w:p w:rsidR="002E0E94" w:rsidRPr="00E260B7" w:rsidRDefault="002E0E94" w:rsidP="002E0E94">
      <w:pPr>
        <w:pStyle w:val="Sinespaciado"/>
        <w:ind w:left="709" w:hanging="709"/>
        <w:rPr>
          <w:rFonts w:ascii="Palatino Linotype" w:hAnsi="Palatino Linotype" w:cs="Times New Roman"/>
          <w:sz w:val="22"/>
          <w:szCs w:val="22"/>
        </w:rPr>
      </w:pPr>
    </w:p>
    <w:p w:rsidR="002E0E94" w:rsidRPr="00E260B7" w:rsidRDefault="002E0E94" w:rsidP="002E0E94">
      <w:pPr>
        <w:pStyle w:val="Sinespaciado"/>
        <w:ind w:left="709" w:hanging="709"/>
        <w:rPr>
          <w:rFonts w:ascii="Palatino Linotype" w:hAnsi="Palatino Linotype" w:cs="Times New Roman"/>
          <w:sz w:val="22"/>
          <w:szCs w:val="22"/>
        </w:rPr>
      </w:pPr>
      <w:r w:rsidRPr="00E260B7">
        <w:rPr>
          <w:rFonts w:ascii="Palatino Linotype" w:hAnsi="Palatino Linotype" w:cs="Times New Roman"/>
          <w:b/>
          <w:sz w:val="22"/>
          <w:szCs w:val="22"/>
        </w:rPr>
        <w:t xml:space="preserve">Que, </w:t>
      </w:r>
      <w:r w:rsidRPr="00E260B7">
        <w:rPr>
          <w:rFonts w:ascii="Palatino Linotype" w:hAnsi="Palatino Linotype" w:cs="Times New Roman"/>
          <w:sz w:val="22"/>
          <w:szCs w:val="22"/>
        </w:rPr>
        <w:t xml:space="preserve">mediante sentencia dictada el 11 de julio de 2023, por la Sala Especializada de lo Civil y Mercantil de la Corte Nacional de Justicia, por unanimidad, resuelve: </w:t>
      </w:r>
      <w:r w:rsidRPr="00E260B7">
        <w:rPr>
          <w:rFonts w:ascii="Palatino Linotype" w:hAnsi="Palatino Linotype" w:cs="Times New Roman"/>
          <w:i/>
          <w:sz w:val="22"/>
          <w:szCs w:val="22"/>
        </w:rPr>
        <w:t>“DECLARAR LA PROCEDENCIA DEL RECURSO DE CASACION, CASAR LA SENTENCIA EMITIDA EL 15 DE DICIEMBRE DE 2021 A LAS 09H50, POR EL TRIBUNAL DE LA SALA ESPECIALIZADA DE LO CIVIL Y MERCANTIL DE LA CORTE PROVINCIAL DE JUSTICIA DE PICHINCHA Y, EN MERITO DE LOS AUTOS, RECHAZÓ POR IMPROCEDENTE LA ACCION DEMANDADA”.</w:t>
      </w:r>
    </w:p>
    <w:p w:rsidR="002E0E94" w:rsidRPr="00E260B7" w:rsidRDefault="002E0E94" w:rsidP="002E0E94">
      <w:pPr>
        <w:pStyle w:val="Default"/>
        <w:ind w:left="708" w:hanging="708"/>
        <w:jc w:val="both"/>
        <w:rPr>
          <w:rFonts w:cs="Times New Roman"/>
          <w:b/>
          <w:i/>
          <w:sz w:val="22"/>
          <w:szCs w:val="22"/>
          <w:lang w:val="es-EC"/>
        </w:rPr>
      </w:pPr>
    </w:p>
    <w:p w:rsidR="002E0E94" w:rsidRPr="00E260B7" w:rsidRDefault="002E0E94" w:rsidP="002E0E94">
      <w:pPr>
        <w:pStyle w:val="Default"/>
        <w:ind w:left="708" w:hanging="708"/>
        <w:jc w:val="both"/>
        <w:rPr>
          <w:rFonts w:cs="Times New Roman"/>
          <w:color w:val="000000" w:themeColor="text1"/>
          <w:sz w:val="22"/>
          <w:szCs w:val="22"/>
        </w:rPr>
      </w:pPr>
      <w:r w:rsidRPr="00E260B7">
        <w:rPr>
          <w:rFonts w:cs="Times New Roman"/>
          <w:b/>
          <w:sz w:val="22"/>
          <w:szCs w:val="22"/>
        </w:rPr>
        <w:t xml:space="preserve">Que, </w:t>
      </w:r>
      <w:r w:rsidRPr="00E260B7">
        <w:rPr>
          <w:rFonts w:cs="Times New Roman"/>
          <w:color w:val="000000" w:themeColor="text1"/>
          <w:sz w:val="22"/>
          <w:szCs w:val="22"/>
        </w:rPr>
        <w:t>mediante Informe Legal Nro. GADDMQ-AZQ-DAJ-2023-0501-M</w:t>
      </w:r>
      <w:r w:rsidRPr="00E260B7">
        <w:rPr>
          <w:rFonts w:cs="Times New Roman"/>
          <w:sz w:val="22"/>
          <w:szCs w:val="22"/>
        </w:rPr>
        <w:t xml:space="preserve"> de 12</w:t>
      </w:r>
      <w:r w:rsidRPr="00E260B7">
        <w:rPr>
          <w:rFonts w:cs="Times New Roman"/>
          <w:color w:val="000000" w:themeColor="text1"/>
          <w:sz w:val="22"/>
          <w:szCs w:val="22"/>
        </w:rPr>
        <w:t xml:space="preserve"> de julio de 2023, suscrito por la Dra. Jenny Romo, Directora Jurídica de la Administración Zonal Quitumbe, señala: </w:t>
      </w:r>
    </w:p>
    <w:p w:rsidR="002E0E94" w:rsidRPr="00E260B7" w:rsidRDefault="002E0E94" w:rsidP="002E0E94">
      <w:pPr>
        <w:pStyle w:val="Default"/>
        <w:ind w:left="708" w:hanging="708"/>
        <w:jc w:val="both"/>
        <w:rPr>
          <w:rFonts w:cs="Times New Roman"/>
          <w:i/>
          <w:sz w:val="22"/>
          <w:szCs w:val="22"/>
        </w:rPr>
      </w:pPr>
    </w:p>
    <w:p w:rsidR="002E0E94" w:rsidRPr="00E260B7" w:rsidRDefault="002E0E94" w:rsidP="002E0E94">
      <w:pPr>
        <w:pStyle w:val="Sinespaciado"/>
        <w:ind w:left="708"/>
        <w:rPr>
          <w:rFonts w:ascii="Palatino Linotype" w:hAnsi="Palatino Linotype" w:cs="Times New Roman"/>
          <w:b/>
          <w:bCs/>
          <w:i/>
          <w:sz w:val="22"/>
          <w:szCs w:val="22"/>
        </w:rPr>
      </w:pPr>
      <w:r w:rsidRPr="00E260B7">
        <w:rPr>
          <w:rFonts w:ascii="Palatino Linotype" w:hAnsi="Palatino Linotype" w:cs="Times New Roman"/>
          <w:i/>
          <w:sz w:val="22"/>
          <w:szCs w:val="22"/>
        </w:rPr>
        <w:t xml:space="preserve">“(…) En virtud de los antecedentes expuestos, y con sustento en el Informe Técnico de Prescripción Extraordinaria Adquisitiva Nro. AZQ-DGT-UGU-IT-2023-044, remitido mediante Memorando Nro. GADDMQ-AZQ-DGT-UGU-2023-0207-M de fecha 27 de abril de 2023, con el cual se indica que el predio Nro. 211280, No Cumple con los datos establecidos en la zonificación vigente, tales como, “lote mínimo” y aunque de acuerdo a levantamiento topográfico cumple la condición de “frente mínimo”, el área prescrita corresponde a 150,47 m2 menor a 400m2 zonificación vigente; con la finalidad de dar cumplimiento a la sentencia dictada el 15 de diciembre del 2021 a favor de los señores Segundo Salvador Dumancela Dumancela y Gloria Judith Rengifo Vásquez, por la Sala Especializada de lo Civil y Mercantil de la Corte Provincial de Justicia de Pichincha, provincia de Pichincha, dentro del juicio de prescripción adquisitiva extraordinaria de dominio antes citado, esta Dirección de Asesoría Jurídica emite </w:t>
      </w:r>
      <w:r w:rsidRPr="00E260B7">
        <w:rPr>
          <w:rFonts w:ascii="Palatino Linotype" w:hAnsi="Palatino Linotype" w:cs="Times New Roman"/>
          <w:b/>
          <w:i/>
          <w:sz w:val="22"/>
          <w:szCs w:val="22"/>
        </w:rPr>
        <w:t>INFORME LEGAL</w:t>
      </w:r>
      <w:r w:rsidRPr="00E260B7">
        <w:rPr>
          <w:rFonts w:ascii="Palatino Linotype" w:hAnsi="Palatino Linotype" w:cs="Times New Roman"/>
          <w:i/>
          <w:sz w:val="22"/>
          <w:szCs w:val="22"/>
        </w:rPr>
        <w:t xml:space="preserve"> </w:t>
      </w:r>
      <w:r w:rsidRPr="00E260B7">
        <w:rPr>
          <w:rFonts w:ascii="Palatino Linotype" w:hAnsi="Palatino Linotype" w:cs="Times New Roman"/>
          <w:b/>
          <w:bCs/>
          <w:i/>
          <w:sz w:val="22"/>
          <w:szCs w:val="22"/>
        </w:rPr>
        <w:t>FAVORABLE para que el Concejo Metropolitano en acatamiento de la sentencia, cambie las condiciones para este inmueble en particular, estableciendo una excepción a las condiciones generales.</w:t>
      </w:r>
    </w:p>
    <w:p w:rsidR="002E0E94" w:rsidRPr="00E260B7" w:rsidRDefault="002E0E94" w:rsidP="002E0E94">
      <w:pPr>
        <w:jc w:val="both"/>
        <w:rPr>
          <w:rFonts w:ascii="Palatino Linotype" w:eastAsiaTheme="minorHAnsi" w:hAnsi="Palatino Linotype"/>
          <w:b/>
          <w:bCs/>
          <w:i/>
          <w:sz w:val="22"/>
          <w:szCs w:val="22"/>
          <w:lang w:eastAsia="en-US"/>
        </w:rPr>
      </w:pPr>
    </w:p>
    <w:p w:rsidR="002E0E94" w:rsidRPr="00E260B7" w:rsidRDefault="002E0E94" w:rsidP="002E0E94">
      <w:pPr>
        <w:pStyle w:val="Default"/>
        <w:ind w:left="708"/>
        <w:jc w:val="both"/>
        <w:rPr>
          <w:rFonts w:cs="Times New Roman"/>
          <w:i/>
          <w:sz w:val="22"/>
          <w:szCs w:val="22"/>
        </w:rPr>
      </w:pPr>
      <w:r w:rsidRPr="00E260B7">
        <w:rPr>
          <w:rFonts w:cs="Times New Roman"/>
          <w:b/>
          <w:bCs/>
          <w:i/>
          <w:color w:val="auto"/>
          <w:sz w:val="22"/>
          <w:szCs w:val="22"/>
          <w:lang w:val="es-EC"/>
        </w:rPr>
        <w:t>Así mismo, en lo referente al área verde, se ceñirá a lo establecido en el artículo 2567 del Código Municipal para el Distrito Metropolitano de Quito</w:t>
      </w:r>
      <w:r w:rsidRPr="00E260B7">
        <w:rPr>
          <w:rFonts w:cs="Times New Roman"/>
          <w:bCs/>
          <w:i/>
          <w:sz w:val="22"/>
          <w:szCs w:val="22"/>
        </w:rPr>
        <w:t xml:space="preserve"> (...)”.</w:t>
      </w:r>
    </w:p>
    <w:p w:rsidR="002E0E94" w:rsidRPr="00E260B7" w:rsidRDefault="002E0E94" w:rsidP="002E0E94">
      <w:pPr>
        <w:pStyle w:val="Sinespaciado"/>
        <w:rPr>
          <w:rFonts w:ascii="Palatino Linotype" w:hAnsi="Palatino Linotype" w:cs="Times New Roman"/>
          <w:i/>
          <w:sz w:val="22"/>
          <w:szCs w:val="22"/>
        </w:rPr>
      </w:pPr>
    </w:p>
    <w:p w:rsidR="002E0E94" w:rsidRPr="00E260B7" w:rsidRDefault="002E0E94" w:rsidP="002E0E94">
      <w:pPr>
        <w:pStyle w:val="Default"/>
        <w:ind w:left="708" w:hanging="708"/>
        <w:jc w:val="both"/>
        <w:rPr>
          <w:rFonts w:cs="Times New Roman"/>
          <w:sz w:val="22"/>
          <w:szCs w:val="22"/>
        </w:rPr>
      </w:pPr>
      <w:r w:rsidRPr="00E260B7">
        <w:rPr>
          <w:rFonts w:cs="Times New Roman"/>
          <w:b/>
          <w:sz w:val="22"/>
          <w:szCs w:val="22"/>
        </w:rPr>
        <w:lastRenderedPageBreak/>
        <w:t xml:space="preserve">Que, </w:t>
      </w:r>
      <w:r w:rsidRPr="00E260B7">
        <w:rPr>
          <w:rFonts w:cs="Times New Roman"/>
          <w:sz w:val="22"/>
          <w:szCs w:val="22"/>
        </w:rPr>
        <w:tab/>
        <w:t xml:space="preserve">la Comisión de Uso de Suelo en sesión ordinaria Nro. 011 de fecha 25 de octubre de 2023, analizó los informes técnicos y legales, que reposan en el expediente, y emitió dictamen favorable para que el Concejo Metropolitano conozca la sentencia de prescripción extraordinaria adquisitiva de dominio y como efecto de dicha sentencia, y para su efectiva ejecución, autorice la subdivisión del bien en mención, cambiando las condiciones de ese inmueble en particular y generando una excepción a las condiciones generales.  </w:t>
      </w:r>
    </w:p>
    <w:p w:rsidR="002E0E94" w:rsidRPr="00E260B7" w:rsidRDefault="002E0E94" w:rsidP="002E0E94">
      <w:pPr>
        <w:autoSpaceDE w:val="0"/>
        <w:autoSpaceDN w:val="0"/>
        <w:adjustRightInd w:val="0"/>
        <w:ind w:left="709" w:hanging="709"/>
        <w:jc w:val="both"/>
        <w:rPr>
          <w:rFonts w:ascii="Palatino Linotype" w:eastAsiaTheme="minorHAnsi" w:hAnsi="Palatino Linotype"/>
          <w:sz w:val="22"/>
          <w:szCs w:val="22"/>
          <w:lang w:eastAsia="en-US"/>
        </w:rPr>
      </w:pPr>
    </w:p>
    <w:p w:rsidR="002E0E94" w:rsidRPr="00E260B7" w:rsidRDefault="002E0E94" w:rsidP="002E0E94">
      <w:pPr>
        <w:autoSpaceDE w:val="0"/>
        <w:autoSpaceDN w:val="0"/>
        <w:adjustRightInd w:val="0"/>
        <w:ind w:left="709" w:hanging="709"/>
        <w:jc w:val="both"/>
        <w:rPr>
          <w:rFonts w:ascii="Palatino Linotype" w:eastAsiaTheme="minorHAnsi" w:hAnsi="Palatino Linotype"/>
          <w:sz w:val="22"/>
          <w:szCs w:val="22"/>
          <w:lang w:eastAsia="en-US"/>
        </w:rPr>
      </w:pPr>
      <w:r w:rsidRPr="00E260B7">
        <w:rPr>
          <w:rFonts w:ascii="Palatino Linotype" w:eastAsiaTheme="minorHAnsi" w:hAnsi="Palatino Linotype"/>
          <w:b/>
          <w:sz w:val="22"/>
          <w:szCs w:val="22"/>
          <w:lang w:eastAsia="en-US"/>
        </w:rPr>
        <w:t>Que,</w:t>
      </w:r>
      <w:r w:rsidRPr="00E260B7">
        <w:rPr>
          <w:rFonts w:ascii="Palatino Linotype" w:eastAsiaTheme="minorHAnsi" w:hAnsi="Palatino Linotype"/>
          <w:sz w:val="22"/>
          <w:szCs w:val="22"/>
          <w:lang w:eastAsia="en-US"/>
        </w:rPr>
        <w:t xml:space="preserve"> </w:t>
      </w:r>
      <w:r w:rsidRPr="00E260B7">
        <w:rPr>
          <w:rFonts w:ascii="Palatino Linotype" w:eastAsiaTheme="minorHAnsi" w:hAnsi="Palatino Linotype"/>
          <w:sz w:val="22"/>
          <w:szCs w:val="22"/>
          <w:lang w:eastAsia="en-US"/>
        </w:rPr>
        <w:tab/>
        <w:t xml:space="preserve">el Concejo Metropolitano de Quito, en sesión pública ordinaria realizada el … de … de 2023, analizó el informe Nro. IC-CUS-2023-056, emitido por la Comisión de Uso de Suelo; </w:t>
      </w:r>
    </w:p>
    <w:p w:rsidR="002E0E94" w:rsidRPr="00E260B7" w:rsidRDefault="002E0E94" w:rsidP="002E0E94">
      <w:pPr>
        <w:autoSpaceDE w:val="0"/>
        <w:autoSpaceDN w:val="0"/>
        <w:adjustRightInd w:val="0"/>
        <w:spacing w:line="276" w:lineRule="auto"/>
        <w:jc w:val="both"/>
        <w:rPr>
          <w:rFonts w:ascii="Palatino Linotype" w:eastAsiaTheme="minorHAnsi" w:hAnsi="Palatino Linotype"/>
          <w:sz w:val="22"/>
          <w:szCs w:val="22"/>
          <w:lang w:eastAsia="en-US"/>
        </w:rPr>
      </w:pPr>
    </w:p>
    <w:p w:rsidR="002E0E94" w:rsidRPr="00E260B7" w:rsidRDefault="002E0E94" w:rsidP="002E0E94">
      <w:pPr>
        <w:autoSpaceDE w:val="0"/>
        <w:autoSpaceDN w:val="0"/>
        <w:adjustRightInd w:val="0"/>
        <w:spacing w:line="276" w:lineRule="auto"/>
        <w:jc w:val="both"/>
        <w:rPr>
          <w:rFonts w:ascii="Palatino Linotype" w:eastAsiaTheme="minorHAnsi" w:hAnsi="Palatino Linotype"/>
          <w:b/>
          <w:bCs/>
          <w:sz w:val="22"/>
          <w:szCs w:val="22"/>
          <w:lang w:eastAsia="en-US"/>
        </w:rPr>
      </w:pPr>
      <w:r w:rsidRPr="00E260B7">
        <w:rPr>
          <w:rFonts w:ascii="Palatino Linotype" w:eastAsiaTheme="minorHAnsi" w:hAnsi="Palatino Linotype"/>
          <w:b/>
          <w:bCs/>
          <w:sz w:val="22"/>
          <w:szCs w:val="22"/>
          <w:lang w:eastAsia="en-US"/>
        </w:rPr>
        <w:t xml:space="preserve">En ejercicio de las atribuciones previstas en el artículo 240 de la Constitución de la República; y artículos 87 literal a) y 323 del Código Orgánico de Organización Territorial, Autonomía y Descentralización. </w:t>
      </w:r>
    </w:p>
    <w:p w:rsidR="002E0E94" w:rsidRPr="00E260B7" w:rsidRDefault="002E0E94" w:rsidP="002E0E94">
      <w:pPr>
        <w:autoSpaceDE w:val="0"/>
        <w:autoSpaceDN w:val="0"/>
        <w:adjustRightInd w:val="0"/>
        <w:spacing w:line="276" w:lineRule="auto"/>
        <w:jc w:val="both"/>
        <w:rPr>
          <w:rFonts w:ascii="Palatino Linotype" w:eastAsiaTheme="minorHAnsi" w:hAnsi="Palatino Linotype"/>
          <w:b/>
          <w:bCs/>
          <w:sz w:val="22"/>
          <w:szCs w:val="22"/>
          <w:lang w:eastAsia="en-US"/>
        </w:rPr>
      </w:pPr>
    </w:p>
    <w:p w:rsidR="002E0E94" w:rsidRPr="00E260B7" w:rsidRDefault="002E0E94" w:rsidP="002E0E94">
      <w:pPr>
        <w:autoSpaceDE w:val="0"/>
        <w:autoSpaceDN w:val="0"/>
        <w:adjustRightInd w:val="0"/>
        <w:spacing w:line="276" w:lineRule="auto"/>
        <w:jc w:val="center"/>
        <w:rPr>
          <w:rFonts w:ascii="Palatino Linotype" w:eastAsiaTheme="minorHAnsi" w:hAnsi="Palatino Linotype"/>
          <w:b/>
          <w:bCs/>
          <w:sz w:val="22"/>
          <w:szCs w:val="22"/>
          <w:lang w:eastAsia="en-US"/>
        </w:rPr>
      </w:pPr>
      <w:r w:rsidRPr="00E260B7">
        <w:rPr>
          <w:rFonts w:ascii="Palatino Linotype" w:eastAsiaTheme="minorHAnsi" w:hAnsi="Palatino Linotype"/>
          <w:b/>
          <w:bCs/>
          <w:sz w:val="22"/>
          <w:szCs w:val="22"/>
          <w:lang w:eastAsia="en-US"/>
        </w:rPr>
        <w:t xml:space="preserve">RESUELVE: </w:t>
      </w:r>
    </w:p>
    <w:p w:rsidR="002E0E94" w:rsidRPr="00E260B7" w:rsidRDefault="002E0E94" w:rsidP="002E0E94">
      <w:pPr>
        <w:autoSpaceDE w:val="0"/>
        <w:autoSpaceDN w:val="0"/>
        <w:adjustRightInd w:val="0"/>
        <w:spacing w:line="276" w:lineRule="auto"/>
        <w:jc w:val="center"/>
        <w:rPr>
          <w:rFonts w:ascii="Palatino Linotype" w:hAnsi="Palatino Linotype"/>
          <w:sz w:val="22"/>
          <w:szCs w:val="22"/>
        </w:rPr>
      </w:pPr>
    </w:p>
    <w:p w:rsidR="002E0E94" w:rsidRPr="00E260B7" w:rsidRDefault="002E0E94" w:rsidP="002E0E94">
      <w:pPr>
        <w:autoSpaceDE w:val="0"/>
        <w:autoSpaceDN w:val="0"/>
        <w:adjustRightInd w:val="0"/>
        <w:spacing w:line="276" w:lineRule="auto"/>
        <w:jc w:val="both"/>
        <w:rPr>
          <w:rFonts w:ascii="Palatino Linotype" w:eastAsiaTheme="minorHAnsi" w:hAnsi="Palatino Linotype"/>
          <w:sz w:val="22"/>
          <w:szCs w:val="22"/>
          <w:lang w:eastAsia="en-US"/>
        </w:rPr>
      </w:pPr>
      <w:r w:rsidRPr="00E260B7">
        <w:rPr>
          <w:rFonts w:ascii="Palatino Linotype" w:eastAsiaTheme="minorHAnsi" w:hAnsi="Palatino Linotype"/>
          <w:b/>
          <w:sz w:val="22"/>
          <w:szCs w:val="22"/>
          <w:lang w:eastAsia="en-US"/>
        </w:rPr>
        <w:t>Artículo 1.-</w:t>
      </w:r>
      <w:r w:rsidRPr="00E260B7">
        <w:rPr>
          <w:rFonts w:ascii="Palatino Linotype" w:eastAsiaTheme="minorHAnsi" w:hAnsi="Palatino Linotype"/>
          <w:sz w:val="22"/>
          <w:szCs w:val="22"/>
          <w:lang w:eastAsia="en-US"/>
        </w:rPr>
        <w:t xml:space="preserve"> Autorizar la subdivisión del </w:t>
      </w:r>
      <w:r w:rsidRPr="00E260B7">
        <w:rPr>
          <w:rFonts w:ascii="Palatino Linotype" w:hAnsi="Palatino Linotype"/>
          <w:sz w:val="22"/>
          <w:szCs w:val="22"/>
        </w:rPr>
        <w:t xml:space="preserve">predio No. 211280, clave catastral No. </w:t>
      </w:r>
      <w:r w:rsidRPr="00E260B7">
        <w:rPr>
          <w:rFonts w:ascii="Palatino Linotype" w:eastAsiaTheme="minorHAnsi" w:hAnsi="Palatino Linotype"/>
          <w:sz w:val="22"/>
          <w:szCs w:val="22"/>
          <w:lang w:eastAsia="en-US"/>
        </w:rPr>
        <w:t>3240702010000000000, ubicado en la parroquia Quitumbe, cambiando las condiciones de ese inmueble en particular y generando una excepción a las condiciones generales, de conformidad Sentencia dictada el 15 de diciembre del 2021, por la Sala Especializada de lo Civil y Mercantil de la Corte Provincial de Justicia de Pichincha, provincia de Pichincha, dentro del Juicio Nro. 17233-2019-01660, mediante la cual se acepta la demanda y declara la Prescripción Extraordinaria Adquisitiva de Dominio que ha operado a favor de los señores Segundo Salvador Dumancela Dumancela y Gloria Judith Rengifo Vásquez,, por una superficie de 150,47 m2.</w:t>
      </w:r>
    </w:p>
    <w:p w:rsidR="002E0E94" w:rsidRPr="00E260B7" w:rsidRDefault="002E0E94" w:rsidP="002E0E94">
      <w:pPr>
        <w:autoSpaceDE w:val="0"/>
        <w:autoSpaceDN w:val="0"/>
        <w:adjustRightInd w:val="0"/>
        <w:spacing w:line="276" w:lineRule="auto"/>
        <w:jc w:val="both"/>
        <w:rPr>
          <w:rFonts w:ascii="Palatino Linotype" w:eastAsiaTheme="minorHAnsi" w:hAnsi="Palatino Linotype"/>
          <w:sz w:val="22"/>
          <w:szCs w:val="22"/>
          <w:lang w:eastAsia="en-US"/>
        </w:rPr>
      </w:pPr>
    </w:p>
    <w:p w:rsidR="002E0E94" w:rsidRPr="00E260B7" w:rsidRDefault="002E0E94" w:rsidP="002E0E94">
      <w:pPr>
        <w:autoSpaceDE w:val="0"/>
        <w:autoSpaceDN w:val="0"/>
        <w:adjustRightInd w:val="0"/>
        <w:spacing w:line="276" w:lineRule="auto"/>
        <w:jc w:val="both"/>
        <w:rPr>
          <w:rFonts w:ascii="Palatino Linotype" w:eastAsiaTheme="minorHAnsi" w:hAnsi="Palatino Linotype"/>
          <w:sz w:val="22"/>
          <w:szCs w:val="22"/>
          <w:lang w:eastAsia="en-US"/>
        </w:rPr>
      </w:pPr>
      <w:r w:rsidRPr="00E260B7">
        <w:rPr>
          <w:rFonts w:ascii="Palatino Linotype" w:eastAsiaTheme="minorHAnsi" w:hAnsi="Palatino Linotype"/>
          <w:sz w:val="22"/>
          <w:szCs w:val="22"/>
          <w:lang w:eastAsia="en-US"/>
        </w:rPr>
        <w:t>De conformidad con lo dispuesto en el artículo 2567 del Código Municipal para el Distrito Metropolitano de Quito, los beneficiarios deberán compensar en valor monetario, la contribución del 15% del área útil adjudicada, de acuerdo con el cálculo que realice la Administración Zonal competente con base a la normativa vigente.</w:t>
      </w:r>
    </w:p>
    <w:p w:rsidR="002E0E94" w:rsidRPr="00E260B7" w:rsidRDefault="002E0E94" w:rsidP="002E0E94">
      <w:pPr>
        <w:autoSpaceDE w:val="0"/>
        <w:autoSpaceDN w:val="0"/>
        <w:adjustRightInd w:val="0"/>
        <w:spacing w:line="276" w:lineRule="auto"/>
        <w:jc w:val="both"/>
        <w:rPr>
          <w:rFonts w:ascii="Palatino Linotype" w:eastAsiaTheme="minorHAnsi" w:hAnsi="Palatino Linotype"/>
          <w:b/>
          <w:sz w:val="22"/>
          <w:szCs w:val="22"/>
          <w:lang w:eastAsia="en-US"/>
        </w:rPr>
      </w:pPr>
    </w:p>
    <w:p w:rsidR="002E0E94" w:rsidRPr="00E260B7" w:rsidRDefault="002E0E94" w:rsidP="002E0E94">
      <w:pPr>
        <w:autoSpaceDE w:val="0"/>
        <w:autoSpaceDN w:val="0"/>
        <w:adjustRightInd w:val="0"/>
        <w:spacing w:line="276" w:lineRule="auto"/>
        <w:jc w:val="both"/>
        <w:rPr>
          <w:rFonts w:ascii="Palatino Linotype" w:eastAsiaTheme="minorHAnsi" w:hAnsi="Palatino Linotype"/>
          <w:b/>
          <w:sz w:val="22"/>
          <w:szCs w:val="22"/>
          <w:lang w:eastAsia="en-US"/>
        </w:rPr>
      </w:pPr>
      <w:r w:rsidRPr="00E260B7">
        <w:rPr>
          <w:rFonts w:ascii="Palatino Linotype" w:eastAsiaTheme="minorHAnsi" w:hAnsi="Palatino Linotype"/>
          <w:b/>
          <w:sz w:val="22"/>
          <w:szCs w:val="22"/>
          <w:lang w:eastAsia="en-US"/>
        </w:rPr>
        <w:t>DISPOSICIONES GENERALES</w:t>
      </w:r>
    </w:p>
    <w:p w:rsidR="002E0E94" w:rsidRPr="00E260B7" w:rsidRDefault="002E0E94" w:rsidP="002E0E94">
      <w:pPr>
        <w:autoSpaceDE w:val="0"/>
        <w:autoSpaceDN w:val="0"/>
        <w:adjustRightInd w:val="0"/>
        <w:spacing w:line="276" w:lineRule="auto"/>
        <w:jc w:val="both"/>
        <w:rPr>
          <w:rFonts w:ascii="Palatino Linotype" w:eastAsiaTheme="minorHAnsi" w:hAnsi="Palatino Linotype"/>
          <w:b/>
          <w:sz w:val="22"/>
          <w:szCs w:val="22"/>
          <w:lang w:eastAsia="en-US"/>
        </w:rPr>
      </w:pPr>
    </w:p>
    <w:p w:rsidR="002E0E94" w:rsidRPr="00E260B7" w:rsidRDefault="002E0E94" w:rsidP="002E0E94">
      <w:pPr>
        <w:autoSpaceDE w:val="0"/>
        <w:autoSpaceDN w:val="0"/>
        <w:adjustRightInd w:val="0"/>
        <w:spacing w:line="276" w:lineRule="auto"/>
        <w:jc w:val="both"/>
        <w:rPr>
          <w:rFonts w:ascii="Palatino Linotype" w:eastAsiaTheme="minorHAnsi" w:hAnsi="Palatino Linotype"/>
          <w:sz w:val="22"/>
          <w:szCs w:val="22"/>
          <w:lang w:eastAsia="en-US"/>
        </w:rPr>
      </w:pPr>
      <w:r w:rsidRPr="00E260B7">
        <w:rPr>
          <w:rFonts w:ascii="Palatino Linotype" w:eastAsiaTheme="minorHAnsi" w:hAnsi="Palatino Linotype"/>
          <w:b/>
          <w:sz w:val="22"/>
          <w:szCs w:val="22"/>
          <w:lang w:eastAsia="en-US"/>
        </w:rPr>
        <w:t xml:space="preserve">Primera. - </w:t>
      </w:r>
      <w:r w:rsidRPr="00E260B7">
        <w:rPr>
          <w:rFonts w:ascii="Palatino Linotype" w:eastAsiaTheme="minorHAnsi" w:hAnsi="Palatino Linotype"/>
          <w:sz w:val="22"/>
          <w:szCs w:val="22"/>
          <w:lang w:eastAsia="en-US"/>
        </w:rPr>
        <w:t xml:space="preserve">Comuníquese al interesado, a la Administración Zonal correspondiente y, a la Secretaría de Territorio, Hábitat y Vivienda, a fin de que se continúe con los trámites de ley. </w:t>
      </w:r>
    </w:p>
    <w:p w:rsidR="002E0E94" w:rsidRPr="00E260B7" w:rsidRDefault="002E0E94" w:rsidP="002E0E94">
      <w:pPr>
        <w:autoSpaceDE w:val="0"/>
        <w:autoSpaceDN w:val="0"/>
        <w:adjustRightInd w:val="0"/>
        <w:spacing w:line="276" w:lineRule="auto"/>
        <w:rPr>
          <w:rFonts w:ascii="Palatino Linotype" w:eastAsiaTheme="minorHAnsi" w:hAnsi="Palatino Linotype"/>
          <w:sz w:val="22"/>
          <w:szCs w:val="22"/>
          <w:lang w:eastAsia="en-US"/>
        </w:rPr>
      </w:pPr>
    </w:p>
    <w:p w:rsidR="002E0E94" w:rsidRPr="00E260B7" w:rsidRDefault="002E0E94" w:rsidP="002E0E94">
      <w:pPr>
        <w:autoSpaceDE w:val="0"/>
        <w:autoSpaceDN w:val="0"/>
        <w:adjustRightInd w:val="0"/>
        <w:spacing w:line="276" w:lineRule="auto"/>
        <w:jc w:val="both"/>
        <w:rPr>
          <w:rFonts w:ascii="Palatino Linotype" w:eastAsiaTheme="minorHAnsi" w:hAnsi="Palatino Linotype"/>
          <w:sz w:val="22"/>
          <w:szCs w:val="22"/>
          <w:lang w:eastAsia="en-US"/>
        </w:rPr>
      </w:pPr>
      <w:r w:rsidRPr="00E260B7">
        <w:rPr>
          <w:rFonts w:ascii="Palatino Linotype" w:eastAsiaTheme="minorHAnsi" w:hAnsi="Palatino Linotype"/>
          <w:b/>
          <w:sz w:val="22"/>
          <w:szCs w:val="22"/>
          <w:lang w:eastAsia="en-US"/>
        </w:rPr>
        <w:t xml:space="preserve">Segunda. - </w:t>
      </w:r>
      <w:r w:rsidRPr="00E260B7">
        <w:rPr>
          <w:rFonts w:ascii="Palatino Linotype" w:eastAsiaTheme="minorHAnsi" w:hAnsi="Palatino Linotype"/>
          <w:sz w:val="22"/>
          <w:szCs w:val="22"/>
          <w:lang w:eastAsia="en-US"/>
        </w:rPr>
        <w:t>La presente resolución se aprueba con base a los informes técnicos y legales, que son de exclusiva responsabilidad de los funcionarios que lo suscriben y realizan.</w:t>
      </w:r>
    </w:p>
    <w:p w:rsidR="002E0E94" w:rsidRPr="00E260B7" w:rsidRDefault="002E0E94" w:rsidP="002E0E94">
      <w:pPr>
        <w:autoSpaceDE w:val="0"/>
        <w:autoSpaceDN w:val="0"/>
        <w:adjustRightInd w:val="0"/>
        <w:spacing w:line="276" w:lineRule="auto"/>
        <w:jc w:val="both"/>
        <w:rPr>
          <w:rFonts w:ascii="Palatino Linotype" w:eastAsiaTheme="minorHAnsi" w:hAnsi="Palatino Linotype"/>
          <w:b/>
          <w:sz w:val="22"/>
          <w:szCs w:val="22"/>
          <w:lang w:eastAsia="en-US"/>
        </w:rPr>
      </w:pPr>
    </w:p>
    <w:p w:rsidR="002E0E94" w:rsidRPr="00E260B7" w:rsidRDefault="002E0E94" w:rsidP="002E0E94">
      <w:pPr>
        <w:autoSpaceDE w:val="0"/>
        <w:autoSpaceDN w:val="0"/>
        <w:adjustRightInd w:val="0"/>
        <w:spacing w:line="276" w:lineRule="auto"/>
        <w:jc w:val="both"/>
        <w:rPr>
          <w:rFonts w:ascii="Palatino Linotype" w:eastAsiaTheme="minorHAnsi" w:hAnsi="Palatino Linotype"/>
          <w:sz w:val="22"/>
          <w:szCs w:val="22"/>
          <w:lang w:eastAsia="en-US"/>
        </w:rPr>
      </w:pPr>
      <w:r w:rsidRPr="00E260B7">
        <w:rPr>
          <w:rFonts w:ascii="Palatino Linotype" w:eastAsiaTheme="minorHAnsi" w:hAnsi="Palatino Linotype"/>
          <w:b/>
          <w:sz w:val="22"/>
          <w:szCs w:val="22"/>
          <w:lang w:eastAsia="en-US"/>
        </w:rPr>
        <w:t>Disposición Final. -</w:t>
      </w:r>
      <w:r w:rsidRPr="00E260B7">
        <w:rPr>
          <w:rFonts w:ascii="Palatino Linotype" w:eastAsiaTheme="minorHAnsi" w:hAnsi="Palatino Linotype"/>
          <w:sz w:val="22"/>
          <w:szCs w:val="22"/>
          <w:lang w:eastAsia="en-US"/>
        </w:rPr>
        <w:t xml:space="preserve"> La presente resolución entrará en vigencia a partir de su aprobación sin perjuicio de su publicación.</w:t>
      </w:r>
    </w:p>
    <w:p w:rsidR="002E0E94" w:rsidRPr="00E260B7" w:rsidRDefault="002E0E94" w:rsidP="002E0E94">
      <w:pPr>
        <w:autoSpaceDE w:val="0"/>
        <w:autoSpaceDN w:val="0"/>
        <w:adjustRightInd w:val="0"/>
        <w:spacing w:line="276" w:lineRule="auto"/>
        <w:jc w:val="both"/>
        <w:rPr>
          <w:rFonts w:ascii="Palatino Linotype" w:eastAsiaTheme="minorHAnsi" w:hAnsi="Palatino Linotype"/>
          <w:sz w:val="22"/>
          <w:szCs w:val="22"/>
          <w:lang w:eastAsia="en-US"/>
        </w:rPr>
      </w:pPr>
    </w:p>
    <w:p w:rsidR="002E0E94" w:rsidRPr="00E260B7" w:rsidRDefault="002E0E94" w:rsidP="002E0E94">
      <w:pPr>
        <w:spacing w:line="276" w:lineRule="auto"/>
        <w:ind w:left="-5"/>
        <w:jc w:val="both"/>
        <w:rPr>
          <w:rFonts w:ascii="Palatino Linotype" w:hAnsi="Palatino Linotype"/>
          <w:sz w:val="22"/>
          <w:szCs w:val="22"/>
        </w:rPr>
      </w:pPr>
      <w:r w:rsidRPr="00E260B7">
        <w:rPr>
          <w:rFonts w:ascii="Palatino Linotype" w:hAnsi="Palatino Linotype"/>
          <w:sz w:val="22"/>
          <w:szCs w:val="22"/>
        </w:rPr>
        <w:t xml:space="preserve">Dada en la sesión del Concejo Metropolitano de Quito, el ……….. </w:t>
      </w:r>
    </w:p>
    <w:p w:rsidR="002E0E94" w:rsidRPr="00E260B7" w:rsidRDefault="002E0E94" w:rsidP="002E0E94">
      <w:pPr>
        <w:spacing w:line="276" w:lineRule="auto"/>
        <w:ind w:left="-5"/>
        <w:jc w:val="both"/>
        <w:rPr>
          <w:rFonts w:ascii="Palatino Linotype" w:hAnsi="Palatino Linotype"/>
          <w:sz w:val="22"/>
          <w:szCs w:val="22"/>
        </w:rPr>
      </w:pPr>
    </w:p>
    <w:p w:rsidR="002E0E94" w:rsidRPr="00E260B7" w:rsidRDefault="002E0E94" w:rsidP="002E0E94">
      <w:pPr>
        <w:spacing w:line="276" w:lineRule="auto"/>
        <w:ind w:left="-5" w:right="-143"/>
        <w:jc w:val="both"/>
        <w:rPr>
          <w:rFonts w:ascii="Palatino Linotype" w:hAnsi="Palatino Linotype"/>
          <w:sz w:val="22"/>
          <w:szCs w:val="22"/>
        </w:rPr>
      </w:pPr>
      <w:r w:rsidRPr="00E260B7">
        <w:rPr>
          <w:rFonts w:ascii="Palatino Linotype" w:hAnsi="Palatino Linotype"/>
          <w:b/>
          <w:sz w:val="22"/>
          <w:szCs w:val="22"/>
        </w:rPr>
        <w:t xml:space="preserve">Alcaldía del Distrito Metropolitano. - </w:t>
      </w:r>
      <w:r w:rsidRPr="00E260B7">
        <w:rPr>
          <w:rFonts w:ascii="Palatino Linotype" w:hAnsi="Palatino Linotype"/>
          <w:sz w:val="22"/>
          <w:szCs w:val="22"/>
        </w:rPr>
        <w:t>Distrito Metropolitano de Quito, ………..</w:t>
      </w:r>
    </w:p>
    <w:p w:rsidR="002E0E94" w:rsidRPr="00E260B7" w:rsidRDefault="002E0E94" w:rsidP="002E0E94">
      <w:pPr>
        <w:spacing w:line="276" w:lineRule="auto"/>
        <w:jc w:val="both"/>
        <w:rPr>
          <w:rFonts w:ascii="Palatino Linotype" w:hAnsi="Palatino Linotype"/>
          <w:sz w:val="22"/>
          <w:szCs w:val="22"/>
        </w:rPr>
      </w:pPr>
    </w:p>
    <w:p w:rsidR="002E0E94" w:rsidRPr="00E260B7" w:rsidRDefault="002E0E94" w:rsidP="002E0E94">
      <w:pPr>
        <w:spacing w:line="276" w:lineRule="auto"/>
        <w:jc w:val="center"/>
        <w:rPr>
          <w:rFonts w:ascii="Palatino Linotype" w:hAnsi="Palatino Linotype"/>
          <w:sz w:val="22"/>
          <w:szCs w:val="22"/>
        </w:rPr>
      </w:pPr>
      <w:r w:rsidRPr="00E260B7">
        <w:rPr>
          <w:rFonts w:ascii="Palatino Linotype" w:hAnsi="Palatino Linotype"/>
          <w:b/>
          <w:sz w:val="22"/>
          <w:szCs w:val="22"/>
        </w:rPr>
        <w:t>EJECÚTESE:</w:t>
      </w:r>
    </w:p>
    <w:p w:rsidR="002E0E94" w:rsidRPr="00E260B7" w:rsidRDefault="002E0E94" w:rsidP="002E0E94">
      <w:pPr>
        <w:spacing w:line="276" w:lineRule="auto"/>
        <w:ind w:left="51"/>
        <w:jc w:val="center"/>
        <w:rPr>
          <w:rFonts w:ascii="Palatino Linotype" w:hAnsi="Palatino Linotype"/>
          <w:sz w:val="22"/>
          <w:szCs w:val="22"/>
        </w:rPr>
      </w:pPr>
    </w:p>
    <w:p w:rsidR="002E0E94" w:rsidRPr="00E260B7" w:rsidRDefault="002E0E94" w:rsidP="002E0E94">
      <w:pPr>
        <w:spacing w:line="276" w:lineRule="auto"/>
        <w:ind w:left="51"/>
        <w:jc w:val="center"/>
        <w:rPr>
          <w:rFonts w:ascii="Palatino Linotype" w:hAnsi="Palatino Linotype"/>
          <w:sz w:val="22"/>
          <w:szCs w:val="22"/>
        </w:rPr>
      </w:pPr>
    </w:p>
    <w:p w:rsidR="002E0E94" w:rsidRPr="00E260B7" w:rsidRDefault="002E0E94" w:rsidP="002E0E94">
      <w:pPr>
        <w:spacing w:line="276" w:lineRule="auto"/>
        <w:ind w:left="51"/>
        <w:jc w:val="center"/>
        <w:rPr>
          <w:rFonts w:ascii="Palatino Linotype" w:hAnsi="Palatino Linotype"/>
          <w:sz w:val="22"/>
          <w:szCs w:val="22"/>
        </w:rPr>
      </w:pPr>
      <w:r w:rsidRPr="00E260B7">
        <w:rPr>
          <w:rFonts w:ascii="Palatino Linotype" w:hAnsi="Palatino Linotype"/>
          <w:sz w:val="22"/>
          <w:szCs w:val="22"/>
        </w:rPr>
        <w:t>Pabel Muñoz López</w:t>
      </w:r>
    </w:p>
    <w:p w:rsidR="002E0E94" w:rsidRPr="00E260B7" w:rsidRDefault="002E0E94" w:rsidP="002E0E94">
      <w:pPr>
        <w:keepNext/>
        <w:keepLines/>
        <w:spacing w:line="276" w:lineRule="auto"/>
        <w:ind w:left="10" w:right="6" w:hanging="10"/>
        <w:jc w:val="center"/>
        <w:outlineLvl w:val="0"/>
        <w:rPr>
          <w:rFonts w:ascii="Palatino Linotype" w:eastAsia="Palatino Linotype" w:hAnsi="Palatino Linotype"/>
          <w:b/>
          <w:color w:val="000000"/>
          <w:sz w:val="22"/>
          <w:szCs w:val="22"/>
          <w:lang w:eastAsia="es-EC"/>
        </w:rPr>
      </w:pPr>
      <w:r w:rsidRPr="00E260B7">
        <w:rPr>
          <w:rFonts w:ascii="Palatino Linotype" w:eastAsia="Palatino Linotype" w:hAnsi="Palatino Linotype"/>
          <w:b/>
          <w:color w:val="000000"/>
          <w:sz w:val="22"/>
          <w:szCs w:val="22"/>
          <w:lang w:eastAsia="es-EC"/>
        </w:rPr>
        <w:t>ALCALDE DEL DISTRITO METROPOLITANO DE QUITO</w:t>
      </w:r>
    </w:p>
    <w:p w:rsidR="002E0E94" w:rsidRPr="00E260B7" w:rsidRDefault="002E0E94" w:rsidP="002E0E94">
      <w:pPr>
        <w:spacing w:line="276" w:lineRule="auto"/>
        <w:jc w:val="both"/>
        <w:rPr>
          <w:rFonts w:ascii="Palatino Linotype" w:hAnsi="Palatino Linotype"/>
          <w:sz w:val="22"/>
          <w:szCs w:val="22"/>
        </w:rPr>
      </w:pPr>
    </w:p>
    <w:p w:rsidR="002E0E94" w:rsidRPr="00E260B7" w:rsidRDefault="002E0E94" w:rsidP="002E0E94">
      <w:pPr>
        <w:spacing w:line="276" w:lineRule="auto"/>
        <w:ind w:left="51"/>
        <w:jc w:val="both"/>
        <w:rPr>
          <w:rFonts w:ascii="Palatino Linotype" w:hAnsi="Palatino Linotype"/>
          <w:sz w:val="22"/>
          <w:szCs w:val="22"/>
        </w:rPr>
      </w:pPr>
      <w:r w:rsidRPr="00E260B7">
        <w:rPr>
          <w:rFonts w:ascii="Palatino Linotype" w:hAnsi="Palatino Linotype"/>
          <w:b/>
          <w:sz w:val="22"/>
          <w:szCs w:val="22"/>
        </w:rPr>
        <w:t>CERTIFICO,</w:t>
      </w:r>
      <w:r w:rsidRPr="00E260B7">
        <w:rPr>
          <w:rFonts w:ascii="Palatino Linotype" w:hAnsi="Palatino Linotype"/>
          <w:sz w:val="22"/>
          <w:szCs w:val="22"/>
        </w:rPr>
        <w:t xml:space="preserve"> que la presente resolución fue discutida y aprobada en la sesión ………ordinaria del Concejo Metropolitano de Quito, el xx de xx de 2023; y, suscrita por el señor Pabel Muñoz López</w:t>
      </w:r>
    </w:p>
    <w:p w:rsidR="002E0E94" w:rsidRPr="00E260B7" w:rsidRDefault="002E0E94" w:rsidP="002E0E94">
      <w:pPr>
        <w:spacing w:line="276" w:lineRule="auto"/>
        <w:ind w:left="-5" w:firstLine="56"/>
        <w:jc w:val="both"/>
        <w:rPr>
          <w:rFonts w:ascii="Palatino Linotype" w:hAnsi="Palatino Linotype"/>
          <w:sz w:val="22"/>
          <w:szCs w:val="22"/>
        </w:rPr>
      </w:pPr>
    </w:p>
    <w:p w:rsidR="002E0E94" w:rsidRPr="00E260B7" w:rsidRDefault="002E0E94" w:rsidP="002E0E94">
      <w:pPr>
        <w:spacing w:line="276" w:lineRule="auto"/>
        <w:ind w:left="-5" w:firstLine="56"/>
        <w:jc w:val="both"/>
        <w:rPr>
          <w:rFonts w:ascii="Palatino Linotype" w:hAnsi="Palatino Linotype"/>
          <w:sz w:val="22"/>
          <w:szCs w:val="22"/>
        </w:rPr>
      </w:pPr>
      <w:r w:rsidRPr="00E260B7">
        <w:rPr>
          <w:rFonts w:ascii="Palatino Linotype" w:hAnsi="Palatino Linotype"/>
          <w:sz w:val="22"/>
          <w:szCs w:val="22"/>
        </w:rPr>
        <w:t xml:space="preserve">Alcalde del Distrito Metropolitano de Quito, el xx de xx de 2023. </w:t>
      </w:r>
    </w:p>
    <w:p w:rsidR="002E0E94" w:rsidRPr="00E260B7" w:rsidRDefault="002E0E94" w:rsidP="002E0E94">
      <w:pPr>
        <w:spacing w:line="276" w:lineRule="auto"/>
        <w:jc w:val="both"/>
        <w:rPr>
          <w:rFonts w:ascii="Palatino Linotype" w:hAnsi="Palatino Linotype"/>
          <w:sz w:val="22"/>
          <w:szCs w:val="22"/>
        </w:rPr>
      </w:pPr>
      <w:r w:rsidRPr="00E260B7">
        <w:rPr>
          <w:rFonts w:ascii="Palatino Linotype" w:hAnsi="Palatino Linotype"/>
          <w:b/>
          <w:sz w:val="22"/>
          <w:szCs w:val="22"/>
        </w:rPr>
        <w:t xml:space="preserve"> </w:t>
      </w:r>
    </w:p>
    <w:p w:rsidR="002E0E94" w:rsidRPr="00E260B7" w:rsidRDefault="002E0E94" w:rsidP="002E0E94">
      <w:pPr>
        <w:spacing w:line="276" w:lineRule="auto"/>
        <w:ind w:left="-5"/>
        <w:jc w:val="both"/>
        <w:rPr>
          <w:rFonts w:ascii="Palatino Linotype" w:hAnsi="Palatino Linotype"/>
          <w:sz w:val="22"/>
          <w:szCs w:val="22"/>
          <w:highlight w:val="yellow"/>
        </w:rPr>
      </w:pPr>
      <w:r w:rsidRPr="00E260B7">
        <w:rPr>
          <w:rFonts w:ascii="Palatino Linotype" w:hAnsi="Palatino Linotype"/>
          <w:b/>
          <w:sz w:val="22"/>
          <w:szCs w:val="22"/>
        </w:rPr>
        <w:t xml:space="preserve">Lo certifico. - </w:t>
      </w:r>
      <w:r w:rsidRPr="00E260B7">
        <w:rPr>
          <w:rFonts w:ascii="Palatino Linotype" w:hAnsi="Palatino Linotype"/>
          <w:sz w:val="22"/>
          <w:szCs w:val="22"/>
        </w:rPr>
        <w:t xml:space="preserve">Distrito Metropolitano de Quito, ………………….. </w:t>
      </w:r>
    </w:p>
    <w:p w:rsidR="002E0E94" w:rsidRDefault="002E0E94" w:rsidP="002E0E94">
      <w:pPr>
        <w:spacing w:line="276" w:lineRule="auto"/>
        <w:jc w:val="both"/>
        <w:rPr>
          <w:rFonts w:ascii="Palatino Linotype" w:hAnsi="Palatino Linotype"/>
          <w:sz w:val="22"/>
          <w:szCs w:val="22"/>
          <w:highlight w:val="yellow"/>
        </w:rPr>
      </w:pPr>
      <w:r w:rsidRPr="00E260B7">
        <w:rPr>
          <w:rFonts w:ascii="Palatino Linotype" w:hAnsi="Palatino Linotype"/>
          <w:sz w:val="22"/>
          <w:szCs w:val="22"/>
          <w:highlight w:val="yellow"/>
        </w:rPr>
        <w:t xml:space="preserve"> </w:t>
      </w:r>
    </w:p>
    <w:p w:rsidR="002E0E94" w:rsidRDefault="002E0E94" w:rsidP="002E0E94">
      <w:pPr>
        <w:spacing w:line="276" w:lineRule="auto"/>
        <w:jc w:val="both"/>
        <w:rPr>
          <w:rFonts w:ascii="Palatino Linotype" w:hAnsi="Palatino Linotype"/>
          <w:sz w:val="22"/>
          <w:szCs w:val="22"/>
          <w:highlight w:val="yellow"/>
        </w:rPr>
      </w:pPr>
    </w:p>
    <w:p w:rsidR="002E0E94" w:rsidRPr="00E260B7" w:rsidRDefault="002E0E94" w:rsidP="002E0E94">
      <w:pPr>
        <w:spacing w:line="276" w:lineRule="auto"/>
        <w:jc w:val="both"/>
        <w:rPr>
          <w:rFonts w:ascii="Palatino Linotype" w:hAnsi="Palatino Linotype"/>
          <w:sz w:val="22"/>
          <w:szCs w:val="22"/>
          <w:highlight w:val="yellow"/>
        </w:rPr>
      </w:pPr>
    </w:p>
    <w:p w:rsidR="002E0E94" w:rsidRPr="00E260B7" w:rsidRDefault="002E0E94" w:rsidP="002E0E94">
      <w:pPr>
        <w:spacing w:line="276" w:lineRule="auto"/>
        <w:jc w:val="center"/>
        <w:rPr>
          <w:rFonts w:ascii="Palatino Linotype" w:hAnsi="Palatino Linotype"/>
          <w:sz w:val="22"/>
          <w:szCs w:val="22"/>
        </w:rPr>
      </w:pPr>
      <w:r w:rsidRPr="00E260B7">
        <w:rPr>
          <w:rFonts w:ascii="Palatino Linotype" w:hAnsi="Palatino Linotype"/>
          <w:sz w:val="22"/>
          <w:szCs w:val="22"/>
        </w:rPr>
        <w:t>Dra. Libia Rivas Ordóñez</w:t>
      </w:r>
    </w:p>
    <w:p w:rsidR="002E0E94" w:rsidRPr="00E260B7" w:rsidRDefault="002E0E94" w:rsidP="002E0E94">
      <w:pPr>
        <w:spacing w:line="276" w:lineRule="auto"/>
        <w:jc w:val="center"/>
        <w:rPr>
          <w:rFonts w:ascii="Palatino Linotype" w:hAnsi="Palatino Linotype"/>
          <w:sz w:val="22"/>
          <w:szCs w:val="22"/>
        </w:rPr>
      </w:pPr>
      <w:r w:rsidRPr="00E260B7">
        <w:rPr>
          <w:rFonts w:ascii="Palatino Linotype" w:eastAsia="Calibri" w:hAnsi="Palatino Linotype"/>
          <w:b/>
          <w:sz w:val="22"/>
          <w:szCs w:val="22"/>
          <w:lang w:eastAsia="en-US"/>
        </w:rPr>
        <w:t>SECRETAR</w:t>
      </w:r>
      <w:r>
        <w:rPr>
          <w:rFonts w:ascii="Palatino Linotype" w:eastAsia="Calibri" w:hAnsi="Palatino Linotype"/>
          <w:b/>
          <w:sz w:val="22"/>
          <w:szCs w:val="22"/>
          <w:lang w:eastAsia="en-US"/>
        </w:rPr>
        <w:t>IA</w:t>
      </w:r>
      <w:r w:rsidRPr="00E260B7">
        <w:rPr>
          <w:rFonts w:ascii="Palatino Linotype" w:eastAsia="Calibri" w:hAnsi="Palatino Linotype"/>
          <w:b/>
          <w:sz w:val="22"/>
          <w:szCs w:val="22"/>
          <w:lang w:eastAsia="en-US"/>
        </w:rPr>
        <w:t xml:space="preserve"> GENERAL DEL CONCEJO METROPOLITANO DE QUITO</w:t>
      </w:r>
    </w:p>
    <w:p w:rsidR="00FA39F0" w:rsidRDefault="002E0E94">
      <w:bookmarkStart w:id="0" w:name="_GoBack"/>
      <w:bookmarkEnd w:id="0"/>
    </w:p>
    <w:sectPr w:rsidR="00FA39F0" w:rsidSect="005D2467">
      <w:headerReference w:type="default" r:id="rId4"/>
      <w:footerReference w:type="default" r:id="rId5"/>
      <w:pgSz w:w="12240" w:h="15840"/>
      <w:pgMar w:top="1985" w:right="1701" w:bottom="1560"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707DE5" w:rsidRDefault="002E0E94">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Pr>
                <w:rFonts w:ascii="Palatino Linotype" w:hAnsi="Palatino Linotype"/>
                <w:b/>
                <w:bCs/>
                <w:noProof/>
                <w:sz w:val="20"/>
                <w:szCs w:val="20"/>
              </w:rPr>
              <w:t>7</w:t>
            </w:r>
            <w:r w:rsidRPr="00707DE5">
              <w:rPr>
                <w:rFonts w:ascii="Palatino Linotype" w:hAnsi="Palatino Linotype"/>
                <w:b/>
                <w:bCs/>
                <w:sz w:val="20"/>
                <w:szCs w:val="20"/>
              </w:rPr>
              <w:fldChar w:fldCharType="end"/>
            </w:r>
          </w:p>
          <w:p w:rsidR="005D2467" w:rsidRPr="008479FB" w:rsidRDefault="002E0E94">
            <w:pPr>
              <w:pStyle w:val="Piedepgina"/>
              <w:jc w:val="right"/>
              <w:rPr>
                <w:rFonts w:ascii="Palatino Linotype" w:hAnsi="Palatino Linotype"/>
                <w:sz w:val="20"/>
                <w:szCs w:val="20"/>
              </w:rPr>
            </w:pPr>
          </w:p>
        </w:sdtContent>
      </w:sdt>
    </w:sdtContent>
  </w:sdt>
  <w:p w:rsidR="005D2467" w:rsidRPr="008479FB" w:rsidRDefault="002E0E94">
    <w:pPr>
      <w:pStyle w:val="Piedepgina"/>
      <w:rPr>
        <w:rFonts w:ascii="Palatino Linotype" w:hAnsi="Palatino Linotype"/>
        <w:sz w:val="20"/>
        <w:szCs w:val="20"/>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E5" w:rsidRDefault="002E0E94" w:rsidP="00253163">
    <w:pPr>
      <w:autoSpaceDE w:val="0"/>
      <w:autoSpaceDN w:val="0"/>
      <w:adjustRightInd w:val="0"/>
      <w:jc w:val="center"/>
      <w:rPr>
        <w:rFonts w:ascii="Palatino Linotype" w:eastAsiaTheme="minorHAnsi" w:hAnsi="Palatino Linotype"/>
        <w:b/>
        <w:bCs/>
        <w:sz w:val="22"/>
        <w:szCs w:val="22"/>
        <w:lang w:eastAsia="en-US"/>
      </w:rPr>
    </w:pPr>
  </w:p>
  <w:p w:rsidR="00707DE5" w:rsidRDefault="002E0E94" w:rsidP="00253163">
    <w:pPr>
      <w:autoSpaceDE w:val="0"/>
      <w:autoSpaceDN w:val="0"/>
      <w:adjustRightInd w:val="0"/>
      <w:jc w:val="center"/>
      <w:rPr>
        <w:rFonts w:ascii="Palatino Linotype" w:eastAsiaTheme="minorHAnsi" w:hAnsi="Palatino Linotype"/>
        <w:b/>
        <w:bCs/>
        <w:sz w:val="22"/>
        <w:szCs w:val="22"/>
        <w:lang w:eastAsia="en-US"/>
      </w:rPr>
    </w:pPr>
  </w:p>
  <w:p w:rsidR="005D2467" w:rsidRDefault="002E0E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94"/>
    <w:rsid w:val="002E0E94"/>
    <w:rsid w:val="004A5705"/>
    <w:rsid w:val="005F1C41"/>
    <w:rsid w:val="009734F7"/>
    <w:rsid w:val="00997112"/>
    <w:rsid w:val="00E413FF"/>
    <w:rsid w:val="00FA08E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412AD-ECD9-4494-8D47-8C6EC825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E94"/>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2E0E94"/>
    <w:pPr>
      <w:jc w:val="both"/>
    </w:pPr>
    <w:rPr>
      <w:rFonts w:asciiTheme="minorHAnsi" w:eastAsia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2E0E94"/>
    <w:rPr>
      <w:sz w:val="20"/>
      <w:szCs w:val="20"/>
    </w:rPr>
  </w:style>
  <w:style w:type="paragraph" w:styleId="Piedepgina">
    <w:name w:val="footer"/>
    <w:basedOn w:val="Normal"/>
    <w:link w:val="PiedepginaCar"/>
    <w:uiPriority w:val="99"/>
    <w:unhideWhenUsed/>
    <w:rsid w:val="002E0E94"/>
    <w:pPr>
      <w:tabs>
        <w:tab w:val="center" w:pos="4252"/>
        <w:tab w:val="right" w:pos="8504"/>
      </w:tabs>
    </w:pPr>
  </w:style>
  <w:style w:type="character" w:customStyle="1" w:styleId="PiedepginaCar">
    <w:name w:val="Pie de página Car"/>
    <w:basedOn w:val="Fuentedeprrafopredeter"/>
    <w:link w:val="Piedepgina"/>
    <w:uiPriority w:val="99"/>
    <w:rsid w:val="002E0E94"/>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2E0E94"/>
    <w:pPr>
      <w:tabs>
        <w:tab w:val="center" w:pos="4419"/>
        <w:tab w:val="right" w:pos="8838"/>
      </w:tabs>
    </w:pPr>
  </w:style>
  <w:style w:type="character" w:customStyle="1" w:styleId="EncabezadoCar">
    <w:name w:val="Encabezado Car"/>
    <w:basedOn w:val="Fuentedeprrafopredeter"/>
    <w:link w:val="Encabezado"/>
    <w:uiPriority w:val="99"/>
    <w:rsid w:val="002E0E94"/>
    <w:rPr>
      <w:rFonts w:ascii="Times New Roman" w:eastAsia="Times New Roman" w:hAnsi="Times New Roman" w:cs="Times New Roman"/>
      <w:sz w:val="24"/>
      <w:szCs w:val="24"/>
      <w:lang w:eastAsia="es-ES_tradnl"/>
    </w:rPr>
  </w:style>
  <w:style w:type="paragraph" w:customStyle="1" w:styleId="Default">
    <w:name w:val="Default"/>
    <w:rsid w:val="002E0E94"/>
    <w:pPr>
      <w:autoSpaceDE w:val="0"/>
      <w:autoSpaceDN w:val="0"/>
      <w:adjustRightInd w:val="0"/>
      <w:spacing w:after="0" w:line="240" w:lineRule="auto"/>
    </w:pPr>
    <w:rPr>
      <w:rFonts w:ascii="Palatino Linotype" w:hAnsi="Palatino Linotype" w:cs="Palatino Linotype"/>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2446</Words>
  <Characters>13458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1</cp:revision>
  <dcterms:created xsi:type="dcterms:W3CDTF">2024-03-01T17:02:00Z</dcterms:created>
  <dcterms:modified xsi:type="dcterms:W3CDTF">2024-03-01T17:03:00Z</dcterms:modified>
</cp:coreProperties>
</file>