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2D02CA" w:rsidRDefault="00FD2ADA" w:rsidP="00C63B04">
      <w:pPr>
        <w:pStyle w:val="NormalWeb"/>
        <w:jc w:val="both"/>
        <w:rPr>
          <w:rFonts w:ascii="Arial" w:hAnsi="Arial" w:cs="Arial"/>
          <w:b/>
          <w:bCs/>
        </w:rPr>
      </w:pPr>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BIENES MUNICIPALES”</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EB789D" w:rsidRDefault="009433C1" w:rsidP="009433C1">
      <w:pPr>
        <w:autoSpaceDE w:val="0"/>
        <w:autoSpaceDN w:val="0"/>
        <w:adjustRightInd w:val="0"/>
        <w:spacing w:after="0" w:line="240" w:lineRule="auto"/>
        <w:jc w:val="both"/>
        <w:rPr>
          <w:rFonts w:ascii="Times New Roman" w:hAnsi="Times New Roman" w:cs="Times New Roman"/>
          <w:bCs/>
          <w:iCs/>
          <w:sz w:val="32"/>
          <w:szCs w:val="20"/>
        </w:rPr>
      </w:pPr>
      <w:r w:rsidRPr="009433C1">
        <w:rPr>
          <w:rFonts w:ascii="Times New Roman" w:hAnsi="Times New Roman" w:cs="Times New Roman"/>
          <w:bCs/>
          <w:iCs/>
          <w:sz w:val="32"/>
          <w:szCs w:val="20"/>
          <w:highlight w:val="yellow"/>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EB789D" w:rsidRDefault="009433C1" w:rsidP="009433C1">
      <w:pPr>
        <w:autoSpaceDE w:val="0"/>
        <w:autoSpaceDN w:val="0"/>
        <w:adjustRightInd w:val="0"/>
        <w:spacing w:after="0" w:line="240" w:lineRule="auto"/>
        <w:jc w:val="both"/>
        <w:rPr>
          <w:rFonts w:ascii="Times New Roman" w:hAnsi="Times New Roman" w:cs="Times New Roman"/>
          <w:bCs/>
          <w:iCs/>
          <w:sz w:val="32"/>
          <w:szCs w:val="20"/>
        </w:rPr>
      </w:pPr>
    </w:p>
    <w:p w14:paraId="6F819A5D" w14:textId="77777777" w:rsidR="009433C1" w:rsidRDefault="009433C1" w:rsidP="009433C1">
      <w:pPr>
        <w:autoSpaceDE w:val="0"/>
        <w:autoSpaceDN w:val="0"/>
        <w:adjustRightInd w:val="0"/>
        <w:spacing w:after="0" w:line="240" w:lineRule="auto"/>
        <w:jc w:val="both"/>
        <w:rPr>
          <w:rFonts w:ascii="Times New Roman" w:hAnsi="Times New Roman" w:cs="Times New Roman"/>
          <w:bCs/>
          <w:iCs/>
          <w:sz w:val="32"/>
          <w:szCs w:val="20"/>
        </w:rPr>
      </w:pPr>
      <w:r w:rsidRPr="009433C1">
        <w:rPr>
          <w:rFonts w:ascii="Times New Roman" w:hAnsi="Times New Roman" w:cs="Times New Roman"/>
          <w:bCs/>
          <w:iCs/>
          <w:sz w:val="32"/>
          <w:szCs w:val="20"/>
          <w:highlight w:val="yellow"/>
        </w:rPr>
        <w:t>Existen lugares donde no hay organizaciones deportivas conforme se solicita en el Código Municipal, razón por la cual es importante otorgar los convenios de administración y uso de escenarios deportivos a los comités barriales y/</w:t>
      </w:r>
      <w:proofErr w:type="spellStart"/>
      <w:r w:rsidRPr="009433C1">
        <w:rPr>
          <w:rFonts w:ascii="Times New Roman" w:hAnsi="Times New Roman" w:cs="Times New Roman"/>
          <w:bCs/>
          <w:iCs/>
          <w:sz w:val="32"/>
          <w:szCs w:val="20"/>
          <w:highlight w:val="yellow"/>
        </w:rPr>
        <w:t>o</w:t>
      </w:r>
      <w:proofErr w:type="spellEnd"/>
      <w:r w:rsidRPr="009433C1">
        <w:rPr>
          <w:rFonts w:ascii="Times New Roman" w:hAnsi="Times New Roman" w:cs="Times New Roman"/>
          <w:bCs/>
          <w:iCs/>
          <w:sz w:val="32"/>
          <w:szCs w:val="20"/>
          <w:highlight w:val="yellow"/>
        </w:rPr>
        <w:t xml:space="preserve"> organizaciones de la comunidad, que sean del sector donde está ubicado el predio municipal.</w:t>
      </w:r>
    </w:p>
    <w:p w14:paraId="5B464EE9" w14:textId="5FBCF7F7" w:rsidR="00FD2ADA" w:rsidRPr="009433C1" w:rsidRDefault="000047D6" w:rsidP="009433C1">
      <w:pPr>
        <w:autoSpaceDE w:val="0"/>
        <w:autoSpaceDN w:val="0"/>
        <w:adjustRightInd w:val="0"/>
        <w:spacing w:after="0" w:line="240" w:lineRule="auto"/>
        <w:jc w:val="both"/>
        <w:rPr>
          <w:rFonts w:ascii="Times New Roman" w:hAnsi="Times New Roman" w:cs="Times New Roman"/>
          <w:bCs/>
          <w:iCs/>
          <w:sz w:val="32"/>
          <w:szCs w:val="20"/>
        </w:rPr>
      </w:pPr>
      <w:r w:rsidRPr="002D02CA">
        <w:rPr>
          <w:rFonts w:ascii="Arial" w:hAnsi="Arial" w:cs="Arial"/>
          <w:sz w:val="24"/>
          <w:szCs w:val="24"/>
        </w:rPr>
        <w:lastRenderedPageBreak/>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lastRenderedPageBreak/>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w:t>
      </w:r>
      <w:proofErr w:type="gramStart"/>
      <w:r w:rsidRPr="002D02CA">
        <w:rPr>
          <w:rFonts w:ascii="Arial" w:hAnsi="Arial" w:cs="Arial"/>
          <w:sz w:val="24"/>
          <w:szCs w:val="24"/>
        </w:rPr>
        <w:t>que</w:t>
      </w:r>
      <w:proofErr w:type="gramEnd"/>
      <w:r w:rsidRPr="002D02CA">
        <w:rPr>
          <w:rFonts w:ascii="Arial" w:hAnsi="Arial" w:cs="Arial"/>
          <w:sz w:val="24"/>
          <w:szCs w:val="24"/>
        </w:rPr>
        <w:t xml:space="preserv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2D02CA">
        <w:rPr>
          <w:rFonts w:ascii="Arial" w:hAnsi="Arial" w:cs="Arial"/>
          <w:sz w:val="24"/>
          <w:szCs w:val="24"/>
        </w:rPr>
        <w:t>" ;</w:t>
      </w:r>
      <w:proofErr w:type="gramEnd"/>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xml:space="preserve">: "Actividades deportivas </w:t>
      </w:r>
      <w:proofErr w:type="gramStart"/>
      <w:r w:rsidRPr="002D02CA">
        <w:rPr>
          <w:rFonts w:ascii="Arial" w:hAnsi="Arial" w:cs="Arial"/>
          <w:sz w:val="24"/>
          <w:szCs w:val="24"/>
        </w:rPr>
        <w:t>recreativas.-</w:t>
      </w:r>
      <w:proofErr w:type="gramEnd"/>
      <w:r w:rsidRPr="002D02CA">
        <w:rPr>
          <w:rFonts w:ascii="Arial" w:hAnsi="Arial" w:cs="Arial"/>
          <w:sz w:val="24"/>
          <w:szCs w:val="24"/>
        </w:rPr>
        <w:t xml:space="preserve">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27DBD3A8" w:rsidR="00813AFC"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w:t>
      </w:r>
      <w:proofErr w:type="gramStart"/>
      <w:r w:rsidRPr="002D02CA">
        <w:rPr>
          <w:rFonts w:ascii="Arial" w:hAnsi="Arial" w:cs="Arial"/>
          <w:sz w:val="24"/>
          <w:szCs w:val="24"/>
        </w:rPr>
        <w:t>que :</w:t>
      </w:r>
      <w:proofErr w:type="gramEnd"/>
      <w:r w:rsidRPr="002D02CA">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Pr>
          <w:rFonts w:ascii="Arial" w:hAnsi="Arial" w:cs="Arial"/>
          <w:sz w:val="24"/>
          <w:szCs w:val="24"/>
        </w:rPr>
        <w:t>;</w:t>
      </w:r>
    </w:p>
    <w:p w14:paraId="37539F90" w14:textId="1F438882" w:rsidR="00C21826" w:rsidRPr="002D02CA" w:rsidRDefault="00C21826" w:rsidP="00C63B04">
      <w:pPr>
        <w:jc w:val="both"/>
        <w:rPr>
          <w:rFonts w:ascii="Arial" w:hAnsi="Arial" w:cs="Arial"/>
          <w:sz w:val="24"/>
          <w:szCs w:val="24"/>
        </w:rPr>
      </w:pPr>
      <w:r w:rsidRPr="00C21826">
        <w:rPr>
          <w:rFonts w:ascii="Arial" w:hAnsi="Arial" w:cs="Arial"/>
          <w:b/>
          <w:sz w:val="24"/>
          <w:szCs w:val="24"/>
        </w:rPr>
        <w:lastRenderedPageBreak/>
        <w:t>Que,</w:t>
      </w:r>
      <w:r>
        <w:rPr>
          <w:rFonts w:ascii="Arial" w:hAnsi="Arial" w:cs="Arial"/>
          <w:sz w:val="24"/>
          <w:szCs w:val="24"/>
        </w:rPr>
        <w:t xml:space="preserve"> el Art. 140 </w:t>
      </w:r>
      <w:r w:rsidRPr="002D02CA">
        <w:rPr>
          <w:rFonts w:ascii="Arial" w:hAnsi="Arial" w:cs="Arial"/>
          <w:sz w:val="24"/>
          <w:szCs w:val="24"/>
        </w:rPr>
        <w:t>la Ley del Deporte Educación Física y Recreación</w:t>
      </w:r>
      <w:r>
        <w:rPr>
          <w:rFonts w:ascii="Arial" w:hAnsi="Arial" w:cs="Arial"/>
          <w:sz w:val="24"/>
          <w:szCs w:val="24"/>
        </w:rPr>
        <w:t xml:space="preserve"> </w:t>
      </w:r>
      <w:r>
        <w:rPr>
          <w:rFonts w:ascii="Arial" w:hAnsi="Arial" w:cs="Arial"/>
          <w:sz w:val="24"/>
          <w:szCs w:val="24"/>
        </w:rPr>
        <w:t>establece</w:t>
      </w:r>
      <w:proofErr w:type="gramStart"/>
      <w:r>
        <w:rPr>
          <w:rFonts w:ascii="Arial" w:hAnsi="Arial" w:cs="Arial"/>
          <w:sz w:val="24"/>
          <w:szCs w:val="24"/>
        </w:rPr>
        <w:t>:  “</w:t>
      </w:r>
      <w:proofErr w:type="gramEnd"/>
      <w:r w:rsidRPr="00C21826">
        <w:rPr>
          <w:rFonts w:ascii="Arial" w:hAnsi="Arial" w:cs="Arial"/>
          <w:sz w:val="24"/>
          <w:szCs w:val="24"/>
        </w:rPr>
        <w:t>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r>
        <w:rPr>
          <w:rFonts w:ascii="Arial" w:hAnsi="Arial" w:cs="Arial"/>
          <w:sz w:val="24"/>
          <w:szCs w:val="24"/>
        </w:rPr>
        <w:t>”</w:t>
      </w:r>
    </w:p>
    <w:p w14:paraId="339D8CB9" w14:textId="3BFC936C" w:rsidR="00FD2ADA" w:rsidRPr="00980856"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 xml:space="preserve">En ejercicio de las atribuciones que confieren los artículos 240 de la Constitución; artículo 87, literal a) y 322 del Código Orgánico de Organización Territorial, Autonomía y Descentralización; y, 8 de la </w:t>
      </w:r>
      <w:proofErr w:type="gramStart"/>
      <w:r w:rsidRPr="002D02CA">
        <w:rPr>
          <w:rFonts w:ascii="Arial" w:hAnsi="Arial" w:cs="Arial"/>
        </w:rPr>
        <w:t>Ley  de</w:t>
      </w:r>
      <w:proofErr w:type="gramEnd"/>
      <w:r w:rsidRPr="002D02CA">
        <w:rPr>
          <w:rFonts w:ascii="Arial" w:hAnsi="Arial" w:cs="Arial"/>
        </w:rPr>
        <w:t xml:space="preserv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2158A7CD"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w:t>
      </w:r>
      <w:proofErr w:type="gramStart"/>
      <w:r w:rsidR="00EE5C3D" w:rsidRPr="002D02CA">
        <w:rPr>
          <w:rFonts w:ascii="Arial" w:hAnsi="Arial" w:cs="Arial"/>
          <w:b/>
          <w:sz w:val="24"/>
          <w:szCs w:val="24"/>
        </w:rPr>
        <w:t>) .</w:t>
      </w:r>
      <w:proofErr w:type="gramEnd"/>
      <w:r w:rsidRPr="002D02CA">
        <w:rPr>
          <w:rFonts w:ascii="Arial" w:hAnsi="Arial" w:cs="Arial"/>
          <w:b/>
          <w:sz w:val="24"/>
          <w:szCs w:val="24"/>
        </w:rPr>
        <w:t xml:space="preserve">- </w:t>
      </w:r>
      <w:bookmarkStart w:id="0" w:name="_GoBack"/>
      <w:bookmarkEnd w:id="0"/>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2BF539DC"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w:t>
      </w:r>
      <w:r w:rsidR="0058666F">
        <w:rPr>
          <w:rFonts w:ascii="Arial" w:hAnsi="Arial" w:cs="Arial"/>
          <w:i/>
          <w:iCs/>
          <w:color w:val="000000"/>
          <w:sz w:val="24"/>
          <w:szCs w:val="24"/>
          <w:shd w:val="clear" w:color="auto" w:fill="FFFFFF"/>
        </w:rPr>
        <w:t xml:space="preserve"> </w:t>
      </w:r>
      <w:r w:rsidR="0058666F" w:rsidRPr="00CB42B0">
        <w:rPr>
          <w:rFonts w:ascii="Arial" w:hAnsi="Arial" w:cs="Arial"/>
          <w:i/>
          <w:iCs/>
          <w:color w:val="000000"/>
          <w:sz w:val="24"/>
          <w:szCs w:val="24"/>
          <w:highlight w:val="yellow"/>
          <w:shd w:val="clear" w:color="auto" w:fill="FFFFFF"/>
        </w:rPr>
        <w:t>que sean del sector donde está ubicado el predio municipal</w:t>
      </w:r>
      <w:r w:rsidR="00EE5C3D" w:rsidRPr="002D02CA">
        <w:rPr>
          <w:rFonts w:ascii="Arial" w:hAnsi="Arial" w:cs="Arial"/>
          <w:i/>
          <w:iCs/>
          <w:color w:val="000000"/>
          <w:sz w:val="24"/>
          <w:szCs w:val="24"/>
          <w:shd w:val="clear" w:color="auto" w:fill="FFFFFF"/>
        </w:rPr>
        <w:t xml:space="preserve">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6386A6E2" w14:textId="406B1643"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lastRenderedPageBreak/>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xml:space="preserve">, mismo que </w:t>
      </w:r>
      <w:r w:rsidR="006A5464">
        <w:rPr>
          <w:rFonts w:ascii="Arial" w:hAnsi="Arial" w:cs="Arial"/>
          <w:i/>
          <w:iCs/>
          <w:color w:val="000000"/>
          <w:sz w:val="24"/>
          <w:szCs w:val="24"/>
          <w:shd w:val="clear" w:color="auto" w:fill="FFFFFF"/>
        </w:rPr>
        <w:t xml:space="preserve">contará con los informes de </w:t>
      </w:r>
      <w:r w:rsidRPr="002D02CA">
        <w:rPr>
          <w:rFonts w:ascii="Arial" w:hAnsi="Arial" w:cs="Arial"/>
          <w:i/>
          <w:iCs/>
          <w:color w:val="000000"/>
          <w:sz w:val="24"/>
          <w:szCs w:val="24"/>
          <w:shd w:val="clear" w:color="auto" w:fill="FFFFFF"/>
        </w:rPr>
        <w:t>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006A5464">
        <w:rPr>
          <w:rFonts w:ascii="Arial" w:hAnsi="Arial" w:cs="Arial"/>
          <w:i/>
          <w:iCs/>
          <w:color w:val="000000"/>
          <w:sz w:val="24"/>
          <w:szCs w:val="24"/>
          <w:shd w:val="clear" w:color="auto" w:fill="FFFFFF"/>
        </w:rPr>
        <w:t>en</w:t>
      </w:r>
      <w:r w:rsidRPr="002D02CA">
        <w:rPr>
          <w:rFonts w:ascii="Arial" w:hAnsi="Arial" w:cs="Arial"/>
          <w:i/>
          <w:iCs/>
          <w:color w:val="000000"/>
          <w:sz w:val="24"/>
          <w:szCs w:val="24"/>
          <w:shd w:val="clear" w:color="auto" w:fill="FFFFFF"/>
        </w:rPr>
        <w:t xml:space="preserve"> este informe técnico</w:t>
      </w:r>
      <w:r w:rsidR="006A5464">
        <w:rPr>
          <w:rFonts w:ascii="Arial" w:hAnsi="Arial" w:cs="Arial"/>
          <w:i/>
          <w:iCs/>
          <w:color w:val="000000"/>
          <w:sz w:val="24"/>
          <w:szCs w:val="24"/>
          <w:shd w:val="clear" w:color="auto" w:fill="FFFFFF"/>
        </w:rPr>
        <w:t xml:space="preserve"> se ha</w:t>
      </w:r>
      <w:r w:rsidR="006A5464" w:rsidRPr="006A5464">
        <w:rPr>
          <w:rFonts w:ascii="Arial" w:hAnsi="Arial" w:cs="Arial"/>
          <w:i/>
          <w:iCs/>
          <w:color w:val="000000"/>
          <w:sz w:val="24"/>
          <w:szCs w:val="24"/>
          <w:highlight w:val="yellow"/>
          <w:shd w:val="clear" w:color="auto" w:fill="FFFFFF"/>
        </w:rPr>
        <w:t>rán constar los</w:t>
      </w:r>
      <w:r w:rsidR="006A5464">
        <w:rPr>
          <w:rFonts w:ascii="Arial" w:hAnsi="Arial" w:cs="Arial"/>
          <w:i/>
          <w:iCs/>
          <w:color w:val="000000"/>
          <w:sz w:val="24"/>
          <w:szCs w:val="24"/>
          <w:shd w:val="clear" w:color="auto" w:fill="FFFFFF"/>
        </w:rPr>
        <w:t xml:space="preserve"> linderos</w:t>
      </w:r>
      <w:r w:rsidRPr="002D02CA">
        <w:rPr>
          <w:rFonts w:ascii="Arial" w:hAnsi="Arial" w:cs="Arial"/>
          <w:i/>
          <w:iCs/>
          <w:color w:val="000000"/>
          <w:sz w:val="24"/>
          <w:szCs w:val="24"/>
          <w:shd w:val="clear" w:color="auto" w:fill="FFFFFF"/>
        </w:rPr>
        <w:t>, superficie,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37436C88"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 xml:space="preserve">Comités Pro Mejoras, Juntas Parroquiales y Organizaciones de la Comunidad, </w:t>
      </w:r>
      <w:r w:rsidR="0058666F" w:rsidRPr="00CB42B0">
        <w:rPr>
          <w:rFonts w:ascii="Arial" w:hAnsi="Arial" w:cs="Arial"/>
          <w:i/>
          <w:iCs/>
          <w:color w:val="000000"/>
          <w:sz w:val="24"/>
          <w:szCs w:val="24"/>
          <w:highlight w:val="yellow"/>
          <w:shd w:val="clear" w:color="auto" w:fill="FFFFFF"/>
        </w:rPr>
        <w:t>que sean del sector donde está ubicado el predio municipal</w:t>
      </w:r>
      <w:r w:rsidR="00DD72D9">
        <w:rPr>
          <w:rFonts w:ascii="Arial" w:hAnsi="Arial" w:cs="Arial"/>
          <w:i/>
          <w:iCs/>
          <w:color w:val="000000"/>
          <w:sz w:val="24"/>
          <w:szCs w:val="24"/>
          <w:shd w:val="clear" w:color="auto" w:fill="FFFFFF"/>
        </w:rPr>
        <w:t>,</w:t>
      </w:r>
      <w:r w:rsidR="0058666F"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2D02CA" w:rsidRDefault="00980856"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Pr>
          <w:rFonts w:ascii="Arial" w:eastAsia="Times New Roman" w:hAnsi="Arial" w:cs="Arial"/>
          <w:b/>
          <w:bCs/>
          <w:color w:val="000000"/>
          <w:sz w:val="24"/>
          <w:szCs w:val="24"/>
          <w:lang w:eastAsia="es-EC"/>
        </w:rPr>
        <w:t>Disposicio</w:t>
      </w:r>
      <w:r w:rsidR="00FD2ADA" w:rsidRPr="002D02CA">
        <w:rPr>
          <w:rFonts w:ascii="Arial" w:eastAsia="Times New Roman" w:hAnsi="Arial" w:cs="Arial"/>
          <w:b/>
          <w:bCs/>
          <w:color w:val="000000"/>
          <w:sz w:val="24"/>
          <w:szCs w:val="24"/>
          <w:lang w:eastAsia="es-EC"/>
        </w:rPr>
        <w:t>n</w:t>
      </w:r>
      <w:r>
        <w:rPr>
          <w:rFonts w:ascii="Arial" w:eastAsia="Times New Roman" w:hAnsi="Arial" w:cs="Arial"/>
          <w:b/>
          <w:bCs/>
          <w:color w:val="000000"/>
          <w:sz w:val="24"/>
          <w:szCs w:val="24"/>
          <w:lang w:eastAsia="es-EC"/>
        </w:rPr>
        <w:t>es</w:t>
      </w:r>
      <w:r w:rsidR="00FD2ADA" w:rsidRPr="002D02CA">
        <w:rPr>
          <w:rFonts w:ascii="Arial" w:eastAsia="Times New Roman" w:hAnsi="Arial" w:cs="Arial"/>
          <w:b/>
          <w:bCs/>
          <w:color w:val="000000"/>
          <w:sz w:val="24"/>
          <w:szCs w:val="24"/>
          <w:lang w:eastAsia="es-EC"/>
        </w:rPr>
        <w:t xml:space="preserve"> transitoria</w:t>
      </w:r>
      <w:r>
        <w:rPr>
          <w:rFonts w:ascii="Arial" w:eastAsia="Times New Roman" w:hAnsi="Arial" w:cs="Arial"/>
          <w:b/>
          <w:bCs/>
          <w:color w:val="000000"/>
          <w:sz w:val="24"/>
          <w:szCs w:val="24"/>
          <w:lang w:eastAsia="es-EC"/>
        </w:rPr>
        <w:t>s</w:t>
      </w:r>
      <w:r w:rsidR="00FD2ADA" w:rsidRPr="002D02CA">
        <w:rPr>
          <w:rFonts w:ascii="Arial" w:eastAsia="Times New Roman" w:hAnsi="Arial" w:cs="Arial"/>
          <w:b/>
          <w:bCs/>
          <w:color w:val="000000"/>
          <w:sz w:val="24"/>
          <w:szCs w:val="24"/>
          <w:lang w:eastAsia="es-EC"/>
        </w:rPr>
        <w:t>:</w:t>
      </w:r>
    </w:p>
    <w:p w14:paraId="13F8DDBF" w14:textId="3440F72C"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w:t>
      </w:r>
      <w:r w:rsidRPr="00DD72D9">
        <w:rPr>
          <w:rFonts w:ascii="Arial" w:eastAsia="Times New Roman" w:hAnsi="Arial" w:cs="Arial"/>
          <w:color w:val="000000"/>
          <w:sz w:val="24"/>
          <w:szCs w:val="24"/>
          <w:highlight w:val="yellow"/>
          <w:lang w:eastAsia="es-EC"/>
        </w:rPr>
        <w:t>La Secretaría Gene</w:t>
      </w:r>
      <w:r w:rsidR="00980856">
        <w:rPr>
          <w:rFonts w:ascii="Arial" w:eastAsia="Times New Roman" w:hAnsi="Arial" w:cs="Arial"/>
          <w:color w:val="000000"/>
          <w:sz w:val="24"/>
          <w:szCs w:val="24"/>
          <w:highlight w:val="yellow"/>
          <w:lang w:eastAsia="es-EC"/>
        </w:rPr>
        <w:t xml:space="preserve">ral de Coordinación Territorial, Gobernabilidad y Participación </w:t>
      </w:r>
      <w:r w:rsidRPr="00DD72D9">
        <w:rPr>
          <w:rFonts w:ascii="Arial" w:eastAsia="Times New Roman" w:hAnsi="Arial" w:cs="Arial"/>
          <w:color w:val="000000"/>
          <w:sz w:val="24"/>
          <w:szCs w:val="24"/>
          <w:highlight w:val="yellow"/>
          <w:lang w:eastAsia="es-EC"/>
        </w:rPr>
        <w:t>en coordinación</w:t>
      </w:r>
      <w:r w:rsidRPr="002D02CA">
        <w:rPr>
          <w:rFonts w:ascii="Arial" w:eastAsia="Times New Roman" w:hAnsi="Arial" w:cs="Arial"/>
          <w:color w:val="000000"/>
          <w:sz w:val="24"/>
          <w:szCs w:val="24"/>
          <w:lang w:eastAsia="es-EC"/>
        </w:rPr>
        <w:t xml:space="preserve"> con </w:t>
      </w:r>
      <w:r w:rsidR="00F31C7A" w:rsidRPr="002D02CA">
        <w:rPr>
          <w:rFonts w:ascii="Arial" w:eastAsia="Times New Roman" w:hAnsi="Arial" w:cs="Arial"/>
          <w:color w:val="000000"/>
          <w:sz w:val="24"/>
          <w:szCs w:val="24"/>
          <w:lang w:eastAsia="es-EC"/>
        </w:rPr>
        <w:t xml:space="preserve">las Administraciones Zonales </w:t>
      </w:r>
      <w:r w:rsidR="00980856">
        <w:rPr>
          <w:rFonts w:ascii="Arial" w:eastAsia="Times New Roman" w:hAnsi="Arial" w:cs="Arial"/>
          <w:color w:val="000000"/>
          <w:sz w:val="24"/>
          <w:szCs w:val="24"/>
          <w:lang w:eastAsia="es-EC"/>
        </w:rPr>
        <w:t xml:space="preserve">y </w:t>
      </w:r>
      <w:r w:rsidR="000B5359">
        <w:rPr>
          <w:rFonts w:ascii="Arial" w:eastAsia="Times New Roman" w:hAnsi="Arial" w:cs="Arial"/>
          <w:color w:val="000000"/>
          <w:sz w:val="24"/>
          <w:szCs w:val="24"/>
          <w:lang w:eastAsia="es-EC"/>
        </w:rPr>
        <w:t xml:space="preserve">la </w:t>
      </w:r>
      <w:r w:rsidR="00980856">
        <w:rPr>
          <w:rFonts w:ascii="Arial" w:eastAsia="Times New Roman" w:hAnsi="Arial" w:cs="Arial"/>
          <w:color w:val="000000"/>
          <w:sz w:val="24"/>
          <w:szCs w:val="24"/>
          <w:lang w:eastAsia="es-EC"/>
        </w:rPr>
        <w:t>Dirección Metropolitana de Deporte y Recreación</w:t>
      </w:r>
      <w:r w:rsidR="00FF1E74">
        <w:rPr>
          <w:rFonts w:ascii="Arial" w:eastAsia="Times New Roman" w:hAnsi="Arial" w:cs="Arial"/>
          <w:color w:val="000000"/>
          <w:sz w:val="24"/>
          <w:szCs w:val="24"/>
          <w:lang w:eastAsia="es-EC"/>
        </w:rPr>
        <w:t xml:space="preserve"> </w:t>
      </w:r>
      <w:r w:rsidR="00F31C7A" w:rsidRPr="002D02CA">
        <w:rPr>
          <w:rFonts w:ascii="Arial" w:eastAsia="Times New Roman" w:hAnsi="Arial" w:cs="Arial"/>
          <w:color w:val="000000"/>
          <w:sz w:val="24"/>
          <w:szCs w:val="24"/>
          <w:lang w:eastAsia="es-EC"/>
        </w:rPr>
        <w:t>de manera articulada en</w:t>
      </w:r>
      <w:r w:rsidRPr="002D02CA">
        <w:rPr>
          <w:rFonts w:ascii="Arial" w:eastAsia="Times New Roman" w:hAnsi="Arial" w:cs="Arial"/>
          <w:color w:val="000000"/>
          <w:sz w:val="24"/>
          <w:szCs w:val="24"/>
          <w:lang w:eastAsia="es-EC"/>
        </w:rPr>
        <w:t xml:space="preserve"> el término de </w:t>
      </w:r>
      <w:r w:rsidR="00FF1E74">
        <w:rPr>
          <w:rFonts w:ascii="Arial" w:eastAsia="Times New Roman" w:hAnsi="Arial" w:cs="Arial"/>
          <w:color w:val="000000"/>
          <w:sz w:val="24"/>
          <w:szCs w:val="24"/>
          <w:lang w:eastAsia="es-EC"/>
        </w:rPr>
        <w:lastRenderedPageBreak/>
        <w:t>sesenta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890E28">
        <w:rPr>
          <w:rFonts w:ascii="Arial" w:hAnsi="Arial" w:cs="Arial"/>
          <w:sz w:val="24"/>
          <w:szCs w:val="24"/>
        </w:rPr>
        <w:t>actualizarán</w:t>
      </w:r>
      <w:r w:rsidR="00F31C7A" w:rsidRPr="002D02CA">
        <w:rPr>
          <w:rFonts w:ascii="Arial" w:hAnsi="Arial" w:cs="Arial"/>
          <w:sz w:val="24"/>
          <w:szCs w:val="24"/>
        </w:rPr>
        <w:t xml:space="preserve"> el   reglamento </w:t>
      </w:r>
      <w:r w:rsidR="00890E28">
        <w:rPr>
          <w:rFonts w:ascii="Arial" w:hAnsi="Arial" w:cs="Arial"/>
          <w:sz w:val="24"/>
          <w:szCs w:val="24"/>
        </w:rPr>
        <w:t xml:space="preserve">y el instructivo </w:t>
      </w:r>
      <w:r w:rsidR="00F31C7A" w:rsidRPr="002D02CA">
        <w:rPr>
          <w:rFonts w:ascii="Arial" w:hAnsi="Arial" w:cs="Arial"/>
          <w:sz w:val="24"/>
          <w:szCs w:val="24"/>
        </w:rPr>
        <w:t xml:space="preserve">para </w:t>
      </w:r>
      <w:r w:rsidR="00643E1D">
        <w:rPr>
          <w:rFonts w:ascii="Arial" w:hAnsi="Arial" w:cs="Arial"/>
          <w:sz w:val="24"/>
          <w:szCs w:val="24"/>
        </w:rPr>
        <w:t>el otorgamiento,</w:t>
      </w:r>
      <w:r w:rsidR="00707D06">
        <w:rPr>
          <w:rFonts w:ascii="Arial" w:hAnsi="Arial" w:cs="Arial"/>
          <w:sz w:val="24"/>
          <w:szCs w:val="24"/>
        </w:rPr>
        <w:t xml:space="preserve"> a</w:t>
      </w:r>
      <w:r w:rsidR="00F31C7A" w:rsidRPr="002D02CA">
        <w:rPr>
          <w:rFonts w:ascii="Arial" w:hAnsi="Arial" w:cs="Arial"/>
          <w:sz w:val="24"/>
          <w:szCs w:val="24"/>
        </w:rPr>
        <w:t xml:space="preserve">dministración </w:t>
      </w:r>
      <w:r w:rsidR="00707D06">
        <w:rPr>
          <w:rFonts w:ascii="Arial" w:hAnsi="Arial" w:cs="Arial"/>
          <w:sz w:val="24"/>
          <w:szCs w:val="24"/>
        </w:rPr>
        <w:t xml:space="preserve">y uso </w:t>
      </w:r>
      <w:r w:rsidR="00F31C7A" w:rsidRPr="002D02CA">
        <w:rPr>
          <w:rFonts w:ascii="Arial" w:hAnsi="Arial" w:cs="Arial"/>
          <w:sz w:val="24"/>
          <w:szCs w:val="24"/>
        </w:rPr>
        <w:t>de las instalaciones y escenarios deportivos entregados.</w:t>
      </w:r>
      <w:r w:rsidRPr="002D02CA">
        <w:rPr>
          <w:rFonts w:ascii="Arial" w:eastAsia="Times New Roman" w:hAnsi="Arial" w:cs="Arial"/>
          <w:color w:val="000000"/>
          <w:sz w:val="24"/>
          <w:szCs w:val="24"/>
          <w:lang w:eastAsia="es-EC"/>
        </w:rPr>
        <w:t xml:space="preserve"> </w:t>
      </w:r>
    </w:p>
    <w:p w14:paraId="4333B365" w14:textId="63C122EA"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w:t>
      </w:r>
      <w:r w:rsidR="00980856" w:rsidRPr="00DD72D9">
        <w:rPr>
          <w:rFonts w:ascii="Arial" w:eastAsia="Times New Roman" w:hAnsi="Arial" w:cs="Arial"/>
          <w:color w:val="000000"/>
          <w:sz w:val="24"/>
          <w:szCs w:val="24"/>
          <w:highlight w:val="yellow"/>
          <w:lang w:eastAsia="es-EC"/>
        </w:rPr>
        <w:t>Secretaría Gene</w:t>
      </w:r>
      <w:r w:rsidR="00980856">
        <w:rPr>
          <w:rFonts w:ascii="Arial" w:eastAsia="Times New Roman" w:hAnsi="Arial" w:cs="Arial"/>
          <w:color w:val="000000"/>
          <w:sz w:val="24"/>
          <w:szCs w:val="24"/>
          <w:highlight w:val="yellow"/>
          <w:lang w:eastAsia="es-EC"/>
        </w:rPr>
        <w:t xml:space="preserve">ral de Coordinación Territorial, Gobernabilidad y Participación </w:t>
      </w:r>
      <w:r w:rsidRPr="002D02CA">
        <w:rPr>
          <w:rFonts w:ascii="Arial" w:eastAsia="Times New Roman" w:hAnsi="Arial" w:cs="Arial"/>
          <w:color w:val="000000"/>
          <w:sz w:val="24"/>
          <w:szCs w:val="24"/>
          <w:lang w:eastAsia="es-EC"/>
        </w:rPr>
        <w:t xml:space="preserve">en coordinación con las Administraciones Zonales de manera </w:t>
      </w:r>
      <w:r w:rsidR="00902D38">
        <w:rPr>
          <w:rFonts w:ascii="Arial" w:eastAsia="Times New Roman" w:hAnsi="Arial" w:cs="Arial"/>
          <w:color w:val="000000"/>
          <w:sz w:val="24"/>
          <w:szCs w:val="24"/>
          <w:lang w:eastAsia="es-EC"/>
        </w:rPr>
        <w:t>articulada en el término de sesenta</w:t>
      </w:r>
      <w:r w:rsidRPr="002D02CA">
        <w:rPr>
          <w:rFonts w:ascii="Arial" w:eastAsia="Times New Roman" w:hAnsi="Arial" w:cs="Arial"/>
          <w:color w:val="000000"/>
          <w:sz w:val="24"/>
          <w:szCs w:val="24"/>
          <w:lang w:eastAsia="es-EC"/>
        </w:rPr>
        <w:t xml:space="preserve"> días contados a partir de la sanción de la presente ordenanza </w:t>
      </w:r>
      <w:r w:rsidRPr="002D02CA">
        <w:rPr>
          <w:rFonts w:ascii="Arial" w:hAnsi="Arial" w:cs="Arial"/>
          <w:sz w:val="24"/>
          <w:szCs w:val="24"/>
        </w:rPr>
        <w:t>elaborarán el   reglamento</w:t>
      </w:r>
      <w:r w:rsidR="00B600FC">
        <w:rPr>
          <w:rFonts w:ascii="Arial" w:hAnsi="Arial" w:cs="Arial"/>
          <w:sz w:val="24"/>
          <w:szCs w:val="24"/>
        </w:rPr>
        <w:t xml:space="preserve"> de a</w:t>
      </w:r>
      <w:r w:rsidR="00B600FC" w:rsidRPr="002D02CA">
        <w:rPr>
          <w:rFonts w:ascii="Arial" w:hAnsi="Arial" w:cs="Arial"/>
          <w:sz w:val="24"/>
          <w:szCs w:val="24"/>
        </w:rPr>
        <w:t xml:space="preserve">dministración </w:t>
      </w:r>
      <w:r w:rsidR="00B600FC">
        <w:rPr>
          <w:rFonts w:ascii="Arial" w:hAnsi="Arial" w:cs="Arial"/>
          <w:sz w:val="24"/>
          <w:szCs w:val="24"/>
        </w:rPr>
        <w:t>y uso</w:t>
      </w:r>
      <w:r w:rsidRPr="002D02CA">
        <w:rPr>
          <w:rFonts w:ascii="Arial" w:hAnsi="Arial" w:cs="Arial"/>
          <w:sz w:val="24"/>
          <w:szCs w:val="24"/>
        </w:rPr>
        <w:t xml:space="preserve"> de las áreas recreativas, casa</w:t>
      </w:r>
      <w:r w:rsidR="008A1E63">
        <w:rPr>
          <w:rFonts w:ascii="Arial" w:hAnsi="Arial" w:cs="Arial"/>
          <w:sz w:val="24"/>
          <w:szCs w:val="24"/>
        </w:rPr>
        <w:t>s</w:t>
      </w:r>
      <w:r w:rsidRPr="002D02CA">
        <w:rPr>
          <w:rFonts w:ascii="Arial" w:hAnsi="Arial" w:cs="Arial"/>
          <w:sz w:val="24"/>
          <w:szCs w:val="24"/>
        </w:rPr>
        <w:t xml:space="preserve">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5359"/>
    <w:rsid w:val="000B73DF"/>
    <w:rsid w:val="00123D44"/>
    <w:rsid w:val="002C00E9"/>
    <w:rsid w:val="002D02CA"/>
    <w:rsid w:val="004631BF"/>
    <w:rsid w:val="004E3393"/>
    <w:rsid w:val="004E3661"/>
    <w:rsid w:val="005548AF"/>
    <w:rsid w:val="0058666F"/>
    <w:rsid w:val="00643E1D"/>
    <w:rsid w:val="00676961"/>
    <w:rsid w:val="006A5464"/>
    <w:rsid w:val="00707D06"/>
    <w:rsid w:val="00813AFC"/>
    <w:rsid w:val="00890E28"/>
    <w:rsid w:val="008A1E63"/>
    <w:rsid w:val="00902D38"/>
    <w:rsid w:val="009433C1"/>
    <w:rsid w:val="00980856"/>
    <w:rsid w:val="0098581B"/>
    <w:rsid w:val="00B50557"/>
    <w:rsid w:val="00B600FC"/>
    <w:rsid w:val="00BB5D4E"/>
    <w:rsid w:val="00BB60A0"/>
    <w:rsid w:val="00C21826"/>
    <w:rsid w:val="00C63B04"/>
    <w:rsid w:val="00CB42B0"/>
    <w:rsid w:val="00D2359B"/>
    <w:rsid w:val="00DD72D9"/>
    <w:rsid w:val="00E42E0F"/>
    <w:rsid w:val="00EE5C3D"/>
    <w:rsid w:val="00F10F9E"/>
    <w:rsid w:val="00F31C7A"/>
    <w:rsid w:val="00F700E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1968</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Pablo Saul Solorzano Salinas</cp:lastModifiedBy>
  <cp:revision>22</cp:revision>
  <dcterms:created xsi:type="dcterms:W3CDTF">2023-08-16T13:35:00Z</dcterms:created>
  <dcterms:modified xsi:type="dcterms:W3CDTF">2024-02-01T21:14:00Z</dcterms:modified>
</cp:coreProperties>
</file>