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CA6C" w14:textId="39DAAD89" w:rsidR="00C926A0" w:rsidRPr="00E93A0F" w:rsidRDefault="00C926A0" w:rsidP="00327A8D">
      <w:pPr>
        <w:autoSpaceDE w:val="0"/>
        <w:autoSpaceDN w:val="0"/>
        <w:adjustRightInd w:val="0"/>
        <w:jc w:val="center"/>
        <w:rPr>
          <w:rFonts w:ascii="Palatino Linotype" w:eastAsiaTheme="minorHAnsi" w:hAnsi="Palatino Linotype"/>
          <w:b/>
          <w:sz w:val="22"/>
          <w:szCs w:val="22"/>
          <w:lang w:eastAsia="en-US"/>
        </w:rPr>
      </w:pPr>
      <w:r w:rsidRPr="00E93A0F">
        <w:rPr>
          <w:rFonts w:ascii="Palatino Linotype" w:eastAsiaTheme="minorHAnsi" w:hAnsi="Palatino Linotype"/>
          <w:b/>
          <w:sz w:val="22"/>
          <w:szCs w:val="22"/>
          <w:lang w:eastAsia="en-US"/>
        </w:rPr>
        <w:t>EL CONCEJO METROPOLITANO DE QUITO</w:t>
      </w:r>
    </w:p>
    <w:p w14:paraId="21148F6A" w14:textId="77777777" w:rsidR="00C926A0" w:rsidRPr="00E93A0F"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E93A0F" w:rsidRDefault="00C926A0" w:rsidP="00327A8D">
      <w:pPr>
        <w:autoSpaceDE w:val="0"/>
        <w:autoSpaceDN w:val="0"/>
        <w:adjustRightInd w:val="0"/>
        <w:jc w:val="center"/>
        <w:rPr>
          <w:rFonts w:ascii="Palatino Linotype" w:eastAsiaTheme="minorHAnsi" w:hAnsi="Palatino Linotype"/>
          <w:b/>
          <w:sz w:val="22"/>
          <w:szCs w:val="22"/>
          <w:lang w:eastAsia="en-US"/>
        </w:rPr>
      </w:pPr>
      <w:r w:rsidRPr="00E93A0F">
        <w:rPr>
          <w:rFonts w:ascii="Palatino Linotype" w:eastAsiaTheme="minorHAnsi" w:hAnsi="Palatino Linotype"/>
          <w:b/>
          <w:sz w:val="22"/>
          <w:szCs w:val="22"/>
          <w:lang w:eastAsia="en-US"/>
        </w:rPr>
        <w:t>CONSIDERANDO:</w:t>
      </w:r>
    </w:p>
    <w:p w14:paraId="0F7D42C4" w14:textId="1A45C740" w:rsidR="00327A8D" w:rsidRPr="00E93A0F" w:rsidRDefault="00327A8D" w:rsidP="00327A8D">
      <w:pPr>
        <w:autoSpaceDE w:val="0"/>
        <w:autoSpaceDN w:val="0"/>
        <w:adjustRightInd w:val="0"/>
        <w:jc w:val="center"/>
        <w:rPr>
          <w:rFonts w:ascii="Palatino Linotype" w:eastAsiaTheme="minorHAnsi" w:hAnsi="Palatino Linotype"/>
          <w:b/>
          <w:sz w:val="22"/>
          <w:szCs w:val="22"/>
          <w:lang w:eastAsia="en-US"/>
        </w:rPr>
      </w:pPr>
    </w:p>
    <w:p w14:paraId="01F9A2D8" w14:textId="77777777" w:rsidR="00FA5037" w:rsidRPr="00E93A0F" w:rsidRDefault="00FA5037" w:rsidP="00C46BCC">
      <w:pPr>
        <w:autoSpaceDE w:val="0"/>
        <w:autoSpaceDN w:val="0"/>
        <w:adjustRightInd w:val="0"/>
        <w:ind w:left="708" w:hanging="708"/>
        <w:jc w:val="center"/>
        <w:rPr>
          <w:rFonts w:ascii="Palatino Linotype" w:eastAsiaTheme="minorHAnsi" w:hAnsi="Palatino Linotype"/>
          <w:b/>
          <w:sz w:val="22"/>
          <w:szCs w:val="22"/>
          <w:lang w:eastAsia="en-US"/>
        </w:rPr>
      </w:pPr>
    </w:p>
    <w:p w14:paraId="1E385B55" w14:textId="7A0AF559" w:rsidR="002A7EAC" w:rsidRPr="00E93A0F" w:rsidRDefault="002A7EAC" w:rsidP="002A7EAC">
      <w:pPr>
        <w:autoSpaceDE w:val="0"/>
        <w:autoSpaceDN w:val="0"/>
        <w:adjustRightInd w:val="0"/>
        <w:ind w:left="709" w:hanging="709"/>
        <w:jc w:val="both"/>
        <w:rPr>
          <w:rFonts w:ascii="Palatino Linotype" w:eastAsiaTheme="minorHAnsi" w:hAnsi="Palatino Linotype"/>
          <w:bCs/>
          <w:i/>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
          <w:bCs/>
          <w:sz w:val="22"/>
          <w:szCs w:val="22"/>
          <w:lang w:eastAsia="en-US"/>
        </w:rPr>
        <w:tab/>
      </w:r>
      <w:r w:rsidRPr="00E93A0F">
        <w:rPr>
          <w:rFonts w:ascii="Palatino Linotype" w:eastAsiaTheme="minorHAnsi" w:hAnsi="Palatino Linotype"/>
          <w:bCs/>
          <w:sz w:val="22"/>
          <w:szCs w:val="22"/>
          <w:lang w:eastAsia="en-US"/>
        </w:rPr>
        <w:t>el artículo 66, numeral 17 de la Constitución garantiza el derecho a la libertad de trabajo, prescribiendo que</w:t>
      </w:r>
      <w:r w:rsidR="00F341C0">
        <w:rPr>
          <w:rFonts w:ascii="Palatino Linotype" w:eastAsiaTheme="minorHAnsi" w:hAnsi="Palatino Linotype"/>
          <w:bCs/>
          <w:sz w:val="22"/>
          <w:szCs w:val="22"/>
          <w:lang w:eastAsia="en-US"/>
        </w:rPr>
        <w:t>:</w:t>
      </w:r>
      <w:r w:rsidRPr="00E93A0F">
        <w:rPr>
          <w:rFonts w:ascii="Palatino Linotype" w:eastAsiaTheme="minorHAnsi" w:hAnsi="Palatino Linotype"/>
          <w:bCs/>
          <w:sz w:val="22"/>
          <w:szCs w:val="22"/>
          <w:lang w:eastAsia="en-US"/>
        </w:rPr>
        <w:t xml:space="preserve"> </w:t>
      </w:r>
      <w:r w:rsidRPr="00E93A0F">
        <w:rPr>
          <w:rFonts w:ascii="Palatino Linotype" w:eastAsiaTheme="minorHAnsi" w:hAnsi="Palatino Linotype"/>
          <w:bCs/>
          <w:i/>
          <w:sz w:val="22"/>
          <w:szCs w:val="22"/>
          <w:lang w:eastAsia="en-US"/>
        </w:rPr>
        <w:t xml:space="preserve">“nadie será obligado a realizar un trabajo gratuito o forzoso, salvo </w:t>
      </w:r>
      <w:r w:rsidR="00CF121A" w:rsidRPr="00E93A0F">
        <w:rPr>
          <w:rFonts w:ascii="Palatino Linotype" w:eastAsiaTheme="minorHAnsi" w:hAnsi="Palatino Linotype"/>
          <w:bCs/>
          <w:i/>
          <w:sz w:val="22"/>
          <w:szCs w:val="22"/>
          <w:lang w:eastAsia="en-US"/>
        </w:rPr>
        <w:t>los casos que determine la ley”;</w:t>
      </w:r>
    </w:p>
    <w:p w14:paraId="63D5D1E2" w14:textId="77777777" w:rsidR="00CF121A" w:rsidRPr="00E93A0F" w:rsidRDefault="00CF121A" w:rsidP="002A7EAC">
      <w:pPr>
        <w:autoSpaceDE w:val="0"/>
        <w:autoSpaceDN w:val="0"/>
        <w:adjustRightInd w:val="0"/>
        <w:ind w:left="709" w:hanging="709"/>
        <w:jc w:val="both"/>
        <w:rPr>
          <w:rFonts w:ascii="Palatino Linotype" w:eastAsiaTheme="minorHAnsi" w:hAnsi="Palatino Linotype"/>
          <w:bCs/>
          <w:sz w:val="22"/>
          <w:szCs w:val="22"/>
          <w:lang w:eastAsia="en-US"/>
        </w:rPr>
      </w:pPr>
    </w:p>
    <w:p w14:paraId="73148C50" w14:textId="76B841C7" w:rsidR="002A7EAC" w:rsidRPr="00E93A0F" w:rsidRDefault="002A7EAC" w:rsidP="002A7EAC">
      <w:pPr>
        <w:autoSpaceDE w:val="0"/>
        <w:autoSpaceDN w:val="0"/>
        <w:adjustRightInd w:val="0"/>
        <w:ind w:left="709" w:hanging="709"/>
        <w:jc w:val="both"/>
        <w:rPr>
          <w:rFonts w:ascii="Palatino Linotype" w:eastAsiaTheme="minorHAnsi" w:hAnsi="Palatino Linotype"/>
          <w:bCs/>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 xml:space="preserve">el artículo 190 de la Carta Magna reconoce el arbitraje, la mediación y otros procedimientos alternativos </w:t>
      </w:r>
      <w:r w:rsidR="00CF121A" w:rsidRPr="00E93A0F">
        <w:rPr>
          <w:rFonts w:ascii="Palatino Linotype" w:eastAsiaTheme="minorHAnsi" w:hAnsi="Palatino Linotype"/>
          <w:bCs/>
          <w:sz w:val="22"/>
          <w:szCs w:val="22"/>
          <w:lang w:eastAsia="en-US"/>
        </w:rPr>
        <w:t>para la solución de conflictos;</w:t>
      </w:r>
    </w:p>
    <w:p w14:paraId="53D4B8FF" w14:textId="77777777" w:rsidR="00CF121A" w:rsidRPr="00E93A0F" w:rsidRDefault="00CF121A" w:rsidP="002A7EAC">
      <w:pPr>
        <w:autoSpaceDE w:val="0"/>
        <w:autoSpaceDN w:val="0"/>
        <w:adjustRightInd w:val="0"/>
        <w:ind w:left="709" w:hanging="709"/>
        <w:jc w:val="both"/>
        <w:rPr>
          <w:rFonts w:ascii="Palatino Linotype" w:eastAsiaTheme="minorHAnsi" w:hAnsi="Palatino Linotype"/>
          <w:bCs/>
          <w:sz w:val="22"/>
          <w:szCs w:val="22"/>
          <w:lang w:eastAsia="en-US"/>
        </w:rPr>
      </w:pPr>
    </w:p>
    <w:p w14:paraId="7657E15B" w14:textId="5C91FE02" w:rsidR="002A7EAC" w:rsidRPr="00E93A0F" w:rsidRDefault="002A7EAC" w:rsidP="002A7EAC">
      <w:pPr>
        <w:autoSpaceDE w:val="0"/>
        <w:autoSpaceDN w:val="0"/>
        <w:adjustRightInd w:val="0"/>
        <w:ind w:left="709" w:hanging="709"/>
        <w:jc w:val="both"/>
        <w:rPr>
          <w:rFonts w:ascii="Palatino Linotype" w:eastAsiaTheme="minorHAnsi" w:hAnsi="Palatino Linotype"/>
          <w:bCs/>
          <w:i/>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la Constitución de la República del Ecuador, en el artículo 238 establece que: “</w:t>
      </w:r>
      <w:r w:rsidRPr="00E93A0F">
        <w:rPr>
          <w:rFonts w:ascii="Palatino Linotype" w:eastAsiaTheme="minorHAnsi" w:hAnsi="Palatino Linotype"/>
          <w:bCs/>
          <w:i/>
          <w:sz w:val="22"/>
          <w:szCs w:val="22"/>
          <w:lang w:eastAsia="en-US"/>
        </w:rPr>
        <w:t xml:space="preserve">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246D497C" w14:textId="177809D4" w:rsidR="002A7EAC" w:rsidRPr="00E93A0F" w:rsidRDefault="002A7EAC" w:rsidP="002A7EAC">
      <w:pPr>
        <w:autoSpaceDE w:val="0"/>
        <w:autoSpaceDN w:val="0"/>
        <w:adjustRightInd w:val="0"/>
        <w:ind w:left="709" w:hanging="1"/>
        <w:jc w:val="both"/>
        <w:rPr>
          <w:rFonts w:ascii="Palatino Linotype" w:eastAsiaTheme="minorHAnsi" w:hAnsi="Palatino Linotype"/>
          <w:bCs/>
          <w:sz w:val="22"/>
          <w:szCs w:val="22"/>
          <w:lang w:eastAsia="en-US"/>
        </w:rPr>
      </w:pPr>
      <w:r w:rsidRPr="00E93A0F">
        <w:rPr>
          <w:rFonts w:ascii="Palatino Linotype" w:eastAsiaTheme="minorHAnsi" w:hAnsi="Palatino Linotype"/>
          <w:bCs/>
          <w:i/>
          <w:sz w:val="22"/>
          <w:szCs w:val="22"/>
          <w:lang w:eastAsia="en-US"/>
        </w:rPr>
        <w:t>Constituyen gobiernos autónomos descentralizados las juntas parroquiales rurales, los concejos municipales, los concejos metropolitanos, los consejos provinciales y los consejos regionales</w:t>
      </w:r>
      <w:r w:rsidR="00CF121A" w:rsidRPr="00E93A0F">
        <w:rPr>
          <w:rFonts w:ascii="Palatino Linotype" w:eastAsiaTheme="minorHAnsi" w:hAnsi="Palatino Linotype"/>
          <w:bCs/>
          <w:sz w:val="22"/>
          <w:szCs w:val="22"/>
          <w:lang w:eastAsia="en-US"/>
        </w:rPr>
        <w:t>”;</w:t>
      </w:r>
    </w:p>
    <w:p w14:paraId="530D447A" w14:textId="77777777" w:rsidR="00CF121A" w:rsidRPr="00E93A0F" w:rsidRDefault="00CF121A" w:rsidP="002A7EAC">
      <w:pPr>
        <w:autoSpaceDE w:val="0"/>
        <w:autoSpaceDN w:val="0"/>
        <w:adjustRightInd w:val="0"/>
        <w:ind w:left="709" w:hanging="1"/>
        <w:jc w:val="both"/>
        <w:rPr>
          <w:rFonts w:ascii="Palatino Linotype" w:eastAsiaTheme="minorHAnsi" w:hAnsi="Palatino Linotype"/>
          <w:bCs/>
          <w:i/>
          <w:sz w:val="22"/>
          <w:szCs w:val="22"/>
          <w:lang w:eastAsia="en-US"/>
        </w:rPr>
      </w:pPr>
    </w:p>
    <w:p w14:paraId="0FA8E368" w14:textId="69EBCE09" w:rsidR="002A7EAC" w:rsidRPr="00E93A0F" w:rsidRDefault="002A7EAC" w:rsidP="002A7EAC">
      <w:pPr>
        <w:autoSpaceDE w:val="0"/>
        <w:autoSpaceDN w:val="0"/>
        <w:adjustRightInd w:val="0"/>
        <w:ind w:left="709" w:hanging="709"/>
        <w:jc w:val="both"/>
        <w:rPr>
          <w:rFonts w:ascii="Palatino Linotype" w:eastAsiaTheme="minorHAnsi" w:hAnsi="Palatino Linotype"/>
          <w:bCs/>
          <w:i/>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la Constitución de la República del Ecuador, en el artículo 240 señala que: “</w:t>
      </w:r>
      <w:r w:rsidRPr="00E93A0F">
        <w:rPr>
          <w:rFonts w:ascii="Palatino Linotype" w:eastAsiaTheme="minorHAnsi" w:hAnsi="Palatino Linotype"/>
          <w:bCs/>
          <w:i/>
          <w:sz w:val="22"/>
          <w:szCs w:val="22"/>
          <w:lang w:eastAsia="en-US"/>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5D28B996" w14:textId="35375095" w:rsidR="002A7EAC" w:rsidRPr="00E93A0F" w:rsidRDefault="002A7EAC" w:rsidP="002A7EAC">
      <w:pPr>
        <w:autoSpaceDE w:val="0"/>
        <w:autoSpaceDN w:val="0"/>
        <w:adjustRightInd w:val="0"/>
        <w:ind w:left="709" w:hanging="1"/>
        <w:jc w:val="both"/>
        <w:rPr>
          <w:rFonts w:ascii="Palatino Linotype" w:eastAsiaTheme="minorHAnsi" w:hAnsi="Palatino Linotype"/>
          <w:bCs/>
          <w:sz w:val="22"/>
          <w:szCs w:val="22"/>
          <w:lang w:eastAsia="en-US"/>
        </w:rPr>
      </w:pPr>
      <w:r w:rsidRPr="00E93A0F">
        <w:rPr>
          <w:rFonts w:ascii="Palatino Linotype" w:eastAsiaTheme="minorHAnsi" w:hAnsi="Palatino Linotype"/>
          <w:bCs/>
          <w:i/>
          <w:sz w:val="22"/>
          <w:szCs w:val="22"/>
          <w:lang w:eastAsia="en-US"/>
        </w:rPr>
        <w:t>Todos los gobiernos autónomos descentralizados ejercerán facultades ejecutivas en el ámbito de sus competencias y jurisdicciones territoriales</w:t>
      </w:r>
      <w:r w:rsidRPr="00E93A0F">
        <w:rPr>
          <w:rFonts w:ascii="Palatino Linotype" w:eastAsiaTheme="minorHAnsi" w:hAnsi="Palatino Linotype"/>
          <w:bCs/>
          <w:sz w:val="22"/>
          <w:szCs w:val="22"/>
          <w:lang w:eastAsia="en-US"/>
        </w:rPr>
        <w:t>”;</w:t>
      </w:r>
    </w:p>
    <w:p w14:paraId="261B2E62" w14:textId="77777777" w:rsidR="00CF121A" w:rsidRPr="00E93A0F" w:rsidRDefault="00CF121A" w:rsidP="002A7EAC">
      <w:pPr>
        <w:autoSpaceDE w:val="0"/>
        <w:autoSpaceDN w:val="0"/>
        <w:adjustRightInd w:val="0"/>
        <w:ind w:left="709" w:hanging="1"/>
        <w:jc w:val="both"/>
        <w:rPr>
          <w:rFonts w:ascii="Palatino Linotype" w:eastAsiaTheme="minorHAnsi" w:hAnsi="Palatino Linotype"/>
          <w:bCs/>
          <w:sz w:val="22"/>
          <w:szCs w:val="22"/>
          <w:lang w:eastAsia="en-US"/>
        </w:rPr>
      </w:pPr>
    </w:p>
    <w:p w14:paraId="7E64A128" w14:textId="113CB28A" w:rsidR="002A7EAC" w:rsidRPr="00E93A0F" w:rsidRDefault="002A7EAC" w:rsidP="002A7EAC">
      <w:pPr>
        <w:autoSpaceDE w:val="0"/>
        <w:autoSpaceDN w:val="0"/>
        <w:adjustRightInd w:val="0"/>
        <w:ind w:left="709" w:hanging="709"/>
        <w:jc w:val="both"/>
        <w:rPr>
          <w:rFonts w:ascii="Palatino Linotype" w:eastAsiaTheme="minorHAnsi" w:hAnsi="Palatino Linotype"/>
          <w:bCs/>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la Constitución de la República del Ecuador, en el artículo 266 determina que: “</w:t>
      </w:r>
      <w:r w:rsidRPr="00E93A0F">
        <w:rPr>
          <w:rFonts w:ascii="Palatino Linotype" w:eastAsiaTheme="minorHAnsi" w:hAnsi="Palatino Linotype"/>
          <w:bCs/>
          <w:i/>
          <w:sz w:val="22"/>
          <w:szCs w:val="22"/>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r w:rsidRPr="00E93A0F">
        <w:rPr>
          <w:rFonts w:ascii="Palatino Linotype" w:eastAsiaTheme="minorHAnsi" w:hAnsi="Palatino Linotype"/>
          <w:bCs/>
          <w:sz w:val="22"/>
          <w:szCs w:val="22"/>
          <w:lang w:eastAsia="en-US"/>
        </w:rPr>
        <w:t>”;</w:t>
      </w:r>
    </w:p>
    <w:p w14:paraId="609A1772" w14:textId="77777777" w:rsidR="00CF121A" w:rsidRPr="00E93A0F" w:rsidRDefault="00CF121A" w:rsidP="002A7EAC">
      <w:pPr>
        <w:autoSpaceDE w:val="0"/>
        <w:autoSpaceDN w:val="0"/>
        <w:adjustRightInd w:val="0"/>
        <w:ind w:left="709" w:hanging="709"/>
        <w:jc w:val="both"/>
        <w:rPr>
          <w:rFonts w:ascii="Palatino Linotype" w:eastAsiaTheme="minorHAnsi" w:hAnsi="Palatino Linotype"/>
          <w:bCs/>
          <w:sz w:val="22"/>
          <w:szCs w:val="22"/>
          <w:lang w:eastAsia="en-US"/>
        </w:rPr>
      </w:pPr>
    </w:p>
    <w:p w14:paraId="75876A6C" w14:textId="6717B06D" w:rsidR="002A7EAC" w:rsidRPr="00E93A0F" w:rsidRDefault="002A7EAC" w:rsidP="002A7EAC">
      <w:pPr>
        <w:autoSpaceDE w:val="0"/>
        <w:autoSpaceDN w:val="0"/>
        <w:adjustRightInd w:val="0"/>
        <w:ind w:left="709" w:hanging="709"/>
        <w:jc w:val="both"/>
        <w:rPr>
          <w:rFonts w:ascii="Palatino Linotype" w:eastAsiaTheme="minorHAnsi" w:hAnsi="Palatino Linotype"/>
          <w:bCs/>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el primer inciso del artículo 323 del Código Orgánico de Organización Territorial, Autonomía y Descentralización dispone: “</w:t>
      </w:r>
      <w:r w:rsidRPr="00E93A0F">
        <w:rPr>
          <w:rFonts w:ascii="Palatino Linotype" w:eastAsiaTheme="minorHAnsi" w:hAnsi="Palatino Linotype"/>
          <w:bCs/>
          <w:i/>
          <w:sz w:val="22"/>
          <w:szCs w:val="22"/>
          <w:lang w:eastAsia="en-US"/>
        </w:rPr>
        <w:t xml:space="preserve">El órgano normativo del respectivo gobierno autónomo descentralizado podrá expedir, además, acuerdos y resoluciones sobre temas que </w:t>
      </w:r>
      <w:r w:rsidRPr="00E93A0F">
        <w:rPr>
          <w:rFonts w:ascii="Palatino Linotype" w:eastAsiaTheme="minorHAnsi" w:hAnsi="Palatino Linotype"/>
          <w:bCs/>
          <w:i/>
          <w:sz w:val="22"/>
          <w:szCs w:val="22"/>
          <w:lang w:eastAsia="en-US"/>
        </w:rPr>
        <w:lastRenderedPageBreak/>
        <w:t xml:space="preserve">tengan carácter especial o específico, los que serán aprobados por el órgano legislativo del gobierno autónomo, por simple mayoría, en un solo debate </w:t>
      </w:r>
      <w:r w:rsidRPr="00E93A0F">
        <w:rPr>
          <w:rFonts w:ascii="Palatino Linotype" w:eastAsiaTheme="minorHAnsi" w:hAnsi="Palatino Linotype"/>
          <w:bCs/>
          <w:sz w:val="22"/>
          <w:szCs w:val="22"/>
          <w:lang w:eastAsia="en-US"/>
        </w:rPr>
        <w:t>(…)”;</w:t>
      </w:r>
    </w:p>
    <w:p w14:paraId="12D82C8D" w14:textId="77777777" w:rsidR="00CF121A" w:rsidRPr="00E93A0F" w:rsidRDefault="00CF121A" w:rsidP="002A7EAC">
      <w:pPr>
        <w:autoSpaceDE w:val="0"/>
        <w:autoSpaceDN w:val="0"/>
        <w:adjustRightInd w:val="0"/>
        <w:ind w:left="709" w:hanging="709"/>
        <w:jc w:val="both"/>
        <w:rPr>
          <w:rFonts w:ascii="Palatino Linotype" w:eastAsiaTheme="minorHAnsi" w:hAnsi="Palatino Linotype"/>
          <w:bCs/>
          <w:sz w:val="22"/>
          <w:szCs w:val="22"/>
          <w:lang w:eastAsia="en-US"/>
        </w:rPr>
      </w:pPr>
    </w:p>
    <w:p w14:paraId="670AAAD7" w14:textId="7EE2D2D0" w:rsidR="002A7EAC" w:rsidRPr="00E93A0F" w:rsidRDefault="002A7EAC" w:rsidP="002A7EAC">
      <w:pPr>
        <w:autoSpaceDE w:val="0"/>
        <w:autoSpaceDN w:val="0"/>
        <w:adjustRightInd w:val="0"/>
        <w:ind w:left="709" w:hanging="709"/>
        <w:jc w:val="both"/>
        <w:rPr>
          <w:rFonts w:ascii="Palatino Linotype" w:eastAsiaTheme="minorHAnsi" w:hAnsi="Palatino Linotype"/>
          <w:bCs/>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el artículo 331 l</w:t>
      </w:r>
      <w:r w:rsidR="00F341C0">
        <w:rPr>
          <w:rFonts w:ascii="Palatino Linotype" w:eastAsiaTheme="minorHAnsi" w:hAnsi="Palatino Linotype"/>
          <w:bCs/>
          <w:sz w:val="22"/>
          <w:szCs w:val="22"/>
          <w:lang w:eastAsia="en-US"/>
        </w:rPr>
        <w:t>etra</w:t>
      </w:r>
      <w:r w:rsidRPr="00E93A0F">
        <w:rPr>
          <w:rFonts w:ascii="Palatino Linotype" w:eastAsiaTheme="minorHAnsi" w:hAnsi="Palatino Linotype"/>
          <w:bCs/>
          <w:sz w:val="22"/>
          <w:szCs w:val="22"/>
          <w:lang w:eastAsia="en-US"/>
        </w:rPr>
        <w:t xml:space="preserve"> j) del Código Orgánico de Organización Territorial, Autonomía y Descentralización indica: “</w:t>
      </w:r>
      <w:r w:rsidRPr="00E93A0F">
        <w:rPr>
          <w:rFonts w:ascii="Palatino Linotype" w:eastAsiaTheme="minorHAnsi" w:hAnsi="Palatino Linotype"/>
          <w:bCs/>
          <w:i/>
          <w:sz w:val="22"/>
          <w:szCs w:val="22"/>
          <w:lang w:eastAsia="en-US"/>
        </w:rPr>
        <w:t xml:space="preserve">Prohibiciones a los ejecutivos de los gobiernos autónomos descentralizados.- Está prohibido al ejecutivo de los gobiernos autónomos descentralizados: </w:t>
      </w:r>
      <w:r w:rsidRPr="00E93A0F">
        <w:rPr>
          <w:rFonts w:ascii="Palatino Linotype" w:eastAsiaTheme="minorHAnsi" w:hAnsi="Palatino Linotype"/>
          <w:bCs/>
          <w:sz w:val="22"/>
          <w:szCs w:val="22"/>
          <w:lang w:eastAsia="en-US"/>
        </w:rPr>
        <w:t>(…)</w:t>
      </w:r>
      <w:r w:rsidRPr="00E93A0F">
        <w:rPr>
          <w:rFonts w:ascii="Palatino Linotype" w:eastAsiaTheme="minorHAnsi" w:hAnsi="Palatino Linotype"/>
          <w:bCs/>
          <w:i/>
          <w:sz w:val="22"/>
          <w:szCs w:val="22"/>
          <w:lang w:eastAsia="en-US"/>
        </w:rPr>
        <w:t xml:space="preserve"> j) Absolver posiciones, deferir el juramento decisorio, allanarse a la demanda o desistir de una planteada, y aceptar conciliaciones conforme a la ley sin previa autorización del órgano de legislación</w:t>
      </w:r>
      <w:r w:rsidRPr="00E93A0F">
        <w:rPr>
          <w:rFonts w:ascii="Palatino Linotype" w:eastAsiaTheme="minorHAnsi" w:hAnsi="Palatino Linotype"/>
          <w:bCs/>
          <w:sz w:val="22"/>
          <w:szCs w:val="22"/>
          <w:lang w:eastAsia="en-US"/>
        </w:rPr>
        <w:t>”;</w:t>
      </w:r>
    </w:p>
    <w:p w14:paraId="530633EA" w14:textId="77777777" w:rsidR="00CF121A" w:rsidRPr="00E93A0F" w:rsidRDefault="00CF121A" w:rsidP="002A7EAC">
      <w:pPr>
        <w:autoSpaceDE w:val="0"/>
        <w:autoSpaceDN w:val="0"/>
        <w:adjustRightInd w:val="0"/>
        <w:ind w:left="709" w:hanging="709"/>
        <w:jc w:val="both"/>
        <w:rPr>
          <w:rFonts w:ascii="Palatino Linotype" w:eastAsiaTheme="minorHAnsi" w:hAnsi="Palatino Linotype"/>
          <w:bCs/>
          <w:sz w:val="22"/>
          <w:szCs w:val="22"/>
          <w:lang w:eastAsia="en-US"/>
        </w:rPr>
      </w:pPr>
    </w:p>
    <w:p w14:paraId="1F48F2D1" w14:textId="317B5746" w:rsidR="002A7EAC" w:rsidRPr="00E93A0F" w:rsidRDefault="002A7EAC" w:rsidP="002A7EAC">
      <w:pPr>
        <w:autoSpaceDE w:val="0"/>
        <w:autoSpaceDN w:val="0"/>
        <w:adjustRightInd w:val="0"/>
        <w:ind w:left="709" w:hanging="709"/>
        <w:jc w:val="both"/>
        <w:rPr>
          <w:rFonts w:ascii="Palatino Linotype" w:eastAsiaTheme="minorHAnsi" w:hAnsi="Palatino Linotype"/>
          <w:bCs/>
          <w:iCs/>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 xml:space="preserve">la Ley de Arbitraje y Mediación, en su artículo 43, establece que: </w:t>
      </w:r>
      <w:r w:rsidRPr="00E93A0F">
        <w:rPr>
          <w:rFonts w:ascii="Palatino Linotype" w:eastAsiaTheme="minorHAnsi" w:hAnsi="Palatino Linotype"/>
          <w:bCs/>
          <w:i/>
          <w:sz w:val="22"/>
          <w:szCs w:val="22"/>
          <w:lang w:eastAsia="en-US"/>
        </w:rPr>
        <w:t>“la mediación es un procedimiento de solución de conflictos por el cual las partes, asistidas por un tercero neutral llamado mediador, procuran un acuerdo voluntario, que verse sobre materia transigible, de carácter extrajudicial y definitivo, que ponga fin al conflicto”</w:t>
      </w:r>
      <w:r w:rsidR="00CF121A" w:rsidRPr="00E93A0F">
        <w:rPr>
          <w:rFonts w:ascii="Palatino Linotype" w:eastAsiaTheme="minorHAnsi" w:hAnsi="Palatino Linotype"/>
          <w:bCs/>
          <w:iCs/>
          <w:sz w:val="22"/>
          <w:szCs w:val="22"/>
          <w:lang w:eastAsia="en-US"/>
        </w:rPr>
        <w:t>;</w:t>
      </w:r>
    </w:p>
    <w:p w14:paraId="63CFF1E4" w14:textId="77777777" w:rsidR="00CF121A" w:rsidRPr="00E93A0F" w:rsidRDefault="00CF121A" w:rsidP="002A7EAC">
      <w:pPr>
        <w:autoSpaceDE w:val="0"/>
        <w:autoSpaceDN w:val="0"/>
        <w:adjustRightInd w:val="0"/>
        <w:ind w:left="709" w:hanging="709"/>
        <w:jc w:val="both"/>
        <w:rPr>
          <w:rFonts w:ascii="Palatino Linotype" w:eastAsiaTheme="minorHAnsi" w:hAnsi="Palatino Linotype"/>
          <w:bCs/>
          <w:sz w:val="22"/>
          <w:szCs w:val="22"/>
          <w:lang w:eastAsia="en-US"/>
        </w:rPr>
      </w:pPr>
    </w:p>
    <w:p w14:paraId="4C98074E" w14:textId="484B1EA7" w:rsidR="002A7EAC" w:rsidRDefault="002A7EAC" w:rsidP="002A7EAC">
      <w:pPr>
        <w:autoSpaceDE w:val="0"/>
        <w:autoSpaceDN w:val="0"/>
        <w:adjustRightInd w:val="0"/>
        <w:ind w:left="709" w:hanging="709"/>
        <w:jc w:val="both"/>
        <w:rPr>
          <w:rFonts w:ascii="Palatino Linotype" w:eastAsiaTheme="minorHAnsi" w:hAnsi="Palatino Linotype"/>
          <w:bCs/>
          <w:i/>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 xml:space="preserve">el artículo 16 del Reglamento a la Ley de Arbitraje y Mediación prescribe que: </w:t>
      </w:r>
      <w:r w:rsidRPr="00E93A0F">
        <w:rPr>
          <w:rFonts w:ascii="Palatino Linotype" w:eastAsiaTheme="minorHAnsi" w:hAnsi="Palatino Linotype"/>
          <w:bCs/>
          <w:i/>
          <w:sz w:val="22"/>
          <w:szCs w:val="22"/>
          <w:lang w:eastAsia="en-US"/>
        </w:rPr>
        <w:t>“Mediación con el Estado y entidades del sector público.-</w:t>
      </w:r>
    </w:p>
    <w:p w14:paraId="04E3BFD8" w14:textId="77777777" w:rsidR="00C46BCC" w:rsidRPr="00E93A0F" w:rsidRDefault="00C46BCC" w:rsidP="002A7EAC">
      <w:pPr>
        <w:autoSpaceDE w:val="0"/>
        <w:autoSpaceDN w:val="0"/>
        <w:adjustRightInd w:val="0"/>
        <w:ind w:left="709" w:hanging="709"/>
        <w:jc w:val="both"/>
        <w:rPr>
          <w:rFonts w:ascii="Palatino Linotype" w:eastAsiaTheme="minorHAnsi" w:hAnsi="Palatino Linotype"/>
          <w:bCs/>
          <w:i/>
          <w:sz w:val="22"/>
          <w:szCs w:val="22"/>
          <w:lang w:eastAsia="en-US"/>
        </w:rPr>
      </w:pPr>
    </w:p>
    <w:p w14:paraId="7F5D0AD5" w14:textId="009734A8" w:rsidR="002A7EAC" w:rsidRDefault="002A7EAC" w:rsidP="002A7EAC">
      <w:pPr>
        <w:autoSpaceDE w:val="0"/>
        <w:autoSpaceDN w:val="0"/>
        <w:adjustRightInd w:val="0"/>
        <w:ind w:left="709" w:hanging="1"/>
        <w:jc w:val="both"/>
        <w:rPr>
          <w:rFonts w:ascii="Palatino Linotype" w:eastAsiaTheme="minorHAnsi" w:hAnsi="Palatino Linotype"/>
          <w:bCs/>
          <w:i/>
          <w:sz w:val="22"/>
          <w:szCs w:val="22"/>
          <w:lang w:eastAsia="en-US"/>
        </w:rPr>
      </w:pPr>
      <w:r w:rsidRPr="00E93A0F">
        <w:rPr>
          <w:rFonts w:ascii="Palatino Linotype" w:eastAsiaTheme="minorHAnsi" w:hAnsi="Palatino Linotype"/>
          <w:bCs/>
          <w:i/>
          <w:sz w:val="22"/>
          <w:szCs w:val="22"/>
          <w:lang w:eastAsia="en-US"/>
        </w:rPr>
        <w:t>1. El Estado o una entidad del sector público podrán resolver cualquier disputa sobre los hechos, actos o demás actuaciones administrativas que tengan relación o surjan con ocasión de la relación jurídica objeto de mediación, incluyendo dejar sin efecto o modificar actos de terminación, caducidad, sancionadores o multas, indistintamente del órgano administrativo que los emita.</w:t>
      </w:r>
    </w:p>
    <w:p w14:paraId="43CBBF7D" w14:textId="77777777" w:rsidR="00C46BCC" w:rsidRPr="00E93A0F" w:rsidRDefault="00C46BCC" w:rsidP="002A7EAC">
      <w:pPr>
        <w:autoSpaceDE w:val="0"/>
        <w:autoSpaceDN w:val="0"/>
        <w:adjustRightInd w:val="0"/>
        <w:ind w:left="709" w:hanging="1"/>
        <w:jc w:val="both"/>
        <w:rPr>
          <w:rFonts w:ascii="Palatino Linotype" w:eastAsiaTheme="minorHAnsi" w:hAnsi="Palatino Linotype"/>
          <w:bCs/>
          <w:i/>
          <w:sz w:val="22"/>
          <w:szCs w:val="22"/>
          <w:lang w:eastAsia="en-US"/>
        </w:rPr>
      </w:pPr>
    </w:p>
    <w:p w14:paraId="2F7582DE" w14:textId="6243AF54" w:rsidR="002A7EAC" w:rsidRDefault="002A7EAC" w:rsidP="002A7EAC">
      <w:pPr>
        <w:autoSpaceDE w:val="0"/>
        <w:autoSpaceDN w:val="0"/>
        <w:adjustRightInd w:val="0"/>
        <w:ind w:left="709" w:hanging="1"/>
        <w:jc w:val="both"/>
        <w:rPr>
          <w:rFonts w:ascii="Palatino Linotype" w:eastAsiaTheme="minorHAnsi" w:hAnsi="Palatino Linotype"/>
          <w:bCs/>
          <w:i/>
          <w:sz w:val="22"/>
          <w:szCs w:val="22"/>
          <w:lang w:eastAsia="en-US"/>
        </w:rPr>
      </w:pPr>
      <w:r w:rsidRPr="00E93A0F">
        <w:rPr>
          <w:rFonts w:ascii="Palatino Linotype" w:eastAsiaTheme="minorHAnsi" w:hAnsi="Palatino Linotype"/>
          <w:bCs/>
          <w:i/>
          <w:sz w:val="22"/>
          <w:szCs w:val="22"/>
          <w:lang w:eastAsia="en-US"/>
        </w:rPr>
        <w:t>2. En la mediación el representante del Estado o la entidad pública, con el apoyo de sus dependencias técnicas y legales, realizará un análisis costo-beneficio de proseguir con la controversia, considerando el costo en tiempo y recursos de un litigio, la expectativa de éxito de seguir tal litigio, y la conveniencia de resolver la controversia en la instancia más temprana posible.</w:t>
      </w:r>
    </w:p>
    <w:p w14:paraId="59AA0BAC" w14:textId="77777777" w:rsidR="00C46BCC" w:rsidRPr="00E93A0F" w:rsidRDefault="00C46BCC" w:rsidP="002A7EAC">
      <w:pPr>
        <w:autoSpaceDE w:val="0"/>
        <w:autoSpaceDN w:val="0"/>
        <w:adjustRightInd w:val="0"/>
        <w:ind w:left="709" w:hanging="1"/>
        <w:jc w:val="both"/>
        <w:rPr>
          <w:rFonts w:ascii="Palatino Linotype" w:eastAsiaTheme="minorHAnsi" w:hAnsi="Palatino Linotype"/>
          <w:bCs/>
          <w:i/>
          <w:sz w:val="22"/>
          <w:szCs w:val="22"/>
          <w:lang w:eastAsia="en-US"/>
        </w:rPr>
      </w:pPr>
    </w:p>
    <w:p w14:paraId="4A2A514B" w14:textId="0DAB1DC9" w:rsidR="002A7EAC" w:rsidRDefault="002A7EAC" w:rsidP="002A7EAC">
      <w:pPr>
        <w:autoSpaceDE w:val="0"/>
        <w:autoSpaceDN w:val="0"/>
        <w:adjustRightInd w:val="0"/>
        <w:ind w:left="709" w:hanging="1"/>
        <w:jc w:val="both"/>
        <w:rPr>
          <w:rFonts w:ascii="Palatino Linotype" w:eastAsiaTheme="minorHAnsi" w:hAnsi="Palatino Linotype"/>
          <w:bCs/>
          <w:i/>
          <w:sz w:val="22"/>
          <w:szCs w:val="22"/>
          <w:lang w:eastAsia="en-US"/>
        </w:rPr>
      </w:pPr>
      <w:r w:rsidRPr="00E93A0F">
        <w:rPr>
          <w:rFonts w:ascii="Palatino Linotype" w:eastAsiaTheme="minorHAnsi" w:hAnsi="Palatino Linotype"/>
          <w:bCs/>
          <w:i/>
          <w:sz w:val="22"/>
          <w:szCs w:val="22"/>
          <w:lang w:eastAsia="en-US"/>
        </w:rPr>
        <w:t>(…) 4. La suscripción del Acta de Mediación y la emisión de los informes conforme a los incisos anteriores no generará responsabilidad civil o administrativa de los funcionarios de la entidad pública o la Procuraduría General del Estado, salvo la existencia de dolo en su emisión.</w:t>
      </w:r>
    </w:p>
    <w:p w14:paraId="78A24DC8" w14:textId="77777777" w:rsidR="00C46BCC" w:rsidRPr="00E93A0F" w:rsidRDefault="00C46BCC" w:rsidP="002A7EAC">
      <w:pPr>
        <w:autoSpaceDE w:val="0"/>
        <w:autoSpaceDN w:val="0"/>
        <w:adjustRightInd w:val="0"/>
        <w:ind w:left="709" w:hanging="1"/>
        <w:jc w:val="both"/>
        <w:rPr>
          <w:rFonts w:ascii="Palatino Linotype" w:eastAsiaTheme="minorHAnsi" w:hAnsi="Palatino Linotype"/>
          <w:bCs/>
          <w:i/>
          <w:sz w:val="22"/>
          <w:szCs w:val="22"/>
          <w:lang w:eastAsia="en-US"/>
        </w:rPr>
      </w:pPr>
    </w:p>
    <w:p w14:paraId="547D917F" w14:textId="0BD43991" w:rsidR="002A7EAC" w:rsidRDefault="002A7EAC" w:rsidP="002A7EAC">
      <w:pPr>
        <w:autoSpaceDE w:val="0"/>
        <w:autoSpaceDN w:val="0"/>
        <w:adjustRightInd w:val="0"/>
        <w:ind w:left="709" w:hanging="1"/>
        <w:jc w:val="both"/>
        <w:rPr>
          <w:rFonts w:ascii="Palatino Linotype" w:eastAsiaTheme="minorHAnsi" w:hAnsi="Palatino Linotype"/>
          <w:bCs/>
          <w:i/>
          <w:sz w:val="22"/>
          <w:szCs w:val="22"/>
          <w:lang w:eastAsia="en-US"/>
        </w:rPr>
      </w:pPr>
      <w:r w:rsidRPr="00E93A0F">
        <w:rPr>
          <w:rFonts w:ascii="Palatino Linotype" w:eastAsiaTheme="minorHAnsi" w:hAnsi="Palatino Linotype"/>
          <w:bCs/>
          <w:i/>
          <w:sz w:val="22"/>
          <w:szCs w:val="22"/>
          <w:lang w:eastAsia="en-US"/>
        </w:rPr>
        <w:t xml:space="preserve">5. Incurrirá en responsabilidad civil o administrativa el funcionario público que, negándose a suscribir un acuerdo de mediación, hubiese provocado una condena a la entidad pública, </w:t>
      </w:r>
      <w:r w:rsidRPr="00E93A0F">
        <w:rPr>
          <w:rFonts w:ascii="Palatino Linotype" w:eastAsiaTheme="minorHAnsi" w:hAnsi="Palatino Linotype"/>
          <w:bCs/>
          <w:i/>
          <w:sz w:val="22"/>
          <w:szCs w:val="22"/>
          <w:lang w:eastAsia="en-US"/>
        </w:rPr>
        <w:lastRenderedPageBreak/>
        <w:t>cuando era razonablemente predecible que la posición de la entidad estatal no hubiese sido acogida en un litigio y con base en un análisis costo-beneficio, hubiese sido preferible para el erar</w:t>
      </w:r>
      <w:r w:rsidR="00CF121A" w:rsidRPr="00E93A0F">
        <w:rPr>
          <w:rFonts w:ascii="Palatino Linotype" w:eastAsiaTheme="minorHAnsi" w:hAnsi="Palatino Linotype"/>
          <w:bCs/>
          <w:i/>
          <w:sz w:val="22"/>
          <w:szCs w:val="22"/>
          <w:lang w:eastAsia="en-US"/>
        </w:rPr>
        <w:t>io público llegar a un acuerdo”;</w:t>
      </w:r>
    </w:p>
    <w:p w14:paraId="67B11F8E" w14:textId="77777777" w:rsidR="00C46BCC" w:rsidRPr="00E93A0F" w:rsidRDefault="00C46BCC" w:rsidP="002A7EAC">
      <w:pPr>
        <w:autoSpaceDE w:val="0"/>
        <w:autoSpaceDN w:val="0"/>
        <w:adjustRightInd w:val="0"/>
        <w:ind w:left="709" w:hanging="1"/>
        <w:jc w:val="both"/>
        <w:rPr>
          <w:rFonts w:ascii="Palatino Linotype" w:eastAsiaTheme="minorHAnsi" w:hAnsi="Palatino Linotype"/>
          <w:bCs/>
          <w:i/>
          <w:sz w:val="22"/>
          <w:szCs w:val="22"/>
          <w:lang w:eastAsia="en-US"/>
        </w:rPr>
      </w:pPr>
    </w:p>
    <w:p w14:paraId="70439A83" w14:textId="465F9FB7" w:rsidR="002A7EAC" w:rsidRPr="00E93A0F" w:rsidRDefault="002A7EAC" w:rsidP="002A7EAC">
      <w:pPr>
        <w:autoSpaceDE w:val="0"/>
        <w:autoSpaceDN w:val="0"/>
        <w:adjustRightInd w:val="0"/>
        <w:ind w:left="709" w:hanging="709"/>
        <w:jc w:val="both"/>
        <w:rPr>
          <w:rFonts w:ascii="Palatino Linotype" w:eastAsiaTheme="minorHAnsi" w:hAnsi="Palatino Linotype"/>
          <w:bCs/>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mediante memorando Nro. GADDMQ-SS-2023-1448, suscrito por la Secretaría de Salud, remitió los informes técnico y jurídico con relación a la viabilidad de continuar con la mediación Nro. 0462-DNCM-2023-QUI, planteada por la compañía Ca</w:t>
      </w:r>
      <w:r w:rsidR="00341416" w:rsidRPr="00E93A0F">
        <w:rPr>
          <w:rFonts w:ascii="Palatino Linotype" w:eastAsiaTheme="minorHAnsi" w:hAnsi="Palatino Linotype"/>
          <w:bCs/>
          <w:sz w:val="22"/>
          <w:szCs w:val="22"/>
          <w:lang w:eastAsia="en-US"/>
        </w:rPr>
        <w:t>n</w:t>
      </w:r>
      <w:r w:rsidRPr="00E93A0F">
        <w:rPr>
          <w:rFonts w:ascii="Palatino Linotype" w:eastAsiaTheme="minorHAnsi" w:hAnsi="Palatino Linotype"/>
          <w:bCs/>
          <w:sz w:val="22"/>
          <w:szCs w:val="22"/>
          <w:lang w:eastAsia="en-US"/>
        </w:rPr>
        <w:t>devill Security Cía. Ltda. En el memorando Nro. GADDMQ-SS-CJUR-2023-0158-M, de 31 de agosto de 2023, el Coordinador de Asesoría Jurídica de la Secretaría de Salud , se indica: “(…)</w:t>
      </w:r>
      <w:r w:rsidRPr="00E93A0F">
        <w:rPr>
          <w:rFonts w:ascii="Palatino Linotype" w:eastAsiaTheme="minorHAnsi" w:hAnsi="Palatino Linotype"/>
          <w:bCs/>
          <w:i/>
          <w:sz w:val="22"/>
          <w:szCs w:val="22"/>
          <w:lang w:eastAsia="en-US"/>
        </w:rPr>
        <w:t xml:space="preserve"> con el fin de evitar un futuro proceso judicial, en el cual se puede predecir que la posición institucional no sea acogida, en virtud de los derechos constitucionales a la seguridad jurídica, a la no confiscación (expropiación indirecta), y a la libertad de trabajo con una justa retribución; y por tanto resulta más conveniente para el erario municipal, resolver la controversia en mediación, por ser la instancia más temprana para resolver el conflicto; evitando así además, un posible pago de i</w:t>
      </w:r>
      <w:r w:rsidR="00CF121A" w:rsidRPr="00E93A0F">
        <w:rPr>
          <w:rFonts w:ascii="Palatino Linotype" w:eastAsiaTheme="minorHAnsi" w:hAnsi="Palatino Linotype"/>
          <w:bCs/>
          <w:i/>
          <w:sz w:val="22"/>
          <w:szCs w:val="22"/>
          <w:lang w:eastAsia="en-US"/>
        </w:rPr>
        <w:t>ntereses y/o daños y perjuicios</w:t>
      </w:r>
      <w:r w:rsidR="00CF121A" w:rsidRPr="00E93A0F">
        <w:rPr>
          <w:rFonts w:ascii="Palatino Linotype" w:eastAsiaTheme="minorHAnsi" w:hAnsi="Palatino Linotype"/>
          <w:bCs/>
          <w:sz w:val="22"/>
          <w:szCs w:val="22"/>
          <w:lang w:eastAsia="en-US"/>
        </w:rPr>
        <w:t>”;</w:t>
      </w:r>
    </w:p>
    <w:p w14:paraId="0755D4E5" w14:textId="77777777" w:rsidR="00CF121A" w:rsidRPr="00E93A0F" w:rsidRDefault="00CF121A" w:rsidP="002A7EAC">
      <w:pPr>
        <w:autoSpaceDE w:val="0"/>
        <w:autoSpaceDN w:val="0"/>
        <w:adjustRightInd w:val="0"/>
        <w:ind w:left="709" w:hanging="709"/>
        <w:jc w:val="both"/>
        <w:rPr>
          <w:rFonts w:ascii="Palatino Linotype" w:eastAsiaTheme="minorHAnsi" w:hAnsi="Palatino Linotype"/>
          <w:bCs/>
          <w:i/>
          <w:sz w:val="22"/>
          <w:szCs w:val="22"/>
          <w:lang w:eastAsia="en-US"/>
        </w:rPr>
      </w:pPr>
    </w:p>
    <w:p w14:paraId="40501453" w14:textId="2219C09B" w:rsidR="002A7EAC" w:rsidRPr="00E93A0F" w:rsidRDefault="002A7EAC">
      <w:pPr>
        <w:autoSpaceDE w:val="0"/>
        <w:autoSpaceDN w:val="0"/>
        <w:adjustRightInd w:val="0"/>
        <w:ind w:left="709" w:hanging="709"/>
        <w:jc w:val="both"/>
        <w:rPr>
          <w:rFonts w:ascii="Palatino Linotype" w:eastAsiaTheme="minorHAnsi" w:hAnsi="Palatino Linotype"/>
          <w:bCs/>
          <w:sz w:val="22"/>
          <w:szCs w:val="22"/>
          <w:lang w:eastAsia="en-US"/>
        </w:rPr>
      </w:pPr>
      <w:r w:rsidRPr="00E93A0F">
        <w:rPr>
          <w:rFonts w:ascii="Palatino Linotype" w:eastAsiaTheme="minorHAnsi" w:hAnsi="Palatino Linotype"/>
          <w:b/>
          <w:bCs/>
          <w:sz w:val="22"/>
          <w:szCs w:val="22"/>
          <w:lang w:eastAsia="en-US"/>
        </w:rPr>
        <w:t>Que</w:t>
      </w:r>
      <w:r w:rsidRPr="00E93A0F">
        <w:rPr>
          <w:rFonts w:ascii="Palatino Linotype" w:eastAsiaTheme="minorHAnsi" w:hAnsi="Palatino Linotype"/>
          <w:bCs/>
          <w:sz w:val="22"/>
          <w:szCs w:val="22"/>
          <w:lang w:eastAsia="en-US"/>
        </w:rPr>
        <w:tab/>
        <w:t xml:space="preserve">mediante </w:t>
      </w:r>
      <w:r w:rsidR="00341416" w:rsidRPr="00E93A0F">
        <w:rPr>
          <w:rFonts w:ascii="Palatino Linotype" w:eastAsiaTheme="minorHAnsi" w:hAnsi="Palatino Linotype"/>
          <w:bCs/>
          <w:sz w:val="22"/>
          <w:szCs w:val="22"/>
          <w:lang w:eastAsia="en-US"/>
        </w:rPr>
        <w:t xml:space="preserve">memorando </w:t>
      </w:r>
      <w:r w:rsidRPr="00E93A0F">
        <w:rPr>
          <w:rFonts w:ascii="Palatino Linotype" w:eastAsiaTheme="minorHAnsi" w:hAnsi="Palatino Linotype"/>
          <w:bCs/>
          <w:sz w:val="22"/>
          <w:szCs w:val="22"/>
          <w:lang w:eastAsia="en-US"/>
        </w:rPr>
        <w:t xml:space="preserve">Nro. </w:t>
      </w:r>
      <w:r w:rsidR="00341416" w:rsidRPr="00E93A0F">
        <w:rPr>
          <w:rFonts w:ascii="Palatino Linotype" w:eastAsiaTheme="minorHAnsi" w:hAnsi="Palatino Linotype"/>
          <w:bCs/>
          <w:sz w:val="22"/>
          <w:szCs w:val="22"/>
          <w:lang w:eastAsia="en-US"/>
        </w:rPr>
        <w:t>GADDMQ-PM-2024-0569-M</w:t>
      </w:r>
      <w:r w:rsidR="00E93A0F" w:rsidRPr="00E93A0F">
        <w:rPr>
          <w:rFonts w:ascii="Palatino Linotype" w:eastAsiaTheme="minorHAnsi" w:hAnsi="Palatino Linotype"/>
          <w:bCs/>
          <w:sz w:val="22"/>
          <w:szCs w:val="22"/>
          <w:lang w:eastAsia="en-US"/>
        </w:rPr>
        <w:t>,</w:t>
      </w:r>
      <w:r w:rsidRPr="00E93A0F">
        <w:rPr>
          <w:rFonts w:ascii="Palatino Linotype" w:eastAsiaTheme="minorHAnsi" w:hAnsi="Palatino Linotype"/>
          <w:bCs/>
          <w:sz w:val="22"/>
          <w:szCs w:val="22"/>
          <w:lang w:eastAsia="en-US"/>
        </w:rPr>
        <w:t xml:space="preserve"> de </w:t>
      </w:r>
      <w:r w:rsidR="00341416" w:rsidRPr="00E93A0F">
        <w:rPr>
          <w:rFonts w:ascii="Palatino Linotype" w:eastAsiaTheme="minorHAnsi" w:hAnsi="Palatino Linotype"/>
          <w:bCs/>
          <w:sz w:val="22"/>
          <w:szCs w:val="22"/>
          <w:lang w:eastAsia="en-US"/>
        </w:rPr>
        <w:t>06 de febrero de 2024</w:t>
      </w:r>
      <w:r w:rsidRPr="00E93A0F">
        <w:rPr>
          <w:rFonts w:ascii="Palatino Linotype" w:eastAsiaTheme="minorHAnsi" w:hAnsi="Palatino Linotype"/>
          <w:bCs/>
          <w:sz w:val="22"/>
          <w:szCs w:val="22"/>
          <w:lang w:eastAsia="en-US"/>
        </w:rPr>
        <w:t xml:space="preserve">, el Procurador Metropolitano </w:t>
      </w:r>
      <w:r w:rsidR="00E93A0F">
        <w:rPr>
          <w:rFonts w:ascii="Palatino Linotype" w:eastAsiaTheme="minorHAnsi" w:hAnsi="Palatino Linotype"/>
          <w:bCs/>
          <w:sz w:val="22"/>
          <w:szCs w:val="22"/>
          <w:lang w:eastAsia="en-US"/>
        </w:rPr>
        <w:t>señaló lo siguiente:</w:t>
      </w:r>
      <w:r w:rsidRPr="00E93A0F">
        <w:rPr>
          <w:rFonts w:ascii="Palatino Linotype" w:eastAsiaTheme="minorHAnsi" w:hAnsi="Palatino Linotype"/>
          <w:bCs/>
          <w:sz w:val="22"/>
          <w:szCs w:val="22"/>
          <w:lang w:eastAsia="en-US"/>
        </w:rPr>
        <w:t xml:space="preserve"> “</w:t>
      </w:r>
      <w:r w:rsidRPr="00E93A0F">
        <w:rPr>
          <w:rFonts w:ascii="Palatino Linotype" w:eastAsiaTheme="minorHAnsi" w:hAnsi="Palatino Linotype"/>
          <w:bCs/>
          <w:i/>
          <w:sz w:val="22"/>
          <w:szCs w:val="22"/>
          <w:lang w:eastAsia="en-US"/>
        </w:rPr>
        <w:t>4. PETICIÓN Sobre la base de los antecedentes de hecho y derecho expuesto, esta Procuraduría Metropolitana acogiendo el memorando Nro. GADDMQ-SS-CJUR-2023-0158-M, de 31 de agosto de 2023, y el informe técnico agregado al memorando Nro. GADDMQ-SS-2023-1448, de 04 de septiembre de 2023, emitido por la Secretaría de Salud, dentro de la mediación Nro. 0462-DNCM-2023-QUI, - aclarando que el convenio de pago es una figura que se aplica por excepción y sin que el presente pronunciamiento implique el aval de las decisiones del Coordinador del Proyecto de Prevención Integral de Adicciones-, solicita que incluya en el orden del día de la próxima sesión del Concejo Metropolitano, la autorización para la suscripción del acta de mediación, con la compañía CANDEVILL SECURITY CIA. LTDA.</w:t>
      </w:r>
      <w:r w:rsidRPr="00E93A0F">
        <w:rPr>
          <w:rFonts w:ascii="Palatino Linotype" w:eastAsiaTheme="minorHAnsi" w:hAnsi="Palatino Linotype"/>
          <w:bCs/>
          <w:sz w:val="22"/>
          <w:szCs w:val="22"/>
          <w:lang w:eastAsia="en-US"/>
        </w:rPr>
        <w:t>”</w:t>
      </w:r>
      <w:r w:rsidR="009339F5" w:rsidRPr="00E93A0F">
        <w:rPr>
          <w:rFonts w:ascii="Palatino Linotype" w:eastAsiaTheme="minorHAnsi" w:hAnsi="Palatino Linotype"/>
          <w:bCs/>
          <w:sz w:val="22"/>
          <w:szCs w:val="22"/>
          <w:lang w:eastAsia="en-US"/>
        </w:rPr>
        <w:t>.</w:t>
      </w:r>
    </w:p>
    <w:p w14:paraId="3BAF9CDD" w14:textId="181DEE27" w:rsidR="00CF3DE1" w:rsidRPr="00E93A0F" w:rsidRDefault="00CF3DE1" w:rsidP="005A274B">
      <w:pPr>
        <w:autoSpaceDE w:val="0"/>
        <w:autoSpaceDN w:val="0"/>
        <w:adjustRightInd w:val="0"/>
        <w:ind w:left="709" w:hanging="709"/>
        <w:jc w:val="both"/>
        <w:rPr>
          <w:rFonts w:ascii="Palatino Linotype" w:hAnsi="Palatino Linotype" w:cs="Tahoma"/>
          <w:b/>
          <w:bCs/>
          <w:sz w:val="22"/>
          <w:szCs w:val="22"/>
        </w:rPr>
      </w:pPr>
    </w:p>
    <w:p w14:paraId="4C5B8262" w14:textId="27B53880" w:rsidR="00694A53" w:rsidRPr="00E93A0F" w:rsidRDefault="00142A19" w:rsidP="00694A53">
      <w:pPr>
        <w:autoSpaceDE w:val="0"/>
        <w:autoSpaceDN w:val="0"/>
        <w:adjustRightInd w:val="0"/>
        <w:jc w:val="both"/>
        <w:rPr>
          <w:rFonts w:ascii="Palatino Linotype" w:hAnsi="Palatino Linotype" w:cs="Tahoma"/>
          <w:b/>
          <w:bCs/>
          <w:sz w:val="22"/>
          <w:szCs w:val="22"/>
        </w:rPr>
      </w:pPr>
      <w:r w:rsidRPr="00E93A0F">
        <w:rPr>
          <w:rFonts w:ascii="Palatino Linotype" w:eastAsiaTheme="minorHAnsi" w:hAnsi="Palatino Linotype"/>
          <w:b/>
          <w:bCs/>
          <w:sz w:val="22"/>
          <w:szCs w:val="22"/>
          <w:lang w:eastAsia="en-US"/>
        </w:rPr>
        <w:t>En ejercicio de las atribuciones previstas en el artículo 240 de la Constitución de la República; y artículos 87 literal a) y 323 del Código Orgánico de Organización Territorial, Autonomía y Descentralización</w:t>
      </w:r>
      <w:r w:rsidR="00DF11FB" w:rsidRPr="00E93A0F">
        <w:rPr>
          <w:rFonts w:ascii="Palatino Linotype" w:hAnsi="Palatino Linotype" w:cs="Tahoma"/>
          <w:b/>
          <w:bCs/>
          <w:sz w:val="22"/>
          <w:szCs w:val="22"/>
        </w:rPr>
        <w:t>.</w:t>
      </w:r>
    </w:p>
    <w:p w14:paraId="1AA73B88" w14:textId="20DA0498" w:rsidR="00F733AE" w:rsidRPr="00E93A0F" w:rsidRDefault="00F733AE" w:rsidP="00705EA1">
      <w:pPr>
        <w:autoSpaceDE w:val="0"/>
        <w:autoSpaceDN w:val="0"/>
        <w:adjustRightInd w:val="0"/>
        <w:rPr>
          <w:rFonts w:ascii="Palatino Linotype" w:eastAsiaTheme="minorHAnsi" w:hAnsi="Palatino Linotype"/>
          <w:b/>
          <w:bCs/>
          <w:sz w:val="22"/>
          <w:szCs w:val="22"/>
          <w:lang w:val="es-MX" w:eastAsia="en-US"/>
        </w:rPr>
      </w:pPr>
    </w:p>
    <w:p w14:paraId="7B26B9CA" w14:textId="77777777" w:rsidR="00DF11FB" w:rsidRPr="00E93A0F" w:rsidRDefault="00DF11FB" w:rsidP="00DF11FB">
      <w:pPr>
        <w:autoSpaceDE w:val="0"/>
        <w:autoSpaceDN w:val="0"/>
        <w:adjustRightInd w:val="0"/>
        <w:jc w:val="center"/>
        <w:rPr>
          <w:rFonts w:ascii="Palatino Linotype" w:hAnsi="Palatino Linotype" w:cs="Tahoma"/>
          <w:b/>
          <w:bCs/>
          <w:sz w:val="22"/>
          <w:szCs w:val="22"/>
        </w:rPr>
      </w:pPr>
      <w:r w:rsidRPr="00E93A0F">
        <w:rPr>
          <w:rFonts w:ascii="Palatino Linotype" w:hAnsi="Palatino Linotype" w:cs="Tahoma"/>
          <w:b/>
          <w:bCs/>
          <w:sz w:val="22"/>
          <w:szCs w:val="22"/>
        </w:rPr>
        <w:t>RESUELVE:</w:t>
      </w:r>
    </w:p>
    <w:p w14:paraId="17B27B56" w14:textId="77777777" w:rsidR="00DF11FB" w:rsidRPr="00E93A0F" w:rsidRDefault="00DF11FB" w:rsidP="00DF11FB">
      <w:pPr>
        <w:autoSpaceDE w:val="0"/>
        <w:autoSpaceDN w:val="0"/>
        <w:adjustRightInd w:val="0"/>
        <w:jc w:val="both"/>
        <w:rPr>
          <w:rFonts w:ascii="Palatino Linotype" w:hAnsi="Palatino Linotype" w:cs="Tahoma"/>
          <w:b/>
          <w:bCs/>
          <w:sz w:val="22"/>
          <w:szCs w:val="22"/>
        </w:rPr>
      </w:pPr>
    </w:p>
    <w:p w14:paraId="2173127B" w14:textId="731053BF" w:rsidR="00B314B0" w:rsidRPr="00E93A0F" w:rsidRDefault="002A7EAC" w:rsidP="002A7EAC">
      <w:pPr>
        <w:jc w:val="both"/>
        <w:rPr>
          <w:rFonts w:ascii="Palatino Linotype" w:hAnsi="Palatino Linotype"/>
          <w:sz w:val="22"/>
          <w:szCs w:val="22"/>
        </w:rPr>
      </w:pPr>
      <w:r w:rsidRPr="00E93A0F">
        <w:rPr>
          <w:rFonts w:ascii="Palatino Linotype" w:hAnsi="Palatino Linotype"/>
          <w:b/>
          <w:sz w:val="22"/>
          <w:szCs w:val="22"/>
        </w:rPr>
        <w:t xml:space="preserve">Artículo </w:t>
      </w:r>
      <w:r w:rsidR="00C46BCC">
        <w:rPr>
          <w:rFonts w:ascii="Palatino Linotype" w:hAnsi="Palatino Linotype"/>
          <w:b/>
          <w:sz w:val="22"/>
          <w:szCs w:val="22"/>
        </w:rPr>
        <w:t>1</w:t>
      </w:r>
      <w:r w:rsidRPr="00E93A0F">
        <w:rPr>
          <w:rFonts w:ascii="Palatino Linotype" w:hAnsi="Palatino Linotype"/>
          <w:b/>
          <w:sz w:val="22"/>
          <w:szCs w:val="22"/>
        </w:rPr>
        <w:t xml:space="preserve">. </w:t>
      </w:r>
      <w:r w:rsidR="00B314B0" w:rsidRPr="00E93A0F">
        <w:rPr>
          <w:rFonts w:ascii="Palatino Linotype" w:hAnsi="Palatino Linotype"/>
          <w:b/>
          <w:sz w:val="22"/>
          <w:szCs w:val="22"/>
        </w:rPr>
        <w:t>–</w:t>
      </w:r>
      <w:r w:rsidRPr="00E93A0F">
        <w:rPr>
          <w:rFonts w:ascii="Palatino Linotype" w:hAnsi="Palatino Linotype"/>
          <w:sz w:val="22"/>
          <w:szCs w:val="22"/>
        </w:rPr>
        <w:t xml:space="preserve"> </w:t>
      </w:r>
      <w:r w:rsidR="00B314B0" w:rsidRPr="00E93A0F">
        <w:rPr>
          <w:rFonts w:ascii="Palatino Linotype" w:hAnsi="Palatino Linotype"/>
          <w:sz w:val="22"/>
          <w:szCs w:val="22"/>
        </w:rPr>
        <w:t>Autorizar al señor Alcalde del Distrito Metropolitano de Quito o a quien dele</w:t>
      </w:r>
      <w:r w:rsidR="00F341C0">
        <w:rPr>
          <w:rFonts w:ascii="Palatino Linotype" w:hAnsi="Palatino Linotype"/>
          <w:sz w:val="22"/>
          <w:szCs w:val="22"/>
        </w:rPr>
        <w:t>gue</w:t>
      </w:r>
      <w:r w:rsidR="00B314B0" w:rsidRPr="00E93A0F">
        <w:rPr>
          <w:rFonts w:ascii="Palatino Linotype" w:hAnsi="Palatino Linotype"/>
          <w:sz w:val="22"/>
          <w:szCs w:val="22"/>
        </w:rPr>
        <w:t xml:space="preserve">, para que, en ejercicio de sus competencias y responsabilidades, cumpliendo con el </w:t>
      </w:r>
      <w:r w:rsidR="00B314B0" w:rsidRPr="00E93A0F">
        <w:rPr>
          <w:rFonts w:ascii="Palatino Linotype" w:hAnsi="Palatino Linotype"/>
          <w:sz w:val="22"/>
          <w:szCs w:val="22"/>
        </w:rPr>
        <w:lastRenderedPageBreak/>
        <w:t>ordenamiento jurídico vigente, actúen en los términos previstos en el artículo 331, letra j) del COOTAD, dentro del procedimiento de mediación identificado con el número</w:t>
      </w:r>
      <w:r w:rsidR="00B314B0" w:rsidRPr="00E93A0F">
        <w:t xml:space="preserve"> </w:t>
      </w:r>
      <w:r w:rsidR="00B314B0" w:rsidRPr="00E93A0F">
        <w:rPr>
          <w:rFonts w:ascii="Palatino Linotype" w:hAnsi="Palatino Linotype"/>
          <w:sz w:val="22"/>
          <w:szCs w:val="22"/>
        </w:rPr>
        <w:t>Nro. 0462-DNCM-2023-QUI que se tramita ante el Centro de Mediación de la Procuraduría General del Estado</w:t>
      </w:r>
      <w:r w:rsidR="00F341C0">
        <w:rPr>
          <w:rFonts w:ascii="Palatino Linotype" w:hAnsi="Palatino Linotype"/>
          <w:sz w:val="22"/>
          <w:szCs w:val="22"/>
        </w:rPr>
        <w:t>.</w:t>
      </w:r>
    </w:p>
    <w:p w14:paraId="7D4A9DE4" w14:textId="57956E6F" w:rsidR="00B314B0" w:rsidRPr="00E93A0F" w:rsidRDefault="00B314B0" w:rsidP="002A7EAC">
      <w:pPr>
        <w:jc w:val="both"/>
        <w:rPr>
          <w:rFonts w:ascii="Palatino Linotype" w:hAnsi="Palatino Linotype"/>
          <w:sz w:val="22"/>
          <w:szCs w:val="22"/>
        </w:rPr>
      </w:pPr>
    </w:p>
    <w:p w14:paraId="1ABA88B8" w14:textId="7BC1B5F8" w:rsidR="00B314B0" w:rsidRPr="00E93A0F" w:rsidRDefault="00B314B0" w:rsidP="002A7EAC">
      <w:pPr>
        <w:jc w:val="both"/>
        <w:rPr>
          <w:rFonts w:ascii="Palatino Linotype" w:hAnsi="Palatino Linotype"/>
          <w:sz w:val="22"/>
          <w:szCs w:val="22"/>
        </w:rPr>
      </w:pPr>
      <w:r w:rsidRPr="00E93A0F">
        <w:rPr>
          <w:rFonts w:ascii="Palatino Linotype" w:hAnsi="Palatino Linotype"/>
          <w:b/>
          <w:sz w:val="22"/>
          <w:szCs w:val="22"/>
        </w:rPr>
        <w:t xml:space="preserve">Artículo </w:t>
      </w:r>
      <w:r w:rsidR="00C46BCC">
        <w:rPr>
          <w:rFonts w:ascii="Palatino Linotype" w:hAnsi="Palatino Linotype"/>
          <w:b/>
          <w:sz w:val="22"/>
          <w:szCs w:val="22"/>
        </w:rPr>
        <w:t>2</w:t>
      </w:r>
      <w:r w:rsidRPr="00E93A0F">
        <w:rPr>
          <w:rFonts w:ascii="Palatino Linotype" w:hAnsi="Palatino Linotype"/>
          <w:b/>
          <w:sz w:val="22"/>
          <w:szCs w:val="22"/>
        </w:rPr>
        <w:t>.-</w:t>
      </w:r>
      <w:r w:rsidRPr="00E93A0F">
        <w:rPr>
          <w:rFonts w:ascii="Palatino Linotype" w:hAnsi="Palatino Linotype"/>
          <w:sz w:val="22"/>
          <w:szCs w:val="22"/>
        </w:rPr>
        <w:t xml:space="preserve"> La presente </w:t>
      </w:r>
      <w:r w:rsidR="003F201C">
        <w:rPr>
          <w:rFonts w:ascii="Palatino Linotype" w:hAnsi="Palatino Linotype"/>
          <w:sz w:val="22"/>
          <w:szCs w:val="22"/>
        </w:rPr>
        <w:t>autoriza</w:t>
      </w:r>
      <w:r w:rsidRPr="00E93A0F">
        <w:rPr>
          <w:rFonts w:ascii="Palatino Linotype" w:hAnsi="Palatino Linotype"/>
          <w:sz w:val="22"/>
          <w:szCs w:val="22"/>
        </w:rPr>
        <w:t>ción estará vigente hasta la conclusión del proceso de mediación a través de</w:t>
      </w:r>
      <w:r w:rsidR="00F341C0">
        <w:rPr>
          <w:rFonts w:ascii="Palatino Linotype" w:hAnsi="Palatino Linotype"/>
          <w:sz w:val="22"/>
          <w:szCs w:val="22"/>
        </w:rPr>
        <w:t xml:space="preserve">l acta correspondiente que se suscriba entre las partes. </w:t>
      </w:r>
    </w:p>
    <w:p w14:paraId="5F7FFBD2" w14:textId="77D43105" w:rsidR="00B314B0" w:rsidRPr="00E93A0F" w:rsidRDefault="00B314B0" w:rsidP="002A7EAC">
      <w:pPr>
        <w:jc w:val="both"/>
        <w:rPr>
          <w:rFonts w:ascii="Palatino Linotype" w:hAnsi="Palatino Linotype"/>
          <w:sz w:val="22"/>
          <w:szCs w:val="22"/>
        </w:rPr>
      </w:pPr>
    </w:p>
    <w:p w14:paraId="671E2354" w14:textId="6F71EE21" w:rsidR="00B314B0" w:rsidRPr="00E93A0F" w:rsidRDefault="00B314B0" w:rsidP="00B314B0">
      <w:pPr>
        <w:jc w:val="both"/>
        <w:rPr>
          <w:rFonts w:ascii="Palatino Linotype" w:hAnsi="Palatino Linotype"/>
          <w:sz w:val="22"/>
          <w:szCs w:val="22"/>
        </w:rPr>
      </w:pPr>
      <w:r w:rsidRPr="00E93A0F">
        <w:rPr>
          <w:rFonts w:ascii="Palatino Linotype" w:hAnsi="Palatino Linotype"/>
          <w:b/>
          <w:sz w:val="22"/>
          <w:szCs w:val="22"/>
        </w:rPr>
        <w:t>Disposición General Primera.-</w:t>
      </w:r>
      <w:r w:rsidRPr="00E93A0F">
        <w:rPr>
          <w:rFonts w:ascii="Palatino Linotype" w:hAnsi="Palatino Linotype"/>
          <w:sz w:val="22"/>
          <w:szCs w:val="22"/>
        </w:rPr>
        <w:t xml:space="preserve"> La presente autorización corresponde exclusivamente a la posibilidad legal de alcanzar una conciliación en los términos de la letra j) del artículo 331 del COOTAD y en ningún caso avala o valida cualquier error, acción u omisión que se hubiese generado en el marco de la ejecución del contrato o de su proceso de cierre, que en los términos de la Constitución y las leyes de la República del Ecuador, son de exclusiva responsabilidad de los </w:t>
      </w:r>
      <w:r w:rsidR="00F341C0">
        <w:rPr>
          <w:rFonts w:ascii="Palatino Linotype" w:hAnsi="Palatino Linotype"/>
          <w:sz w:val="22"/>
          <w:szCs w:val="22"/>
        </w:rPr>
        <w:t>servidores</w:t>
      </w:r>
      <w:r w:rsidRPr="00E93A0F">
        <w:rPr>
          <w:rFonts w:ascii="Palatino Linotype" w:hAnsi="Palatino Linotype"/>
          <w:sz w:val="22"/>
          <w:szCs w:val="22"/>
        </w:rPr>
        <w:t xml:space="preserve"> que actuaron en dichos procesos o suscribieron los informes, actas y demás documentos en el marco de tales procesos.</w:t>
      </w:r>
    </w:p>
    <w:p w14:paraId="0555D8AA" w14:textId="77777777" w:rsidR="009339F5" w:rsidRPr="00E93A0F" w:rsidRDefault="009339F5" w:rsidP="00B314B0">
      <w:pPr>
        <w:jc w:val="both"/>
        <w:rPr>
          <w:rFonts w:ascii="Palatino Linotype" w:hAnsi="Palatino Linotype"/>
          <w:sz w:val="22"/>
          <w:szCs w:val="22"/>
        </w:rPr>
      </w:pPr>
    </w:p>
    <w:p w14:paraId="0A3E3D04" w14:textId="75AD2D7C" w:rsidR="00B314B0" w:rsidRPr="00E93A0F" w:rsidRDefault="00B314B0" w:rsidP="00B314B0">
      <w:pPr>
        <w:jc w:val="both"/>
        <w:rPr>
          <w:rFonts w:ascii="Palatino Linotype" w:hAnsi="Palatino Linotype"/>
          <w:sz w:val="22"/>
          <w:szCs w:val="22"/>
        </w:rPr>
      </w:pPr>
      <w:r w:rsidRPr="00E93A0F">
        <w:rPr>
          <w:rFonts w:ascii="Palatino Linotype" w:hAnsi="Palatino Linotype"/>
          <w:b/>
          <w:sz w:val="22"/>
          <w:szCs w:val="22"/>
        </w:rPr>
        <w:t>Disposición General Segunda.-</w:t>
      </w:r>
      <w:r w:rsidRPr="00E93A0F">
        <w:rPr>
          <w:rFonts w:ascii="Palatino Linotype" w:hAnsi="Palatino Linotype"/>
          <w:sz w:val="22"/>
          <w:szCs w:val="22"/>
        </w:rPr>
        <w:t xml:space="preserve"> La presente </w:t>
      </w:r>
      <w:r w:rsidR="00F341C0">
        <w:rPr>
          <w:rFonts w:ascii="Palatino Linotype" w:hAnsi="Palatino Linotype"/>
          <w:sz w:val="22"/>
          <w:szCs w:val="22"/>
        </w:rPr>
        <w:t>r</w:t>
      </w:r>
      <w:r w:rsidRPr="00E93A0F">
        <w:rPr>
          <w:rFonts w:ascii="Palatino Linotype" w:hAnsi="Palatino Linotype"/>
          <w:sz w:val="22"/>
          <w:szCs w:val="22"/>
        </w:rPr>
        <w:t xml:space="preserve">esolución entrará en vigencia a partir de su </w:t>
      </w:r>
      <w:r w:rsidR="00A207EB">
        <w:rPr>
          <w:rFonts w:ascii="Palatino Linotype" w:hAnsi="Palatino Linotype"/>
          <w:sz w:val="22"/>
          <w:szCs w:val="22"/>
        </w:rPr>
        <w:t>aprobación</w:t>
      </w:r>
      <w:r w:rsidRPr="00E93A0F">
        <w:rPr>
          <w:rFonts w:ascii="Palatino Linotype" w:hAnsi="Palatino Linotype"/>
          <w:sz w:val="22"/>
          <w:szCs w:val="22"/>
        </w:rPr>
        <w:t xml:space="preserve">. </w:t>
      </w:r>
    </w:p>
    <w:p w14:paraId="3720F24D" w14:textId="77777777" w:rsidR="009339F5" w:rsidRPr="00E93A0F" w:rsidRDefault="009339F5" w:rsidP="00B314B0">
      <w:pPr>
        <w:jc w:val="both"/>
        <w:rPr>
          <w:rFonts w:ascii="Palatino Linotype" w:hAnsi="Palatino Linotype"/>
          <w:sz w:val="22"/>
          <w:szCs w:val="22"/>
        </w:rPr>
      </w:pPr>
    </w:p>
    <w:p w14:paraId="22698E12" w14:textId="5049216F" w:rsidR="00B314B0" w:rsidRPr="00E93A0F" w:rsidRDefault="00B314B0" w:rsidP="00B314B0">
      <w:pPr>
        <w:jc w:val="both"/>
        <w:rPr>
          <w:rFonts w:ascii="Palatino Linotype" w:hAnsi="Palatino Linotype"/>
          <w:sz w:val="22"/>
          <w:szCs w:val="22"/>
        </w:rPr>
      </w:pPr>
      <w:r w:rsidRPr="00E93A0F">
        <w:rPr>
          <w:rFonts w:ascii="Palatino Linotype" w:hAnsi="Palatino Linotype"/>
          <w:sz w:val="22"/>
          <w:szCs w:val="22"/>
        </w:rPr>
        <w:t>Dada, en la sala de Sesiones del Concejo Metropolitano de Quito, el XXXX de XXXX de 202</w:t>
      </w:r>
      <w:r w:rsidR="009339F5" w:rsidRPr="00E93A0F">
        <w:rPr>
          <w:rFonts w:ascii="Palatino Linotype" w:hAnsi="Palatino Linotype"/>
          <w:sz w:val="22"/>
          <w:szCs w:val="22"/>
        </w:rPr>
        <w:t>4</w:t>
      </w:r>
      <w:r w:rsidRPr="00E93A0F">
        <w:rPr>
          <w:rFonts w:ascii="Palatino Linotype" w:hAnsi="Palatino Linotype"/>
          <w:sz w:val="22"/>
          <w:szCs w:val="22"/>
        </w:rPr>
        <w:t>.</w:t>
      </w:r>
    </w:p>
    <w:p w14:paraId="2741B77C" w14:textId="69F770F2" w:rsidR="00B314B0" w:rsidRPr="00E93A0F" w:rsidRDefault="00B314B0" w:rsidP="002A7EAC">
      <w:pPr>
        <w:jc w:val="both"/>
        <w:rPr>
          <w:rFonts w:ascii="Palatino Linotype" w:hAnsi="Palatino Linotype"/>
          <w:sz w:val="22"/>
          <w:szCs w:val="22"/>
        </w:rPr>
      </w:pPr>
    </w:p>
    <w:p w14:paraId="5EE5FABB" w14:textId="30AA40FD" w:rsidR="00327A8D" w:rsidRPr="00E93A0F" w:rsidRDefault="00327A8D" w:rsidP="00D30FFD">
      <w:pPr>
        <w:jc w:val="both"/>
        <w:rPr>
          <w:rFonts w:ascii="Palatino Linotype" w:hAnsi="Palatino Linotype"/>
          <w:sz w:val="22"/>
          <w:szCs w:val="22"/>
        </w:rPr>
      </w:pPr>
      <w:r w:rsidRPr="00E93A0F">
        <w:rPr>
          <w:rFonts w:ascii="Palatino Linotype" w:hAnsi="Palatino Linotype"/>
          <w:b/>
          <w:sz w:val="22"/>
          <w:szCs w:val="22"/>
        </w:rPr>
        <w:t xml:space="preserve">Alcaldía del Distrito Metropolitano. - </w:t>
      </w:r>
      <w:r w:rsidRPr="00E93A0F">
        <w:rPr>
          <w:rFonts w:ascii="Palatino Linotype" w:hAnsi="Palatino Linotype"/>
          <w:sz w:val="22"/>
          <w:szCs w:val="22"/>
        </w:rPr>
        <w:t>Dis</w:t>
      </w:r>
      <w:r w:rsidR="00D04B8B" w:rsidRPr="00E93A0F">
        <w:rPr>
          <w:rFonts w:ascii="Palatino Linotype" w:hAnsi="Palatino Linotype"/>
          <w:sz w:val="22"/>
          <w:szCs w:val="22"/>
        </w:rPr>
        <w:t>t</w:t>
      </w:r>
      <w:r w:rsidR="005200BE" w:rsidRPr="00E93A0F">
        <w:rPr>
          <w:rFonts w:ascii="Palatino Linotype" w:hAnsi="Palatino Linotype"/>
          <w:sz w:val="22"/>
          <w:szCs w:val="22"/>
        </w:rPr>
        <w:t>rito</w:t>
      </w:r>
      <w:r w:rsidR="00DF11FB" w:rsidRPr="00E93A0F">
        <w:rPr>
          <w:rFonts w:ascii="Palatino Linotype" w:hAnsi="Palatino Linotype"/>
          <w:sz w:val="22"/>
          <w:szCs w:val="22"/>
        </w:rPr>
        <w:t xml:space="preserve"> Metropolitano de Quito</w:t>
      </w:r>
      <w:r w:rsidR="00142A19" w:rsidRPr="00E93A0F">
        <w:rPr>
          <w:rFonts w:ascii="Palatino Linotype" w:hAnsi="Palatino Linotype"/>
          <w:sz w:val="22"/>
          <w:szCs w:val="22"/>
        </w:rPr>
        <w:t xml:space="preserve">, </w:t>
      </w:r>
      <w:r w:rsidR="002A7EAC" w:rsidRPr="00E93A0F">
        <w:rPr>
          <w:rFonts w:ascii="Palatino Linotype" w:hAnsi="Palatino Linotype"/>
          <w:sz w:val="22"/>
          <w:szCs w:val="22"/>
        </w:rPr>
        <w:t>xx</w:t>
      </w:r>
      <w:r w:rsidR="0010060B" w:rsidRPr="00E93A0F">
        <w:rPr>
          <w:rFonts w:ascii="Palatino Linotype" w:hAnsi="Palatino Linotype"/>
          <w:sz w:val="22"/>
          <w:szCs w:val="22"/>
        </w:rPr>
        <w:t xml:space="preserve"> de </w:t>
      </w:r>
      <w:r w:rsidR="002A7EAC" w:rsidRPr="00E93A0F">
        <w:rPr>
          <w:rFonts w:ascii="Palatino Linotype" w:hAnsi="Palatino Linotype"/>
          <w:sz w:val="22"/>
          <w:szCs w:val="22"/>
        </w:rPr>
        <w:t>xxxxx</w:t>
      </w:r>
      <w:r w:rsidR="000A73D2" w:rsidRPr="00E93A0F">
        <w:rPr>
          <w:rFonts w:ascii="Palatino Linotype" w:hAnsi="Palatino Linotype"/>
          <w:sz w:val="22"/>
          <w:szCs w:val="22"/>
        </w:rPr>
        <w:t xml:space="preserve"> </w:t>
      </w:r>
      <w:r w:rsidRPr="00E93A0F">
        <w:rPr>
          <w:rFonts w:ascii="Palatino Linotype" w:hAnsi="Palatino Linotype"/>
          <w:sz w:val="22"/>
          <w:szCs w:val="22"/>
        </w:rPr>
        <w:t xml:space="preserve">de </w:t>
      </w:r>
      <w:r w:rsidR="00AF5358" w:rsidRPr="00E93A0F">
        <w:rPr>
          <w:rFonts w:ascii="Palatino Linotype" w:hAnsi="Palatino Linotype"/>
          <w:sz w:val="22"/>
          <w:szCs w:val="22"/>
        </w:rPr>
        <w:t>2024</w:t>
      </w:r>
      <w:r w:rsidRPr="00E93A0F">
        <w:rPr>
          <w:rFonts w:ascii="Palatino Linotype" w:hAnsi="Palatino Linotype"/>
          <w:sz w:val="22"/>
          <w:szCs w:val="22"/>
        </w:rPr>
        <w:t>.</w:t>
      </w:r>
    </w:p>
    <w:p w14:paraId="37D0B67E" w14:textId="1C5A7F8D" w:rsidR="00327A8D" w:rsidRPr="00E93A0F" w:rsidRDefault="00327A8D" w:rsidP="00327A8D">
      <w:pPr>
        <w:rPr>
          <w:rFonts w:ascii="Palatino Linotype" w:hAnsi="Palatino Linotype"/>
          <w:sz w:val="22"/>
          <w:szCs w:val="22"/>
        </w:rPr>
      </w:pPr>
    </w:p>
    <w:p w14:paraId="59625213" w14:textId="3B2347EC" w:rsidR="002A7EAC" w:rsidRPr="00E93A0F" w:rsidRDefault="002A7EAC" w:rsidP="00327A8D">
      <w:pPr>
        <w:rPr>
          <w:rFonts w:ascii="Palatino Linotype" w:hAnsi="Palatino Linotype"/>
          <w:sz w:val="22"/>
          <w:szCs w:val="22"/>
        </w:rPr>
      </w:pPr>
    </w:p>
    <w:p w14:paraId="604225C7" w14:textId="77777777" w:rsidR="005200BE" w:rsidRPr="00E93A0F" w:rsidRDefault="005200BE" w:rsidP="00327A8D">
      <w:pPr>
        <w:rPr>
          <w:rFonts w:ascii="Palatino Linotype" w:hAnsi="Palatino Linotype"/>
          <w:sz w:val="22"/>
          <w:szCs w:val="22"/>
        </w:rPr>
      </w:pPr>
    </w:p>
    <w:p w14:paraId="5CF5E274" w14:textId="77777777" w:rsidR="00327A8D" w:rsidRPr="00E93A0F" w:rsidRDefault="00327A8D" w:rsidP="00327A8D">
      <w:pPr>
        <w:ind w:left="51"/>
        <w:jc w:val="center"/>
        <w:rPr>
          <w:rFonts w:ascii="Palatino Linotype" w:hAnsi="Palatino Linotype"/>
          <w:sz w:val="22"/>
          <w:szCs w:val="22"/>
        </w:rPr>
      </w:pPr>
      <w:r w:rsidRPr="00E93A0F">
        <w:rPr>
          <w:rFonts w:ascii="Palatino Linotype" w:hAnsi="Palatino Linotype"/>
          <w:sz w:val="22"/>
          <w:szCs w:val="22"/>
        </w:rPr>
        <w:t>Pabel Muñoz López</w:t>
      </w:r>
    </w:p>
    <w:p w14:paraId="5FFD5E72" w14:textId="77777777" w:rsidR="00327A8D" w:rsidRPr="00E93A0F"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E93A0F">
        <w:rPr>
          <w:rFonts w:ascii="Palatino Linotype" w:hAnsi="Palatino Linotype" w:cs="Palatino Linotype"/>
          <w:b/>
          <w:color w:val="000000"/>
          <w:sz w:val="22"/>
          <w:szCs w:val="22"/>
          <w:lang w:eastAsia="es-EC"/>
        </w:rPr>
        <w:t>ALCALDE DEL DISTRITO METROPOLITANO DE QUITO</w:t>
      </w:r>
    </w:p>
    <w:p w14:paraId="161D213F" w14:textId="77777777" w:rsidR="00327A8D" w:rsidRPr="00E93A0F" w:rsidRDefault="00327A8D" w:rsidP="00327A8D">
      <w:pPr>
        <w:jc w:val="both"/>
        <w:rPr>
          <w:rFonts w:ascii="Palatino Linotype" w:hAnsi="Palatino Linotype"/>
          <w:b/>
          <w:sz w:val="22"/>
          <w:szCs w:val="22"/>
        </w:rPr>
      </w:pPr>
    </w:p>
    <w:p w14:paraId="76911B97" w14:textId="76273967" w:rsidR="00327A8D" w:rsidRPr="00E93A0F" w:rsidRDefault="00327A8D" w:rsidP="00327A8D">
      <w:pPr>
        <w:jc w:val="both"/>
        <w:rPr>
          <w:rFonts w:ascii="Palatino Linotype" w:hAnsi="Palatino Linotype"/>
          <w:sz w:val="22"/>
          <w:szCs w:val="22"/>
        </w:rPr>
      </w:pPr>
      <w:r w:rsidRPr="00E93A0F">
        <w:rPr>
          <w:rFonts w:ascii="Palatino Linotype" w:hAnsi="Palatino Linotype"/>
          <w:b/>
          <w:sz w:val="22"/>
          <w:szCs w:val="22"/>
        </w:rPr>
        <w:t>CERTIFICO,</w:t>
      </w:r>
      <w:r w:rsidRPr="00E93A0F">
        <w:rPr>
          <w:rFonts w:ascii="Palatino Linotype" w:hAnsi="Palatino Linotype"/>
          <w:sz w:val="22"/>
          <w:szCs w:val="22"/>
        </w:rPr>
        <w:t xml:space="preserve"> que la presente resolución fue discutida y aprob</w:t>
      </w:r>
      <w:r w:rsidR="00713958" w:rsidRPr="00E93A0F">
        <w:rPr>
          <w:rFonts w:ascii="Palatino Linotype" w:hAnsi="Palatino Linotype"/>
          <w:sz w:val="22"/>
          <w:szCs w:val="22"/>
        </w:rPr>
        <w:t>ada en la sesión pública N</w:t>
      </w:r>
      <w:r w:rsidR="00E93A0F" w:rsidRPr="00E93A0F">
        <w:rPr>
          <w:rFonts w:ascii="Palatino Linotype" w:hAnsi="Palatino Linotype"/>
          <w:sz w:val="22"/>
          <w:szCs w:val="22"/>
        </w:rPr>
        <w:t>r</w:t>
      </w:r>
      <w:r w:rsidR="00713958" w:rsidRPr="00E93A0F">
        <w:rPr>
          <w:rFonts w:ascii="Palatino Linotype" w:hAnsi="Palatino Linotype"/>
          <w:sz w:val="22"/>
          <w:szCs w:val="22"/>
        </w:rPr>
        <w:t xml:space="preserve">o. </w:t>
      </w:r>
      <w:r w:rsidR="002A7EAC" w:rsidRPr="00E93A0F">
        <w:rPr>
          <w:rFonts w:ascii="Palatino Linotype" w:hAnsi="Palatino Linotype"/>
          <w:sz w:val="22"/>
          <w:szCs w:val="22"/>
        </w:rPr>
        <w:t>xxx</w:t>
      </w:r>
      <w:r w:rsidRPr="00E93A0F">
        <w:rPr>
          <w:rFonts w:ascii="Palatino Linotype" w:hAnsi="Palatino Linotype"/>
          <w:sz w:val="22"/>
          <w:szCs w:val="22"/>
        </w:rPr>
        <w:t xml:space="preserve"> Ordinaria del Conce</w:t>
      </w:r>
      <w:r w:rsidR="00D04B8B" w:rsidRPr="00E93A0F">
        <w:rPr>
          <w:rFonts w:ascii="Palatino Linotype" w:hAnsi="Palatino Linotype"/>
          <w:sz w:val="22"/>
          <w:szCs w:val="22"/>
        </w:rPr>
        <w:t>jo Metropolitano de Quito,</w:t>
      </w:r>
      <w:r w:rsidR="00713958" w:rsidRPr="00E93A0F">
        <w:rPr>
          <w:rFonts w:ascii="Palatino Linotype" w:hAnsi="Palatino Linotype"/>
          <w:sz w:val="22"/>
          <w:szCs w:val="22"/>
        </w:rPr>
        <w:t xml:space="preserve"> el </w:t>
      </w:r>
      <w:r w:rsidR="002A7EAC" w:rsidRPr="00E93A0F">
        <w:rPr>
          <w:rFonts w:ascii="Palatino Linotype" w:hAnsi="Palatino Linotype"/>
          <w:sz w:val="22"/>
          <w:szCs w:val="22"/>
        </w:rPr>
        <w:t>xx</w:t>
      </w:r>
      <w:r w:rsidR="00F733AE" w:rsidRPr="00E93A0F">
        <w:rPr>
          <w:rFonts w:ascii="Palatino Linotype" w:hAnsi="Palatino Linotype"/>
          <w:sz w:val="22"/>
          <w:szCs w:val="22"/>
        </w:rPr>
        <w:t xml:space="preserve"> </w:t>
      </w:r>
      <w:r w:rsidRPr="00E93A0F">
        <w:rPr>
          <w:rFonts w:ascii="Palatino Linotype" w:hAnsi="Palatino Linotype"/>
          <w:sz w:val="22"/>
          <w:szCs w:val="22"/>
        </w:rPr>
        <w:t xml:space="preserve">de </w:t>
      </w:r>
      <w:r w:rsidR="002A7EAC" w:rsidRPr="00E93A0F">
        <w:rPr>
          <w:rFonts w:ascii="Palatino Linotype" w:hAnsi="Palatino Linotype"/>
          <w:sz w:val="22"/>
          <w:szCs w:val="22"/>
        </w:rPr>
        <w:t>xxxx</w:t>
      </w:r>
      <w:r w:rsidR="00713958" w:rsidRPr="00E93A0F">
        <w:rPr>
          <w:rFonts w:ascii="Palatino Linotype" w:hAnsi="Palatino Linotype"/>
          <w:sz w:val="22"/>
          <w:szCs w:val="22"/>
        </w:rPr>
        <w:t xml:space="preserve"> </w:t>
      </w:r>
      <w:r w:rsidR="00E93A0F" w:rsidRPr="00E93A0F">
        <w:rPr>
          <w:rFonts w:ascii="Palatino Linotype" w:hAnsi="Palatino Linotype"/>
          <w:sz w:val="22"/>
          <w:szCs w:val="22"/>
        </w:rPr>
        <w:t>de 2024</w:t>
      </w:r>
      <w:r w:rsidRPr="00E93A0F">
        <w:rPr>
          <w:rFonts w:ascii="Palatino Linotype" w:hAnsi="Palatino Linotype"/>
          <w:sz w:val="22"/>
          <w:szCs w:val="22"/>
        </w:rPr>
        <w:t>; y, suscrita por el señor Pabel Muñoz López, Alcalde del Distri</w:t>
      </w:r>
      <w:r w:rsidR="00FD6261" w:rsidRPr="00E93A0F">
        <w:rPr>
          <w:rFonts w:ascii="Palatino Linotype" w:hAnsi="Palatino Linotype"/>
          <w:sz w:val="22"/>
          <w:szCs w:val="22"/>
        </w:rPr>
        <w:t xml:space="preserve">to Metropolitano de Quito, </w:t>
      </w:r>
      <w:r w:rsidR="00F9359B" w:rsidRPr="00E93A0F">
        <w:rPr>
          <w:rFonts w:ascii="Palatino Linotype" w:hAnsi="Palatino Linotype"/>
          <w:sz w:val="22"/>
          <w:szCs w:val="22"/>
        </w:rPr>
        <w:t xml:space="preserve">el </w:t>
      </w:r>
      <w:r w:rsidR="002A7EAC" w:rsidRPr="00E93A0F">
        <w:rPr>
          <w:rFonts w:ascii="Palatino Linotype" w:hAnsi="Palatino Linotype"/>
          <w:sz w:val="22"/>
          <w:szCs w:val="22"/>
        </w:rPr>
        <w:t>xx</w:t>
      </w:r>
      <w:r w:rsidR="00713958" w:rsidRPr="00E93A0F">
        <w:rPr>
          <w:rFonts w:ascii="Palatino Linotype" w:hAnsi="Palatino Linotype"/>
          <w:sz w:val="22"/>
          <w:szCs w:val="22"/>
        </w:rPr>
        <w:t xml:space="preserve"> de </w:t>
      </w:r>
      <w:r w:rsidR="002A7EAC" w:rsidRPr="00E93A0F">
        <w:rPr>
          <w:rFonts w:ascii="Palatino Linotype" w:hAnsi="Palatino Linotype"/>
          <w:sz w:val="22"/>
          <w:szCs w:val="22"/>
        </w:rPr>
        <w:t>xxxxx</w:t>
      </w:r>
      <w:r w:rsidRPr="00E93A0F">
        <w:rPr>
          <w:rFonts w:ascii="Palatino Linotype" w:hAnsi="Palatino Linotype"/>
          <w:sz w:val="22"/>
          <w:szCs w:val="22"/>
        </w:rPr>
        <w:t xml:space="preserve"> de </w:t>
      </w:r>
      <w:r w:rsidR="00AF5358" w:rsidRPr="00E93A0F">
        <w:rPr>
          <w:rFonts w:ascii="Palatino Linotype" w:hAnsi="Palatino Linotype"/>
          <w:sz w:val="22"/>
          <w:szCs w:val="22"/>
        </w:rPr>
        <w:t>2024</w:t>
      </w:r>
      <w:r w:rsidRPr="00E93A0F">
        <w:rPr>
          <w:rFonts w:ascii="Palatino Linotype" w:hAnsi="Palatino Linotype"/>
          <w:sz w:val="22"/>
          <w:szCs w:val="22"/>
        </w:rPr>
        <w:t>.</w:t>
      </w:r>
    </w:p>
    <w:p w14:paraId="37DC686A" w14:textId="77777777" w:rsidR="00327A8D" w:rsidRPr="00E93A0F" w:rsidRDefault="00327A8D" w:rsidP="00327A8D">
      <w:pPr>
        <w:jc w:val="both"/>
        <w:rPr>
          <w:rFonts w:ascii="Palatino Linotype" w:hAnsi="Palatino Linotype"/>
          <w:b/>
          <w:sz w:val="22"/>
          <w:szCs w:val="22"/>
        </w:rPr>
      </w:pPr>
      <w:r w:rsidRPr="00E93A0F">
        <w:rPr>
          <w:rFonts w:ascii="Palatino Linotype" w:hAnsi="Palatino Linotype"/>
          <w:b/>
          <w:sz w:val="22"/>
          <w:szCs w:val="22"/>
        </w:rPr>
        <w:t xml:space="preserve"> </w:t>
      </w:r>
    </w:p>
    <w:p w14:paraId="28060DFD" w14:textId="28BE595C" w:rsidR="002A7EAC" w:rsidRPr="00E93A0F" w:rsidRDefault="00327A8D" w:rsidP="002A7EAC">
      <w:pPr>
        <w:jc w:val="both"/>
        <w:rPr>
          <w:rFonts w:ascii="Palatino Linotype" w:hAnsi="Palatino Linotype"/>
          <w:sz w:val="22"/>
          <w:szCs w:val="22"/>
        </w:rPr>
      </w:pPr>
      <w:r w:rsidRPr="00E93A0F">
        <w:rPr>
          <w:rFonts w:ascii="Palatino Linotype" w:eastAsia="SimSun" w:hAnsi="Palatino Linotype"/>
          <w:b/>
          <w:sz w:val="22"/>
          <w:szCs w:val="22"/>
          <w:lang w:eastAsia="en-US"/>
        </w:rPr>
        <w:t>Lo</w:t>
      </w:r>
      <w:r w:rsidRPr="00E93A0F">
        <w:rPr>
          <w:rFonts w:ascii="Palatino Linotype" w:eastAsia="SimSun" w:hAnsi="Palatino Linotype"/>
          <w:b/>
          <w:spacing w:val="-2"/>
          <w:sz w:val="22"/>
          <w:szCs w:val="22"/>
          <w:lang w:eastAsia="en-US"/>
        </w:rPr>
        <w:t xml:space="preserve"> </w:t>
      </w:r>
      <w:r w:rsidRPr="00E93A0F">
        <w:rPr>
          <w:rFonts w:ascii="Palatino Linotype" w:eastAsia="SimSun" w:hAnsi="Palatino Linotype"/>
          <w:b/>
          <w:sz w:val="22"/>
          <w:szCs w:val="22"/>
          <w:lang w:eastAsia="en-US"/>
        </w:rPr>
        <w:t>certifico.</w:t>
      </w:r>
      <w:r w:rsidRPr="00E93A0F">
        <w:rPr>
          <w:rFonts w:ascii="Palatino Linotype" w:eastAsia="SimSun" w:hAnsi="Palatino Linotype"/>
          <w:b/>
          <w:spacing w:val="-6"/>
          <w:sz w:val="22"/>
          <w:szCs w:val="22"/>
          <w:lang w:eastAsia="en-US"/>
        </w:rPr>
        <w:t xml:space="preserve"> </w:t>
      </w:r>
      <w:r w:rsidRPr="00E93A0F">
        <w:rPr>
          <w:rFonts w:ascii="Palatino Linotype" w:eastAsia="SimSun" w:hAnsi="Palatino Linotype"/>
          <w:b/>
          <w:sz w:val="22"/>
          <w:szCs w:val="22"/>
          <w:lang w:eastAsia="en-US"/>
        </w:rPr>
        <w:t xml:space="preserve">- </w:t>
      </w:r>
      <w:r w:rsidRPr="00E93A0F">
        <w:rPr>
          <w:rFonts w:ascii="Palatino Linotype" w:eastAsia="SimSun" w:hAnsi="Palatino Linotype"/>
          <w:sz w:val="22"/>
          <w:szCs w:val="22"/>
          <w:lang w:eastAsia="en-US"/>
        </w:rPr>
        <w:t>Distrito</w:t>
      </w:r>
      <w:r w:rsidRPr="00E93A0F">
        <w:rPr>
          <w:rFonts w:ascii="Palatino Linotype" w:eastAsia="SimSun" w:hAnsi="Palatino Linotype"/>
          <w:spacing w:val="-1"/>
          <w:sz w:val="22"/>
          <w:szCs w:val="22"/>
          <w:lang w:eastAsia="en-US"/>
        </w:rPr>
        <w:t xml:space="preserve"> </w:t>
      </w:r>
      <w:r w:rsidRPr="00E93A0F">
        <w:rPr>
          <w:rFonts w:ascii="Palatino Linotype" w:eastAsia="SimSun" w:hAnsi="Palatino Linotype"/>
          <w:sz w:val="22"/>
          <w:szCs w:val="22"/>
          <w:lang w:eastAsia="en-US"/>
        </w:rPr>
        <w:t>Metropolitano</w:t>
      </w:r>
      <w:r w:rsidRPr="00E93A0F">
        <w:rPr>
          <w:rFonts w:ascii="Palatino Linotype" w:eastAsia="SimSun" w:hAnsi="Palatino Linotype"/>
          <w:spacing w:val="-1"/>
          <w:sz w:val="22"/>
          <w:szCs w:val="22"/>
          <w:lang w:eastAsia="en-US"/>
        </w:rPr>
        <w:t xml:space="preserve"> </w:t>
      </w:r>
      <w:r w:rsidRPr="00E93A0F">
        <w:rPr>
          <w:rFonts w:ascii="Palatino Linotype" w:eastAsia="SimSun" w:hAnsi="Palatino Linotype"/>
          <w:sz w:val="22"/>
          <w:szCs w:val="22"/>
          <w:lang w:eastAsia="en-US"/>
        </w:rPr>
        <w:t>de</w:t>
      </w:r>
      <w:r w:rsidRPr="00E93A0F">
        <w:rPr>
          <w:rFonts w:ascii="Palatino Linotype" w:eastAsia="SimSun" w:hAnsi="Palatino Linotype"/>
          <w:spacing w:val="-3"/>
          <w:sz w:val="22"/>
          <w:szCs w:val="22"/>
          <w:lang w:eastAsia="en-US"/>
        </w:rPr>
        <w:t xml:space="preserve"> </w:t>
      </w:r>
      <w:r w:rsidRPr="00E93A0F">
        <w:rPr>
          <w:rFonts w:ascii="Palatino Linotype" w:eastAsia="SimSun" w:hAnsi="Palatino Linotype"/>
          <w:sz w:val="22"/>
          <w:szCs w:val="22"/>
          <w:lang w:eastAsia="en-US"/>
        </w:rPr>
        <w:t xml:space="preserve">Quito, </w:t>
      </w:r>
      <w:r w:rsidR="002A7EAC" w:rsidRPr="00E93A0F">
        <w:rPr>
          <w:rFonts w:ascii="Palatino Linotype" w:hAnsi="Palatino Linotype"/>
          <w:sz w:val="22"/>
          <w:szCs w:val="22"/>
        </w:rPr>
        <w:t xml:space="preserve">xx de xxxxx de </w:t>
      </w:r>
      <w:r w:rsidR="00AF5358" w:rsidRPr="00E93A0F">
        <w:rPr>
          <w:rFonts w:ascii="Palatino Linotype" w:hAnsi="Palatino Linotype"/>
          <w:sz w:val="22"/>
          <w:szCs w:val="22"/>
        </w:rPr>
        <w:t>2024</w:t>
      </w:r>
      <w:r w:rsidR="002A7EAC" w:rsidRPr="00E93A0F">
        <w:rPr>
          <w:rFonts w:ascii="Palatino Linotype" w:hAnsi="Palatino Linotype"/>
          <w:sz w:val="22"/>
          <w:szCs w:val="22"/>
        </w:rPr>
        <w:t>.</w:t>
      </w:r>
    </w:p>
    <w:p w14:paraId="1D9E8E64" w14:textId="0303133F" w:rsidR="00327A8D" w:rsidRPr="00E93A0F" w:rsidRDefault="00327A8D" w:rsidP="00327A8D">
      <w:pPr>
        <w:ind w:right="-39"/>
        <w:jc w:val="both"/>
        <w:rPr>
          <w:rFonts w:ascii="Palatino Linotype" w:eastAsia="SimSun" w:hAnsi="Palatino Linotype"/>
          <w:sz w:val="22"/>
          <w:szCs w:val="22"/>
          <w:lang w:eastAsia="en-US"/>
        </w:rPr>
      </w:pPr>
    </w:p>
    <w:p w14:paraId="3CF85482" w14:textId="63DE9CD0" w:rsidR="00327A8D" w:rsidRPr="00E93A0F" w:rsidRDefault="00327A8D" w:rsidP="00327A8D">
      <w:pPr>
        <w:jc w:val="both"/>
        <w:rPr>
          <w:rFonts w:ascii="Palatino Linotype" w:hAnsi="Palatino Linotype"/>
          <w:sz w:val="22"/>
          <w:szCs w:val="22"/>
        </w:rPr>
      </w:pPr>
      <w:r w:rsidRPr="00E93A0F">
        <w:rPr>
          <w:rFonts w:ascii="Palatino Linotype" w:hAnsi="Palatino Linotype"/>
          <w:sz w:val="22"/>
          <w:szCs w:val="22"/>
        </w:rPr>
        <w:t xml:space="preserve"> </w:t>
      </w:r>
    </w:p>
    <w:p w14:paraId="3FC4B2E1" w14:textId="44C61C22" w:rsidR="005200BE" w:rsidRPr="00E93A0F" w:rsidRDefault="005200BE" w:rsidP="00327A8D">
      <w:pPr>
        <w:jc w:val="both"/>
        <w:rPr>
          <w:rFonts w:ascii="Palatino Linotype" w:hAnsi="Palatino Linotype"/>
          <w:sz w:val="22"/>
          <w:szCs w:val="22"/>
        </w:rPr>
      </w:pPr>
    </w:p>
    <w:p w14:paraId="1DCEE5CE" w14:textId="77777777" w:rsidR="00327A8D" w:rsidRPr="00E93A0F" w:rsidRDefault="00327A8D" w:rsidP="00327A8D">
      <w:pPr>
        <w:jc w:val="center"/>
        <w:rPr>
          <w:rFonts w:ascii="Palatino Linotype" w:hAnsi="Palatino Linotype"/>
          <w:sz w:val="22"/>
          <w:szCs w:val="22"/>
        </w:rPr>
      </w:pPr>
      <w:r w:rsidRPr="00E93A0F">
        <w:rPr>
          <w:rFonts w:ascii="Palatino Linotype" w:hAnsi="Palatino Linotype"/>
          <w:sz w:val="22"/>
          <w:szCs w:val="22"/>
        </w:rPr>
        <w:lastRenderedPageBreak/>
        <w:t xml:space="preserve">Dra. </w:t>
      </w:r>
      <w:r w:rsidRPr="00E93A0F">
        <w:rPr>
          <w:rFonts w:ascii="Palatino Linotype" w:hAnsi="Palatino Linotype" w:cs="Arial"/>
          <w:color w:val="000000"/>
          <w:sz w:val="22"/>
          <w:szCs w:val="22"/>
          <w:shd w:val="clear" w:color="auto" w:fill="FFFFFF"/>
        </w:rPr>
        <w:t>Libia Rivas Ordóñez</w:t>
      </w:r>
    </w:p>
    <w:p w14:paraId="6A7D0366" w14:textId="3149E766" w:rsidR="00751D1C" w:rsidRPr="00CF121A" w:rsidRDefault="00327A8D" w:rsidP="00FA5037">
      <w:pPr>
        <w:ind w:left="5"/>
        <w:jc w:val="center"/>
        <w:rPr>
          <w:rFonts w:ascii="Palatino Linotype" w:hAnsi="Palatino Linotype" w:cs="Arial"/>
          <w:bCs/>
          <w:sz w:val="22"/>
          <w:szCs w:val="22"/>
        </w:rPr>
      </w:pPr>
      <w:r w:rsidRPr="00E93A0F">
        <w:rPr>
          <w:rFonts w:ascii="Palatino Linotype" w:hAnsi="Palatino Linotype"/>
          <w:b/>
          <w:sz w:val="22"/>
          <w:szCs w:val="22"/>
          <w:lang w:eastAsia="en-US"/>
        </w:rPr>
        <w:t>SECRETARIA GENERAL DEL CONCEJO METROPOLITANO</w:t>
      </w:r>
    </w:p>
    <w:sectPr w:rsidR="00751D1C" w:rsidRPr="00CF121A" w:rsidSect="00CC6666">
      <w:headerReference w:type="even" r:id="rId10"/>
      <w:headerReference w:type="default" r:id="rId11"/>
      <w:footerReference w:type="even" r:id="rId12"/>
      <w:footerReference w:type="default" r:id="rId13"/>
      <w:headerReference w:type="first" r:id="rId14"/>
      <w:footerReference w:type="first" r:id="rId15"/>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1900" w14:textId="77777777" w:rsidR="00CC6666" w:rsidRDefault="00CC6666">
      <w:r>
        <w:separator/>
      </w:r>
    </w:p>
  </w:endnote>
  <w:endnote w:type="continuationSeparator" w:id="0">
    <w:p w14:paraId="739726AF" w14:textId="77777777" w:rsidR="00CC6666" w:rsidRDefault="00C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6337" w14:textId="77777777" w:rsidR="00C46BCC" w:rsidRDefault="00C46B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szCs w:val="20"/>
      </w:rPr>
      <w:id w:val="708761303"/>
      <w:docPartObj>
        <w:docPartGallery w:val="Page Numbers (Bottom of Page)"/>
        <w:docPartUnique/>
      </w:docPartObj>
    </w:sdtPr>
    <w:sdtContent>
      <w:sdt>
        <w:sdtPr>
          <w:rPr>
            <w:rFonts w:ascii="Palatino Linotype" w:hAnsi="Palatino Linotype"/>
            <w:sz w:val="20"/>
            <w:szCs w:val="20"/>
          </w:rPr>
          <w:id w:val="860082579"/>
          <w:docPartObj>
            <w:docPartGallery w:val="Page Numbers (Top of Page)"/>
            <w:docPartUnique/>
          </w:docPartObj>
        </w:sdtPr>
        <w:sdtContent>
          <w:p w14:paraId="289E256C" w14:textId="5D0040A1" w:rsidR="00C546D2"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C46BCC">
              <w:rPr>
                <w:rFonts w:ascii="Palatino Linotype" w:hAnsi="Palatino Linotype"/>
                <w:b/>
                <w:bCs/>
                <w:noProof/>
                <w:sz w:val="20"/>
                <w:szCs w:val="20"/>
              </w:rPr>
              <w:t>2</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C46BCC">
              <w:rPr>
                <w:rFonts w:ascii="Palatino Linotype" w:hAnsi="Palatino Linotype"/>
                <w:b/>
                <w:bCs/>
                <w:noProof/>
                <w:sz w:val="20"/>
                <w:szCs w:val="20"/>
              </w:rPr>
              <w:t>5</w:t>
            </w:r>
            <w:r w:rsidRPr="00707DE5">
              <w:rPr>
                <w:rFonts w:ascii="Palatino Linotype" w:hAnsi="Palatino Linotype"/>
                <w:b/>
                <w:bCs/>
                <w:sz w:val="20"/>
                <w:szCs w:val="20"/>
              </w:rPr>
              <w:fldChar w:fldCharType="end"/>
            </w:r>
          </w:p>
          <w:p w14:paraId="560E604C" w14:textId="77777777" w:rsidR="00C546D2" w:rsidRPr="008479FB" w:rsidRDefault="00000000">
            <w:pPr>
              <w:pStyle w:val="Piedepgina"/>
              <w:jc w:val="right"/>
              <w:rPr>
                <w:rFonts w:ascii="Palatino Linotype" w:hAnsi="Palatino Linotype"/>
                <w:sz w:val="20"/>
                <w:szCs w:val="20"/>
              </w:rPr>
            </w:pPr>
          </w:p>
        </w:sdtContent>
      </w:sdt>
    </w:sdtContent>
  </w:sdt>
  <w:p w14:paraId="00912911" w14:textId="77777777" w:rsidR="00C546D2" w:rsidRPr="008479FB" w:rsidRDefault="00C546D2">
    <w:pPr>
      <w:pStyle w:val="Piedepgina"/>
      <w:rPr>
        <w:rFonts w:ascii="Palatino Linotype" w:hAnsi="Palatino Linotype"/>
        <w:sz w:val="20"/>
        <w:szCs w:val="20"/>
      </w:rPr>
    </w:pPr>
  </w:p>
  <w:p w14:paraId="2043B3CB" w14:textId="77777777" w:rsidR="00695E51" w:rsidRDefault="00695E51"/>
  <w:p w14:paraId="59F0FE32" w14:textId="77777777" w:rsidR="00695E51" w:rsidRDefault="00695E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43FD" w14:textId="77777777" w:rsidR="00C46BCC" w:rsidRDefault="00C46B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9CE1" w14:textId="77777777" w:rsidR="00CC6666" w:rsidRDefault="00CC6666">
      <w:r>
        <w:separator/>
      </w:r>
    </w:p>
  </w:footnote>
  <w:footnote w:type="continuationSeparator" w:id="0">
    <w:p w14:paraId="3A1D9550" w14:textId="77777777" w:rsidR="00CC6666" w:rsidRDefault="00CC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1D79" w14:textId="77777777" w:rsidR="00C46BCC" w:rsidRDefault="00C46B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12394908"/>
      <w:docPartObj>
        <w:docPartGallery w:val="Watermarks"/>
        <w:docPartUnique/>
      </w:docPartObj>
    </w:sdtPr>
    <w:sdtContent>
      <w:p w14:paraId="50157E86" w14:textId="451F821B" w:rsidR="00327A8D" w:rsidRPr="00327A8D" w:rsidRDefault="00CC6666" w:rsidP="00327A8D">
        <w:pPr>
          <w:pStyle w:val="Encabezado"/>
          <w:rPr>
            <w:sz w:val="22"/>
            <w:szCs w:val="22"/>
          </w:rPr>
        </w:pPr>
        <w:r>
          <w:rPr>
            <w:sz w:val="22"/>
            <w:szCs w:val="22"/>
          </w:rPr>
          <w:pict w14:anchorId="5901E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34098D3C" w14:textId="1406ED8C" w:rsidR="00C546D2" w:rsidRPr="0045260C" w:rsidRDefault="00400140" w:rsidP="0045260C">
    <w:pPr>
      <w:jc w:val="center"/>
      <w:rPr>
        <w:rFonts w:ascii="Palatino Linotype" w:hAnsi="Palatino Linotype"/>
        <w:b/>
        <w:bCs/>
        <w:sz w:val="22"/>
        <w:szCs w:val="22"/>
      </w:rPr>
    </w:pPr>
    <w:r>
      <w:rPr>
        <w:rFonts w:ascii="Palatino Linotype" w:hAnsi="Palatino Linotype"/>
        <w:b/>
        <w:bCs/>
        <w:sz w:val="22"/>
        <w:szCs w:val="22"/>
      </w:rPr>
      <w:t>RESOLUCIÓN N</w:t>
    </w:r>
    <w:r w:rsidR="00E93A0F">
      <w:rPr>
        <w:rFonts w:ascii="Palatino Linotype" w:hAnsi="Palatino Linotype"/>
        <w:b/>
        <w:bCs/>
        <w:sz w:val="22"/>
        <w:szCs w:val="22"/>
      </w:rPr>
      <w:t>r</w:t>
    </w:r>
    <w:r>
      <w:rPr>
        <w:rFonts w:ascii="Palatino Linotype" w:hAnsi="Palatino Linotype"/>
        <w:b/>
        <w:bCs/>
        <w:sz w:val="22"/>
        <w:szCs w:val="22"/>
      </w:rPr>
      <w:t xml:space="preserve">o. </w:t>
    </w:r>
    <w:r w:rsidR="00FF6875">
      <w:rPr>
        <w:rFonts w:ascii="Palatino Linotype" w:hAnsi="Palatino Linotype"/>
        <w:b/>
        <w:bCs/>
        <w:sz w:val="22"/>
        <w:szCs w:val="22"/>
      </w:rPr>
      <w:t>CDMQ-</w:t>
    </w:r>
    <w:r w:rsidR="002A7EAC" w:rsidRPr="002A7EAC">
      <w:rPr>
        <w:rFonts w:ascii="Palatino Linotype" w:hAnsi="Palatino Linotype"/>
        <w:b/>
        <w:bCs/>
        <w:sz w:val="22"/>
        <w:szCs w:val="22"/>
        <w:highlight w:val="yellow"/>
      </w:rPr>
      <w:t>XXX</w:t>
    </w:r>
    <w:r w:rsidR="00327A8D" w:rsidRPr="00327A8D">
      <w:rPr>
        <w:rFonts w:ascii="Palatino Linotype" w:hAnsi="Palatino Linotype"/>
        <w:b/>
        <w:bCs/>
        <w:sz w:val="22"/>
        <w:szCs w:val="22"/>
      </w:rPr>
      <w:t>-202</w:t>
    </w:r>
    <w:r w:rsidR="00E93A0F">
      <w:rPr>
        <w:rFonts w:ascii="Palatino Linotype" w:hAnsi="Palatino Linotype"/>
        <w:b/>
        <w:bCs/>
        <w:sz w:val="22"/>
        <w:szCs w:val="22"/>
      </w:rPr>
      <w:t>4</w:t>
    </w:r>
  </w:p>
  <w:p w14:paraId="1E715EC3" w14:textId="77777777" w:rsidR="00695E51" w:rsidRDefault="00695E51"/>
  <w:p w14:paraId="785E7939" w14:textId="77777777" w:rsidR="00695E51" w:rsidRDefault="00695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3D3" w14:textId="77777777" w:rsidR="00C46BCC" w:rsidRDefault="00C46B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714AA"/>
    <w:multiLevelType w:val="hybridMultilevel"/>
    <w:tmpl w:val="ECA0461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 w15:restartNumberingAfterBreak="0">
    <w:nsid w:val="512C4D45"/>
    <w:multiLevelType w:val="multilevel"/>
    <w:tmpl w:val="512C4D45"/>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2" w15:restartNumberingAfterBreak="0">
    <w:nsid w:val="5AD43DB4"/>
    <w:multiLevelType w:val="hybridMultilevel"/>
    <w:tmpl w:val="41EEC0C0"/>
    <w:lvl w:ilvl="0" w:tplc="2FB8FE34">
      <w:start w:val="1"/>
      <w:numFmt w:val="lowerLetter"/>
      <w:lvlText w:val="%1)"/>
      <w:lvlJc w:val="left"/>
      <w:pPr>
        <w:ind w:left="397"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16cid:durableId="1182891530">
    <w:abstractNumId w:val="2"/>
  </w:num>
  <w:num w:numId="2" w16cid:durableId="170726201">
    <w:abstractNumId w:val="0"/>
  </w:num>
  <w:num w:numId="3" w16cid:durableId="1748073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A0"/>
    <w:rsid w:val="00002910"/>
    <w:rsid w:val="00006A5E"/>
    <w:rsid w:val="000077F9"/>
    <w:rsid w:val="00024BB3"/>
    <w:rsid w:val="00024FFF"/>
    <w:rsid w:val="000251CF"/>
    <w:rsid w:val="000264CB"/>
    <w:rsid w:val="00027D50"/>
    <w:rsid w:val="00030386"/>
    <w:rsid w:val="00035E6C"/>
    <w:rsid w:val="0004203F"/>
    <w:rsid w:val="00063D30"/>
    <w:rsid w:val="000677E7"/>
    <w:rsid w:val="00067AEE"/>
    <w:rsid w:val="0008033C"/>
    <w:rsid w:val="0008254A"/>
    <w:rsid w:val="00090E26"/>
    <w:rsid w:val="000944D7"/>
    <w:rsid w:val="00097C9B"/>
    <w:rsid w:val="000A0702"/>
    <w:rsid w:val="000A17A7"/>
    <w:rsid w:val="000A6FF4"/>
    <w:rsid w:val="000A70A0"/>
    <w:rsid w:val="000A73D2"/>
    <w:rsid w:val="000A7B91"/>
    <w:rsid w:val="000B4CF2"/>
    <w:rsid w:val="000D1D31"/>
    <w:rsid w:val="000D5E61"/>
    <w:rsid w:val="000D77BB"/>
    <w:rsid w:val="000E08D9"/>
    <w:rsid w:val="000E121C"/>
    <w:rsid w:val="000E205E"/>
    <w:rsid w:val="000E4614"/>
    <w:rsid w:val="000F6E07"/>
    <w:rsid w:val="0010060B"/>
    <w:rsid w:val="00110E41"/>
    <w:rsid w:val="00115787"/>
    <w:rsid w:val="0012698C"/>
    <w:rsid w:val="0013405F"/>
    <w:rsid w:val="0013624A"/>
    <w:rsid w:val="00142A19"/>
    <w:rsid w:val="001439C8"/>
    <w:rsid w:val="00144F8A"/>
    <w:rsid w:val="00173C56"/>
    <w:rsid w:val="0017481B"/>
    <w:rsid w:val="00192479"/>
    <w:rsid w:val="001A01E2"/>
    <w:rsid w:val="001A17A7"/>
    <w:rsid w:val="001A2E60"/>
    <w:rsid w:val="001A5724"/>
    <w:rsid w:val="001A7D4B"/>
    <w:rsid w:val="001B2FFD"/>
    <w:rsid w:val="001B5340"/>
    <w:rsid w:val="001C1FC7"/>
    <w:rsid w:val="001C40FE"/>
    <w:rsid w:val="001C7456"/>
    <w:rsid w:val="001E2F60"/>
    <w:rsid w:val="001F679D"/>
    <w:rsid w:val="001F733D"/>
    <w:rsid w:val="00202196"/>
    <w:rsid w:val="00207491"/>
    <w:rsid w:val="0021319C"/>
    <w:rsid w:val="002175B2"/>
    <w:rsid w:val="00224DF1"/>
    <w:rsid w:val="00234B5E"/>
    <w:rsid w:val="00236DB4"/>
    <w:rsid w:val="0024026A"/>
    <w:rsid w:val="0024403E"/>
    <w:rsid w:val="00245D20"/>
    <w:rsid w:val="00252078"/>
    <w:rsid w:val="0025291D"/>
    <w:rsid w:val="00253AA5"/>
    <w:rsid w:val="002612AA"/>
    <w:rsid w:val="0026215F"/>
    <w:rsid w:val="00264155"/>
    <w:rsid w:val="00283EDC"/>
    <w:rsid w:val="00286D1D"/>
    <w:rsid w:val="00290050"/>
    <w:rsid w:val="00296140"/>
    <w:rsid w:val="00296D2E"/>
    <w:rsid w:val="00297B92"/>
    <w:rsid w:val="00297EB2"/>
    <w:rsid w:val="002A16E9"/>
    <w:rsid w:val="002A6440"/>
    <w:rsid w:val="002A7EAC"/>
    <w:rsid w:val="002C44A1"/>
    <w:rsid w:val="002D4C5C"/>
    <w:rsid w:val="002E4C52"/>
    <w:rsid w:val="002F2CCA"/>
    <w:rsid w:val="002F7AF5"/>
    <w:rsid w:val="002F7E74"/>
    <w:rsid w:val="00306191"/>
    <w:rsid w:val="00313677"/>
    <w:rsid w:val="003210C2"/>
    <w:rsid w:val="00327A8D"/>
    <w:rsid w:val="00331805"/>
    <w:rsid w:val="00333216"/>
    <w:rsid w:val="00333ADC"/>
    <w:rsid w:val="00336073"/>
    <w:rsid w:val="00341416"/>
    <w:rsid w:val="00343222"/>
    <w:rsid w:val="00345885"/>
    <w:rsid w:val="00360B0F"/>
    <w:rsid w:val="0036731D"/>
    <w:rsid w:val="00380C33"/>
    <w:rsid w:val="00381FA9"/>
    <w:rsid w:val="003A3AD1"/>
    <w:rsid w:val="003C4583"/>
    <w:rsid w:val="003E3BAD"/>
    <w:rsid w:val="003F201C"/>
    <w:rsid w:val="00400140"/>
    <w:rsid w:val="004014CA"/>
    <w:rsid w:val="00401F50"/>
    <w:rsid w:val="00406F51"/>
    <w:rsid w:val="004222ED"/>
    <w:rsid w:val="0042799B"/>
    <w:rsid w:val="004306D0"/>
    <w:rsid w:val="00432C8A"/>
    <w:rsid w:val="004336C0"/>
    <w:rsid w:val="00445381"/>
    <w:rsid w:val="0045260C"/>
    <w:rsid w:val="004553DB"/>
    <w:rsid w:val="00470AD9"/>
    <w:rsid w:val="00481F59"/>
    <w:rsid w:val="004827D3"/>
    <w:rsid w:val="00484082"/>
    <w:rsid w:val="00485082"/>
    <w:rsid w:val="00492AFE"/>
    <w:rsid w:val="00495B8D"/>
    <w:rsid w:val="004A628F"/>
    <w:rsid w:val="004B008D"/>
    <w:rsid w:val="004B0FAF"/>
    <w:rsid w:val="004B2063"/>
    <w:rsid w:val="004C2BEE"/>
    <w:rsid w:val="004C481C"/>
    <w:rsid w:val="004C50EC"/>
    <w:rsid w:val="004E2C3F"/>
    <w:rsid w:val="004E76E0"/>
    <w:rsid w:val="004F5036"/>
    <w:rsid w:val="00511047"/>
    <w:rsid w:val="005200BE"/>
    <w:rsid w:val="00525A48"/>
    <w:rsid w:val="00532857"/>
    <w:rsid w:val="005403B2"/>
    <w:rsid w:val="0054742C"/>
    <w:rsid w:val="00552CDD"/>
    <w:rsid w:val="0056686B"/>
    <w:rsid w:val="005720AF"/>
    <w:rsid w:val="00574E8B"/>
    <w:rsid w:val="005A0BB9"/>
    <w:rsid w:val="005A274B"/>
    <w:rsid w:val="005A6B15"/>
    <w:rsid w:val="005B5E5E"/>
    <w:rsid w:val="005B6971"/>
    <w:rsid w:val="005B6E19"/>
    <w:rsid w:val="005B7C5B"/>
    <w:rsid w:val="005C1D48"/>
    <w:rsid w:val="005C3739"/>
    <w:rsid w:val="005C419B"/>
    <w:rsid w:val="005C6371"/>
    <w:rsid w:val="005C733B"/>
    <w:rsid w:val="005D1661"/>
    <w:rsid w:val="005D3837"/>
    <w:rsid w:val="005D5471"/>
    <w:rsid w:val="005E4F19"/>
    <w:rsid w:val="005E6A39"/>
    <w:rsid w:val="005F36E3"/>
    <w:rsid w:val="00606C06"/>
    <w:rsid w:val="00617C1E"/>
    <w:rsid w:val="00625DC2"/>
    <w:rsid w:val="00633AF6"/>
    <w:rsid w:val="00636664"/>
    <w:rsid w:val="006401AA"/>
    <w:rsid w:val="00662D01"/>
    <w:rsid w:val="00673059"/>
    <w:rsid w:val="00677109"/>
    <w:rsid w:val="00681133"/>
    <w:rsid w:val="006861DE"/>
    <w:rsid w:val="00687C0C"/>
    <w:rsid w:val="0069369A"/>
    <w:rsid w:val="00694141"/>
    <w:rsid w:val="00694A53"/>
    <w:rsid w:val="00695E51"/>
    <w:rsid w:val="006A088E"/>
    <w:rsid w:val="006A6DA4"/>
    <w:rsid w:val="006B3C18"/>
    <w:rsid w:val="006C4379"/>
    <w:rsid w:val="006C76D0"/>
    <w:rsid w:val="006D11D6"/>
    <w:rsid w:val="006D5D51"/>
    <w:rsid w:val="006E179D"/>
    <w:rsid w:val="006E34DC"/>
    <w:rsid w:val="006F5950"/>
    <w:rsid w:val="0070094F"/>
    <w:rsid w:val="00705EA1"/>
    <w:rsid w:val="00707BCF"/>
    <w:rsid w:val="007115CA"/>
    <w:rsid w:val="00713958"/>
    <w:rsid w:val="0071609F"/>
    <w:rsid w:val="00720729"/>
    <w:rsid w:val="00723E63"/>
    <w:rsid w:val="00725C75"/>
    <w:rsid w:val="00726973"/>
    <w:rsid w:val="0073139F"/>
    <w:rsid w:val="007315B0"/>
    <w:rsid w:val="007342B4"/>
    <w:rsid w:val="007401E1"/>
    <w:rsid w:val="00740EE8"/>
    <w:rsid w:val="00744840"/>
    <w:rsid w:val="00745751"/>
    <w:rsid w:val="007500BA"/>
    <w:rsid w:val="00751D1C"/>
    <w:rsid w:val="00755448"/>
    <w:rsid w:val="00756825"/>
    <w:rsid w:val="00757091"/>
    <w:rsid w:val="00782943"/>
    <w:rsid w:val="0078423B"/>
    <w:rsid w:val="00785C49"/>
    <w:rsid w:val="00790876"/>
    <w:rsid w:val="00790F0E"/>
    <w:rsid w:val="007A679D"/>
    <w:rsid w:val="007B043E"/>
    <w:rsid w:val="007B4D6C"/>
    <w:rsid w:val="007B76F3"/>
    <w:rsid w:val="007C227B"/>
    <w:rsid w:val="007C3147"/>
    <w:rsid w:val="007D2680"/>
    <w:rsid w:val="007D2D4F"/>
    <w:rsid w:val="007D3FE4"/>
    <w:rsid w:val="007D69C7"/>
    <w:rsid w:val="007E44F0"/>
    <w:rsid w:val="007E60E9"/>
    <w:rsid w:val="007F36B6"/>
    <w:rsid w:val="007F4625"/>
    <w:rsid w:val="008044F7"/>
    <w:rsid w:val="00805221"/>
    <w:rsid w:val="00811351"/>
    <w:rsid w:val="0081380B"/>
    <w:rsid w:val="008170E7"/>
    <w:rsid w:val="008242AB"/>
    <w:rsid w:val="0082482D"/>
    <w:rsid w:val="00826061"/>
    <w:rsid w:val="00832D35"/>
    <w:rsid w:val="0084296D"/>
    <w:rsid w:val="00846624"/>
    <w:rsid w:val="008475A2"/>
    <w:rsid w:val="00854CBC"/>
    <w:rsid w:val="00855B0B"/>
    <w:rsid w:val="00862F11"/>
    <w:rsid w:val="0087756E"/>
    <w:rsid w:val="008824CB"/>
    <w:rsid w:val="008834D1"/>
    <w:rsid w:val="008835E2"/>
    <w:rsid w:val="00893065"/>
    <w:rsid w:val="00893F13"/>
    <w:rsid w:val="008A3F72"/>
    <w:rsid w:val="008B4153"/>
    <w:rsid w:val="008D6AA3"/>
    <w:rsid w:val="008E05AA"/>
    <w:rsid w:val="009023EB"/>
    <w:rsid w:val="00904949"/>
    <w:rsid w:val="00907185"/>
    <w:rsid w:val="009213B4"/>
    <w:rsid w:val="00927D90"/>
    <w:rsid w:val="009339F5"/>
    <w:rsid w:val="0093701E"/>
    <w:rsid w:val="009401D2"/>
    <w:rsid w:val="00942032"/>
    <w:rsid w:val="00953717"/>
    <w:rsid w:val="00954E3D"/>
    <w:rsid w:val="0096109F"/>
    <w:rsid w:val="00962351"/>
    <w:rsid w:val="0097359A"/>
    <w:rsid w:val="00983736"/>
    <w:rsid w:val="0098647F"/>
    <w:rsid w:val="00993181"/>
    <w:rsid w:val="0099372E"/>
    <w:rsid w:val="009950A6"/>
    <w:rsid w:val="0099702E"/>
    <w:rsid w:val="009A0658"/>
    <w:rsid w:val="009A3928"/>
    <w:rsid w:val="009A4B7F"/>
    <w:rsid w:val="009C157E"/>
    <w:rsid w:val="009D76A5"/>
    <w:rsid w:val="009E186C"/>
    <w:rsid w:val="009E1D0C"/>
    <w:rsid w:val="009E7CCA"/>
    <w:rsid w:val="009F1F87"/>
    <w:rsid w:val="009F5AA2"/>
    <w:rsid w:val="009F6F24"/>
    <w:rsid w:val="00A207EB"/>
    <w:rsid w:val="00A23206"/>
    <w:rsid w:val="00A300F6"/>
    <w:rsid w:val="00A35D24"/>
    <w:rsid w:val="00A42FBD"/>
    <w:rsid w:val="00A45C33"/>
    <w:rsid w:val="00A47D5C"/>
    <w:rsid w:val="00A539E6"/>
    <w:rsid w:val="00A53B09"/>
    <w:rsid w:val="00A55032"/>
    <w:rsid w:val="00A56888"/>
    <w:rsid w:val="00A573A8"/>
    <w:rsid w:val="00A60EBB"/>
    <w:rsid w:val="00A654D7"/>
    <w:rsid w:val="00A66C89"/>
    <w:rsid w:val="00A76A16"/>
    <w:rsid w:val="00A87032"/>
    <w:rsid w:val="00A873C9"/>
    <w:rsid w:val="00A8745C"/>
    <w:rsid w:val="00A9141C"/>
    <w:rsid w:val="00AA23EE"/>
    <w:rsid w:val="00AA2620"/>
    <w:rsid w:val="00AA451D"/>
    <w:rsid w:val="00AA61B2"/>
    <w:rsid w:val="00AB1FC7"/>
    <w:rsid w:val="00AC0982"/>
    <w:rsid w:val="00AC4B2C"/>
    <w:rsid w:val="00AD0CAC"/>
    <w:rsid w:val="00AD1557"/>
    <w:rsid w:val="00AD767B"/>
    <w:rsid w:val="00AE18B4"/>
    <w:rsid w:val="00AE1F80"/>
    <w:rsid w:val="00AE320F"/>
    <w:rsid w:val="00AE5A20"/>
    <w:rsid w:val="00AE5F25"/>
    <w:rsid w:val="00AF5358"/>
    <w:rsid w:val="00B007F0"/>
    <w:rsid w:val="00B0169E"/>
    <w:rsid w:val="00B14AD5"/>
    <w:rsid w:val="00B27543"/>
    <w:rsid w:val="00B314B0"/>
    <w:rsid w:val="00B35D39"/>
    <w:rsid w:val="00B418BF"/>
    <w:rsid w:val="00B46254"/>
    <w:rsid w:val="00B5446C"/>
    <w:rsid w:val="00B5472E"/>
    <w:rsid w:val="00B5719F"/>
    <w:rsid w:val="00B706B2"/>
    <w:rsid w:val="00B712E3"/>
    <w:rsid w:val="00B748ED"/>
    <w:rsid w:val="00B76FDB"/>
    <w:rsid w:val="00B84C96"/>
    <w:rsid w:val="00B9672E"/>
    <w:rsid w:val="00BA1003"/>
    <w:rsid w:val="00BA26D9"/>
    <w:rsid w:val="00BA3CE3"/>
    <w:rsid w:val="00BA63E5"/>
    <w:rsid w:val="00BA721E"/>
    <w:rsid w:val="00BA79D8"/>
    <w:rsid w:val="00BB0C2B"/>
    <w:rsid w:val="00BD292F"/>
    <w:rsid w:val="00BD7C5E"/>
    <w:rsid w:val="00BD7EFF"/>
    <w:rsid w:val="00BF4249"/>
    <w:rsid w:val="00BF457B"/>
    <w:rsid w:val="00C074CE"/>
    <w:rsid w:val="00C101A7"/>
    <w:rsid w:val="00C2568C"/>
    <w:rsid w:val="00C261A8"/>
    <w:rsid w:val="00C2794C"/>
    <w:rsid w:val="00C31C0C"/>
    <w:rsid w:val="00C43876"/>
    <w:rsid w:val="00C462C6"/>
    <w:rsid w:val="00C469C4"/>
    <w:rsid w:val="00C46BCC"/>
    <w:rsid w:val="00C4735F"/>
    <w:rsid w:val="00C546D2"/>
    <w:rsid w:val="00C600A8"/>
    <w:rsid w:val="00C62E1F"/>
    <w:rsid w:val="00C63349"/>
    <w:rsid w:val="00C7771D"/>
    <w:rsid w:val="00C77EE7"/>
    <w:rsid w:val="00C82C59"/>
    <w:rsid w:val="00C83E21"/>
    <w:rsid w:val="00C926A0"/>
    <w:rsid w:val="00C9395C"/>
    <w:rsid w:val="00CB1FAE"/>
    <w:rsid w:val="00CB5779"/>
    <w:rsid w:val="00CB60CC"/>
    <w:rsid w:val="00CC2A2F"/>
    <w:rsid w:val="00CC6666"/>
    <w:rsid w:val="00CD2D83"/>
    <w:rsid w:val="00CF05C8"/>
    <w:rsid w:val="00CF121A"/>
    <w:rsid w:val="00CF3DE1"/>
    <w:rsid w:val="00CF748D"/>
    <w:rsid w:val="00D0165A"/>
    <w:rsid w:val="00D04B8B"/>
    <w:rsid w:val="00D1552F"/>
    <w:rsid w:val="00D23C29"/>
    <w:rsid w:val="00D30FFD"/>
    <w:rsid w:val="00D4007F"/>
    <w:rsid w:val="00D4445E"/>
    <w:rsid w:val="00D46415"/>
    <w:rsid w:val="00D5311D"/>
    <w:rsid w:val="00D57722"/>
    <w:rsid w:val="00D64A4C"/>
    <w:rsid w:val="00D74444"/>
    <w:rsid w:val="00D85433"/>
    <w:rsid w:val="00D85C9F"/>
    <w:rsid w:val="00D86EE7"/>
    <w:rsid w:val="00D95FE4"/>
    <w:rsid w:val="00DA4995"/>
    <w:rsid w:val="00DB0141"/>
    <w:rsid w:val="00DB07F4"/>
    <w:rsid w:val="00DB0E73"/>
    <w:rsid w:val="00DB392E"/>
    <w:rsid w:val="00DB473A"/>
    <w:rsid w:val="00DB552C"/>
    <w:rsid w:val="00DC5625"/>
    <w:rsid w:val="00DD06BF"/>
    <w:rsid w:val="00DD0991"/>
    <w:rsid w:val="00DD5FF2"/>
    <w:rsid w:val="00DE0B90"/>
    <w:rsid w:val="00DE3119"/>
    <w:rsid w:val="00DF0B4F"/>
    <w:rsid w:val="00DF11FB"/>
    <w:rsid w:val="00E02AE3"/>
    <w:rsid w:val="00E03C14"/>
    <w:rsid w:val="00E108E4"/>
    <w:rsid w:val="00E15B22"/>
    <w:rsid w:val="00E16BC8"/>
    <w:rsid w:val="00E22628"/>
    <w:rsid w:val="00E2458D"/>
    <w:rsid w:val="00E332EA"/>
    <w:rsid w:val="00E41B4B"/>
    <w:rsid w:val="00E46A96"/>
    <w:rsid w:val="00E47AB1"/>
    <w:rsid w:val="00E52BED"/>
    <w:rsid w:val="00E53410"/>
    <w:rsid w:val="00E5406F"/>
    <w:rsid w:val="00E64E46"/>
    <w:rsid w:val="00E64F38"/>
    <w:rsid w:val="00E65833"/>
    <w:rsid w:val="00E81779"/>
    <w:rsid w:val="00E81F93"/>
    <w:rsid w:val="00E84326"/>
    <w:rsid w:val="00E85F33"/>
    <w:rsid w:val="00E93A0F"/>
    <w:rsid w:val="00E97A2B"/>
    <w:rsid w:val="00EA20CF"/>
    <w:rsid w:val="00EA337F"/>
    <w:rsid w:val="00EA5D12"/>
    <w:rsid w:val="00EB10F4"/>
    <w:rsid w:val="00EB7956"/>
    <w:rsid w:val="00EC4E53"/>
    <w:rsid w:val="00EC6091"/>
    <w:rsid w:val="00ED77AE"/>
    <w:rsid w:val="00EE4C7B"/>
    <w:rsid w:val="00EF6F62"/>
    <w:rsid w:val="00F073C7"/>
    <w:rsid w:val="00F27E93"/>
    <w:rsid w:val="00F27EBD"/>
    <w:rsid w:val="00F33C5B"/>
    <w:rsid w:val="00F341C0"/>
    <w:rsid w:val="00F35EEF"/>
    <w:rsid w:val="00F36AF7"/>
    <w:rsid w:val="00F4076E"/>
    <w:rsid w:val="00F5205A"/>
    <w:rsid w:val="00F6236F"/>
    <w:rsid w:val="00F64624"/>
    <w:rsid w:val="00F70CB2"/>
    <w:rsid w:val="00F733AE"/>
    <w:rsid w:val="00F9359B"/>
    <w:rsid w:val="00F945A6"/>
    <w:rsid w:val="00F950D9"/>
    <w:rsid w:val="00FA5037"/>
    <w:rsid w:val="00FA5C10"/>
    <w:rsid w:val="00FA7F92"/>
    <w:rsid w:val="00FB22AA"/>
    <w:rsid w:val="00FB2C86"/>
    <w:rsid w:val="00FC3E6E"/>
    <w:rsid w:val="00FC7BD5"/>
    <w:rsid w:val="00FD09C0"/>
    <w:rsid w:val="00FD373A"/>
    <w:rsid w:val="00FD5D46"/>
    <w:rsid w:val="00FD6261"/>
    <w:rsid w:val="00FD6ECF"/>
    <w:rsid w:val="00FE1203"/>
    <w:rsid w:val="00FE3412"/>
    <w:rsid w:val="00FE4731"/>
    <w:rsid w:val="00FE4F27"/>
    <w:rsid w:val="00FF3F32"/>
    <w:rsid w:val="00FF6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 w:type="paragraph" w:styleId="Textodeglobo">
    <w:name w:val="Balloon Text"/>
    <w:basedOn w:val="Normal"/>
    <w:link w:val="TextodegloboCar"/>
    <w:uiPriority w:val="99"/>
    <w:semiHidden/>
    <w:unhideWhenUsed/>
    <w:rsid w:val="00D04B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B8B"/>
    <w:rPr>
      <w:rFonts w:ascii="Segoe UI" w:eastAsia="Times New Roman" w:hAnsi="Segoe UI" w:cs="Segoe UI"/>
      <w:sz w:val="18"/>
      <w:szCs w:val="18"/>
      <w:lang w:val="es-EC" w:eastAsia="es-ES_tradnl"/>
    </w:rPr>
  </w:style>
  <w:style w:type="paragraph" w:styleId="Textoindependiente">
    <w:name w:val="Body Text"/>
    <w:basedOn w:val="Normal"/>
    <w:link w:val="TextoindependienteCar"/>
    <w:uiPriority w:val="99"/>
    <w:semiHidden/>
    <w:unhideWhenUsed/>
    <w:rsid w:val="00E15B22"/>
    <w:pPr>
      <w:spacing w:after="120"/>
    </w:pPr>
  </w:style>
  <w:style w:type="character" w:customStyle="1" w:styleId="TextoindependienteCar">
    <w:name w:val="Texto independiente Car"/>
    <w:basedOn w:val="Fuentedeprrafopredeter"/>
    <w:link w:val="Textoindependiente"/>
    <w:uiPriority w:val="99"/>
    <w:semiHidden/>
    <w:rsid w:val="00E15B22"/>
    <w:rPr>
      <w:rFonts w:ascii="Times New Roman" w:eastAsia="Times New Roman" w:hAnsi="Times New Roman" w:cs="Times New Roman"/>
      <w:sz w:val="24"/>
      <w:szCs w:val="24"/>
      <w:lang w:val="es-EC" w:eastAsia="es-ES_tradnl"/>
    </w:rPr>
  </w:style>
  <w:style w:type="table" w:styleId="Tablaconcuadrcula">
    <w:name w:val="Table Grid"/>
    <w:basedOn w:val="Tablanormal"/>
    <w:uiPriority w:val="39"/>
    <w:rsid w:val="00C43876"/>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9881">
      <w:bodyDiv w:val="1"/>
      <w:marLeft w:val="0"/>
      <w:marRight w:val="0"/>
      <w:marTop w:val="0"/>
      <w:marBottom w:val="0"/>
      <w:divBdr>
        <w:top w:val="none" w:sz="0" w:space="0" w:color="auto"/>
        <w:left w:val="none" w:sz="0" w:space="0" w:color="auto"/>
        <w:bottom w:val="none" w:sz="0" w:space="0" w:color="auto"/>
        <w:right w:val="none" w:sz="0" w:space="0" w:color="auto"/>
      </w:divBdr>
      <w:divsChild>
        <w:div w:id="333653222">
          <w:marLeft w:val="0"/>
          <w:marRight w:val="0"/>
          <w:marTop w:val="0"/>
          <w:marBottom w:val="0"/>
          <w:divBdr>
            <w:top w:val="none" w:sz="0" w:space="0" w:color="auto"/>
            <w:left w:val="none" w:sz="0" w:space="0" w:color="auto"/>
            <w:bottom w:val="none" w:sz="0" w:space="0" w:color="auto"/>
            <w:right w:val="none" w:sz="0" w:space="0" w:color="auto"/>
          </w:divBdr>
        </w:div>
        <w:div w:id="295256027">
          <w:marLeft w:val="0"/>
          <w:marRight w:val="0"/>
          <w:marTop w:val="0"/>
          <w:marBottom w:val="0"/>
          <w:divBdr>
            <w:top w:val="none" w:sz="0" w:space="0" w:color="auto"/>
            <w:left w:val="none" w:sz="0" w:space="0" w:color="auto"/>
            <w:bottom w:val="none" w:sz="0" w:space="0" w:color="auto"/>
            <w:right w:val="none" w:sz="0" w:space="0" w:color="auto"/>
          </w:divBdr>
        </w:div>
        <w:div w:id="1130132583">
          <w:marLeft w:val="0"/>
          <w:marRight w:val="0"/>
          <w:marTop w:val="0"/>
          <w:marBottom w:val="0"/>
          <w:divBdr>
            <w:top w:val="none" w:sz="0" w:space="0" w:color="auto"/>
            <w:left w:val="none" w:sz="0" w:space="0" w:color="auto"/>
            <w:bottom w:val="none" w:sz="0" w:space="0" w:color="auto"/>
            <w:right w:val="none" w:sz="0" w:space="0" w:color="auto"/>
          </w:divBdr>
        </w:div>
        <w:div w:id="1196501419">
          <w:marLeft w:val="0"/>
          <w:marRight w:val="0"/>
          <w:marTop w:val="0"/>
          <w:marBottom w:val="0"/>
          <w:divBdr>
            <w:top w:val="none" w:sz="0" w:space="0" w:color="auto"/>
            <w:left w:val="none" w:sz="0" w:space="0" w:color="auto"/>
            <w:bottom w:val="none" w:sz="0" w:space="0" w:color="auto"/>
            <w:right w:val="none" w:sz="0" w:space="0" w:color="auto"/>
          </w:divBdr>
        </w:div>
        <w:div w:id="368531586">
          <w:marLeft w:val="0"/>
          <w:marRight w:val="0"/>
          <w:marTop w:val="0"/>
          <w:marBottom w:val="0"/>
          <w:divBdr>
            <w:top w:val="none" w:sz="0" w:space="0" w:color="auto"/>
            <w:left w:val="none" w:sz="0" w:space="0" w:color="auto"/>
            <w:bottom w:val="none" w:sz="0" w:space="0" w:color="auto"/>
            <w:right w:val="none" w:sz="0" w:space="0" w:color="auto"/>
          </w:divBdr>
        </w:div>
        <w:div w:id="658508521">
          <w:marLeft w:val="0"/>
          <w:marRight w:val="0"/>
          <w:marTop w:val="0"/>
          <w:marBottom w:val="0"/>
          <w:divBdr>
            <w:top w:val="none" w:sz="0" w:space="0" w:color="auto"/>
            <w:left w:val="none" w:sz="0" w:space="0" w:color="auto"/>
            <w:bottom w:val="none" w:sz="0" w:space="0" w:color="auto"/>
            <w:right w:val="none" w:sz="0" w:space="0" w:color="auto"/>
          </w:divBdr>
        </w:div>
        <w:div w:id="117571756">
          <w:marLeft w:val="0"/>
          <w:marRight w:val="0"/>
          <w:marTop w:val="0"/>
          <w:marBottom w:val="0"/>
          <w:divBdr>
            <w:top w:val="none" w:sz="0" w:space="0" w:color="auto"/>
            <w:left w:val="none" w:sz="0" w:space="0" w:color="auto"/>
            <w:bottom w:val="none" w:sz="0" w:space="0" w:color="auto"/>
            <w:right w:val="none" w:sz="0" w:space="0" w:color="auto"/>
          </w:divBdr>
        </w:div>
        <w:div w:id="1469979348">
          <w:marLeft w:val="0"/>
          <w:marRight w:val="0"/>
          <w:marTop w:val="0"/>
          <w:marBottom w:val="0"/>
          <w:divBdr>
            <w:top w:val="none" w:sz="0" w:space="0" w:color="auto"/>
            <w:left w:val="none" w:sz="0" w:space="0" w:color="auto"/>
            <w:bottom w:val="none" w:sz="0" w:space="0" w:color="auto"/>
            <w:right w:val="none" w:sz="0" w:space="0" w:color="auto"/>
          </w:divBdr>
        </w:div>
      </w:divsChild>
    </w:div>
    <w:div w:id="1981106268">
      <w:bodyDiv w:val="1"/>
      <w:marLeft w:val="0"/>
      <w:marRight w:val="0"/>
      <w:marTop w:val="0"/>
      <w:marBottom w:val="0"/>
      <w:divBdr>
        <w:top w:val="none" w:sz="0" w:space="0" w:color="auto"/>
        <w:left w:val="none" w:sz="0" w:space="0" w:color="auto"/>
        <w:bottom w:val="none" w:sz="0" w:space="0" w:color="auto"/>
        <w:right w:val="none" w:sz="0" w:space="0" w:color="auto"/>
      </w:divBdr>
      <w:divsChild>
        <w:div w:id="942223961">
          <w:marLeft w:val="0"/>
          <w:marRight w:val="0"/>
          <w:marTop w:val="0"/>
          <w:marBottom w:val="0"/>
          <w:divBdr>
            <w:top w:val="none" w:sz="0" w:space="0" w:color="auto"/>
            <w:left w:val="none" w:sz="0" w:space="0" w:color="auto"/>
            <w:bottom w:val="none" w:sz="0" w:space="0" w:color="auto"/>
            <w:right w:val="none" w:sz="0" w:space="0" w:color="auto"/>
          </w:divBdr>
        </w:div>
        <w:div w:id="313293393">
          <w:marLeft w:val="0"/>
          <w:marRight w:val="0"/>
          <w:marTop w:val="0"/>
          <w:marBottom w:val="0"/>
          <w:divBdr>
            <w:top w:val="none" w:sz="0" w:space="0" w:color="auto"/>
            <w:left w:val="none" w:sz="0" w:space="0" w:color="auto"/>
            <w:bottom w:val="none" w:sz="0" w:space="0" w:color="auto"/>
            <w:right w:val="none" w:sz="0" w:space="0" w:color="auto"/>
          </w:divBdr>
        </w:div>
        <w:div w:id="303702634">
          <w:marLeft w:val="0"/>
          <w:marRight w:val="0"/>
          <w:marTop w:val="0"/>
          <w:marBottom w:val="0"/>
          <w:divBdr>
            <w:top w:val="none" w:sz="0" w:space="0" w:color="auto"/>
            <w:left w:val="none" w:sz="0" w:space="0" w:color="auto"/>
            <w:bottom w:val="none" w:sz="0" w:space="0" w:color="auto"/>
            <w:right w:val="none" w:sz="0" w:space="0" w:color="auto"/>
          </w:divBdr>
        </w:div>
        <w:div w:id="1081373246">
          <w:marLeft w:val="0"/>
          <w:marRight w:val="0"/>
          <w:marTop w:val="0"/>
          <w:marBottom w:val="0"/>
          <w:divBdr>
            <w:top w:val="none" w:sz="0" w:space="0" w:color="auto"/>
            <w:left w:val="none" w:sz="0" w:space="0" w:color="auto"/>
            <w:bottom w:val="none" w:sz="0" w:space="0" w:color="auto"/>
            <w:right w:val="none" w:sz="0" w:space="0" w:color="auto"/>
          </w:divBdr>
        </w:div>
        <w:div w:id="1407922197">
          <w:marLeft w:val="0"/>
          <w:marRight w:val="0"/>
          <w:marTop w:val="0"/>
          <w:marBottom w:val="0"/>
          <w:divBdr>
            <w:top w:val="none" w:sz="0" w:space="0" w:color="auto"/>
            <w:left w:val="none" w:sz="0" w:space="0" w:color="auto"/>
            <w:bottom w:val="none" w:sz="0" w:space="0" w:color="auto"/>
            <w:right w:val="none" w:sz="0" w:space="0" w:color="auto"/>
          </w:divBdr>
        </w:div>
        <w:div w:id="959456039">
          <w:marLeft w:val="0"/>
          <w:marRight w:val="0"/>
          <w:marTop w:val="0"/>
          <w:marBottom w:val="0"/>
          <w:divBdr>
            <w:top w:val="none" w:sz="0" w:space="0" w:color="auto"/>
            <w:left w:val="none" w:sz="0" w:space="0" w:color="auto"/>
            <w:bottom w:val="none" w:sz="0" w:space="0" w:color="auto"/>
            <w:right w:val="none" w:sz="0" w:space="0" w:color="auto"/>
          </w:divBdr>
        </w:div>
        <w:div w:id="711811500">
          <w:marLeft w:val="0"/>
          <w:marRight w:val="0"/>
          <w:marTop w:val="0"/>
          <w:marBottom w:val="0"/>
          <w:divBdr>
            <w:top w:val="none" w:sz="0" w:space="0" w:color="auto"/>
            <w:left w:val="none" w:sz="0" w:space="0" w:color="auto"/>
            <w:bottom w:val="none" w:sz="0" w:space="0" w:color="auto"/>
            <w:right w:val="none" w:sz="0" w:space="0" w:color="auto"/>
          </w:divBdr>
        </w:div>
        <w:div w:id="44442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A18C-EC02-4FD9-8F01-13505C30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de Concejo</dc:creator>
  <cp:lastModifiedBy>Libia Fernanda Rivas Ord��ez</cp:lastModifiedBy>
  <cp:revision>2</cp:revision>
  <cp:lastPrinted>2023-10-06T17:10:00Z</cp:lastPrinted>
  <dcterms:created xsi:type="dcterms:W3CDTF">2024-02-17T21:19:00Z</dcterms:created>
  <dcterms:modified xsi:type="dcterms:W3CDTF">2024-02-17T21:19:00Z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