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A0" w:rsidRPr="00CF436E" w:rsidRDefault="00C926A0" w:rsidP="00CF436E">
      <w:pPr>
        <w:autoSpaceDE w:val="0"/>
        <w:autoSpaceDN w:val="0"/>
        <w:adjustRightInd w:val="0"/>
        <w:spacing w:line="276" w:lineRule="auto"/>
        <w:ind w:left="708" w:hanging="708"/>
        <w:jc w:val="center"/>
        <w:rPr>
          <w:rFonts w:ascii="Palatino Linotype" w:eastAsiaTheme="minorHAnsi" w:hAnsi="Palatino Linotype"/>
          <w:b/>
          <w:sz w:val="22"/>
          <w:szCs w:val="22"/>
          <w:lang w:eastAsia="en-US"/>
        </w:rPr>
      </w:pPr>
      <w:r w:rsidRPr="00CF436E">
        <w:rPr>
          <w:rFonts w:ascii="Palatino Linotype" w:eastAsiaTheme="minorHAnsi" w:hAnsi="Palatino Linotype"/>
          <w:b/>
          <w:sz w:val="22"/>
          <w:szCs w:val="22"/>
          <w:lang w:eastAsia="en-US"/>
        </w:rPr>
        <w:t>EL CONCEJO METROPOLITANO DE QUITO</w:t>
      </w:r>
    </w:p>
    <w:p w:rsidR="00C926A0" w:rsidRPr="00CF436E"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p>
    <w:p w:rsidR="00C926A0" w:rsidRPr="00CF436E"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CF436E">
        <w:rPr>
          <w:rFonts w:ascii="Palatino Linotype" w:eastAsiaTheme="minorHAnsi" w:hAnsi="Palatino Linotype"/>
          <w:b/>
          <w:sz w:val="22"/>
          <w:szCs w:val="22"/>
          <w:lang w:eastAsia="en-US"/>
        </w:rPr>
        <w:t>CONSIDERANDO:</w:t>
      </w:r>
    </w:p>
    <w:p w:rsidR="00C926A0" w:rsidRPr="00CF436E" w:rsidRDefault="00C926A0" w:rsidP="00C926A0">
      <w:pPr>
        <w:autoSpaceDE w:val="0"/>
        <w:autoSpaceDN w:val="0"/>
        <w:adjustRightInd w:val="0"/>
        <w:ind w:left="705" w:hanging="705"/>
        <w:jc w:val="both"/>
        <w:rPr>
          <w:rFonts w:ascii="Palatino Linotype" w:eastAsiaTheme="minorHAnsi" w:hAnsi="Palatino Linotype"/>
          <w:i/>
          <w:iCs/>
          <w:sz w:val="22"/>
          <w:szCs w:val="22"/>
          <w:lang w:eastAsia="en-US"/>
        </w:rPr>
      </w:pPr>
      <w:r w:rsidRPr="00CF436E">
        <w:rPr>
          <w:rFonts w:ascii="Palatino Linotype" w:eastAsiaTheme="minorHAnsi" w:hAnsi="Palatino Linotype"/>
          <w:b/>
          <w:bCs/>
          <w:sz w:val="22"/>
          <w:szCs w:val="22"/>
          <w:lang w:eastAsia="en-US"/>
        </w:rPr>
        <w:t>Que</w:t>
      </w:r>
      <w:r w:rsidRPr="00CF436E">
        <w:rPr>
          <w:rFonts w:ascii="Palatino Linotype" w:eastAsiaTheme="minorHAnsi" w:hAnsi="Palatino Linotype"/>
          <w:sz w:val="22"/>
          <w:szCs w:val="22"/>
          <w:lang w:eastAsia="en-US"/>
        </w:rPr>
        <w:t xml:space="preserve">, </w:t>
      </w:r>
      <w:r w:rsidRPr="00CF436E">
        <w:rPr>
          <w:rFonts w:ascii="Palatino Linotype" w:eastAsiaTheme="minorHAnsi" w:hAnsi="Palatino Linotype"/>
          <w:sz w:val="22"/>
          <w:szCs w:val="22"/>
          <w:lang w:eastAsia="en-US"/>
        </w:rPr>
        <w:tab/>
        <w:t xml:space="preserve"> el artículo 240 de la Constitución de República del Ecuador, en adelante Constitución, establece: “</w:t>
      </w:r>
      <w:r w:rsidRPr="00CF436E">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CF436E">
        <w:rPr>
          <w:rFonts w:ascii="Palatino Linotype" w:eastAsiaTheme="minorHAnsi" w:hAnsi="Palatino Linotype"/>
          <w:b/>
          <w:sz w:val="22"/>
          <w:szCs w:val="22"/>
          <w:lang w:eastAsia="en-US"/>
        </w:rPr>
        <w:t>Que,</w:t>
      </w:r>
      <w:r w:rsidRPr="00CF436E">
        <w:rPr>
          <w:rFonts w:ascii="Palatino Linotype" w:eastAsiaTheme="minorHAnsi" w:hAnsi="Palatino Linotype"/>
          <w:sz w:val="22"/>
          <w:szCs w:val="22"/>
          <w:lang w:eastAsia="en-US"/>
        </w:rPr>
        <w:t xml:space="preserve"> </w:t>
      </w:r>
      <w:r w:rsidRPr="00CF436E">
        <w:rPr>
          <w:rFonts w:ascii="Palatino Linotype" w:eastAsiaTheme="minorHAnsi" w:hAnsi="Palatino Linotype"/>
          <w:sz w:val="22"/>
          <w:szCs w:val="22"/>
          <w:lang w:eastAsia="en-US"/>
        </w:rPr>
        <w:tab/>
        <w:t xml:space="preserve">la Constitución de la República del Ecuador en su artículo 266, determina: </w:t>
      </w:r>
      <w:r w:rsidRPr="00CF436E">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CF436E">
        <w:rPr>
          <w:rFonts w:ascii="Palatino Linotype" w:eastAsiaTheme="minorHAnsi" w:hAnsi="Palatino Linotype"/>
          <w:sz w:val="22"/>
          <w:szCs w:val="22"/>
          <w:lang w:eastAsia="en-US"/>
        </w:rPr>
        <w:t>;</w:t>
      </w: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CF436E" w:rsidRDefault="00C926A0" w:rsidP="00C926A0">
      <w:pPr>
        <w:autoSpaceDE w:val="0"/>
        <w:autoSpaceDN w:val="0"/>
        <w:adjustRightInd w:val="0"/>
        <w:ind w:left="709" w:hanging="709"/>
        <w:jc w:val="both"/>
        <w:rPr>
          <w:rFonts w:ascii="Palatino Linotype" w:eastAsiaTheme="minorHAnsi" w:hAnsi="Palatino Linotype"/>
          <w:i/>
          <w:sz w:val="22"/>
          <w:szCs w:val="22"/>
          <w:lang w:eastAsia="en-US"/>
        </w:rPr>
      </w:pPr>
      <w:r w:rsidRPr="00CF436E">
        <w:rPr>
          <w:rFonts w:ascii="Palatino Linotype" w:eastAsiaTheme="minorHAnsi" w:hAnsi="Palatino Linotype"/>
          <w:b/>
          <w:bCs/>
          <w:sz w:val="22"/>
          <w:szCs w:val="22"/>
          <w:lang w:eastAsia="en-US"/>
        </w:rPr>
        <w:t>Que,</w:t>
      </w:r>
      <w:r w:rsidRPr="00CF436E">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CF436E">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CF436E">
        <w:rPr>
          <w:rFonts w:ascii="Palatino Linotype" w:eastAsiaTheme="minorHAnsi" w:hAnsi="Palatino Linotype"/>
          <w:b/>
          <w:sz w:val="22"/>
          <w:szCs w:val="22"/>
          <w:lang w:eastAsia="en-US"/>
        </w:rPr>
        <w:t>Que,</w:t>
      </w:r>
      <w:r w:rsidRPr="00CF436E">
        <w:rPr>
          <w:rFonts w:ascii="Palatino Linotype" w:eastAsiaTheme="minorHAnsi" w:hAnsi="Palatino Linotype"/>
          <w:sz w:val="22"/>
          <w:szCs w:val="22"/>
          <w:lang w:eastAsia="en-US"/>
        </w:rPr>
        <w:t xml:space="preserve"> </w:t>
      </w:r>
      <w:r w:rsidRPr="00CF436E">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CF436E">
        <w:rPr>
          <w:rFonts w:ascii="Palatino Linotype" w:eastAsiaTheme="minorHAnsi" w:hAnsi="Palatino Linotype"/>
          <w:b/>
          <w:sz w:val="22"/>
          <w:szCs w:val="22"/>
          <w:lang w:eastAsia="en-US"/>
        </w:rPr>
        <w:t>Que,</w:t>
      </w:r>
      <w:r w:rsidRPr="00CF436E">
        <w:rPr>
          <w:rFonts w:ascii="Palatino Linotype" w:eastAsiaTheme="minorHAnsi" w:hAnsi="Palatino Linotype"/>
          <w:sz w:val="22"/>
          <w:szCs w:val="22"/>
          <w:lang w:eastAsia="en-US"/>
        </w:rPr>
        <w:t xml:space="preserve"> </w:t>
      </w:r>
      <w:r w:rsidRPr="00CF436E">
        <w:rPr>
          <w:rFonts w:ascii="Palatino Linotype" w:eastAsiaTheme="minorHAnsi" w:hAnsi="Palatino Linotype"/>
          <w:sz w:val="22"/>
          <w:szCs w:val="22"/>
          <w:lang w:eastAsia="en-US"/>
        </w:rPr>
        <w:tab/>
        <w:t xml:space="preserve">conforme establece el artículo 87, literal v) del COOTAD, al Concejo Metropolitano le corresponde: </w:t>
      </w:r>
      <w:r w:rsidRPr="00CF436E">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CF436E">
        <w:rPr>
          <w:rFonts w:ascii="Palatino Linotype" w:eastAsiaTheme="minorHAnsi" w:hAnsi="Palatino Linotype"/>
          <w:sz w:val="22"/>
          <w:szCs w:val="22"/>
          <w:lang w:eastAsia="en-US"/>
        </w:rPr>
        <w:t xml:space="preserve"> </w:t>
      </w: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CF436E" w:rsidRDefault="00C926A0" w:rsidP="00C926A0">
      <w:pPr>
        <w:autoSpaceDE w:val="0"/>
        <w:autoSpaceDN w:val="0"/>
        <w:adjustRightInd w:val="0"/>
        <w:ind w:left="709" w:hanging="709"/>
        <w:jc w:val="both"/>
        <w:rPr>
          <w:rFonts w:ascii="Palatino Linotype" w:eastAsiaTheme="minorHAnsi" w:hAnsi="Palatino Linotype"/>
          <w:i/>
          <w:iCs/>
          <w:sz w:val="22"/>
          <w:szCs w:val="22"/>
          <w:lang w:eastAsia="en-US"/>
        </w:rPr>
      </w:pPr>
      <w:r w:rsidRPr="00CF436E">
        <w:rPr>
          <w:rFonts w:ascii="Palatino Linotype" w:eastAsiaTheme="minorHAnsi" w:hAnsi="Palatino Linotype"/>
          <w:sz w:val="22"/>
          <w:szCs w:val="22"/>
          <w:lang w:eastAsia="en-US"/>
        </w:rPr>
        <w:t xml:space="preserve">Que, </w:t>
      </w:r>
      <w:r w:rsidRPr="00CF436E">
        <w:rPr>
          <w:rFonts w:ascii="Palatino Linotype" w:eastAsiaTheme="minorHAnsi" w:hAnsi="Palatino Linotype"/>
          <w:sz w:val="22"/>
          <w:szCs w:val="22"/>
          <w:lang w:eastAsia="en-US"/>
        </w:rPr>
        <w:tab/>
        <w:t>el artículo 323 del COOTAD establece: “</w:t>
      </w:r>
      <w:r w:rsidRPr="00CF436E">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CF436E">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CF436E">
        <w:rPr>
          <w:rFonts w:ascii="Palatino Linotype" w:eastAsiaTheme="minorHAnsi" w:hAnsi="Palatino Linotype"/>
          <w:b/>
          <w:sz w:val="22"/>
          <w:szCs w:val="22"/>
          <w:lang w:eastAsia="en-US"/>
        </w:rPr>
        <w:t>Que,</w:t>
      </w:r>
      <w:r w:rsidR="0099702E" w:rsidRPr="00CF436E">
        <w:rPr>
          <w:rFonts w:ascii="Palatino Linotype" w:eastAsiaTheme="minorHAnsi" w:hAnsi="Palatino Linotype"/>
          <w:sz w:val="22"/>
          <w:szCs w:val="22"/>
          <w:lang w:eastAsia="en-US"/>
        </w:rPr>
        <w:t xml:space="preserve"> </w:t>
      </w:r>
      <w:r w:rsidRPr="00CF436E">
        <w:rPr>
          <w:rFonts w:ascii="Palatino Linotype" w:eastAsiaTheme="minorHAnsi" w:hAnsi="Palatino Linotype"/>
          <w:sz w:val="22"/>
          <w:szCs w:val="22"/>
          <w:lang w:eastAsia="en-US"/>
        </w:rPr>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CF436E">
        <w:rPr>
          <w:rFonts w:ascii="Palatino Linotype" w:eastAsiaTheme="minorHAnsi" w:hAnsi="Palatino Linotype"/>
          <w:b/>
          <w:sz w:val="22"/>
          <w:szCs w:val="22"/>
          <w:lang w:eastAsia="en-US"/>
        </w:rPr>
        <w:t>Que,</w:t>
      </w:r>
      <w:r w:rsidR="0099702E" w:rsidRPr="00CF436E">
        <w:rPr>
          <w:rFonts w:ascii="Palatino Linotype" w:eastAsiaTheme="minorHAnsi" w:hAnsi="Palatino Linotype"/>
          <w:sz w:val="22"/>
          <w:szCs w:val="22"/>
          <w:lang w:eastAsia="en-US"/>
        </w:rPr>
        <w:t xml:space="preserve"> </w:t>
      </w:r>
      <w:r w:rsidRPr="00CF436E">
        <w:rPr>
          <w:rFonts w:ascii="Palatino Linotype" w:eastAsiaTheme="minorHAnsi" w:hAnsi="Palatino Linotype"/>
          <w:sz w:val="22"/>
          <w:szCs w:val="22"/>
          <w:lang w:eastAsia="en-US"/>
        </w:rPr>
        <w:t xml:space="preserve">el artículo 424 del COOTAD señala: </w:t>
      </w:r>
      <w:r w:rsidRPr="00CF436E">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CF436E">
        <w:rPr>
          <w:rFonts w:ascii="Palatino Linotype" w:eastAsiaTheme="minorHAnsi" w:hAnsi="Palatino Linotype"/>
          <w:b/>
          <w:sz w:val="22"/>
          <w:szCs w:val="22"/>
          <w:lang w:eastAsia="en-US"/>
        </w:rPr>
        <w:t>Que,</w:t>
      </w:r>
      <w:r w:rsidRPr="00CF436E">
        <w:rPr>
          <w:rFonts w:ascii="Palatino Linotype" w:eastAsiaTheme="minorHAnsi" w:hAnsi="Palatino Linotype"/>
          <w:sz w:val="22"/>
          <w:szCs w:val="22"/>
          <w:lang w:eastAsia="en-US"/>
        </w:rPr>
        <w:t xml:space="preserve"> el artículo 472 del COOTAD señala que: </w:t>
      </w:r>
      <w:r w:rsidRPr="00CF436E">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CF436E">
        <w:rPr>
          <w:rFonts w:ascii="Palatino Linotype" w:eastAsiaTheme="minorHAnsi" w:hAnsi="Palatino Linotype"/>
          <w:sz w:val="22"/>
          <w:szCs w:val="22"/>
          <w:lang w:eastAsia="en-US"/>
        </w:rPr>
        <w:t>;</w:t>
      </w: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CF436E">
        <w:rPr>
          <w:rFonts w:ascii="Palatino Linotype" w:eastAsiaTheme="minorHAnsi" w:hAnsi="Palatino Linotype"/>
          <w:b/>
          <w:sz w:val="22"/>
          <w:szCs w:val="22"/>
          <w:lang w:eastAsia="en-US"/>
        </w:rPr>
        <w:t>Que,</w:t>
      </w:r>
      <w:r w:rsidR="0099702E" w:rsidRPr="00CF436E">
        <w:rPr>
          <w:rFonts w:ascii="Palatino Linotype" w:eastAsiaTheme="minorHAnsi" w:hAnsi="Palatino Linotype"/>
          <w:sz w:val="22"/>
          <w:szCs w:val="22"/>
          <w:lang w:eastAsia="en-US"/>
        </w:rPr>
        <w:t xml:space="preserve"> </w:t>
      </w:r>
      <w:r w:rsidRPr="00CF436E">
        <w:rPr>
          <w:rFonts w:ascii="Palatino Linotype" w:eastAsiaTheme="minorHAnsi" w:hAnsi="Palatino Linotype"/>
          <w:sz w:val="22"/>
          <w:szCs w:val="22"/>
          <w:lang w:eastAsia="en-US"/>
        </w:rPr>
        <w:t xml:space="preserve">el artículo 2410 del el Código Civil Ecuatoriano determina que: </w:t>
      </w:r>
      <w:r w:rsidRPr="00CF436E">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CF436E" w:rsidRDefault="00C926A0" w:rsidP="00C926A0">
      <w:pPr>
        <w:autoSpaceDE w:val="0"/>
        <w:autoSpaceDN w:val="0"/>
        <w:adjustRightInd w:val="0"/>
        <w:jc w:val="both"/>
        <w:rPr>
          <w:rFonts w:ascii="Palatino Linotype" w:hAnsi="Palatino Linotype"/>
          <w:sz w:val="22"/>
          <w:szCs w:val="22"/>
        </w:rPr>
      </w:pPr>
    </w:p>
    <w:p w:rsidR="00C926A0" w:rsidRPr="00CF436E"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CF436E">
        <w:rPr>
          <w:rFonts w:ascii="Palatino Linotype" w:eastAsiaTheme="minorHAnsi" w:hAnsi="Palatino Linotype"/>
          <w:sz w:val="22"/>
          <w:szCs w:val="22"/>
          <w:lang w:eastAsia="en-US"/>
        </w:rPr>
        <w:lastRenderedPageBreak/>
        <w:t>Que,</w:t>
      </w:r>
      <w:r w:rsidRPr="00CF436E">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CF436E">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CF436E">
        <w:rPr>
          <w:rFonts w:ascii="Palatino Linotype" w:eastAsiaTheme="minorHAnsi" w:hAnsi="Palatino Linotype"/>
          <w:sz w:val="22"/>
          <w:szCs w:val="22"/>
          <w:lang w:eastAsia="en-US"/>
        </w:rPr>
        <w:t>;</w:t>
      </w: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532857" w:rsidRPr="00CF436E" w:rsidRDefault="00532857" w:rsidP="00532857">
      <w:pPr>
        <w:autoSpaceDE w:val="0"/>
        <w:autoSpaceDN w:val="0"/>
        <w:adjustRightInd w:val="0"/>
        <w:spacing w:line="276" w:lineRule="auto"/>
        <w:ind w:left="709" w:hanging="709"/>
        <w:jc w:val="both"/>
        <w:rPr>
          <w:rFonts w:ascii="Palatino Linotype" w:hAnsi="Palatino Linotype"/>
          <w:sz w:val="22"/>
          <w:szCs w:val="22"/>
        </w:rPr>
      </w:pPr>
      <w:r w:rsidRPr="00CF436E">
        <w:rPr>
          <w:rFonts w:ascii="Palatino Linotype" w:eastAsiaTheme="minorHAnsi" w:hAnsi="Palatino Linotype"/>
          <w:b/>
          <w:sz w:val="22"/>
          <w:szCs w:val="22"/>
          <w:lang w:eastAsia="en-US"/>
        </w:rPr>
        <w:t>Que,</w:t>
      </w:r>
      <w:r w:rsidRPr="00CF436E">
        <w:rPr>
          <w:rFonts w:ascii="Palatino Linotype" w:eastAsiaTheme="minorHAnsi" w:hAnsi="Palatino Linotype"/>
          <w:sz w:val="22"/>
          <w:szCs w:val="22"/>
          <w:lang w:eastAsia="en-US"/>
        </w:rPr>
        <w:t xml:space="preserve"> </w:t>
      </w:r>
      <w:r w:rsidRPr="00CF436E">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CF436E">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CF436E">
        <w:rPr>
          <w:rFonts w:ascii="Palatino Linotype" w:hAnsi="Palatino Linotype"/>
          <w:i/>
          <w:sz w:val="22"/>
          <w:szCs w:val="22"/>
        </w:rPr>
        <w:t>”</w:t>
      </w:r>
      <w:r w:rsidRPr="00CF436E">
        <w:rPr>
          <w:rFonts w:ascii="Palatino Linotype" w:hAnsi="Palatino Linotype"/>
          <w:sz w:val="22"/>
          <w:szCs w:val="22"/>
        </w:rPr>
        <w:t xml:space="preserve">; </w:t>
      </w:r>
    </w:p>
    <w:p w:rsidR="00532857" w:rsidRPr="00CF436E" w:rsidRDefault="00532857" w:rsidP="00532857">
      <w:pPr>
        <w:autoSpaceDE w:val="0"/>
        <w:autoSpaceDN w:val="0"/>
        <w:adjustRightInd w:val="0"/>
        <w:spacing w:line="276" w:lineRule="auto"/>
        <w:ind w:left="709" w:hanging="709"/>
        <w:jc w:val="both"/>
        <w:rPr>
          <w:rFonts w:ascii="Palatino Linotype" w:hAnsi="Palatino Linotype"/>
          <w:sz w:val="22"/>
          <w:szCs w:val="22"/>
        </w:rPr>
      </w:pPr>
    </w:p>
    <w:p w:rsidR="00532857" w:rsidRPr="00CF436E" w:rsidRDefault="00532857" w:rsidP="00532857">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CF436E">
        <w:rPr>
          <w:rFonts w:ascii="Palatino Linotype" w:eastAsiaTheme="minorHAnsi" w:hAnsi="Palatino Linotype"/>
          <w:b/>
          <w:sz w:val="22"/>
          <w:szCs w:val="22"/>
          <w:lang w:eastAsia="en-US"/>
        </w:rPr>
        <w:t>Que,</w:t>
      </w:r>
      <w:r w:rsidRPr="00CF436E">
        <w:rPr>
          <w:rFonts w:ascii="Palatino Linotype" w:eastAsiaTheme="minorHAnsi" w:hAnsi="Palatino Linotype"/>
          <w:sz w:val="22"/>
          <w:szCs w:val="22"/>
          <w:lang w:eastAsia="en-US"/>
        </w:rPr>
        <w:t xml:space="preserve"> </w:t>
      </w:r>
      <w:r w:rsidRPr="00CF436E">
        <w:rPr>
          <w:rFonts w:ascii="Palatino Linotype" w:eastAsiaTheme="minorHAnsi" w:hAnsi="Palatino Linotype"/>
          <w:sz w:val="22"/>
          <w:szCs w:val="22"/>
          <w:lang w:eastAsia="en-US"/>
        </w:rPr>
        <w:tab/>
        <w:t xml:space="preserve">el Código Municipal en su artículo 2171, establece: </w:t>
      </w:r>
      <w:r w:rsidRPr="00CF436E">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C926A0" w:rsidRPr="00CF436E"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027D50" w:rsidRPr="00CF436E" w:rsidRDefault="00027D50" w:rsidP="00027D50">
      <w:pPr>
        <w:autoSpaceDE w:val="0"/>
        <w:autoSpaceDN w:val="0"/>
        <w:adjustRightInd w:val="0"/>
        <w:ind w:left="708" w:hanging="708"/>
        <w:jc w:val="both"/>
        <w:rPr>
          <w:rFonts w:ascii="Palatino Linotype" w:eastAsiaTheme="minorHAnsi" w:hAnsi="Palatino Linotype"/>
          <w:sz w:val="22"/>
          <w:szCs w:val="22"/>
          <w:lang w:eastAsia="en-US"/>
        </w:rPr>
      </w:pPr>
      <w:r w:rsidRPr="00CF436E">
        <w:rPr>
          <w:rFonts w:ascii="Palatino Linotype" w:eastAsiaTheme="minorHAnsi" w:hAnsi="Palatino Linotype"/>
          <w:b/>
          <w:sz w:val="22"/>
          <w:szCs w:val="22"/>
          <w:lang w:eastAsia="en-US"/>
        </w:rPr>
        <w:t>Que,</w:t>
      </w:r>
      <w:r w:rsidRPr="00CF436E">
        <w:rPr>
          <w:rFonts w:ascii="Palatino Linotype" w:eastAsiaTheme="minorHAnsi" w:hAnsi="Palatino Linotype"/>
          <w:sz w:val="22"/>
          <w:szCs w:val="22"/>
          <w:lang w:eastAsia="en-US"/>
        </w:rPr>
        <w:t xml:space="preserve"> mediante oficio Nro.</w:t>
      </w:r>
      <w:r w:rsidRPr="00CF436E">
        <w:rPr>
          <w:rFonts w:ascii="Palatino Linotype" w:hAnsi="Palatino Linotype"/>
          <w:sz w:val="22"/>
          <w:szCs w:val="22"/>
        </w:rPr>
        <w:t xml:space="preserve"> 2950-2010 de 31 de octubre de 2011</w:t>
      </w:r>
      <w:r w:rsidRPr="00CF436E">
        <w:rPr>
          <w:rFonts w:ascii="Palatino Linotype" w:eastAsiaTheme="minorHAnsi" w:hAnsi="Palatino Linotype"/>
          <w:sz w:val="22"/>
          <w:szCs w:val="22"/>
          <w:lang w:eastAsia="en-US"/>
        </w:rPr>
        <w:t xml:space="preserve"> la Procuraduría Metropolitana emitió un </w:t>
      </w:r>
      <w:r w:rsidRPr="00CF436E">
        <w:rPr>
          <w:rFonts w:ascii="Palatino Linotype" w:hAnsi="Palatino Linotype"/>
          <w:sz w:val="22"/>
          <w:szCs w:val="22"/>
        </w:rPr>
        <w:t xml:space="preserve">pronunciamiento en forma general, respecto al marco legal y operativo para todos los casos de </w:t>
      </w:r>
      <w:r w:rsidRPr="00CF436E">
        <w:rPr>
          <w:rFonts w:ascii="Palatino Linotype" w:eastAsiaTheme="minorHAnsi" w:hAnsi="Palatino Linotype"/>
          <w:sz w:val="22"/>
          <w:szCs w:val="22"/>
          <w:lang w:eastAsia="en-US"/>
        </w:rPr>
        <w:t>prescripción extraordinaria adquisitiva de dominio;</w:t>
      </w:r>
    </w:p>
    <w:p w:rsidR="00027D50" w:rsidRPr="00CF436E" w:rsidRDefault="00027D50" w:rsidP="002F7AF5">
      <w:pPr>
        <w:autoSpaceDE w:val="0"/>
        <w:autoSpaceDN w:val="0"/>
        <w:adjustRightInd w:val="0"/>
        <w:ind w:left="708" w:hanging="708"/>
        <w:jc w:val="both"/>
        <w:rPr>
          <w:rFonts w:ascii="Palatino Linotype" w:eastAsiaTheme="minorHAnsi" w:hAnsi="Palatino Linotype"/>
          <w:b/>
          <w:sz w:val="22"/>
          <w:szCs w:val="22"/>
          <w:lang w:eastAsia="en-US"/>
        </w:rPr>
      </w:pPr>
    </w:p>
    <w:p w:rsidR="001F733D" w:rsidRPr="00CF436E" w:rsidRDefault="0013405F" w:rsidP="0013405F">
      <w:pPr>
        <w:pStyle w:val="Default"/>
        <w:ind w:left="708" w:hanging="708"/>
        <w:jc w:val="both"/>
        <w:rPr>
          <w:sz w:val="22"/>
          <w:szCs w:val="22"/>
        </w:rPr>
      </w:pPr>
      <w:r w:rsidRPr="00CF436E">
        <w:rPr>
          <w:b/>
          <w:sz w:val="22"/>
          <w:szCs w:val="22"/>
        </w:rPr>
        <w:t>Que,</w:t>
      </w:r>
      <w:r w:rsidRPr="00CF436E">
        <w:rPr>
          <w:sz w:val="22"/>
          <w:szCs w:val="22"/>
        </w:rPr>
        <w:t xml:space="preserve"> m</w:t>
      </w:r>
      <w:r w:rsidR="001F733D" w:rsidRPr="00CF436E">
        <w:rPr>
          <w:sz w:val="22"/>
          <w:szCs w:val="22"/>
        </w:rPr>
        <w:t>ediante oficio GADDMQ-PM-2021-03</w:t>
      </w:r>
      <w:r w:rsidR="00AC0982" w:rsidRPr="00CF436E">
        <w:rPr>
          <w:sz w:val="22"/>
          <w:szCs w:val="22"/>
        </w:rPr>
        <w:t>96-O de 29 de enero de 2021, el</w:t>
      </w:r>
      <w:r w:rsidR="001F733D" w:rsidRPr="00CF436E">
        <w:rPr>
          <w:sz w:val="22"/>
          <w:szCs w:val="22"/>
        </w:rPr>
        <w:t xml:space="preserve"> Dr. Edison Yépez Vinueza, Subprocurador Metropolitano, señala: </w:t>
      </w:r>
    </w:p>
    <w:p w:rsidR="001F733D" w:rsidRPr="00CF436E" w:rsidRDefault="001F733D" w:rsidP="001F733D">
      <w:pPr>
        <w:tabs>
          <w:tab w:val="left" w:pos="426"/>
        </w:tabs>
        <w:ind w:left="1416" w:right="566"/>
        <w:jc w:val="both"/>
        <w:rPr>
          <w:rFonts w:ascii="Palatino Linotype" w:hAnsi="Palatino Linotype"/>
          <w:i/>
          <w:sz w:val="22"/>
          <w:szCs w:val="22"/>
        </w:rPr>
      </w:pPr>
    </w:p>
    <w:p w:rsidR="001F733D" w:rsidRPr="00CF436E" w:rsidRDefault="001F733D" w:rsidP="001F733D">
      <w:pPr>
        <w:tabs>
          <w:tab w:val="left" w:pos="284"/>
        </w:tabs>
        <w:ind w:left="708"/>
        <w:jc w:val="both"/>
        <w:rPr>
          <w:rFonts w:ascii="Palatino Linotype" w:hAnsi="Palatino Linotype"/>
          <w:i/>
          <w:sz w:val="22"/>
          <w:szCs w:val="22"/>
        </w:rPr>
      </w:pPr>
      <w:r w:rsidRPr="00CF436E">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1F733D" w:rsidRPr="00CF436E" w:rsidRDefault="001F733D" w:rsidP="001F733D">
      <w:pPr>
        <w:tabs>
          <w:tab w:val="left" w:pos="284"/>
        </w:tabs>
        <w:ind w:left="708"/>
        <w:jc w:val="both"/>
        <w:rPr>
          <w:rFonts w:ascii="Palatino Linotype" w:hAnsi="Palatino Linotype"/>
          <w:i/>
          <w:sz w:val="22"/>
          <w:szCs w:val="22"/>
        </w:rPr>
      </w:pPr>
      <w:r w:rsidRPr="00CF436E">
        <w:rPr>
          <w:rFonts w:ascii="Palatino Linotype" w:hAnsi="Palatino Linotype"/>
          <w:i/>
          <w:sz w:val="22"/>
          <w:szCs w:val="22"/>
        </w:rPr>
        <w:t xml:space="preserve">En este sentido, corresponde a las Administraciones Zonales determinar en cada caso particular, la aplicación del criterio anteriormente señalado, para lo cual deberá tomar en </w:t>
      </w:r>
      <w:r w:rsidRPr="00CF436E">
        <w:rPr>
          <w:rFonts w:ascii="Palatino Linotype" w:hAnsi="Palatino Linotype"/>
          <w:i/>
          <w:sz w:val="22"/>
          <w:szCs w:val="22"/>
        </w:rPr>
        <w:lastRenderedPageBreak/>
        <w:t>cuenta en sujeción a la normativa vigente y por tratarse de un fraccionamiento, los parámetros de lote mínimo, frente mínimo y contribución o compensación de áreas verdes.</w:t>
      </w:r>
    </w:p>
    <w:p w:rsidR="001F733D" w:rsidRPr="00CF436E" w:rsidRDefault="001F733D" w:rsidP="001F733D">
      <w:pPr>
        <w:tabs>
          <w:tab w:val="left" w:pos="284"/>
        </w:tabs>
        <w:ind w:left="708"/>
        <w:jc w:val="both"/>
        <w:rPr>
          <w:rFonts w:ascii="Palatino Linotype" w:hAnsi="Palatino Linotype"/>
          <w:i/>
          <w:sz w:val="22"/>
          <w:szCs w:val="22"/>
        </w:rPr>
      </w:pPr>
      <w:r w:rsidRPr="00CF436E">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1F733D" w:rsidRPr="00CF436E" w:rsidRDefault="001F733D" w:rsidP="001F733D">
      <w:pPr>
        <w:tabs>
          <w:tab w:val="left" w:pos="284"/>
        </w:tabs>
        <w:ind w:left="708"/>
        <w:jc w:val="both"/>
        <w:rPr>
          <w:rFonts w:ascii="Palatino Linotype" w:hAnsi="Palatino Linotype"/>
          <w:i/>
          <w:sz w:val="22"/>
          <w:szCs w:val="22"/>
        </w:rPr>
      </w:pPr>
      <w:r w:rsidRPr="00CF436E">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1F733D" w:rsidRPr="00CF436E" w:rsidRDefault="001F733D" w:rsidP="001F733D">
      <w:pPr>
        <w:tabs>
          <w:tab w:val="left" w:pos="284"/>
        </w:tabs>
        <w:jc w:val="both"/>
        <w:rPr>
          <w:rFonts w:ascii="Palatino Linotype" w:hAnsi="Palatino Linotype"/>
          <w:i/>
          <w:sz w:val="22"/>
          <w:szCs w:val="22"/>
        </w:rPr>
      </w:pPr>
    </w:p>
    <w:p w:rsidR="006775C6" w:rsidRPr="00CF436E" w:rsidRDefault="006775C6" w:rsidP="006775C6">
      <w:pPr>
        <w:autoSpaceDE w:val="0"/>
        <w:autoSpaceDN w:val="0"/>
        <w:adjustRightInd w:val="0"/>
        <w:ind w:left="708" w:hanging="708"/>
        <w:jc w:val="both"/>
        <w:rPr>
          <w:rStyle w:val="markedcontent"/>
          <w:rFonts w:ascii="Palatino Linotype" w:hAnsi="Palatino Linotype" w:cs="Arial"/>
          <w:sz w:val="22"/>
          <w:szCs w:val="22"/>
        </w:rPr>
      </w:pPr>
      <w:r w:rsidRPr="00CF436E">
        <w:rPr>
          <w:rFonts w:ascii="Palatino Linotype" w:eastAsiaTheme="minorHAnsi" w:hAnsi="Palatino Linotype"/>
          <w:b/>
          <w:sz w:val="22"/>
          <w:szCs w:val="22"/>
          <w:lang w:eastAsia="en-US"/>
        </w:rPr>
        <w:t>Que,</w:t>
      </w:r>
      <w:r w:rsidRPr="00CF436E">
        <w:rPr>
          <w:rFonts w:ascii="Palatino Linotype" w:eastAsiaTheme="minorHAnsi" w:hAnsi="Palatino Linotype"/>
          <w:sz w:val="22"/>
          <w:szCs w:val="22"/>
          <w:lang w:eastAsia="en-US"/>
        </w:rPr>
        <w:t xml:space="preserve"> </w:t>
      </w:r>
      <w:r w:rsidRPr="00CF436E">
        <w:rPr>
          <w:rStyle w:val="markedcontent"/>
          <w:rFonts w:ascii="Palatino Linotype" w:hAnsi="Palatino Linotype" w:cs="Arial"/>
          <w:sz w:val="22"/>
          <w:szCs w:val="22"/>
        </w:rPr>
        <w:t xml:space="preserve">Con fecha 30 de noviembre de 2021, con Proceso de Juicio No. 17230-2019-19805, la Unidad Judicial Civil con sede en la Parroquia de Iñaquito del Distrito Metropolitano de Quito, a las 11h12, acepta la demanda a </w:t>
      </w:r>
      <w:r w:rsidRPr="00CF436E">
        <w:rPr>
          <w:rStyle w:val="highlight"/>
          <w:rFonts w:ascii="Palatino Linotype" w:hAnsi="Palatino Linotype" w:cs="Arial"/>
          <w:sz w:val="22"/>
          <w:szCs w:val="22"/>
        </w:rPr>
        <w:t>favor</w:t>
      </w:r>
      <w:r w:rsidRPr="00CF436E">
        <w:rPr>
          <w:rStyle w:val="markedcontent"/>
          <w:rFonts w:ascii="Palatino Linotype" w:hAnsi="Palatino Linotype" w:cs="Arial"/>
          <w:sz w:val="22"/>
          <w:szCs w:val="22"/>
        </w:rPr>
        <w:t xml:space="preserve"> del señor Roberto Miguel Rentería Salazar adquirida por prescripción extraordinaria de dominio, del lote de terreno y casa signados con el No. 145, ubicado en el Conjunto Habitacional Paseos de Calderón, Etapa II, de la parroquia Calderón del Distrito Metropolitano de Quito, el mismo que se encuentra demarcado por los siguientes linderos: NORTE: Linda con la casa 123 adjudicada a la señora Silvia Sornoza, SUR: Linda en 6,07 metros con la calle UNO del Conjunto Habitacional denominado Paseos de Calderón II Etapa; ESTE: Linda en 13.82 metros con la casa número 146 adjudicada al señor Segundo Tipán; OESTE: Linda en 13,83 con la casa número 144, con propiedad del señor Víctor Molina. Con área de construcción total del inmueble de 89,09 metros cuadrados, construidos en dos plantas. </w:t>
      </w:r>
    </w:p>
    <w:p w:rsidR="00FC3E6E" w:rsidRPr="00CF436E" w:rsidRDefault="00FC3E6E" w:rsidP="001E1DC3">
      <w:pPr>
        <w:pStyle w:val="Default"/>
        <w:jc w:val="both"/>
        <w:rPr>
          <w:i/>
          <w:sz w:val="22"/>
          <w:szCs w:val="22"/>
        </w:rPr>
      </w:pPr>
    </w:p>
    <w:p w:rsidR="00034339" w:rsidRPr="00CF436E" w:rsidRDefault="006775C6" w:rsidP="00034339">
      <w:pPr>
        <w:tabs>
          <w:tab w:val="left" w:pos="1080"/>
        </w:tabs>
        <w:ind w:left="1080" w:hanging="1080"/>
        <w:jc w:val="both"/>
        <w:rPr>
          <w:rFonts w:ascii="Palatino Linotype" w:hAnsi="Palatino Linotype"/>
          <w:sz w:val="22"/>
          <w:szCs w:val="22"/>
        </w:rPr>
      </w:pPr>
      <w:r w:rsidRPr="00CF436E">
        <w:rPr>
          <w:rFonts w:ascii="Palatino Linotype" w:hAnsi="Palatino Linotype"/>
          <w:sz w:val="22"/>
          <w:szCs w:val="22"/>
        </w:rPr>
        <w:t xml:space="preserve">Que, </w:t>
      </w:r>
      <w:r w:rsidR="00034339" w:rsidRPr="00CF436E">
        <w:rPr>
          <w:rFonts w:ascii="Palatino Linotype" w:hAnsi="Palatino Linotype"/>
          <w:sz w:val="22"/>
          <w:szCs w:val="22"/>
        </w:rPr>
        <w:t xml:space="preserve">mediante informe técnico Nro. </w:t>
      </w:r>
      <w:r w:rsidR="00034339" w:rsidRPr="00CF436E">
        <w:rPr>
          <w:rStyle w:val="markedcontent"/>
          <w:rFonts w:ascii="Palatino Linotype" w:hAnsi="Palatino Linotype" w:cs="Arial"/>
          <w:sz w:val="22"/>
          <w:szCs w:val="22"/>
        </w:rPr>
        <w:t>AZCA-DGT-2022-029</w:t>
      </w:r>
      <w:r w:rsidR="00034339" w:rsidRPr="00CF436E">
        <w:rPr>
          <w:rFonts w:ascii="Palatino Linotype" w:hAnsi="Palatino Linotype"/>
          <w:sz w:val="22"/>
          <w:szCs w:val="22"/>
        </w:rPr>
        <w:t xml:space="preserve">, de 01 de junio de 2022, el Ing. Israel Jiménez, funcionario de la Administración Zonal Calderón, señala: </w:t>
      </w:r>
    </w:p>
    <w:p w:rsidR="00034339" w:rsidRPr="00CF436E" w:rsidRDefault="00034339" w:rsidP="00034339">
      <w:pPr>
        <w:tabs>
          <w:tab w:val="left" w:pos="1080"/>
        </w:tabs>
        <w:jc w:val="both"/>
        <w:rPr>
          <w:rFonts w:ascii="Palatino Linotype" w:hAnsi="Palatino Linotype"/>
          <w:b/>
          <w:sz w:val="22"/>
          <w:szCs w:val="22"/>
        </w:rPr>
      </w:pPr>
    </w:p>
    <w:p w:rsidR="00034339" w:rsidRPr="00CF436E" w:rsidRDefault="00034339" w:rsidP="00034339">
      <w:pPr>
        <w:tabs>
          <w:tab w:val="left" w:pos="1080"/>
        </w:tabs>
        <w:ind w:left="708"/>
        <w:jc w:val="both"/>
        <w:rPr>
          <w:rStyle w:val="markedcontent"/>
          <w:rFonts w:ascii="Palatino Linotype" w:hAnsi="Palatino Linotype" w:cs="Arial"/>
          <w:b/>
          <w:i/>
          <w:sz w:val="22"/>
          <w:szCs w:val="22"/>
        </w:rPr>
      </w:pPr>
      <w:r w:rsidRPr="00CF436E">
        <w:rPr>
          <w:rFonts w:ascii="Palatino Linotype" w:hAnsi="Palatino Linotype"/>
          <w:b/>
          <w:i/>
          <w:sz w:val="22"/>
          <w:szCs w:val="22"/>
        </w:rPr>
        <w:t xml:space="preserve">“(…) </w:t>
      </w:r>
      <w:r w:rsidRPr="00CF436E">
        <w:rPr>
          <w:rStyle w:val="markedcontent"/>
          <w:rFonts w:ascii="Palatino Linotype" w:hAnsi="Palatino Linotype" w:cs="Arial"/>
          <w:b/>
          <w:i/>
          <w:sz w:val="22"/>
          <w:szCs w:val="22"/>
        </w:rPr>
        <w:t>Análisis de la Prescripción Adquisitiva de Dominio</w:t>
      </w:r>
    </w:p>
    <w:p w:rsidR="00034339" w:rsidRPr="00CF436E" w:rsidRDefault="00034339" w:rsidP="00034339">
      <w:pPr>
        <w:tabs>
          <w:tab w:val="left" w:pos="1080"/>
        </w:tabs>
        <w:ind w:left="708"/>
        <w:jc w:val="both"/>
        <w:rPr>
          <w:rStyle w:val="markedcontent"/>
          <w:rFonts w:ascii="Palatino Linotype" w:hAnsi="Palatino Linotype" w:cs="Arial"/>
          <w:b/>
          <w:i/>
          <w:sz w:val="22"/>
          <w:szCs w:val="22"/>
        </w:rPr>
      </w:pPr>
      <w:r w:rsidRPr="00CF436E">
        <w:rPr>
          <w:rStyle w:val="markedcontent"/>
          <w:rFonts w:ascii="Palatino Linotype" w:hAnsi="Palatino Linotype" w:cs="Arial"/>
          <w:b/>
          <w:i/>
          <w:sz w:val="22"/>
          <w:szCs w:val="22"/>
        </w:rPr>
        <w:t>Descripción del Juicio</w:t>
      </w: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Fonts w:ascii="Palatino Linotype" w:hAnsi="Palatino Linotype"/>
          <w:i/>
          <w:sz w:val="22"/>
          <w:szCs w:val="22"/>
        </w:rPr>
        <w:br/>
      </w:r>
      <w:r w:rsidRPr="00CF436E">
        <w:rPr>
          <w:rStyle w:val="markedcontent"/>
          <w:i/>
          <w:sz w:val="22"/>
          <w:szCs w:val="22"/>
        </w:rPr>
        <w:t>̈</w:t>
      </w:r>
      <w:r w:rsidRPr="00CF436E">
        <w:rPr>
          <w:rStyle w:val="markedcontent"/>
          <w:rFonts w:ascii="Palatino Linotype" w:hAnsi="Palatino Linotype" w:cs="Arial"/>
          <w:i/>
          <w:sz w:val="22"/>
          <w:szCs w:val="22"/>
        </w:rPr>
        <w:t xml:space="preserve">(...) se acepta la demanda; en consecuencia se declara que el señor ROBERTO MIGUEL RRENTERIA SALAZAR, ha adquirido por prescripción extraordinaria adquisitiva de dominio, de la casa No. 145 del Conjunto Paseos de Calderón, Etapa II de la parroquia Calderón del Distrito Metropolitano de Quito, el mismo que se encuentra demarcado por los siguientes linderos: NORTE: Linda con la casa 123 adjudicada a la señora Silvia Sornoza; SUR: Linda en 6.07 metros con la calle UNO del Conjunto Habitacional denominado Paseos de Calderón II Etapa; ESTE: Linda en 13.82 metros con la casa número 146 adjudicada al señor Segundo Tipán; OESTE: Linda en 13.82 con la casa número 144 con propiedad del señor Víctor Molina (...) </w:t>
      </w:r>
      <w:r w:rsidRPr="00CF436E">
        <w:rPr>
          <w:rStyle w:val="markedcontent"/>
          <w:i/>
          <w:sz w:val="22"/>
          <w:szCs w:val="22"/>
        </w:rPr>
        <w:t>̈</w:t>
      </w:r>
    </w:p>
    <w:p w:rsidR="00034339" w:rsidRPr="00CF436E" w:rsidRDefault="00034339" w:rsidP="00034339">
      <w:pPr>
        <w:tabs>
          <w:tab w:val="left" w:pos="1080"/>
        </w:tabs>
        <w:ind w:left="708"/>
        <w:jc w:val="both"/>
        <w:rPr>
          <w:rStyle w:val="markedcontent"/>
          <w:rFonts w:ascii="Palatino Linotype" w:hAnsi="Palatino Linotype" w:cs="Arial"/>
          <w:b/>
          <w:i/>
          <w:sz w:val="22"/>
          <w:szCs w:val="22"/>
        </w:rPr>
      </w:pPr>
      <w:r w:rsidRPr="00CF436E">
        <w:rPr>
          <w:rFonts w:ascii="Palatino Linotype" w:hAnsi="Palatino Linotype"/>
          <w:b/>
          <w:i/>
          <w:sz w:val="22"/>
          <w:szCs w:val="22"/>
        </w:rPr>
        <w:lastRenderedPageBreak/>
        <w:br/>
      </w:r>
      <w:r w:rsidRPr="00CF436E">
        <w:rPr>
          <w:rStyle w:val="markedcontent"/>
          <w:rFonts w:ascii="Palatino Linotype" w:hAnsi="Palatino Linotype" w:cs="Arial"/>
          <w:b/>
          <w:i/>
          <w:sz w:val="22"/>
          <w:szCs w:val="22"/>
        </w:rPr>
        <w:t>Prescripción Adquisitiva de Dominio Área Observaciones</w:t>
      </w:r>
    </w:p>
    <w:p w:rsidR="00034339" w:rsidRPr="00CF436E" w:rsidRDefault="00034339" w:rsidP="00034339">
      <w:pPr>
        <w:tabs>
          <w:tab w:val="left" w:pos="1080"/>
        </w:tabs>
        <w:ind w:left="708"/>
        <w:jc w:val="both"/>
        <w:rPr>
          <w:rStyle w:val="markedcontent"/>
          <w:rFonts w:ascii="Palatino Linotype" w:hAnsi="Palatino Linotype" w:cs="Arial"/>
          <w:i/>
          <w:sz w:val="22"/>
          <w:szCs w:val="22"/>
        </w:rPr>
      </w:pP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Style w:val="markedcontent"/>
          <w:rFonts w:ascii="Palatino Linotype" w:hAnsi="Palatino Linotype" w:cs="Arial"/>
          <w:i/>
          <w:sz w:val="22"/>
          <w:szCs w:val="22"/>
        </w:rPr>
        <w:t>Perito: Ing. Jaime Vinicio Buitrón Garrido</w:t>
      </w: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Style w:val="markedcontent"/>
          <w:rFonts w:ascii="Palatino Linotype" w:hAnsi="Palatino Linotype" w:cs="Arial"/>
          <w:i/>
          <w:sz w:val="22"/>
          <w:szCs w:val="22"/>
        </w:rPr>
        <w:t>No. 17230-2019-19805</w:t>
      </w: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Style w:val="markedcontent"/>
          <w:rFonts w:ascii="Palatino Linotype" w:hAnsi="Palatino Linotype" w:cs="Arial"/>
          <w:i/>
          <w:sz w:val="22"/>
          <w:szCs w:val="22"/>
        </w:rPr>
        <w:t>Lote = 83.35 m2: NO Cumple</w:t>
      </w: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Style w:val="markedcontent"/>
          <w:rFonts w:ascii="Palatino Linotype" w:hAnsi="Palatino Linotype" w:cs="Arial"/>
          <w:i/>
          <w:sz w:val="22"/>
          <w:szCs w:val="22"/>
        </w:rPr>
        <w:t>Frente = 6.07 m Calle No. 1: NO Cumple, calle no aprobada en P.P.C.</w:t>
      </w:r>
    </w:p>
    <w:p w:rsidR="00034339" w:rsidRPr="00CF436E" w:rsidRDefault="00034339" w:rsidP="00034339">
      <w:pPr>
        <w:tabs>
          <w:tab w:val="left" w:pos="1080"/>
        </w:tabs>
        <w:ind w:left="708"/>
        <w:jc w:val="both"/>
        <w:rPr>
          <w:rFonts w:ascii="Palatino Linotype" w:hAnsi="Palatino Linotype"/>
          <w:i/>
          <w:sz w:val="22"/>
          <w:szCs w:val="22"/>
        </w:rPr>
      </w:pPr>
    </w:p>
    <w:p w:rsidR="00034339" w:rsidRPr="00CF436E" w:rsidRDefault="00034339" w:rsidP="00034339">
      <w:pPr>
        <w:tabs>
          <w:tab w:val="left" w:pos="1080"/>
        </w:tabs>
        <w:ind w:left="708"/>
        <w:jc w:val="both"/>
        <w:rPr>
          <w:rStyle w:val="markedcontent"/>
          <w:rFonts w:ascii="Palatino Linotype" w:hAnsi="Palatino Linotype" w:cs="Arial"/>
          <w:b/>
          <w:i/>
          <w:sz w:val="22"/>
          <w:szCs w:val="22"/>
        </w:rPr>
      </w:pPr>
      <w:r w:rsidRPr="00CF436E">
        <w:rPr>
          <w:rStyle w:val="markedcontent"/>
          <w:rFonts w:ascii="Palatino Linotype" w:hAnsi="Palatino Linotype" w:cs="Arial"/>
          <w:b/>
          <w:i/>
          <w:sz w:val="22"/>
          <w:szCs w:val="22"/>
        </w:rPr>
        <w:t>Bloque de construcción</w:t>
      </w: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Style w:val="markedcontent"/>
          <w:rFonts w:ascii="Palatino Linotype" w:hAnsi="Palatino Linotype" w:cs="Arial"/>
          <w:i/>
          <w:sz w:val="22"/>
          <w:szCs w:val="22"/>
        </w:rPr>
        <w:t>Área de construcción de 89.09 m2</w:t>
      </w:r>
    </w:p>
    <w:p w:rsidR="00034339" w:rsidRPr="00CF436E" w:rsidRDefault="00034339" w:rsidP="00034339">
      <w:pPr>
        <w:tabs>
          <w:tab w:val="left" w:pos="1080"/>
        </w:tabs>
        <w:ind w:left="708"/>
        <w:jc w:val="both"/>
        <w:rPr>
          <w:rStyle w:val="markedcontent"/>
          <w:rFonts w:ascii="Palatino Linotype" w:hAnsi="Palatino Linotype" w:cs="Arial"/>
          <w:i/>
          <w:sz w:val="22"/>
          <w:szCs w:val="22"/>
        </w:rPr>
      </w:pPr>
    </w:p>
    <w:p w:rsidR="00034339" w:rsidRPr="00CF436E" w:rsidRDefault="00034339" w:rsidP="00034339">
      <w:pPr>
        <w:tabs>
          <w:tab w:val="left" w:pos="1080"/>
        </w:tabs>
        <w:ind w:left="708"/>
        <w:jc w:val="both"/>
        <w:rPr>
          <w:rFonts w:ascii="Palatino Linotype" w:hAnsi="Palatino Linotype"/>
          <w:i/>
          <w:sz w:val="22"/>
          <w:szCs w:val="22"/>
        </w:rPr>
      </w:pPr>
    </w:p>
    <w:p w:rsidR="00034339" w:rsidRPr="00CF436E" w:rsidRDefault="00034339" w:rsidP="00034339">
      <w:pPr>
        <w:tabs>
          <w:tab w:val="left" w:pos="1080"/>
        </w:tabs>
        <w:ind w:left="708"/>
        <w:jc w:val="both"/>
        <w:rPr>
          <w:rFonts w:ascii="Palatino Linotype" w:hAnsi="Palatino Linotype"/>
          <w:b/>
          <w:i/>
          <w:sz w:val="22"/>
          <w:szCs w:val="22"/>
        </w:rPr>
      </w:pPr>
      <w:r w:rsidRPr="00CF436E">
        <w:rPr>
          <w:rStyle w:val="markedcontent"/>
          <w:rFonts w:ascii="Palatino Linotype" w:hAnsi="Palatino Linotype" w:cs="Arial"/>
          <w:b/>
          <w:i/>
          <w:sz w:val="22"/>
          <w:szCs w:val="22"/>
        </w:rPr>
        <w:sym w:font="Symbol" w:char="F0B7"/>
      </w:r>
      <w:r w:rsidRPr="00CF436E">
        <w:rPr>
          <w:rStyle w:val="markedcontent"/>
          <w:rFonts w:ascii="Palatino Linotype" w:hAnsi="Palatino Linotype" w:cs="Arial"/>
          <w:b/>
          <w:i/>
          <w:sz w:val="22"/>
          <w:szCs w:val="22"/>
        </w:rPr>
        <w:t xml:space="preserve"> Análisis, contribución del 15% del área útil adjudicada adquirida mediante sentencia.</w:t>
      </w:r>
    </w:p>
    <w:p w:rsidR="00034339" w:rsidRPr="00CF436E" w:rsidRDefault="00034339" w:rsidP="00034339">
      <w:pPr>
        <w:tabs>
          <w:tab w:val="left" w:pos="1080"/>
        </w:tabs>
        <w:ind w:left="708"/>
        <w:jc w:val="both"/>
        <w:rPr>
          <w:rFonts w:ascii="Palatino Linotype" w:hAnsi="Palatino Linotype"/>
          <w:b/>
          <w:i/>
          <w:sz w:val="22"/>
          <w:szCs w:val="22"/>
        </w:rPr>
      </w:pP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Style w:val="markedcontent"/>
          <w:rFonts w:ascii="Palatino Linotype" w:hAnsi="Palatino Linotype" w:cs="Arial"/>
          <w:i/>
          <w:sz w:val="22"/>
          <w:szCs w:val="22"/>
        </w:rPr>
        <w:t>En el análisis de contribución, y de acuerdo a la normativa vigente CODIGO ORGANICO DE ORGANIZACIÓN TERRITORIAL, AUTONOMIA Y DESCENTRALIZACION (COOTAD) Art. 424 ; Capítulo II Fraccionamiento de Suelos y Reestructuración de Lotes y Código Municipal para el Distrito Metropolitano de Quito; Libro IV: Del Eje Territorial, Libro IV.1: Del Uso de Suelo, Artículo 2171. En este caso el 15% del área útil prescrita corresponde a 12.50 m2, lo cual es inferior al lote mínimo vigente (600m2), razón por la que el actor de la</w:t>
      </w:r>
      <w:r w:rsidRPr="00CF436E">
        <w:rPr>
          <w:rFonts w:ascii="Palatino Linotype" w:hAnsi="Palatino Linotype"/>
          <w:i/>
          <w:sz w:val="22"/>
          <w:szCs w:val="22"/>
        </w:rPr>
        <w:br/>
      </w:r>
      <w:r w:rsidRPr="00CF436E">
        <w:rPr>
          <w:rStyle w:val="markedcontent"/>
          <w:rFonts w:ascii="Palatino Linotype" w:hAnsi="Palatino Linotype" w:cs="Arial"/>
          <w:i/>
          <w:sz w:val="22"/>
          <w:szCs w:val="22"/>
        </w:rPr>
        <w:t>demanda deberá compensar en valor monetario de acuerdo al avalúo catastral vigente a la fecha de la emisión del título de crédito correspondiente.</w:t>
      </w:r>
    </w:p>
    <w:p w:rsidR="00034339" w:rsidRPr="00CF436E" w:rsidRDefault="00034339" w:rsidP="00034339">
      <w:pPr>
        <w:tabs>
          <w:tab w:val="left" w:pos="1080"/>
        </w:tabs>
        <w:ind w:left="708"/>
        <w:jc w:val="both"/>
        <w:rPr>
          <w:rFonts w:ascii="Palatino Linotype" w:hAnsi="Palatino Linotype"/>
          <w:b/>
          <w:i/>
          <w:sz w:val="22"/>
          <w:szCs w:val="22"/>
        </w:rPr>
      </w:pPr>
      <w:r w:rsidRPr="00CF436E">
        <w:rPr>
          <w:rFonts w:ascii="Palatino Linotype" w:hAnsi="Palatino Linotype"/>
          <w:i/>
          <w:sz w:val="22"/>
          <w:szCs w:val="22"/>
        </w:rPr>
        <w:br/>
      </w:r>
      <w:r w:rsidRPr="00CF436E">
        <w:rPr>
          <w:rStyle w:val="markedcontent"/>
          <w:rFonts w:ascii="Palatino Linotype" w:hAnsi="Palatino Linotype" w:cs="Arial"/>
          <w:i/>
          <w:sz w:val="22"/>
          <w:szCs w:val="22"/>
        </w:rPr>
        <w:t xml:space="preserve">Conforme lo señalado en el Informe Técnico GADDMQ-AZCA-CATASTRO-2022-0008-M de fecha 16 de febrero de 2022 emitida por la Unidad Desconcentrada de Catastros, </w:t>
      </w:r>
      <w:r w:rsidRPr="00CF436E">
        <w:rPr>
          <w:rStyle w:val="markedcontent"/>
          <w:i/>
          <w:sz w:val="22"/>
          <w:szCs w:val="22"/>
        </w:rPr>
        <w:t>̈</w:t>
      </w:r>
      <w:r w:rsidRPr="00CF436E">
        <w:rPr>
          <w:rStyle w:val="markedcontent"/>
          <w:rFonts w:ascii="Palatino Linotype" w:hAnsi="Palatino Linotype" w:cs="Arial"/>
          <w:i/>
          <w:sz w:val="22"/>
          <w:szCs w:val="22"/>
        </w:rPr>
        <w:t xml:space="preserve"> (...) revisado el sistema de registro catastral SIREC-Q a la presente fecha, el inmueble identificado con Predio 1296691, Clave Catastral 1271302005, ubicado en la parroquia Calderón y catastrado a nombre de ASOCIACION SOLIDARIDAD Y ACCION A.S.A. RUC: 1791276655001, registra los siguientes datos técnicos </w:t>
      </w:r>
      <w:r w:rsidRPr="00CF436E">
        <w:rPr>
          <w:rStyle w:val="markedcontent"/>
          <w:i/>
          <w:sz w:val="22"/>
          <w:szCs w:val="22"/>
        </w:rPr>
        <w:t>̈</w:t>
      </w:r>
      <w:r w:rsidRPr="00CF436E">
        <w:rPr>
          <w:rStyle w:val="markedcontent"/>
          <w:rFonts w:ascii="Palatino Linotype" w:hAnsi="Palatino Linotype" w:cs="Arial"/>
          <w:i/>
          <w:sz w:val="22"/>
          <w:szCs w:val="22"/>
        </w:rPr>
        <w:t>:</w:t>
      </w:r>
    </w:p>
    <w:p w:rsidR="00034339" w:rsidRPr="00CF436E" w:rsidRDefault="00034339" w:rsidP="00034339">
      <w:pPr>
        <w:tabs>
          <w:tab w:val="left" w:pos="1080"/>
        </w:tabs>
        <w:ind w:left="708"/>
        <w:jc w:val="center"/>
        <w:rPr>
          <w:rStyle w:val="markedcontent"/>
          <w:rFonts w:ascii="Palatino Linotype" w:hAnsi="Palatino Linotype" w:cs="Arial"/>
          <w:i/>
          <w:sz w:val="22"/>
          <w:szCs w:val="22"/>
        </w:rPr>
      </w:pPr>
    </w:p>
    <w:p w:rsidR="00034339" w:rsidRPr="00CF436E" w:rsidRDefault="00034339" w:rsidP="00034339">
      <w:pPr>
        <w:tabs>
          <w:tab w:val="left" w:pos="1080"/>
        </w:tabs>
        <w:ind w:left="708"/>
        <w:jc w:val="center"/>
        <w:rPr>
          <w:rStyle w:val="markedcontent"/>
          <w:rFonts w:ascii="Palatino Linotype" w:hAnsi="Palatino Linotype" w:cs="Arial"/>
          <w:i/>
          <w:noProof/>
          <w:sz w:val="22"/>
          <w:szCs w:val="22"/>
          <w:lang w:eastAsia="es-EC"/>
        </w:rPr>
      </w:pPr>
      <w:r w:rsidRPr="00CF436E">
        <w:rPr>
          <w:rStyle w:val="markedcontent"/>
          <w:rFonts w:ascii="Palatino Linotype" w:hAnsi="Palatino Linotype" w:cs="Arial"/>
          <w:i/>
          <w:noProof/>
          <w:sz w:val="22"/>
          <w:szCs w:val="22"/>
          <w:lang w:eastAsia="es-EC"/>
        </w:rPr>
        <w:drawing>
          <wp:inline distT="0" distB="0" distL="0" distR="0" wp14:anchorId="732254A6" wp14:editId="071647AA">
            <wp:extent cx="4439270" cy="17337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39270" cy="1733792"/>
                    </a:xfrm>
                    <a:prstGeom prst="rect">
                      <a:avLst/>
                    </a:prstGeom>
                  </pic:spPr>
                </pic:pic>
              </a:graphicData>
            </a:graphic>
          </wp:inline>
        </w:drawing>
      </w:r>
    </w:p>
    <w:p w:rsidR="00034339" w:rsidRPr="00CF436E" w:rsidRDefault="00034339" w:rsidP="00034339">
      <w:pPr>
        <w:tabs>
          <w:tab w:val="left" w:pos="1080"/>
        </w:tabs>
        <w:ind w:left="708"/>
        <w:jc w:val="center"/>
        <w:rPr>
          <w:rStyle w:val="markedcontent"/>
          <w:rFonts w:ascii="Palatino Linotype" w:hAnsi="Palatino Linotype" w:cs="Arial"/>
          <w:i/>
          <w:sz w:val="22"/>
          <w:szCs w:val="22"/>
        </w:rPr>
      </w:pP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Fonts w:ascii="Palatino Linotype" w:hAnsi="Palatino Linotype"/>
          <w:b/>
          <w:i/>
          <w:sz w:val="22"/>
          <w:szCs w:val="22"/>
        </w:rPr>
        <w:t>“</w:t>
      </w:r>
      <w:r w:rsidRPr="00CF436E">
        <w:rPr>
          <w:rStyle w:val="markedcontent"/>
          <w:rFonts w:ascii="Palatino Linotype" w:hAnsi="Palatino Linotype" w:cs="Arial"/>
          <w:i/>
          <w:sz w:val="22"/>
          <w:szCs w:val="22"/>
        </w:rPr>
        <w:t>Por tanto, el valor por compensación del 15%; del área útil adjudicada mediante sentencia a la fecha de hoy es la que se detalla a continuación pudiendo esta cambiar si cambia el avaluó catastral.</w:t>
      </w: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Fonts w:ascii="Palatino Linotype" w:hAnsi="Palatino Linotype"/>
          <w:i/>
          <w:sz w:val="22"/>
          <w:szCs w:val="22"/>
        </w:rPr>
        <w:br/>
      </w:r>
      <w:r w:rsidRPr="00CF436E">
        <w:rPr>
          <w:rStyle w:val="markedcontent"/>
          <w:rFonts w:ascii="Palatino Linotype" w:hAnsi="Palatino Linotype" w:cs="Arial"/>
          <w:i/>
          <w:sz w:val="22"/>
          <w:szCs w:val="22"/>
        </w:rPr>
        <w:t>1.- El cálculo se realiza en función del Avalúo del Terreno y no al AIVA</w:t>
      </w:r>
      <w:r w:rsidRPr="00CF436E">
        <w:rPr>
          <w:rFonts w:ascii="Palatino Linotype" w:hAnsi="Palatino Linotype"/>
          <w:i/>
          <w:sz w:val="22"/>
          <w:szCs w:val="22"/>
        </w:rPr>
        <w:br/>
      </w:r>
      <w:r w:rsidRPr="00CF436E">
        <w:rPr>
          <w:rStyle w:val="markedcontent"/>
          <w:rFonts w:ascii="Palatino Linotype" w:hAnsi="Palatino Linotype" w:cs="Arial"/>
          <w:i/>
          <w:sz w:val="22"/>
          <w:szCs w:val="22"/>
        </w:rPr>
        <w:t>Se utiliza el Avalúo del terreno ya que el sistema SLUM en el cual se ingresa las Subdivisiones por prescripción utiliza los valores de: el Avalúo del Terreno, Área del Terreno y Área Prescrita</w:t>
      </w: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Fonts w:ascii="Palatino Linotype" w:hAnsi="Palatino Linotype"/>
          <w:i/>
          <w:sz w:val="22"/>
          <w:szCs w:val="22"/>
        </w:rPr>
        <w:br/>
      </w:r>
      <w:r w:rsidRPr="00CF436E">
        <w:rPr>
          <w:rStyle w:val="markedcontent"/>
          <w:rFonts w:ascii="Palatino Linotype" w:hAnsi="Palatino Linotype" w:cs="Arial"/>
          <w:i/>
          <w:sz w:val="22"/>
          <w:szCs w:val="22"/>
        </w:rPr>
        <w:t>2.- La fórmula con la cual se calcula la compensación es la siguiente.</w:t>
      </w:r>
      <w:r w:rsidRPr="00CF436E">
        <w:rPr>
          <w:rFonts w:ascii="Palatino Linotype" w:hAnsi="Palatino Linotype"/>
          <w:i/>
          <w:sz w:val="22"/>
          <w:szCs w:val="22"/>
        </w:rPr>
        <w:br/>
      </w:r>
      <w:r w:rsidRPr="00CF436E">
        <w:rPr>
          <w:rStyle w:val="markedcontent"/>
          <w:rFonts w:ascii="Palatino Linotype" w:hAnsi="Palatino Linotype" w:cs="Arial"/>
          <w:i/>
          <w:sz w:val="22"/>
          <w:szCs w:val="22"/>
        </w:rPr>
        <w:t>(Avalúo del Terreno / Área del Terreno) * (Área de prescripción) * (15% Contribución)</w:t>
      </w: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Fonts w:ascii="Palatino Linotype" w:hAnsi="Palatino Linotype"/>
          <w:i/>
          <w:sz w:val="22"/>
          <w:szCs w:val="22"/>
        </w:rPr>
        <w:br/>
      </w:r>
      <w:r w:rsidRPr="00CF436E">
        <w:rPr>
          <w:rStyle w:val="markedcontent"/>
          <w:rFonts w:ascii="Palatino Linotype" w:hAnsi="Palatino Linotype" w:cs="Arial"/>
          <w:i/>
          <w:sz w:val="22"/>
          <w:szCs w:val="22"/>
        </w:rPr>
        <w:t>Por tanto, el valor por compensación del 15% del área útil adjudicada, mediante sentencia a la fecha de hoy es la que se detalla a continuación pudiendo esta cambiar si cambia el avaluó catastral.</w:t>
      </w: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Fonts w:ascii="Palatino Linotype" w:hAnsi="Palatino Linotype"/>
          <w:i/>
          <w:sz w:val="22"/>
          <w:szCs w:val="22"/>
        </w:rPr>
        <w:br/>
      </w:r>
      <w:r w:rsidRPr="00CF436E">
        <w:rPr>
          <w:rStyle w:val="markedcontent"/>
          <w:rFonts w:ascii="Palatino Linotype" w:hAnsi="Palatino Linotype" w:cs="Arial"/>
          <w:i/>
          <w:sz w:val="22"/>
          <w:szCs w:val="22"/>
        </w:rPr>
        <w:t>3.- Con la fórmula mencionada, el área prescrita y los valores emitidos por catastros se realizó el cálculo:</w:t>
      </w:r>
    </w:p>
    <w:p w:rsidR="00034339" w:rsidRPr="00CF436E" w:rsidRDefault="00034339" w:rsidP="00034339">
      <w:pPr>
        <w:tabs>
          <w:tab w:val="left" w:pos="1080"/>
        </w:tabs>
        <w:ind w:left="708"/>
        <w:jc w:val="both"/>
        <w:rPr>
          <w:rStyle w:val="markedcontent"/>
          <w:rFonts w:ascii="Palatino Linotype" w:hAnsi="Palatino Linotype" w:cs="Arial"/>
          <w:i/>
          <w:sz w:val="22"/>
          <w:szCs w:val="22"/>
        </w:rPr>
      </w:pPr>
      <w:r w:rsidRPr="00CF436E">
        <w:rPr>
          <w:rFonts w:ascii="Palatino Linotype" w:hAnsi="Palatino Linotype"/>
          <w:i/>
          <w:sz w:val="22"/>
          <w:szCs w:val="22"/>
        </w:rPr>
        <w:br/>
      </w:r>
      <w:r w:rsidRPr="00CF436E">
        <w:rPr>
          <w:rStyle w:val="markedcontent"/>
          <w:rFonts w:ascii="Palatino Linotype" w:hAnsi="Palatino Linotype" w:cs="Arial"/>
          <w:i/>
          <w:sz w:val="22"/>
          <w:szCs w:val="22"/>
        </w:rPr>
        <w:t>(746.595,67 usd / 15.065,94 m2 ) * (83,35 m2) * (0,15) = 619.56 usd</w:t>
      </w:r>
    </w:p>
    <w:p w:rsidR="00034339" w:rsidRPr="00CF436E" w:rsidRDefault="00034339" w:rsidP="00034339">
      <w:pPr>
        <w:tabs>
          <w:tab w:val="left" w:pos="1080"/>
        </w:tabs>
        <w:ind w:left="708"/>
        <w:jc w:val="both"/>
        <w:rPr>
          <w:rFonts w:ascii="Palatino Linotype" w:hAnsi="Palatino Linotype"/>
          <w:b/>
          <w:i/>
          <w:sz w:val="22"/>
          <w:szCs w:val="22"/>
        </w:rPr>
      </w:pPr>
    </w:p>
    <w:p w:rsidR="00034339" w:rsidRPr="00CF436E" w:rsidRDefault="00034339" w:rsidP="00034339">
      <w:pPr>
        <w:tabs>
          <w:tab w:val="left" w:pos="1080"/>
        </w:tabs>
        <w:ind w:left="708"/>
        <w:jc w:val="center"/>
        <w:rPr>
          <w:rFonts w:ascii="Palatino Linotype" w:hAnsi="Palatino Linotype"/>
          <w:b/>
          <w:i/>
          <w:sz w:val="22"/>
          <w:szCs w:val="22"/>
        </w:rPr>
      </w:pPr>
      <w:r w:rsidRPr="00CF436E">
        <w:rPr>
          <w:rFonts w:ascii="Palatino Linotype" w:hAnsi="Palatino Linotype"/>
          <w:b/>
          <w:i/>
          <w:noProof/>
          <w:sz w:val="22"/>
          <w:szCs w:val="22"/>
          <w:lang w:eastAsia="es-EC"/>
        </w:rPr>
        <w:drawing>
          <wp:inline distT="0" distB="0" distL="0" distR="0" wp14:anchorId="7CC7F2D6" wp14:editId="1DBBF0C8">
            <wp:extent cx="4925112" cy="8002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5112" cy="800212"/>
                    </a:xfrm>
                    <a:prstGeom prst="rect">
                      <a:avLst/>
                    </a:prstGeom>
                  </pic:spPr>
                </pic:pic>
              </a:graphicData>
            </a:graphic>
          </wp:inline>
        </w:drawing>
      </w:r>
    </w:p>
    <w:p w:rsidR="00034339" w:rsidRPr="00CF436E" w:rsidRDefault="00034339" w:rsidP="00034339">
      <w:pPr>
        <w:tabs>
          <w:tab w:val="left" w:pos="1080"/>
        </w:tabs>
        <w:ind w:left="708"/>
        <w:jc w:val="both"/>
        <w:rPr>
          <w:rFonts w:ascii="Palatino Linotype" w:hAnsi="Palatino Linotype"/>
          <w:b/>
          <w:i/>
          <w:sz w:val="22"/>
          <w:szCs w:val="22"/>
        </w:rPr>
      </w:pPr>
    </w:p>
    <w:p w:rsidR="00034339" w:rsidRPr="00CF436E" w:rsidRDefault="00034339" w:rsidP="00034339">
      <w:pPr>
        <w:tabs>
          <w:tab w:val="left" w:pos="1080"/>
        </w:tabs>
        <w:ind w:left="708"/>
        <w:jc w:val="both"/>
        <w:rPr>
          <w:rFonts w:ascii="Palatino Linotype" w:hAnsi="Palatino Linotype"/>
          <w:b/>
          <w:i/>
          <w:sz w:val="22"/>
          <w:szCs w:val="22"/>
        </w:rPr>
      </w:pPr>
      <w:r w:rsidRPr="00CF436E">
        <w:rPr>
          <w:rFonts w:ascii="Palatino Linotype" w:hAnsi="Palatino Linotype"/>
          <w:b/>
          <w:i/>
          <w:sz w:val="22"/>
          <w:szCs w:val="22"/>
        </w:rPr>
        <w:t>“CONCLUSIONES</w:t>
      </w:r>
    </w:p>
    <w:p w:rsidR="00034339" w:rsidRPr="00CF436E" w:rsidRDefault="00034339" w:rsidP="00034339">
      <w:pPr>
        <w:tabs>
          <w:tab w:val="left" w:pos="1080"/>
        </w:tabs>
        <w:ind w:left="1080"/>
        <w:jc w:val="both"/>
        <w:rPr>
          <w:rFonts w:ascii="Palatino Linotype" w:hAnsi="Palatino Linotype"/>
          <w:b/>
          <w:i/>
          <w:sz w:val="22"/>
          <w:szCs w:val="22"/>
        </w:rPr>
      </w:pPr>
    </w:p>
    <w:p w:rsidR="006775C6" w:rsidRPr="00CF436E" w:rsidRDefault="00034339" w:rsidP="007111A8">
      <w:pPr>
        <w:pStyle w:val="Default"/>
        <w:ind w:left="708"/>
        <w:jc w:val="both"/>
        <w:rPr>
          <w:rStyle w:val="markedcontent"/>
          <w:rFonts w:cs="Arial"/>
          <w:b/>
          <w:i/>
          <w:sz w:val="22"/>
          <w:szCs w:val="22"/>
        </w:rPr>
      </w:pPr>
      <w:r w:rsidRPr="00CF436E">
        <w:rPr>
          <w:rStyle w:val="markedcontent"/>
          <w:rFonts w:cs="Arial"/>
          <w:i/>
          <w:sz w:val="22"/>
          <w:szCs w:val="22"/>
        </w:rPr>
        <w:t>Del análisis técnico se desprende que, la Prescripción Adquisitiva de Dominio de una parte del inmueble del predio No. 1296691, No Cumple con los datos establecidos en la zonificación vigente, tales como, “lote mínimo” y “frente mínimo”, el área prescrita corresponde a83.35m2 menor a 600m2 zonificación vigente; además no tiene frente hacia una vía aprobada razón por la que se emite Informe Técnico desfavorable</w:t>
      </w:r>
      <w:r w:rsidRPr="00CF436E">
        <w:rPr>
          <w:rStyle w:val="markedcontent"/>
          <w:rFonts w:cs="Arial"/>
          <w:b/>
          <w:i/>
          <w:sz w:val="22"/>
          <w:szCs w:val="22"/>
        </w:rPr>
        <w:t>."</w:t>
      </w:r>
    </w:p>
    <w:p w:rsidR="00034339" w:rsidRPr="00CF436E" w:rsidRDefault="00034339" w:rsidP="007111A8">
      <w:pPr>
        <w:pStyle w:val="Default"/>
        <w:ind w:left="708"/>
        <w:jc w:val="both"/>
        <w:rPr>
          <w:rStyle w:val="markedcontent"/>
          <w:rFonts w:cs="Arial"/>
          <w:b/>
          <w:i/>
          <w:sz w:val="22"/>
          <w:szCs w:val="22"/>
        </w:rPr>
      </w:pPr>
    </w:p>
    <w:p w:rsidR="005E2076" w:rsidRPr="00CF436E" w:rsidRDefault="006775C6" w:rsidP="005E2076">
      <w:pPr>
        <w:pStyle w:val="Default"/>
        <w:ind w:left="708" w:hanging="708"/>
        <w:jc w:val="both"/>
        <w:rPr>
          <w:sz w:val="22"/>
          <w:szCs w:val="22"/>
        </w:rPr>
      </w:pPr>
      <w:r w:rsidRPr="00CF436E">
        <w:rPr>
          <w:sz w:val="22"/>
          <w:szCs w:val="22"/>
        </w:rPr>
        <w:t xml:space="preserve">Que, </w:t>
      </w:r>
      <w:r w:rsidR="005E2076" w:rsidRPr="00CF436E">
        <w:rPr>
          <w:sz w:val="22"/>
          <w:szCs w:val="22"/>
        </w:rPr>
        <w:t xml:space="preserve">mediante </w:t>
      </w:r>
      <w:r w:rsidR="005E2076" w:rsidRPr="00CF436E">
        <w:rPr>
          <w:sz w:val="22"/>
          <w:szCs w:val="22"/>
          <w:lang w:val="es-EC"/>
        </w:rPr>
        <w:t>memorando Nro. G</w:t>
      </w:r>
      <w:r w:rsidR="005E2076" w:rsidRPr="00CF436E">
        <w:rPr>
          <w:sz w:val="22"/>
          <w:szCs w:val="22"/>
        </w:rPr>
        <w:t>ADDMQ-AZCA-DAJ-2022-0386-M,</w:t>
      </w:r>
      <w:r w:rsidR="005E2076" w:rsidRPr="00CF436E">
        <w:rPr>
          <w:sz w:val="22"/>
          <w:szCs w:val="22"/>
          <w:lang w:val="es-EC"/>
        </w:rPr>
        <w:t xml:space="preserve"> </w:t>
      </w:r>
      <w:r w:rsidR="005E2076" w:rsidRPr="00CF436E">
        <w:rPr>
          <w:sz w:val="22"/>
          <w:szCs w:val="22"/>
        </w:rPr>
        <w:t xml:space="preserve">de 25 de agosto de 2022, la </w:t>
      </w:r>
      <w:r w:rsidR="005E2076" w:rsidRPr="00CF436E">
        <w:rPr>
          <w:sz w:val="22"/>
          <w:szCs w:val="22"/>
          <w:lang w:val="es-EC"/>
        </w:rPr>
        <w:t>Abg. Lorena Elizabeth Donoso Rivera</w:t>
      </w:r>
      <w:r w:rsidR="005E2076" w:rsidRPr="00CF436E">
        <w:rPr>
          <w:sz w:val="22"/>
          <w:szCs w:val="22"/>
        </w:rPr>
        <w:t>, Subprocuradora Zonal de la Administración Calderón, señala:</w:t>
      </w:r>
    </w:p>
    <w:p w:rsidR="005E2076" w:rsidRPr="00CF436E" w:rsidRDefault="005E2076" w:rsidP="005E2076">
      <w:pPr>
        <w:pStyle w:val="Default"/>
        <w:jc w:val="both"/>
        <w:rPr>
          <w:i/>
          <w:sz w:val="22"/>
          <w:szCs w:val="22"/>
        </w:rPr>
      </w:pPr>
    </w:p>
    <w:p w:rsidR="005E2076" w:rsidRPr="00CF436E" w:rsidRDefault="005E2076" w:rsidP="005E2076">
      <w:pPr>
        <w:tabs>
          <w:tab w:val="left" w:pos="284"/>
        </w:tabs>
        <w:ind w:left="708"/>
        <w:jc w:val="both"/>
        <w:rPr>
          <w:rFonts w:ascii="Palatino Linotype" w:hAnsi="Palatino Linotype"/>
          <w:b/>
          <w:i/>
          <w:sz w:val="22"/>
          <w:szCs w:val="22"/>
        </w:rPr>
      </w:pPr>
      <w:r w:rsidRPr="00CF436E">
        <w:rPr>
          <w:rFonts w:ascii="Palatino Linotype" w:eastAsiaTheme="minorHAnsi" w:hAnsi="Palatino Linotype" w:cs="Palatino Linotype"/>
          <w:b/>
          <w:i/>
          <w:color w:val="000000"/>
          <w:sz w:val="22"/>
          <w:szCs w:val="22"/>
          <w:lang w:eastAsia="en-US"/>
        </w:rPr>
        <w:t xml:space="preserve">“(…) </w:t>
      </w:r>
      <w:r w:rsidRPr="00CF436E">
        <w:rPr>
          <w:rFonts w:ascii="Palatino Linotype" w:hAnsi="Palatino Linotype"/>
          <w:b/>
          <w:i/>
          <w:sz w:val="22"/>
          <w:szCs w:val="22"/>
        </w:rPr>
        <w:t xml:space="preserve">CRITERIO: </w:t>
      </w:r>
    </w:p>
    <w:p w:rsidR="005E2076" w:rsidRPr="00CF436E" w:rsidRDefault="005E2076" w:rsidP="005E2076">
      <w:pPr>
        <w:tabs>
          <w:tab w:val="left" w:pos="284"/>
        </w:tabs>
        <w:jc w:val="both"/>
        <w:rPr>
          <w:rFonts w:ascii="Palatino Linotype" w:hAnsi="Palatino Linotype"/>
          <w:i/>
          <w:sz w:val="22"/>
          <w:szCs w:val="22"/>
        </w:rPr>
      </w:pPr>
    </w:p>
    <w:p w:rsidR="005E2076" w:rsidRPr="00CF436E" w:rsidRDefault="005E2076" w:rsidP="005E2076">
      <w:pPr>
        <w:tabs>
          <w:tab w:val="left" w:pos="284"/>
        </w:tabs>
        <w:ind w:left="708"/>
        <w:jc w:val="both"/>
        <w:rPr>
          <w:rFonts w:ascii="Palatino Linotype" w:hAnsi="Palatino Linotype"/>
          <w:i/>
          <w:sz w:val="22"/>
          <w:szCs w:val="22"/>
        </w:rPr>
      </w:pPr>
      <w:r w:rsidRPr="00CF436E">
        <w:rPr>
          <w:rFonts w:ascii="Palatino Linotype" w:hAnsi="Palatino Linotype"/>
          <w:i/>
          <w:sz w:val="22"/>
          <w:szCs w:val="22"/>
        </w:rPr>
        <w:lastRenderedPageBreak/>
        <w:t xml:space="preserve">Por lo expuesto, esta Dirección Jurídica acogiendo el informe técnico AZCA-DGT-2022-026 de 18 de mayo de 2022 del Jefe de Gestión Urbana y aprobado por la Directora de Gestión Territorial de la Administración Zonal Calderón con memorando Nro. GADDMQ-AZCA-DGT-2022-0875-M de 24 de mayo de 2022, en el que indica que la Prescripción Adquisitiva de Dominio de una parte del inmueble del predio No. 1296691, No Cumple con los datos establecidos en la zonificación vigente, tales como, “lote mínimo” y “frente mínimo”, el área prescrita corresponde a 83.35m2 menor a 600m2 zonificación vigente, en este sentido, se deberá proceder conforme lo establece en el COOTAD y la Ordenanza 001. </w:t>
      </w:r>
    </w:p>
    <w:p w:rsidR="005E2076" w:rsidRPr="00CF436E" w:rsidRDefault="005E2076" w:rsidP="005E2076">
      <w:pPr>
        <w:tabs>
          <w:tab w:val="left" w:pos="284"/>
        </w:tabs>
        <w:ind w:left="708"/>
        <w:jc w:val="both"/>
        <w:rPr>
          <w:rFonts w:ascii="Palatino Linotype" w:hAnsi="Palatino Linotype"/>
          <w:i/>
          <w:sz w:val="22"/>
          <w:szCs w:val="22"/>
        </w:rPr>
      </w:pPr>
      <w:r w:rsidRPr="00CF436E">
        <w:rPr>
          <w:rFonts w:ascii="Palatino Linotype" w:hAnsi="Palatino Linotype"/>
          <w:i/>
          <w:sz w:val="22"/>
          <w:szCs w:val="22"/>
        </w:rPr>
        <w:br/>
        <w:t xml:space="preserve">Así mismo, en lo referente al área verde, se ceñirá a lo establecido en el artículo 2171 de la Ordenanza 001”. </w:t>
      </w:r>
    </w:p>
    <w:p w:rsidR="005E2076" w:rsidRPr="00CF436E" w:rsidRDefault="005E2076" w:rsidP="005E2076">
      <w:pPr>
        <w:tabs>
          <w:tab w:val="left" w:pos="284"/>
        </w:tabs>
        <w:ind w:left="708"/>
        <w:jc w:val="both"/>
        <w:rPr>
          <w:rFonts w:ascii="Palatino Linotype" w:hAnsi="Palatino Linotype"/>
          <w:i/>
          <w:sz w:val="22"/>
          <w:szCs w:val="22"/>
        </w:rPr>
      </w:pPr>
    </w:p>
    <w:p w:rsidR="00FE1203" w:rsidRPr="00CF436E" w:rsidRDefault="00FE1203" w:rsidP="00FE1203">
      <w:pPr>
        <w:pStyle w:val="Default"/>
        <w:ind w:left="708" w:hanging="708"/>
        <w:jc w:val="both"/>
        <w:rPr>
          <w:sz w:val="22"/>
          <w:szCs w:val="22"/>
        </w:rPr>
      </w:pPr>
      <w:r w:rsidRPr="00CF436E">
        <w:rPr>
          <w:sz w:val="22"/>
          <w:szCs w:val="22"/>
        </w:rPr>
        <w:t xml:space="preserve">Que, </w:t>
      </w:r>
      <w:r w:rsidRPr="00CF436E">
        <w:rPr>
          <w:sz w:val="22"/>
          <w:szCs w:val="22"/>
        </w:rPr>
        <w:tab/>
        <w:t>la Comisión de Uso de Su</w:t>
      </w:r>
      <w:r w:rsidR="002B4356" w:rsidRPr="00CF436E">
        <w:rPr>
          <w:sz w:val="22"/>
          <w:szCs w:val="22"/>
        </w:rPr>
        <w:t>elo en sesión ordinaria Nro. 172</w:t>
      </w:r>
      <w:r w:rsidRPr="00CF436E">
        <w:rPr>
          <w:sz w:val="22"/>
          <w:szCs w:val="22"/>
        </w:rPr>
        <w:t xml:space="preserve">, de </w:t>
      </w:r>
      <w:r w:rsidR="002B4356" w:rsidRPr="00CF436E">
        <w:rPr>
          <w:sz w:val="22"/>
          <w:szCs w:val="22"/>
        </w:rPr>
        <w:t>07</w:t>
      </w:r>
      <w:r w:rsidR="00082941" w:rsidRPr="00CF436E">
        <w:rPr>
          <w:sz w:val="22"/>
          <w:szCs w:val="22"/>
        </w:rPr>
        <w:t xml:space="preserve"> </w:t>
      </w:r>
      <w:r w:rsidRPr="00CF436E">
        <w:rPr>
          <w:sz w:val="22"/>
          <w:szCs w:val="22"/>
        </w:rPr>
        <w:t xml:space="preserve">de </w:t>
      </w:r>
      <w:r w:rsidR="002B4356" w:rsidRPr="00CF436E">
        <w:rPr>
          <w:sz w:val="22"/>
          <w:szCs w:val="22"/>
        </w:rPr>
        <w:t xml:space="preserve">noviembre </w:t>
      </w:r>
      <w:r w:rsidRPr="00CF436E">
        <w:rPr>
          <w:sz w:val="22"/>
          <w:szCs w:val="22"/>
        </w:rPr>
        <w:t>de 2022, analizó los informes técnicos y legale</w:t>
      </w:r>
      <w:r w:rsidR="00BD35A7" w:rsidRPr="00CF436E">
        <w:rPr>
          <w:sz w:val="22"/>
          <w:szCs w:val="22"/>
        </w:rPr>
        <w:t>s, que reposan en el expediente</w:t>
      </w:r>
      <w:r w:rsidRPr="00CF436E">
        <w:rPr>
          <w:sz w:val="22"/>
          <w:szCs w:val="22"/>
        </w:rPr>
        <w:t xml:space="preserv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 </w:t>
      </w:r>
    </w:p>
    <w:p w:rsidR="00035E6C" w:rsidRPr="00CF436E" w:rsidRDefault="00035E6C" w:rsidP="00035E6C">
      <w:pPr>
        <w:autoSpaceDE w:val="0"/>
        <w:autoSpaceDN w:val="0"/>
        <w:adjustRightInd w:val="0"/>
        <w:ind w:left="1416" w:hanging="1416"/>
        <w:jc w:val="both"/>
        <w:rPr>
          <w:rFonts w:ascii="Palatino Linotype" w:eastAsiaTheme="minorHAnsi" w:hAnsi="Palatino Linotype"/>
          <w:sz w:val="22"/>
          <w:szCs w:val="22"/>
          <w:lang w:eastAsia="en-US"/>
        </w:rPr>
      </w:pPr>
    </w:p>
    <w:p w:rsidR="00C926A0" w:rsidRPr="00CF436E"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CF436E">
        <w:rPr>
          <w:rFonts w:ascii="Palatino Linotype" w:eastAsiaTheme="minorHAnsi" w:hAnsi="Palatino Linotype"/>
          <w:sz w:val="22"/>
          <w:szCs w:val="22"/>
          <w:lang w:eastAsia="en-US"/>
        </w:rPr>
        <w:t xml:space="preserve">Que, </w:t>
      </w:r>
      <w:r w:rsidRPr="00CF436E">
        <w:rPr>
          <w:rFonts w:ascii="Palatino Linotype" w:eastAsiaTheme="minorHAnsi" w:hAnsi="Palatino Linotype"/>
          <w:sz w:val="22"/>
          <w:szCs w:val="22"/>
          <w:lang w:eastAsia="en-US"/>
        </w:rPr>
        <w:tab/>
        <w:t>el Concejo Metropolitano de Quito, en sesión pública ordinaria r</w:t>
      </w:r>
      <w:r w:rsidR="00AC4B2C" w:rsidRPr="00CF436E">
        <w:rPr>
          <w:rFonts w:ascii="Palatino Linotype" w:eastAsiaTheme="minorHAnsi" w:hAnsi="Palatino Linotype"/>
          <w:sz w:val="22"/>
          <w:szCs w:val="22"/>
          <w:lang w:eastAsia="en-US"/>
        </w:rPr>
        <w:t>ealizada el … de … de 2022</w:t>
      </w:r>
      <w:r w:rsidRPr="00CF436E">
        <w:rPr>
          <w:rFonts w:ascii="Palatino Linotype" w:eastAsiaTheme="minorHAnsi" w:hAnsi="Palatino Linotype"/>
          <w:sz w:val="22"/>
          <w:szCs w:val="22"/>
          <w:lang w:eastAsia="en-US"/>
        </w:rPr>
        <w:t>, ana</w:t>
      </w:r>
      <w:r w:rsidR="00144F8A" w:rsidRPr="00CF436E">
        <w:rPr>
          <w:rFonts w:ascii="Palatino Linotype" w:eastAsiaTheme="minorHAnsi" w:hAnsi="Palatino Linotype"/>
          <w:sz w:val="22"/>
          <w:szCs w:val="22"/>
          <w:lang w:eastAsia="en-US"/>
        </w:rPr>
        <w:t>lizó el informe Nro. IC-CUS-202</w:t>
      </w:r>
      <w:r w:rsidR="00A55032" w:rsidRPr="00CF436E">
        <w:rPr>
          <w:rFonts w:ascii="Palatino Linotype" w:eastAsiaTheme="minorHAnsi" w:hAnsi="Palatino Linotype"/>
          <w:sz w:val="22"/>
          <w:szCs w:val="22"/>
          <w:lang w:eastAsia="en-US"/>
        </w:rPr>
        <w:t>2</w:t>
      </w:r>
      <w:r w:rsidR="00745751" w:rsidRPr="00CF436E">
        <w:rPr>
          <w:rFonts w:ascii="Palatino Linotype" w:eastAsiaTheme="minorHAnsi" w:hAnsi="Palatino Linotype"/>
          <w:sz w:val="22"/>
          <w:szCs w:val="22"/>
          <w:lang w:eastAsia="en-US"/>
        </w:rPr>
        <w:t>-</w:t>
      </w:r>
      <w:r w:rsidR="00BD35A7" w:rsidRPr="00CF436E">
        <w:rPr>
          <w:rFonts w:ascii="Palatino Linotype" w:eastAsiaTheme="minorHAnsi" w:hAnsi="Palatino Linotype"/>
          <w:sz w:val="22"/>
          <w:szCs w:val="22"/>
          <w:lang w:eastAsia="en-US"/>
        </w:rPr>
        <w:t>092</w:t>
      </w:r>
      <w:r w:rsidR="00DB552C" w:rsidRPr="00CF436E">
        <w:rPr>
          <w:rFonts w:ascii="Palatino Linotype" w:eastAsiaTheme="minorHAnsi" w:hAnsi="Palatino Linotype"/>
          <w:sz w:val="22"/>
          <w:szCs w:val="22"/>
          <w:lang w:eastAsia="en-US"/>
        </w:rPr>
        <w:t>,</w:t>
      </w:r>
      <w:r w:rsidRPr="00CF436E">
        <w:rPr>
          <w:rFonts w:ascii="Palatino Linotype" w:eastAsiaTheme="minorHAnsi" w:hAnsi="Palatino Linotype"/>
          <w:sz w:val="22"/>
          <w:szCs w:val="22"/>
          <w:lang w:eastAsia="en-US"/>
        </w:rPr>
        <w:t xml:space="preserve"> emitido por la Comisión de Uso de Suelo; </w:t>
      </w:r>
    </w:p>
    <w:p w:rsidR="00C926A0" w:rsidRPr="00CF436E" w:rsidRDefault="00C926A0" w:rsidP="00C926A0">
      <w:pPr>
        <w:autoSpaceDE w:val="0"/>
        <w:autoSpaceDN w:val="0"/>
        <w:adjustRightInd w:val="0"/>
        <w:spacing w:line="276" w:lineRule="auto"/>
        <w:jc w:val="both"/>
        <w:rPr>
          <w:rFonts w:ascii="Palatino Linotype" w:eastAsiaTheme="minorHAnsi" w:hAnsi="Palatino Linotype"/>
          <w:sz w:val="22"/>
          <w:szCs w:val="22"/>
          <w:lang w:eastAsia="en-US"/>
        </w:rPr>
      </w:pPr>
    </w:p>
    <w:p w:rsidR="00C926A0" w:rsidRPr="00CF436E"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r w:rsidRPr="00CF436E">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C926A0" w:rsidRPr="00CF436E"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p>
    <w:p w:rsidR="00C926A0" w:rsidRPr="00CF436E" w:rsidRDefault="00C926A0" w:rsidP="00C926A0">
      <w:pPr>
        <w:autoSpaceDE w:val="0"/>
        <w:autoSpaceDN w:val="0"/>
        <w:adjustRightInd w:val="0"/>
        <w:spacing w:line="276" w:lineRule="auto"/>
        <w:jc w:val="center"/>
        <w:rPr>
          <w:rFonts w:ascii="Palatino Linotype" w:eastAsiaTheme="minorHAnsi" w:hAnsi="Palatino Linotype"/>
          <w:b/>
          <w:bCs/>
          <w:sz w:val="22"/>
          <w:szCs w:val="22"/>
          <w:lang w:eastAsia="en-US"/>
        </w:rPr>
      </w:pPr>
      <w:r w:rsidRPr="00CF436E">
        <w:rPr>
          <w:rFonts w:ascii="Palatino Linotype" w:eastAsiaTheme="minorHAnsi" w:hAnsi="Palatino Linotype"/>
          <w:b/>
          <w:bCs/>
          <w:sz w:val="22"/>
          <w:szCs w:val="22"/>
          <w:lang w:eastAsia="en-US"/>
        </w:rPr>
        <w:t>RESUELVE:</w:t>
      </w:r>
    </w:p>
    <w:p w:rsidR="00755448" w:rsidRPr="00CF436E"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5F36E3" w:rsidRPr="00CF436E" w:rsidRDefault="005F36E3" w:rsidP="00755448">
      <w:pPr>
        <w:autoSpaceDE w:val="0"/>
        <w:autoSpaceDN w:val="0"/>
        <w:adjustRightInd w:val="0"/>
        <w:spacing w:line="276" w:lineRule="auto"/>
        <w:jc w:val="both"/>
        <w:rPr>
          <w:rFonts w:ascii="Palatino Linotype" w:hAnsi="Palatino Linotype" w:cs="Arial"/>
          <w:sz w:val="22"/>
          <w:szCs w:val="22"/>
        </w:rPr>
      </w:pPr>
      <w:r w:rsidRPr="00CF436E">
        <w:rPr>
          <w:rFonts w:ascii="Palatino Linotype" w:hAnsi="Palatino Linotype" w:cs="Arial"/>
          <w:b/>
          <w:sz w:val="22"/>
          <w:szCs w:val="22"/>
        </w:rPr>
        <w:t>Artículo 1.-</w:t>
      </w:r>
      <w:r w:rsidRPr="00CF436E">
        <w:rPr>
          <w:rFonts w:ascii="Palatino Linotype" w:hAnsi="Palatino Linotype" w:cs="Arial"/>
          <w:sz w:val="22"/>
          <w:szCs w:val="22"/>
        </w:rPr>
        <w:t xml:space="preserve"> Autorizar la subdivisión del predio </w:t>
      </w:r>
      <w:r w:rsidR="005C139D" w:rsidRPr="00CF436E">
        <w:rPr>
          <w:rStyle w:val="markedcontent"/>
          <w:rFonts w:ascii="Palatino Linotype" w:hAnsi="Palatino Linotype" w:cs="Arial"/>
          <w:sz w:val="22"/>
          <w:szCs w:val="22"/>
        </w:rPr>
        <w:t>1296691</w:t>
      </w:r>
      <w:r w:rsidRPr="00CF436E">
        <w:rPr>
          <w:rFonts w:ascii="Palatino Linotype" w:hAnsi="Palatino Linotype" w:cs="Arial"/>
          <w:sz w:val="22"/>
          <w:szCs w:val="22"/>
        </w:rPr>
        <w:t>, cambiando las condiciones de ese inmueble en particular y generando una excepción a las condiciones generales, de conformidad con la sentencia emitida dentro del proceso judicial No</w:t>
      </w:r>
      <w:r w:rsidRPr="00CF436E">
        <w:rPr>
          <w:rFonts w:ascii="Palatino Linotype" w:hAnsi="Palatino Linotype" w:cs="Arial"/>
          <w:i/>
          <w:sz w:val="22"/>
          <w:szCs w:val="22"/>
        </w:rPr>
        <w:t xml:space="preserve">. </w:t>
      </w:r>
      <w:r w:rsidR="005C139D" w:rsidRPr="00CF436E">
        <w:rPr>
          <w:rStyle w:val="markedcontent"/>
          <w:rFonts w:ascii="Palatino Linotype" w:hAnsi="Palatino Linotype" w:cs="Arial"/>
          <w:sz w:val="22"/>
          <w:szCs w:val="22"/>
        </w:rPr>
        <w:t>17230-2019-19805</w:t>
      </w:r>
      <w:r w:rsidRPr="00CF436E">
        <w:rPr>
          <w:rFonts w:ascii="Palatino Linotype" w:hAnsi="Palatino Linotype" w:cs="Arial"/>
          <w:sz w:val="22"/>
          <w:szCs w:val="22"/>
        </w:rPr>
        <w:t>, mediante la cual la Jueza de la Unidad Judicial Civil con sede en la parroquia de Iñaquito del Distrito Metropolitano de Quito, acepta la demanda y declara la Prescripción Extraordinaria Adquisitiva de Do</w:t>
      </w:r>
      <w:r w:rsidR="00633AF6" w:rsidRPr="00CF436E">
        <w:rPr>
          <w:rFonts w:ascii="Palatino Linotype" w:hAnsi="Palatino Linotype" w:cs="Arial"/>
          <w:sz w:val="22"/>
          <w:szCs w:val="22"/>
        </w:rPr>
        <w:t>minio que ha operado a favor</w:t>
      </w:r>
      <w:r w:rsidR="003C0606" w:rsidRPr="00CF436E">
        <w:rPr>
          <w:rFonts w:ascii="Palatino Linotype" w:hAnsi="Palatino Linotype" w:cs="Arial"/>
          <w:sz w:val="22"/>
          <w:szCs w:val="22"/>
        </w:rPr>
        <w:t xml:space="preserve"> del señor</w:t>
      </w:r>
      <w:r w:rsidR="00633AF6" w:rsidRPr="00CF436E">
        <w:rPr>
          <w:rFonts w:ascii="Palatino Linotype" w:hAnsi="Palatino Linotype" w:cs="Arial"/>
          <w:sz w:val="22"/>
          <w:szCs w:val="22"/>
        </w:rPr>
        <w:t xml:space="preserve"> </w:t>
      </w:r>
      <w:r w:rsidR="003C0606" w:rsidRPr="00CF436E">
        <w:rPr>
          <w:rStyle w:val="markedcontent"/>
          <w:rFonts w:ascii="Palatino Linotype" w:hAnsi="Palatino Linotype" w:cs="Arial"/>
          <w:sz w:val="22"/>
          <w:szCs w:val="22"/>
        </w:rPr>
        <w:t>Roberto Miguel Rentería Salaza</w:t>
      </w:r>
      <w:r w:rsidR="00E459D6" w:rsidRPr="00CF436E">
        <w:rPr>
          <w:rStyle w:val="markedcontent"/>
          <w:rFonts w:ascii="Palatino Linotype" w:hAnsi="Palatino Linotype" w:cs="Arial"/>
          <w:sz w:val="22"/>
          <w:szCs w:val="22"/>
        </w:rPr>
        <w:t>r</w:t>
      </w:r>
      <w:r w:rsidRPr="00CF436E">
        <w:rPr>
          <w:rFonts w:ascii="Palatino Linotype" w:hAnsi="Palatino Linotype" w:cs="Arial"/>
          <w:sz w:val="22"/>
          <w:szCs w:val="22"/>
        </w:rPr>
        <w:t xml:space="preserve">, por una superficie de </w:t>
      </w:r>
      <w:r w:rsidR="00E459D6" w:rsidRPr="00CF436E">
        <w:rPr>
          <w:rStyle w:val="markedcontent"/>
          <w:rFonts w:ascii="Palatino Linotype" w:hAnsi="Palatino Linotype" w:cs="Arial"/>
          <w:sz w:val="22"/>
          <w:szCs w:val="22"/>
        </w:rPr>
        <w:t>89,09</w:t>
      </w:r>
      <w:r w:rsidR="00E459D6" w:rsidRPr="00CF436E">
        <w:rPr>
          <w:rFonts w:ascii="Palatino Linotype" w:hAnsi="Palatino Linotype" w:cs="Arial"/>
          <w:sz w:val="22"/>
          <w:szCs w:val="22"/>
        </w:rPr>
        <w:t xml:space="preserve"> m2.</w:t>
      </w:r>
      <w:r w:rsidRPr="00CF436E">
        <w:rPr>
          <w:rFonts w:ascii="Palatino Linotype" w:hAnsi="Palatino Linotype" w:cs="Arial"/>
          <w:sz w:val="22"/>
          <w:szCs w:val="22"/>
        </w:rPr>
        <w:t xml:space="preserve"> </w:t>
      </w:r>
    </w:p>
    <w:p w:rsidR="005F36E3" w:rsidRPr="00CF436E" w:rsidRDefault="005F36E3" w:rsidP="00755448">
      <w:pPr>
        <w:autoSpaceDE w:val="0"/>
        <w:autoSpaceDN w:val="0"/>
        <w:adjustRightInd w:val="0"/>
        <w:spacing w:line="276" w:lineRule="auto"/>
        <w:jc w:val="both"/>
        <w:rPr>
          <w:rFonts w:ascii="Palatino Linotype" w:hAnsi="Palatino Linotype" w:cs="Arial"/>
          <w:sz w:val="22"/>
          <w:szCs w:val="22"/>
        </w:rPr>
      </w:pPr>
    </w:p>
    <w:p w:rsidR="005F36E3" w:rsidRPr="00CF436E" w:rsidRDefault="005F36E3" w:rsidP="00755448">
      <w:pPr>
        <w:autoSpaceDE w:val="0"/>
        <w:autoSpaceDN w:val="0"/>
        <w:adjustRightInd w:val="0"/>
        <w:spacing w:line="276" w:lineRule="auto"/>
        <w:jc w:val="both"/>
        <w:rPr>
          <w:rFonts w:ascii="Palatino Linotype" w:hAnsi="Palatino Linotype" w:cs="Arial"/>
          <w:sz w:val="22"/>
          <w:szCs w:val="22"/>
        </w:rPr>
      </w:pPr>
      <w:r w:rsidRPr="00CF436E">
        <w:rPr>
          <w:rFonts w:ascii="Palatino Linotype" w:hAnsi="Palatino Linotype" w:cs="Arial"/>
          <w:sz w:val="22"/>
          <w:szCs w:val="22"/>
        </w:rPr>
        <w:lastRenderedPageBreak/>
        <w:t xml:space="preserve">De conformidad con lo dispuesto en el artículo 2266.160 del Código Municipal para el Distrito Metropolitano de Quito, </w:t>
      </w:r>
      <w:r w:rsidR="00E459D6" w:rsidRPr="00CF436E">
        <w:rPr>
          <w:rFonts w:ascii="Palatino Linotype" w:hAnsi="Palatino Linotype" w:cs="Arial"/>
          <w:sz w:val="22"/>
          <w:szCs w:val="22"/>
        </w:rPr>
        <w:t xml:space="preserve">el señor </w:t>
      </w:r>
      <w:r w:rsidR="00E459D6" w:rsidRPr="00CF436E">
        <w:rPr>
          <w:rStyle w:val="markedcontent"/>
          <w:rFonts w:ascii="Palatino Linotype" w:hAnsi="Palatino Linotype" w:cs="Arial"/>
          <w:sz w:val="22"/>
          <w:szCs w:val="22"/>
        </w:rPr>
        <w:t>Roberto Miguel Rentería Salazar</w:t>
      </w:r>
      <w:r w:rsidRPr="00CF436E">
        <w:rPr>
          <w:rFonts w:ascii="Palatino Linotype" w:hAnsi="Palatino Linotype" w:cs="Arial"/>
          <w:sz w:val="22"/>
          <w:szCs w:val="22"/>
        </w:rPr>
        <w:t>, deberá compensar en valor monetario, la contribución del 15% del área útil adjudicada, de acuerdo con el cálculo que realice la Administración Zonal competente.</w:t>
      </w:r>
    </w:p>
    <w:p w:rsidR="005F36E3" w:rsidRPr="00CF436E" w:rsidRDefault="005F36E3"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CF436E" w:rsidRDefault="00296140" w:rsidP="00755448">
      <w:pPr>
        <w:autoSpaceDE w:val="0"/>
        <w:autoSpaceDN w:val="0"/>
        <w:adjustRightInd w:val="0"/>
        <w:spacing w:line="276" w:lineRule="auto"/>
        <w:jc w:val="both"/>
        <w:rPr>
          <w:rFonts w:ascii="Palatino Linotype" w:eastAsiaTheme="minorHAnsi" w:hAnsi="Palatino Linotype"/>
          <w:b/>
          <w:sz w:val="22"/>
          <w:szCs w:val="22"/>
          <w:lang w:eastAsia="en-US"/>
        </w:rPr>
      </w:pPr>
      <w:r w:rsidRPr="00CF436E">
        <w:rPr>
          <w:rFonts w:ascii="Palatino Linotype" w:eastAsiaTheme="minorHAnsi" w:hAnsi="Palatino Linotype"/>
          <w:b/>
          <w:sz w:val="22"/>
          <w:szCs w:val="22"/>
          <w:lang w:eastAsia="en-US"/>
        </w:rPr>
        <w:t>Disposiciones generales:</w:t>
      </w:r>
    </w:p>
    <w:p w:rsidR="00755448" w:rsidRPr="00CF436E" w:rsidRDefault="00755448" w:rsidP="00755448">
      <w:pPr>
        <w:autoSpaceDE w:val="0"/>
        <w:autoSpaceDN w:val="0"/>
        <w:adjustRightInd w:val="0"/>
        <w:spacing w:line="276" w:lineRule="auto"/>
        <w:jc w:val="both"/>
        <w:rPr>
          <w:rFonts w:ascii="Palatino Linotype" w:eastAsiaTheme="minorHAnsi" w:hAnsi="Palatino Linotype"/>
          <w:b/>
          <w:sz w:val="22"/>
          <w:szCs w:val="22"/>
          <w:lang w:eastAsia="en-US"/>
        </w:rPr>
      </w:pPr>
    </w:p>
    <w:p w:rsidR="00755448" w:rsidRPr="00CF436E"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CF436E">
        <w:rPr>
          <w:rFonts w:ascii="Palatino Linotype" w:eastAsiaTheme="minorHAnsi" w:hAnsi="Palatino Linotype"/>
          <w:b/>
          <w:sz w:val="22"/>
          <w:szCs w:val="22"/>
          <w:lang w:eastAsia="en-US"/>
        </w:rPr>
        <w:t xml:space="preserve">Primera.- </w:t>
      </w:r>
      <w:r w:rsidRPr="00CF436E">
        <w:rPr>
          <w:rFonts w:ascii="Palatino Linotype" w:eastAsiaTheme="minorHAnsi" w:hAnsi="Palatino Linotype"/>
          <w:sz w:val="22"/>
          <w:szCs w:val="22"/>
          <w:lang w:eastAsia="en-US"/>
        </w:rPr>
        <w:t>Comuníquese al interesado, a la A</w:t>
      </w:r>
      <w:bookmarkStart w:id="0" w:name="_GoBack"/>
      <w:bookmarkEnd w:id="0"/>
      <w:r w:rsidRPr="00CF436E">
        <w:rPr>
          <w:rFonts w:ascii="Palatino Linotype" w:eastAsiaTheme="minorHAnsi" w:hAnsi="Palatino Linotype"/>
          <w:sz w:val="22"/>
          <w:szCs w:val="22"/>
          <w:lang w:eastAsia="en-US"/>
        </w:rPr>
        <w:t xml:space="preserve">dministración Zonal correspondiente y, a la Secretaría de Territorio, Hábitat y Vivienda, a fin de que se continúe con los trámites de ley. </w:t>
      </w:r>
    </w:p>
    <w:p w:rsidR="00755448" w:rsidRPr="00CF436E"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CF436E" w:rsidRDefault="00755448" w:rsidP="00755448">
      <w:pPr>
        <w:autoSpaceDE w:val="0"/>
        <w:autoSpaceDN w:val="0"/>
        <w:adjustRightInd w:val="0"/>
        <w:spacing w:line="276" w:lineRule="auto"/>
        <w:rPr>
          <w:rFonts w:ascii="Palatino Linotype" w:eastAsiaTheme="minorHAnsi" w:hAnsi="Palatino Linotype"/>
          <w:sz w:val="22"/>
          <w:szCs w:val="22"/>
          <w:lang w:eastAsia="en-US"/>
        </w:rPr>
      </w:pPr>
      <w:r w:rsidRPr="00CF436E">
        <w:rPr>
          <w:rFonts w:ascii="Palatino Linotype" w:eastAsiaTheme="minorHAnsi" w:hAnsi="Palatino Linotype"/>
          <w:b/>
          <w:sz w:val="22"/>
          <w:szCs w:val="22"/>
          <w:lang w:eastAsia="en-US"/>
        </w:rPr>
        <w:t>Segunda.-</w:t>
      </w:r>
      <w:r w:rsidRPr="00CF436E">
        <w:rPr>
          <w:rFonts w:ascii="Palatino Linotype" w:eastAsiaTheme="minorHAnsi" w:hAnsi="Palatino Linotype"/>
          <w:sz w:val="22"/>
          <w:szCs w:val="22"/>
          <w:lang w:eastAsia="en-US"/>
        </w:rPr>
        <w:t xml:space="preserve"> La presente resolución se aprueba en base a los informes que son de exclusiva responsabilidad de los funcionarios que lo suscriben y realizan.</w:t>
      </w:r>
    </w:p>
    <w:p w:rsidR="00755448" w:rsidRPr="00CF436E"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CF436E"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CF436E">
        <w:rPr>
          <w:rFonts w:ascii="Palatino Linotype" w:eastAsiaTheme="minorHAnsi" w:hAnsi="Palatino Linotype"/>
          <w:b/>
          <w:sz w:val="22"/>
          <w:szCs w:val="22"/>
          <w:lang w:eastAsia="en-US"/>
        </w:rPr>
        <w:t>Disposición Final.-</w:t>
      </w:r>
      <w:r w:rsidRPr="00CF436E">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755448" w:rsidRPr="00CF436E"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CF436E" w:rsidRDefault="00755448" w:rsidP="00755448">
      <w:pPr>
        <w:spacing w:line="276" w:lineRule="auto"/>
        <w:ind w:left="-5"/>
        <w:jc w:val="both"/>
        <w:rPr>
          <w:rFonts w:ascii="Palatino Linotype" w:hAnsi="Palatino Linotype"/>
          <w:sz w:val="22"/>
          <w:szCs w:val="22"/>
        </w:rPr>
      </w:pPr>
      <w:r w:rsidRPr="00CF436E">
        <w:rPr>
          <w:rFonts w:ascii="Palatino Linotype" w:hAnsi="Palatino Linotype"/>
          <w:sz w:val="22"/>
          <w:szCs w:val="22"/>
        </w:rPr>
        <w:t xml:space="preserve">Dada en la sesión del Concejo Metropolitano de Quito, el ……….. </w:t>
      </w:r>
    </w:p>
    <w:p w:rsidR="00755448" w:rsidRPr="00CF436E" w:rsidRDefault="00755448" w:rsidP="00755448">
      <w:pPr>
        <w:spacing w:line="276" w:lineRule="auto"/>
        <w:ind w:left="-5"/>
        <w:jc w:val="both"/>
        <w:rPr>
          <w:rFonts w:ascii="Palatino Linotype" w:hAnsi="Palatino Linotype"/>
          <w:sz w:val="22"/>
          <w:szCs w:val="22"/>
        </w:rPr>
      </w:pPr>
    </w:p>
    <w:p w:rsidR="00755448" w:rsidRPr="00CF436E" w:rsidRDefault="00755448" w:rsidP="00755448">
      <w:pPr>
        <w:spacing w:line="276" w:lineRule="auto"/>
        <w:ind w:left="-5" w:right="-143"/>
        <w:jc w:val="both"/>
        <w:rPr>
          <w:rFonts w:ascii="Palatino Linotype" w:hAnsi="Palatino Linotype"/>
          <w:sz w:val="22"/>
          <w:szCs w:val="22"/>
        </w:rPr>
      </w:pPr>
      <w:r w:rsidRPr="00CF436E">
        <w:rPr>
          <w:rFonts w:ascii="Palatino Linotype" w:hAnsi="Palatino Linotype"/>
          <w:b/>
          <w:sz w:val="22"/>
          <w:szCs w:val="22"/>
        </w:rPr>
        <w:t xml:space="preserve">Alcaldía del Distrito Metropolitano. - </w:t>
      </w:r>
      <w:r w:rsidRPr="00CF436E">
        <w:rPr>
          <w:rFonts w:ascii="Palatino Linotype" w:hAnsi="Palatino Linotype"/>
          <w:sz w:val="22"/>
          <w:szCs w:val="22"/>
        </w:rPr>
        <w:t>Distrito Metropolitano de Quito, ………..</w:t>
      </w:r>
    </w:p>
    <w:p w:rsidR="00755448" w:rsidRPr="00CF436E" w:rsidRDefault="00755448" w:rsidP="00755448">
      <w:pPr>
        <w:spacing w:line="276" w:lineRule="auto"/>
        <w:jc w:val="both"/>
        <w:rPr>
          <w:rFonts w:ascii="Palatino Linotype" w:hAnsi="Palatino Linotype"/>
          <w:sz w:val="22"/>
          <w:szCs w:val="22"/>
        </w:rPr>
      </w:pPr>
    </w:p>
    <w:p w:rsidR="00751D1C" w:rsidRPr="00CF436E" w:rsidRDefault="00DF0B4F" w:rsidP="00DF0B4F">
      <w:pPr>
        <w:spacing w:line="276" w:lineRule="auto"/>
        <w:jc w:val="center"/>
        <w:rPr>
          <w:rFonts w:ascii="Palatino Linotype" w:eastAsia="Calibri" w:hAnsi="Palatino Linotype"/>
          <w:b/>
          <w:sz w:val="22"/>
          <w:szCs w:val="22"/>
          <w:lang w:eastAsia="en-US"/>
        </w:rPr>
      </w:pPr>
      <w:r w:rsidRPr="00CF436E">
        <w:rPr>
          <w:rFonts w:ascii="Palatino Linotype" w:eastAsia="Calibri" w:hAnsi="Palatino Linotype"/>
          <w:b/>
          <w:sz w:val="22"/>
          <w:szCs w:val="22"/>
          <w:lang w:eastAsia="en-US"/>
        </w:rPr>
        <w:t xml:space="preserve"> </w:t>
      </w:r>
    </w:p>
    <w:sectPr w:rsidR="00751D1C" w:rsidRPr="00CF436E" w:rsidSect="005D2467">
      <w:headerReference w:type="default" r:id="rId8"/>
      <w:footerReference w:type="default" r:id="rId9"/>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FF" w:rsidRDefault="002264FF">
      <w:r>
        <w:separator/>
      </w:r>
    </w:p>
  </w:endnote>
  <w:endnote w:type="continuationSeparator" w:id="0">
    <w:p w:rsidR="002264FF" w:rsidRDefault="0022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4924E4">
              <w:rPr>
                <w:rFonts w:ascii="Palatino Linotype" w:hAnsi="Palatino Linotype"/>
                <w:b/>
                <w:bCs/>
                <w:noProof/>
                <w:sz w:val="20"/>
                <w:szCs w:val="20"/>
              </w:rPr>
              <w:t>8</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4924E4">
              <w:rPr>
                <w:rFonts w:ascii="Palatino Linotype" w:hAnsi="Palatino Linotype"/>
                <w:b/>
                <w:bCs/>
                <w:noProof/>
                <w:sz w:val="20"/>
                <w:szCs w:val="20"/>
              </w:rPr>
              <w:t>8</w:t>
            </w:r>
            <w:r w:rsidRPr="00707DE5">
              <w:rPr>
                <w:rFonts w:ascii="Palatino Linotype" w:hAnsi="Palatino Linotype"/>
                <w:b/>
                <w:bCs/>
                <w:sz w:val="20"/>
                <w:szCs w:val="20"/>
              </w:rPr>
              <w:fldChar w:fldCharType="end"/>
            </w:r>
          </w:p>
          <w:p w:rsidR="005D2467" w:rsidRPr="008479FB" w:rsidRDefault="002264FF">
            <w:pPr>
              <w:pStyle w:val="Piedepgina"/>
              <w:jc w:val="right"/>
              <w:rPr>
                <w:rFonts w:ascii="Palatino Linotype" w:hAnsi="Palatino Linotype"/>
                <w:sz w:val="20"/>
                <w:szCs w:val="20"/>
              </w:rPr>
            </w:pPr>
          </w:p>
        </w:sdtContent>
      </w:sdt>
    </w:sdtContent>
  </w:sdt>
  <w:p w:rsidR="005D2467" w:rsidRPr="008479FB" w:rsidRDefault="002264FF">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FF" w:rsidRDefault="002264FF">
      <w:r>
        <w:separator/>
      </w:r>
    </w:p>
  </w:footnote>
  <w:footnote w:type="continuationSeparator" w:id="0">
    <w:p w:rsidR="002264FF" w:rsidRDefault="002264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2264FF"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2264FF"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2264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77F9"/>
    <w:rsid w:val="000119A4"/>
    <w:rsid w:val="000264CB"/>
    <w:rsid w:val="00027D50"/>
    <w:rsid w:val="00030386"/>
    <w:rsid w:val="00034339"/>
    <w:rsid w:val="00035E6C"/>
    <w:rsid w:val="00036141"/>
    <w:rsid w:val="0004203F"/>
    <w:rsid w:val="00063D30"/>
    <w:rsid w:val="00067AEE"/>
    <w:rsid w:val="0008033C"/>
    <w:rsid w:val="00082941"/>
    <w:rsid w:val="00090E26"/>
    <w:rsid w:val="000944D7"/>
    <w:rsid w:val="000A17A7"/>
    <w:rsid w:val="000A5DF7"/>
    <w:rsid w:val="000A6FF4"/>
    <w:rsid w:val="000A70A0"/>
    <w:rsid w:val="000B1560"/>
    <w:rsid w:val="000B4CF2"/>
    <w:rsid w:val="000C42C2"/>
    <w:rsid w:val="000E121C"/>
    <w:rsid w:val="000E205E"/>
    <w:rsid w:val="000E2423"/>
    <w:rsid w:val="000F2170"/>
    <w:rsid w:val="00106729"/>
    <w:rsid w:val="00115787"/>
    <w:rsid w:val="0013405F"/>
    <w:rsid w:val="001340B5"/>
    <w:rsid w:val="00144F8A"/>
    <w:rsid w:val="001526B1"/>
    <w:rsid w:val="00153BD5"/>
    <w:rsid w:val="0017481B"/>
    <w:rsid w:val="001A17A7"/>
    <w:rsid w:val="001A2E60"/>
    <w:rsid w:val="001A5724"/>
    <w:rsid w:val="001B2FFD"/>
    <w:rsid w:val="001C1FC7"/>
    <w:rsid w:val="001C7456"/>
    <w:rsid w:val="001E1DC3"/>
    <w:rsid w:val="001F679D"/>
    <w:rsid w:val="001F733D"/>
    <w:rsid w:val="00203A72"/>
    <w:rsid w:val="00207C53"/>
    <w:rsid w:val="002125AB"/>
    <w:rsid w:val="00224DF1"/>
    <w:rsid w:val="0022530B"/>
    <w:rsid w:val="002264FF"/>
    <w:rsid w:val="00236DB4"/>
    <w:rsid w:val="0024403E"/>
    <w:rsid w:val="00245D20"/>
    <w:rsid w:val="00252078"/>
    <w:rsid w:val="00253AA5"/>
    <w:rsid w:val="0026215F"/>
    <w:rsid w:val="00264155"/>
    <w:rsid w:val="00271AEC"/>
    <w:rsid w:val="00283DE3"/>
    <w:rsid w:val="00296140"/>
    <w:rsid w:val="00296D2E"/>
    <w:rsid w:val="002B4356"/>
    <w:rsid w:val="002C44A1"/>
    <w:rsid w:val="002D4C5C"/>
    <w:rsid w:val="002E4C52"/>
    <w:rsid w:val="002E51A5"/>
    <w:rsid w:val="002F2CCA"/>
    <w:rsid w:val="002F7AF5"/>
    <w:rsid w:val="00306191"/>
    <w:rsid w:val="00313677"/>
    <w:rsid w:val="00315545"/>
    <w:rsid w:val="00315E58"/>
    <w:rsid w:val="00336073"/>
    <w:rsid w:val="00345885"/>
    <w:rsid w:val="00360B0F"/>
    <w:rsid w:val="00371D37"/>
    <w:rsid w:val="003A3AD1"/>
    <w:rsid w:val="003C0606"/>
    <w:rsid w:val="003E3BAD"/>
    <w:rsid w:val="004014CA"/>
    <w:rsid w:val="00405C59"/>
    <w:rsid w:val="00406F51"/>
    <w:rsid w:val="0042799B"/>
    <w:rsid w:val="004336C0"/>
    <w:rsid w:val="00445381"/>
    <w:rsid w:val="00451689"/>
    <w:rsid w:val="00455B65"/>
    <w:rsid w:val="00470AD9"/>
    <w:rsid w:val="00481F59"/>
    <w:rsid w:val="004924E4"/>
    <w:rsid w:val="00495B8D"/>
    <w:rsid w:val="004B008D"/>
    <w:rsid w:val="004B2063"/>
    <w:rsid w:val="004B4258"/>
    <w:rsid w:val="004C50EC"/>
    <w:rsid w:val="004E2C3F"/>
    <w:rsid w:val="004E76E0"/>
    <w:rsid w:val="004F5036"/>
    <w:rsid w:val="00511047"/>
    <w:rsid w:val="00532857"/>
    <w:rsid w:val="00552CDD"/>
    <w:rsid w:val="005720AF"/>
    <w:rsid w:val="0058119E"/>
    <w:rsid w:val="00585EA7"/>
    <w:rsid w:val="005A0BB9"/>
    <w:rsid w:val="005A5A6A"/>
    <w:rsid w:val="005A6B15"/>
    <w:rsid w:val="005B6971"/>
    <w:rsid w:val="005B7C5B"/>
    <w:rsid w:val="005C139D"/>
    <w:rsid w:val="005C419B"/>
    <w:rsid w:val="005C6371"/>
    <w:rsid w:val="005C733B"/>
    <w:rsid w:val="005D1661"/>
    <w:rsid w:val="005D3837"/>
    <w:rsid w:val="005D5471"/>
    <w:rsid w:val="005E2076"/>
    <w:rsid w:val="005F36E3"/>
    <w:rsid w:val="005F6F40"/>
    <w:rsid w:val="00606C06"/>
    <w:rsid w:val="00617C1E"/>
    <w:rsid w:val="00633AF6"/>
    <w:rsid w:val="00636664"/>
    <w:rsid w:val="00662D01"/>
    <w:rsid w:val="00673059"/>
    <w:rsid w:val="00677109"/>
    <w:rsid w:val="006775C6"/>
    <w:rsid w:val="00687C0C"/>
    <w:rsid w:val="00694141"/>
    <w:rsid w:val="006A6DA4"/>
    <w:rsid w:val="006A7937"/>
    <w:rsid w:val="006B7A72"/>
    <w:rsid w:val="006C76D0"/>
    <w:rsid w:val="006E179D"/>
    <w:rsid w:val="006E34DC"/>
    <w:rsid w:val="00707BCF"/>
    <w:rsid w:val="007111A8"/>
    <w:rsid w:val="0071609F"/>
    <w:rsid w:val="007315B0"/>
    <w:rsid w:val="00737696"/>
    <w:rsid w:val="00740EE8"/>
    <w:rsid w:val="00745751"/>
    <w:rsid w:val="007500BA"/>
    <w:rsid w:val="00751D1C"/>
    <w:rsid w:val="00755448"/>
    <w:rsid w:val="00757091"/>
    <w:rsid w:val="007A41F1"/>
    <w:rsid w:val="007B4D6C"/>
    <w:rsid w:val="007C3147"/>
    <w:rsid w:val="007D2680"/>
    <w:rsid w:val="007D2D4F"/>
    <w:rsid w:val="007E60E9"/>
    <w:rsid w:val="008044F7"/>
    <w:rsid w:val="00805221"/>
    <w:rsid w:val="0081380B"/>
    <w:rsid w:val="0082482D"/>
    <w:rsid w:val="00826061"/>
    <w:rsid w:val="00832D35"/>
    <w:rsid w:val="00854CBC"/>
    <w:rsid w:val="00855B0B"/>
    <w:rsid w:val="00862F11"/>
    <w:rsid w:val="0087756E"/>
    <w:rsid w:val="008824CB"/>
    <w:rsid w:val="008834D1"/>
    <w:rsid w:val="00893065"/>
    <w:rsid w:val="00893F13"/>
    <w:rsid w:val="008A3F72"/>
    <w:rsid w:val="008B4153"/>
    <w:rsid w:val="008C1A7E"/>
    <w:rsid w:val="00907185"/>
    <w:rsid w:val="009169D4"/>
    <w:rsid w:val="0093701E"/>
    <w:rsid w:val="00942032"/>
    <w:rsid w:val="00953717"/>
    <w:rsid w:val="0096109F"/>
    <w:rsid w:val="00962351"/>
    <w:rsid w:val="009626B1"/>
    <w:rsid w:val="00964BBC"/>
    <w:rsid w:val="0097359A"/>
    <w:rsid w:val="00983736"/>
    <w:rsid w:val="0098647F"/>
    <w:rsid w:val="00993181"/>
    <w:rsid w:val="0099372E"/>
    <w:rsid w:val="0099702E"/>
    <w:rsid w:val="009A0E93"/>
    <w:rsid w:val="009C157E"/>
    <w:rsid w:val="009E1D0C"/>
    <w:rsid w:val="009F6F24"/>
    <w:rsid w:val="00A00DC1"/>
    <w:rsid w:val="00A23206"/>
    <w:rsid w:val="00A24962"/>
    <w:rsid w:val="00A35D24"/>
    <w:rsid w:val="00A42FBD"/>
    <w:rsid w:val="00A45C33"/>
    <w:rsid w:val="00A47A36"/>
    <w:rsid w:val="00A47D5C"/>
    <w:rsid w:val="00A55032"/>
    <w:rsid w:val="00A56888"/>
    <w:rsid w:val="00A60EBB"/>
    <w:rsid w:val="00A64FB0"/>
    <w:rsid w:val="00A654D7"/>
    <w:rsid w:val="00A66C89"/>
    <w:rsid w:val="00A76A16"/>
    <w:rsid w:val="00AA23EE"/>
    <w:rsid w:val="00AA2620"/>
    <w:rsid w:val="00AA61B2"/>
    <w:rsid w:val="00AC0982"/>
    <w:rsid w:val="00AC4B2C"/>
    <w:rsid w:val="00AD0CAC"/>
    <w:rsid w:val="00AD1557"/>
    <w:rsid w:val="00AD767B"/>
    <w:rsid w:val="00AE18B4"/>
    <w:rsid w:val="00AE1F80"/>
    <w:rsid w:val="00AE5F25"/>
    <w:rsid w:val="00B007F0"/>
    <w:rsid w:val="00B0169E"/>
    <w:rsid w:val="00B03C94"/>
    <w:rsid w:val="00B27543"/>
    <w:rsid w:val="00B35D39"/>
    <w:rsid w:val="00B418BF"/>
    <w:rsid w:val="00B42040"/>
    <w:rsid w:val="00B46254"/>
    <w:rsid w:val="00B54237"/>
    <w:rsid w:val="00B5446C"/>
    <w:rsid w:val="00B67056"/>
    <w:rsid w:val="00B706B2"/>
    <w:rsid w:val="00B748ED"/>
    <w:rsid w:val="00B84C96"/>
    <w:rsid w:val="00B9672E"/>
    <w:rsid w:val="00BA3CE3"/>
    <w:rsid w:val="00BA63E5"/>
    <w:rsid w:val="00BD292F"/>
    <w:rsid w:val="00BD35A7"/>
    <w:rsid w:val="00BD7EFF"/>
    <w:rsid w:val="00BE0CEB"/>
    <w:rsid w:val="00BF4249"/>
    <w:rsid w:val="00C2371A"/>
    <w:rsid w:val="00C2568C"/>
    <w:rsid w:val="00C3101D"/>
    <w:rsid w:val="00C31C0C"/>
    <w:rsid w:val="00C4735F"/>
    <w:rsid w:val="00C72611"/>
    <w:rsid w:val="00C7771D"/>
    <w:rsid w:val="00C82C59"/>
    <w:rsid w:val="00C926A0"/>
    <w:rsid w:val="00CB1FAE"/>
    <w:rsid w:val="00CB5779"/>
    <w:rsid w:val="00CF05C8"/>
    <w:rsid w:val="00CF436E"/>
    <w:rsid w:val="00CF748D"/>
    <w:rsid w:val="00D1552F"/>
    <w:rsid w:val="00D23C29"/>
    <w:rsid w:val="00D4445E"/>
    <w:rsid w:val="00D5311D"/>
    <w:rsid w:val="00D57722"/>
    <w:rsid w:val="00D64A4C"/>
    <w:rsid w:val="00D8086F"/>
    <w:rsid w:val="00D86EE7"/>
    <w:rsid w:val="00DA146A"/>
    <w:rsid w:val="00DA4167"/>
    <w:rsid w:val="00DA4995"/>
    <w:rsid w:val="00DB552C"/>
    <w:rsid w:val="00DC5625"/>
    <w:rsid w:val="00DD0991"/>
    <w:rsid w:val="00DD5FF2"/>
    <w:rsid w:val="00DF0B4F"/>
    <w:rsid w:val="00E02AE3"/>
    <w:rsid w:val="00E07313"/>
    <w:rsid w:val="00E22628"/>
    <w:rsid w:val="00E332EA"/>
    <w:rsid w:val="00E41B4B"/>
    <w:rsid w:val="00E459D6"/>
    <w:rsid w:val="00E46A96"/>
    <w:rsid w:val="00E5406F"/>
    <w:rsid w:val="00E81779"/>
    <w:rsid w:val="00E8345C"/>
    <w:rsid w:val="00E84326"/>
    <w:rsid w:val="00E97A2B"/>
    <w:rsid w:val="00EA337F"/>
    <w:rsid w:val="00EA5D12"/>
    <w:rsid w:val="00EC6091"/>
    <w:rsid w:val="00EE4C7B"/>
    <w:rsid w:val="00EF6F62"/>
    <w:rsid w:val="00F073C7"/>
    <w:rsid w:val="00F117E9"/>
    <w:rsid w:val="00F22569"/>
    <w:rsid w:val="00F33C5B"/>
    <w:rsid w:val="00F40F91"/>
    <w:rsid w:val="00F5205A"/>
    <w:rsid w:val="00F6236F"/>
    <w:rsid w:val="00F64624"/>
    <w:rsid w:val="00F950D9"/>
    <w:rsid w:val="00FA7F92"/>
    <w:rsid w:val="00FB2C86"/>
    <w:rsid w:val="00FC3E6E"/>
    <w:rsid w:val="00FD6ECF"/>
    <w:rsid w:val="00FE1203"/>
    <w:rsid w:val="00FE3412"/>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6A7937"/>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2581</Words>
  <Characters>14197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2</cp:revision>
  <dcterms:created xsi:type="dcterms:W3CDTF">2023-11-18T13:21:00Z</dcterms:created>
  <dcterms:modified xsi:type="dcterms:W3CDTF">2023-11-18T13:21:00Z</dcterms:modified>
</cp:coreProperties>
</file>