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34" w:rsidRPr="003222A7" w:rsidRDefault="00CD2634" w:rsidP="00CD263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OBJETO DEL INFORME:</w:t>
      </w:r>
    </w:p>
    <w:p w:rsidR="00CD2634" w:rsidRPr="003B0EF5" w:rsidRDefault="00CD2634" w:rsidP="00CD2634">
      <w:pPr>
        <w:jc w:val="both"/>
        <w:rPr>
          <w:rFonts w:ascii="Palatino Linotype" w:hAnsi="Palatino Linotype"/>
          <w:sz w:val="10"/>
          <w:szCs w:val="10"/>
        </w:rPr>
      </w:pPr>
    </w:p>
    <w:p w:rsidR="00CD2634" w:rsidRDefault="00CD2634" w:rsidP="007769C4">
      <w:pPr>
        <w:ind w:firstLine="4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El presente documento tiene por objeto poner en conocimiento del Alcalde Metropolitano y del Concejo Metropolitano de Quito, el informe emitido por la </w:t>
      </w:r>
      <w:r w:rsidR="00CC53BF">
        <w:rPr>
          <w:rFonts w:ascii="Palatino Linotype" w:hAnsi="Palatino Linotype"/>
          <w:sz w:val="22"/>
          <w:szCs w:val="22"/>
        </w:rPr>
        <w:t>C</w:t>
      </w:r>
      <w:r w:rsidRPr="003222A7">
        <w:rPr>
          <w:rFonts w:ascii="Palatino Linotype" w:hAnsi="Palatino Linotype"/>
          <w:sz w:val="22"/>
          <w:szCs w:val="22"/>
        </w:rPr>
        <w:t xml:space="preserve">omisión de </w:t>
      </w:r>
      <w:r w:rsidR="002C5886">
        <w:rPr>
          <w:rFonts w:ascii="Palatino Linotype" w:hAnsi="Palatino Linotype"/>
          <w:sz w:val="22"/>
          <w:szCs w:val="22"/>
        </w:rPr>
        <w:t>Planificación Estratégica</w:t>
      </w:r>
      <w:r w:rsidRPr="003222A7">
        <w:rPr>
          <w:rFonts w:ascii="Palatino Linotype" w:hAnsi="Palatino Linotype"/>
          <w:sz w:val="22"/>
          <w:szCs w:val="22"/>
        </w:rPr>
        <w:t xml:space="preserve"> el día </w:t>
      </w:r>
      <w:r w:rsidR="002C5886">
        <w:rPr>
          <w:rFonts w:ascii="Palatino Linotype" w:hAnsi="Palatino Linotype"/>
          <w:sz w:val="22"/>
          <w:szCs w:val="22"/>
        </w:rPr>
        <w:t>lun</w:t>
      </w:r>
      <w:r w:rsidR="00255A30">
        <w:rPr>
          <w:rFonts w:ascii="Palatino Linotype" w:hAnsi="Palatino Linotype"/>
          <w:sz w:val="22"/>
          <w:szCs w:val="22"/>
        </w:rPr>
        <w:t xml:space="preserve">es </w:t>
      </w:r>
      <w:r w:rsidR="00B377D2">
        <w:rPr>
          <w:rFonts w:ascii="Palatino Linotype" w:hAnsi="Palatino Linotype"/>
          <w:sz w:val="22"/>
          <w:szCs w:val="22"/>
        </w:rPr>
        <w:t>2</w:t>
      </w:r>
      <w:r w:rsidR="002C5886">
        <w:rPr>
          <w:rFonts w:ascii="Palatino Linotype" w:hAnsi="Palatino Linotype"/>
          <w:sz w:val="22"/>
          <w:szCs w:val="22"/>
        </w:rPr>
        <w:t>3</w:t>
      </w:r>
      <w:r w:rsidRPr="003222A7">
        <w:rPr>
          <w:rFonts w:ascii="Palatino Linotype" w:hAnsi="Palatino Linotype"/>
          <w:sz w:val="22"/>
          <w:szCs w:val="22"/>
        </w:rPr>
        <w:t xml:space="preserve"> de </w:t>
      </w:r>
      <w:r w:rsidR="002C5886">
        <w:rPr>
          <w:rFonts w:ascii="Palatino Linotype" w:hAnsi="Palatino Linotype"/>
          <w:sz w:val="22"/>
          <w:szCs w:val="22"/>
        </w:rPr>
        <w:t>noviembre</w:t>
      </w:r>
      <w:r w:rsidR="00255A30">
        <w:rPr>
          <w:rFonts w:ascii="Palatino Linotype" w:hAnsi="Palatino Linotype"/>
          <w:sz w:val="22"/>
          <w:szCs w:val="22"/>
        </w:rPr>
        <w:t xml:space="preserve"> d</w:t>
      </w:r>
      <w:r w:rsidRPr="003222A7">
        <w:rPr>
          <w:rFonts w:ascii="Palatino Linotype" w:hAnsi="Palatino Linotype"/>
          <w:sz w:val="22"/>
          <w:szCs w:val="22"/>
        </w:rPr>
        <w:t>e 20</w:t>
      </w:r>
      <w:r w:rsidR="00B377D2">
        <w:rPr>
          <w:rFonts w:ascii="Palatino Linotype" w:hAnsi="Palatino Linotype"/>
          <w:sz w:val="22"/>
          <w:szCs w:val="22"/>
        </w:rPr>
        <w:t>20</w:t>
      </w:r>
      <w:r w:rsidRPr="003222A7">
        <w:rPr>
          <w:rFonts w:ascii="Palatino Linotype" w:hAnsi="Palatino Linotype"/>
          <w:sz w:val="22"/>
          <w:szCs w:val="22"/>
        </w:rPr>
        <w:t xml:space="preserve">, respecto al proyecto de </w:t>
      </w:r>
      <w:r w:rsidR="003E3A14" w:rsidRPr="003E3A14">
        <w:rPr>
          <w:rFonts w:ascii="Palatino Linotype" w:hAnsi="Palatino Linotype"/>
          <w:sz w:val="22"/>
          <w:szCs w:val="22"/>
        </w:rPr>
        <w:t>“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Ordenanza que determina el procedimiento parlamentario para el desarrollo y organización de las sesiones y los debates, el funcionamiento del ejercicio de la facultad legislativa, las sesiones virtuales, el </w:t>
      </w:r>
      <w:r w:rsidR="00DB08EB">
        <w:rPr>
          <w:rFonts w:ascii="Palatino Linotype" w:hAnsi="Palatino Linotype"/>
          <w:i/>
          <w:sz w:val="22"/>
          <w:szCs w:val="22"/>
        </w:rPr>
        <w:t>C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ódigo de </w:t>
      </w:r>
      <w:r w:rsidR="00DB08EB">
        <w:rPr>
          <w:rFonts w:ascii="Palatino Linotype" w:hAnsi="Palatino Linotype"/>
          <w:i/>
          <w:sz w:val="22"/>
          <w:szCs w:val="22"/>
        </w:rPr>
        <w:t>É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tica en el </w:t>
      </w:r>
      <w:r w:rsidR="00DB08EB">
        <w:rPr>
          <w:rFonts w:ascii="Palatino Linotype" w:hAnsi="Palatino Linotype"/>
          <w:i/>
          <w:sz w:val="22"/>
          <w:szCs w:val="22"/>
        </w:rPr>
        <w:t>C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oncejo </w:t>
      </w:r>
      <w:r w:rsidR="00DB08EB">
        <w:rPr>
          <w:rFonts w:ascii="Palatino Linotype" w:hAnsi="Palatino Linotype"/>
          <w:i/>
          <w:sz w:val="22"/>
          <w:szCs w:val="22"/>
        </w:rPr>
        <w:t>M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etropolitano de </w:t>
      </w:r>
      <w:r w:rsidR="00DB08EB">
        <w:rPr>
          <w:rFonts w:ascii="Palatino Linotype" w:hAnsi="Palatino Linotype"/>
          <w:i/>
          <w:sz w:val="22"/>
          <w:szCs w:val="22"/>
        </w:rPr>
        <w:t>Q</w:t>
      </w:r>
      <w:r w:rsidR="00DB08EB" w:rsidRPr="00DB08EB">
        <w:rPr>
          <w:rFonts w:ascii="Palatino Linotype" w:hAnsi="Palatino Linotype"/>
          <w:i/>
          <w:sz w:val="22"/>
          <w:szCs w:val="22"/>
        </w:rPr>
        <w:t>uito; y su coordinación con el órgano ejecutivo</w:t>
      </w:r>
      <w:r w:rsidR="003E3A14" w:rsidRPr="007769C4">
        <w:rPr>
          <w:rStyle w:val="nfasis"/>
        </w:rPr>
        <w:t>”</w:t>
      </w:r>
      <w:r w:rsidR="00255A30">
        <w:rPr>
          <w:rFonts w:ascii="Palatino Linotype" w:hAnsi="Palatino Linotype"/>
          <w:i/>
          <w:sz w:val="22"/>
          <w:szCs w:val="22"/>
        </w:rPr>
        <w:t>,</w:t>
      </w:r>
      <w:r w:rsidRPr="003222A7">
        <w:rPr>
          <w:rFonts w:ascii="Palatino Linotype" w:hAnsi="Palatino Linotype"/>
          <w:i/>
          <w:sz w:val="22"/>
          <w:szCs w:val="22"/>
        </w:rPr>
        <w:t xml:space="preserve"> </w:t>
      </w:r>
      <w:r w:rsidRPr="003222A7">
        <w:rPr>
          <w:rFonts w:ascii="Palatino Linotype" w:hAnsi="Palatino Linotype"/>
          <w:sz w:val="22"/>
          <w:szCs w:val="22"/>
        </w:rPr>
        <w:t xml:space="preserve">para lo cual </w:t>
      </w:r>
      <w:r w:rsidRPr="003222A7">
        <w:rPr>
          <w:rFonts w:ascii="Palatino Linotype" w:hAnsi="Palatino Linotype"/>
          <w:color w:val="000000" w:themeColor="text1"/>
          <w:sz w:val="22"/>
          <w:szCs w:val="22"/>
        </w:rPr>
        <w:t>presentamos el siguiente análisis:</w:t>
      </w:r>
    </w:p>
    <w:p w:rsidR="00CD2634" w:rsidRDefault="003039A5" w:rsidP="003039A5">
      <w:pPr>
        <w:tabs>
          <w:tab w:val="left" w:pos="5205"/>
        </w:tabs>
        <w:ind w:firstLine="4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ab/>
      </w:r>
    </w:p>
    <w:p w:rsidR="00CD2634" w:rsidRDefault="00CD2634" w:rsidP="00CD2634">
      <w:pPr>
        <w:pStyle w:val="Prrafodelista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ANTECEDENTES E INFORMES TÉCNICOS:</w:t>
      </w:r>
    </w:p>
    <w:p w:rsidR="00CD2634" w:rsidRPr="003B0EF5" w:rsidRDefault="00CD2634" w:rsidP="00CD2634">
      <w:pPr>
        <w:pStyle w:val="Prrafodelista"/>
        <w:tabs>
          <w:tab w:val="left" w:pos="284"/>
        </w:tabs>
        <w:ind w:left="928"/>
        <w:jc w:val="both"/>
        <w:rPr>
          <w:rFonts w:ascii="Palatino Linotype" w:hAnsi="Palatino Linotype"/>
          <w:b/>
          <w:sz w:val="10"/>
          <w:szCs w:val="10"/>
        </w:rPr>
      </w:pPr>
    </w:p>
    <w:p w:rsidR="009134F3" w:rsidRDefault="009134F3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9134F3" w:rsidRPr="0026725A" w:rsidRDefault="009134F3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GADDMQ-DC-SB-2020-0188-O, de 9 de julio de 2020, </w:t>
      </w:r>
      <w:r w:rsidR="00367D6B" w:rsidRPr="0026725A">
        <w:rPr>
          <w:rFonts w:ascii="Palatino Linotype" w:hAnsi="Palatino Linotype"/>
          <w:sz w:val="22"/>
          <w:szCs w:val="22"/>
        </w:rPr>
        <w:t>la Concejala Metropolitana</w:t>
      </w:r>
      <w:r w:rsidRPr="0026725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367D6B" w:rsidRPr="0026725A">
        <w:rPr>
          <w:rFonts w:ascii="Palatino Linotype" w:hAnsi="Palatino Linotype"/>
          <w:sz w:val="22"/>
          <w:szCs w:val="22"/>
        </w:rPr>
        <w:t>Mgs</w:t>
      </w:r>
      <w:proofErr w:type="spellEnd"/>
      <w:r w:rsidRPr="0026725A">
        <w:rPr>
          <w:rFonts w:ascii="Palatino Linotype" w:hAnsi="Palatino Linotype"/>
          <w:sz w:val="22"/>
          <w:szCs w:val="22"/>
        </w:rPr>
        <w:t xml:space="preserve">. </w:t>
      </w:r>
      <w:r w:rsidR="00367D6B" w:rsidRPr="0026725A">
        <w:rPr>
          <w:rFonts w:ascii="Palatino Linotype" w:hAnsi="Palatino Linotype"/>
          <w:sz w:val="22"/>
          <w:szCs w:val="22"/>
        </w:rPr>
        <w:t>Cecilia Soledad Benítez Burgos</w:t>
      </w:r>
      <w:r w:rsidRPr="0026725A">
        <w:rPr>
          <w:rFonts w:ascii="Palatino Linotype" w:hAnsi="Palatino Linotype"/>
          <w:sz w:val="22"/>
          <w:szCs w:val="22"/>
        </w:rPr>
        <w:t>, remitió a la Secretaria General del Concejo Metropolitano de Quito (E), el proyecto de ordenanza objeto del presente informe.</w:t>
      </w:r>
    </w:p>
    <w:p w:rsidR="009134F3" w:rsidRPr="009134F3" w:rsidRDefault="009134F3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:rsidR="009134F3" w:rsidRPr="0026725A" w:rsidRDefault="009134F3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</w:t>
      </w:r>
      <w:r w:rsidRPr="0026725A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GADDMQ-SGCM-2020-2379-O</w:t>
      </w:r>
      <w:r w:rsidRPr="0026725A">
        <w:rPr>
          <w:rFonts w:ascii="Palatino Linotype" w:hAnsi="Palatino Linotype"/>
          <w:sz w:val="22"/>
          <w:szCs w:val="22"/>
        </w:rPr>
        <w:t xml:space="preserve">, de 17 de julio de 2020, la abogada Damaris Ortiz </w:t>
      </w:r>
      <w:proofErr w:type="spellStart"/>
      <w:r w:rsidRPr="0026725A">
        <w:rPr>
          <w:rFonts w:ascii="Palatino Linotype" w:hAnsi="Palatino Linotype"/>
          <w:sz w:val="22"/>
          <w:szCs w:val="22"/>
        </w:rPr>
        <w:t>Pasuy</w:t>
      </w:r>
      <w:proofErr w:type="spellEnd"/>
      <w:r w:rsidRPr="0026725A">
        <w:rPr>
          <w:rFonts w:ascii="Palatino Linotype" w:hAnsi="Palatino Linotype"/>
          <w:sz w:val="22"/>
          <w:szCs w:val="22"/>
        </w:rPr>
        <w:t>, Secretaria General del Concejo Metropolitano de Quito (E), procedió con la revisión del proyecto de ordenanza y señaló que: la ordenanza en referencia cumple con los requisitos formales previstos en el artículo 322 del Código Orgánico de Organización Territorial, Autonomía y Descentralización - COOTAD, así como los de la Resolución del Concejo Metropolitano No. C074, es decir, se refiere a una sola materia, contiene exposición de moti</w:t>
      </w:r>
      <w:r w:rsidR="00367D6B" w:rsidRPr="0026725A">
        <w:rPr>
          <w:rFonts w:ascii="Palatino Linotype" w:hAnsi="Palatino Linotype"/>
          <w:sz w:val="22"/>
          <w:szCs w:val="22"/>
        </w:rPr>
        <w:t>vos, considerandos y articulado</w:t>
      </w:r>
      <w:r w:rsidRPr="0026725A">
        <w:rPr>
          <w:rFonts w:ascii="Palatino Linotype" w:hAnsi="Palatino Linotype"/>
          <w:sz w:val="22"/>
          <w:szCs w:val="22"/>
        </w:rPr>
        <w:t>.</w:t>
      </w:r>
      <w:r w:rsidR="00367D6B" w:rsidRPr="0026725A">
        <w:rPr>
          <w:rFonts w:ascii="Palatino Linotype" w:hAnsi="Palatino Linotype"/>
          <w:sz w:val="22"/>
          <w:szCs w:val="22"/>
        </w:rPr>
        <w:t xml:space="preserve"> </w:t>
      </w:r>
    </w:p>
    <w:p w:rsidR="009134F3" w:rsidRPr="009134F3" w:rsidRDefault="009134F3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:rsidR="004F435B" w:rsidRPr="0026725A" w:rsidRDefault="00EF00AE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</w:t>
      </w:r>
      <w:r w:rsidR="009134F3" w:rsidRPr="0026725A">
        <w:rPr>
          <w:rFonts w:ascii="Palatino Linotype" w:hAnsi="Palatino Linotype"/>
          <w:sz w:val="22"/>
          <w:szCs w:val="22"/>
          <w:lang w:val="es-EC"/>
        </w:rPr>
        <w:t>GADDMQ-SGCM-2020-2750-O</w:t>
      </w:r>
      <w:r w:rsidRPr="0026725A">
        <w:rPr>
          <w:rFonts w:ascii="Palatino Linotype" w:hAnsi="Palatino Linotype"/>
          <w:sz w:val="22"/>
          <w:szCs w:val="22"/>
        </w:rPr>
        <w:t xml:space="preserve">, de </w:t>
      </w:r>
      <w:r w:rsidR="009134F3" w:rsidRPr="0026725A">
        <w:rPr>
          <w:rFonts w:ascii="Palatino Linotype" w:hAnsi="Palatino Linotype"/>
          <w:sz w:val="22"/>
          <w:szCs w:val="22"/>
        </w:rPr>
        <w:t>14</w:t>
      </w:r>
      <w:r w:rsidRPr="0026725A">
        <w:rPr>
          <w:rFonts w:ascii="Palatino Linotype" w:hAnsi="Palatino Linotype"/>
          <w:sz w:val="22"/>
          <w:szCs w:val="22"/>
        </w:rPr>
        <w:t xml:space="preserve"> de </w:t>
      </w:r>
      <w:r w:rsidR="009134F3" w:rsidRPr="0026725A">
        <w:rPr>
          <w:rFonts w:ascii="Palatino Linotype" w:hAnsi="Palatino Linotype"/>
          <w:sz w:val="22"/>
          <w:szCs w:val="22"/>
        </w:rPr>
        <w:t>agosto</w:t>
      </w:r>
      <w:r w:rsidRPr="0026725A">
        <w:rPr>
          <w:rFonts w:ascii="Palatino Linotype" w:hAnsi="Palatino Linotype"/>
          <w:sz w:val="22"/>
          <w:szCs w:val="22"/>
        </w:rPr>
        <w:t xml:space="preserve"> de 20</w:t>
      </w:r>
      <w:r w:rsidR="009134F3" w:rsidRPr="0026725A">
        <w:rPr>
          <w:rFonts w:ascii="Palatino Linotype" w:hAnsi="Palatino Linotype"/>
          <w:sz w:val="22"/>
          <w:szCs w:val="22"/>
        </w:rPr>
        <w:t>20</w:t>
      </w:r>
      <w:r w:rsidRPr="0026725A">
        <w:rPr>
          <w:rFonts w:ascii="Palatino Linotype" w:hAnsi="Palatino Linotype"/>
          <w:sz w:val="22"/>
          <w:szCs w:val="22"/>
        </w:rPr>
        <w:t xml:space="preserve">, 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la abogada Damaris Ortiz </w:t>
      </w:r>
      <w:proofErr w:type="spellStart"/>
      <w:r w:rsidRPr="0026725A">
        <w:rPr>
          <w:rFonts w:ascii="Palatino Linotype" w:hAnsi="Palatino Linotype"/>
          <w:sz w:val="22"/>
          <w:szCs w:val="22"/>
          <w:lang w:val="es-EC"/>
        </w:rPr>
        <w:t>Pasuy</w:t>
      </w:r>
      <w:proofErr w:type="spellEnd"/>
      <w:r w:rsidRPr="0026725A">
        <w:rPr>
          <w:rFonts w:ascii="Palatino Linotype" w:hAnsi="Palatino Linotype"/>
          <w:sz w:val="22"/>
          <w:szCs w:val="22"/>
          <w:lang w:val="es-EC"/>
        </w:rPr>
        <w:t xml:space="preserve">, Secretaria General del Concejo Metropolitano de Quito (E), </w:t>
      </w:r>
      <w:r w:rsidR="004F435B" w:rsidRPr="0026725A">
        <w:rPr>
          <w:rFonts w:ascii="Palatino Linotype" w:hAnsi="Palatino Linotype"/>
          <w:sz w:val="22"/>
          <w:szCs w:val="22"/>
          <w:lang w:val="es-EC"/>
        </w:rPr>
        <w:t xml:space="preserve">convoca a sesión No. 23 Ordinaria para el 17 de agosto de 2020 </w:t>
      </w:r>
      <w:r w:rsidR="002536AB" w:rsidRPr="0026725A">
        <w:rPr>
          <w:rFonts w:ascii="Palatino Linotype" w:hAnsi="Palatino Linotype"/>
          <w:sz w:val="22"/>
          <w:szCs w:val="22"/>
          <w:lang w:val="es-EC"/>
        </w:rPr>
        <w:t>y como tercer punto del orden del día es</w:t>
      </w:r>
      <w:r w:rsidR="004F435B" w:rsidRPr="0026725A">
        <w:rPr>
          <w:rFonts w:ascii="Palatino Linotype" w:hAnsi="Palatino Linotype"/>
          <w:sz w:val="22"/>
          <w:szCs w:val="22"/>
          <w:lang w:val="es-EC"/>
        </w:rPr>
        <w:t xml:space="preserve"> presentado el proyecto de </w:t>
      </w:r>
      <w:r w:rsidR="002D2BBE" w:rsidRPr="0026725A">
        <w:rPr>
          <w:rFonts w:ascii="Palatino Linotype" w:hAnsi="Palatino Linotype"/>
          <w:sz w:val="22"/>
          <w:szCs w:val="22"/>
          <w:lang w:val="es-EC"/>
        </w:rPr>
        <w:t>ordenanza objeto del presente informe.</w:t>
      </w:r>
    </w:p>
    <w:p w:rsidR="004F435B" w:rsidRDefault="004F435B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2D2BBE" w:rsidRPr="0026725A" w:rsidRDefault="002D2BBE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</w:t>
      </w:r>
      <w:r w:rsidRPr="0026725A">
        <w:rPr>
          <w:rFonts w:ascii="Palatino Linotype" w:hAnsi="Palatino Linotype"/>
          <w:sz w:val="22"/>
          <w:szCs w:val="22"/>
          <w:lang w:val="es-EC"/>
        </w:rPr>
        <w:t>GADDMQ-SGCM-2020-2911-O</w:t>
      </w:r>
      <w:r w:rsidRPr="0026725A">
        <w:rPr>
          <w:rFonts w:ascii="Palatino Linotype" w:hAnsi="Palatino Linotype"/>
          <w:sz w:val="22"/>
          <w:szCs w:val="22"/>
        </w:rPr>
        <w:t xml:space="preserve">, de 26 de agosto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la abogada Damaris Ortiz </w:t>
      </w:r>
      <w:proofErr w:type="spellStart"/>
      <w:r w:rsidRPr="0026725A">
        <w:rPr>
          <w:rFonts w:ascii="Palatino Linotype" w:hAnsi="Palatino Linotype"/>
          <w:sz w:val="22"/>
          <w:szCs w:val="22"/>
          <w:lang w:val="es-EC"/>
        </w:rPr>
        <w:t>Pasuy</w:t>
      </w:r>
      <w:proofErr w:type="spellEnd"/>
      <w:r w:rsidRPr="0026725A">
        <w:rPr>
          <w:rFonts w:ascii="Palatino Linotype" w:hAnsi="Palatino Linotype"/>
          <w:sz w:val="22"/>
          <w:szCs w:val="22"/>
          <w:lang w:val="es-EC"/>
        </w:rPr>
        <w:t>, Secretaria General del Concejo Metropolitano de Quito (E), convoca a Mesa de Trabajo para el 28 de agosto de 2020 para analizar el proyecto de ordenanza.</w:t>
      </w:r>
    </w:p>
    <w:p w:rsidR="002D3C5D" w:rsidRDefault="002D3C5D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4E0931" w:rsidRPr="0026725A" w:rsidRDefault="004E0931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</w:t>
      </w:r>
      <w:r w:rsidRPr="0026725A">
        <w:rPr>
          <w:rFonts w:ascii="Palatino Linotype" w:hAnsi="Palatino Linotype"/>
          <w:sz w:val="22"/>
          <w:szCs w:val="22"/>
          <w:lang w:val="es-EC"/>
        </w:rPr>
        <w:t>Memorando Nro. GADDMQ-SGCM-2020-0146-M</w:t>
      </w:r>
      <w:r w:rsidRPr="0026725A">
        <w:rPr>
          <w:rFonts w:ascii="Palatino Linotype" w:hAnsi="Palatino Linotype"/>
          <w:sz w:val="22"/>
          <w:szCs w:val="22"/>
        </w:rPr>
        <w:t xml:space="preserve">, de 31 de agosto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el abogado </w:t>
      </w:r>
      <w:r w:rsidRPr="0026725A">
        <w:rPr>
          <w:rFonts w:ascii="Times" w:eastAsiaTheme="minorHAnsi" w:hAnsi="Times" w:cs="Times"/>
          <w:sz w:val="22"/>
          <w:szCs w:val="22"/>
          <w:lang w:eastAsia="en-US"/>
        </w:rPr>
        <w:t xml:space="preserve">Samuel </w:t>
      </w:r>
      <w:proofErr w:type="spellStart"/>
      <w:r w:rsidRPr="0026725A">
        <w:rPr>
          <w:rFonts w:ascii="Times" w:eastAsiaTheme="minorHAnsi" w:hAnsi="Times" w:cs="Times"/>
          <w:sz w:val="22"/>
          <w:szCs w:val="22"/>
          <w:lang w:eastAsia="en-US"/>
        </w:rPr>
        <w:t>Byun</w:t>
      </w:r>
      <w:proofErr w:type="spellEnd"/>
      <w:r w:rsidRPr="0026725A">
        <w:rPr>
          <w:rFonts w:ascii="Times" w:eastAsiaTheme="minorHAnsi" w:hAnsi="Times" w:cs="Times"/>
          <w:sz w:val="22"/>
          <w:szCs w:val="22"/>
          <w:lang w:eastAsia="en-US"/>
        </w:rPr>
        <w:t xml:space="preserve"> Olivo</w:t>
      </w:r>
      <w:r w:rsidRPr="0026725A">
        <w:rPr>
          <w:rFonts w:ascii="Palatino Linotype" w:hAnsi="Palatino Linotype"/>
          <w:sz w:val="22"/>
          <w:szCs w:val="22"/>
          <w:lang w:val="es-EC"/>
        </w:rPr>
        <w:t>, Prosecretario General del Concejo Metropolitano de Quito (S), remite ayuda memoria de la mesa de trabajo del 28 de agosto de 2020.</w:t>
      </w:r>
    </w:p>
    <w:p w:rsidR="004E0931" w:rsidRDefault="004E0931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4E0931" w:rsidRPr="0026725A" w:rsidRDefault="004E0931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26725A">
        <w:rPr>
          <w:rFonts w:ascii="Palatino Linotype" w:hAnsi="Palatino Linotype"/>
          <w:sz w:val="22"/>
          <w:szCs w:val="22"/>
        </w:rPr>
        <w:lastRenderedPageBreak/>
        <w:t xml:space="preserve">Mediante </w:t>
      </w:r>
      <w:r w:rsidRPr="0026725A">
        <w:rPr>
          <w:rFonts w:ascii="Palatino Linotype" w:eastAsiaTheme="minorHAnsi" w:hAnsi="Palatino Linotype" w:cs="Times"/>
          <w:bCs/>
          <w:sz w:val="22"/>
          <w:szCs w:val="22"/>
          <w:lang w:eastAsia="en-US"/>
        </w:rPr>
        <w:t>Oficio Nro. GADDMQ-SGCM-2020-2974-O</w:t>
      </w:r>
      <w:r w:rsidRPr="0026725A">
        <w:rPr>
          <w:rFonts w:ascii="Palatino Linotype" w:hAnsi="Palatino Linotype"/>
          <w:sz w:val="22"/>
          <w:szCs w:val="22"/>
        </w:rPr>
        <w:t xml:space="preserve">, de 31 de agosto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la abogada Damaris Ortiz </w:t>
      </w:r>
      <w:proofErr w:type="spellStart"/>
      <w:r w:rsidRPr="0026725A">
        <w:rPr>
          <w:rFonts w:ascii="Palatino Linotype" w:hAnsi="Palatino Linotype"/>
          <w:sz w:val="22"/>
          <w:szCs w:val="22"/>
          <w:lang w:val="es-EC"/>
        </w:rPr>
        <w:t>Pasuy</w:t>
      </w:r>
      <w:proofErr w:type="spellEnd"/>
      <w:r w:rsidRPr="0026725A">
        <w:rPr>
          <w:rFonts w:ascii="Palatino Linotype" w:hAnsi="Palatino Linotype"/>
          <w:sz w:val="22"/>
          <w:szCs w:val="22"/>
          <w:lang w:val="es-EC"/>
        </w:rPr>
        <w:t xml:space="preserve">, Secretaria General del Concejo Metropolitano de Quito (E), remite proyecto de reglamentación de sesiones virtuales </w:t>
      </w:r>
      <w:r w:rsidR="006D2B04" w:rsidRPr="0026725A">
        <w:rPr>
          <w:rFonts w:ascii="Palatino Linotype" w:hAnsi="Palatino Linotype"/>
          <w:sz w:val="22"/>
          <w:szCs w:val="22"/>
          <w:lang w:val="es-EC"/>
        </w:rPr>
        <w:t xml:space="preserve">emergentes del Concejo Metropolitano </w:t>
      </w:r>
      <w:r w:rsidRPr="0026725A">
        <w:rPr>
          <w:rFonts w:ascii="Palatino Linotype" w:hAnsi="Palatino Linotype"/>
          <w:sz w:val="22"/>
          <w:szCs w:val="22"/>
          <w:lang w:val="es-EC"/>
        </w:rPr>
        <w:t>para consideración.</w:t>
      </w:r>
    </w:p>
    <w:p w:rsidR="004E0931" w:rsidRDefault="004E0931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:rsidR="002D3C5D" w:rsidRPr="0026725A" w:rsidRDefault="002D3C5D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</w:t>
      </w:r>
      <w:r w:rsidRPr="0026725A">
        <w:rPr>
          <w:rFonts w:ascii="Palatino Linotype" w:hAnsi="Palatino Linotype"/>
          <w:sz w:val="22"/>
          <w:szCs w:val="22"/>
          <w:lang w:val="es-EC"/>
        </w:rPr>
        <w:t>GADDMQ-DC-SOCP-2020-0111-O</w:t>
      </w:r>
      <w:r w:rsidRPr="0026725A">
        <w:rPr>
          <w:rFonts w:ascii="Palatino Linotype" w:hAnsi="Palatino Linotype"/>
          <w:sz w:val="22"/>
          <w:szCs w:val="22"/>
        </w:rPr>
        <w:t xml:space="preserve">, de 31 de agosto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>el Concejal Metropolitano, Omar Cevallos Patiño, Presidente de la Comisión de Planificación Estratégica, solicita requerir a los miembros del Concejo Metropolitano las observaciones al proyecto de ordenanza.</w:t>
      </w:r>
    </w:p>
    <w:p w:rsidR="004E0931" w:rsidRDefault="004E0931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2D3C5D" w:rsidRPr="0026725A" w:rsidRDefault="002D3C5D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GADDMQ-SGCM-2020-2975-O, de 31 de agosto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la abogada Damaris Ortiz </w:t>
      </w:r>
      <w:proofErr w:type="spellStart"/>
      <w:r w:rsidRPr="0026725A">
        <w:rPr>
          <w:rFonts w:ascii="Palatino Linotype" w:hAnsi="Palatino Linotype"/>
          <w:sz w:val="22"/>
          <w:szCs w:val="22"/>
          <w:lang w:val="es-EC"/>
        </w:rPr>
        <w:t>Pasuy</w:t>
      </w:r>
      <w:proofErr w:type="spellEnd"/>
      <w:r w:rsidRPr="0026725A">
        <w:rPr>
          <w:rFonts w:ascii="Palatino Linotype" w:hAnsi="Palatino Linotype"/>
          <w:sz w:val="22"/>
          <w:szCs w:val="22"/>
          <w:lang w:val="es-EC"/>
        </w:rPr>
        <w:t>, Secretaria General del Concejo Metropolitano de Quito (E), solicita a los miembros del Concejo Metropolitano incluir observaciones al proyecto de ordenanza en matriz comparativa.</w:t>
      </w:r>
    </w:p>
    <w:p w:rsidR="004E0931" w:rsidRDefault="004E0931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4E0931" w:rsidRPr="0026725A" w:rsidRDefault="006D2B04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GADDMQ-DC-AMGB-2020-0336-O, de 3 de septiembre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>el señor Bernardo Abad Merchán, Concejal Metropolitano, remite observaciones al proyecto de ordenanza.</w:t>
      </w:r>
    </w:p>
    <w:p w:rsidR="006D2B04" w:rsidRDefault="006D2B04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6D2B04" w:rsidRPr="0026725A" w:rsidRDefault="006D2B04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GADDMQ-DC-SMGI-2020-0373-, de 3 de septiembre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>el doctor Santiago Guarderas Izquierdo, Concejal Metropolitano, remite observaciones al proyecto de ordenanza.</w:t>
      </w:r>
    </w:p>
    <w:p w:rsidR="006D2B04" w:rsidRDefault="006D2B04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6D2B04" w:rsidRPr="0026725A" w:rsidRDefault="006D2B04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GADDMQ-AM-2020-1023-OF, de 7 de septiembre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el doctor Jorge </w:t>
      </w:r>
      <w:proofErr w:type="spellStart"/>
      <w:r w:rsidRPr="0026725A">
        <w:rPr>
          <w:rFonts w:ascii="Palatino Linotype" w:hAnsi="Palatino Linotype"/>
          <w:sz w:val="22"/>
          <w:szCs w:val="22"/>
          <w:lang w:val="es-EC"/>
        </w:rPr>
        <w:t>Yunda</w:t>
      </w:r>
      <w:proofErr w:type="spellEnd"/>
      <w:r w:rsidRPr="0026725A">
        <w:rPr>
          <w:rFonts w:ascii="Palatino Linotype" w:hAnsi="Palatino Linotype"/>
          <w:sz w:val="22"/>
          <w:szCs w:val="22"/>
          <w:lang w:val="es-EC"/>
        </w:rPr>
        <w:t xml:space="preserve"> Machado, Alcalde del Distrito Metropolitano de Quito, remite observaciones al proyecto de ordenanza.</w:t>
      </w:r>
    </w:p>
    <w:p w:rsidR="006D2B04" w:rsidRDefault="006D2B04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6D2B04" w:rsidRPr="0026725A" w:rsidRDefault="006D2B04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GADDMQ-DC-SOCP-2020-0114-O, de 8 de septiembre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>el señor Omar Cevallos Patiño, Concejal Metropolitano, remite observaciones al proyecto de ordenanza.</w:t>
      </w:r>
    </w:p>
    <w:p w:rsidR="006D2B04" w:rsidRDefault="006D2B04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2D2BBE" w:rsidRPr="0026725A" w:rsidRDefault="002D2BBE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</w:t>
      </w:r>
      <w:r w:rsidR="002D3C5D" w:rsidRPr="0026725A">
        <w:rPr>
          <w:rFonts w:ascii="Palatino Linotype" w:hAnsi="Palatino Linotype"/>
          <w:sz w:val="22"/>
          <w:szCs w:val="22"/>
        </w:rPr>
        <w:t>G</w:t>
      </w:r>
      <w:r w:rsidRPr="0026725A">
        <w:rPr>
          <w:rFonts w:ascii="Palatino Linotype" w:hAnsi="Palatino Linotype"/>
          <w:sz w:val="22"/>
          <w:szCs w:val="22"/>
          <w:lang w:val="es-EC"/>
        </w:rPr>
        <w:t>ADDMQ-SGCM-2020-3117-O</w:t>
      </w:r>
      <w:r w:rsidRPr="0026725A">
        <w:rPr>
          <w:rFonts w:ascii="Palatino Linotype" w:hAnsi="Palatino Linotype"/>
          <w:sz w:val="22"/>
          <w:szCs w:val="22"/>
        </w:rPr>
        <w:t xml:space="preserve">, de 11 de septiembre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la abogada Damaris Ortiz </w:t>
      </w:r>
      <w:proofErr w:type="spellStart"/>
      <w:r w:rsidRPr="0026725A">
        <w:rPr>
          <w:rFonts w:ascii="Palatino Linotype" w:hAnsi="Palatino Linotype"/>
          <w:sz w:val="22"/>
          <w:szCs w:val="22"/>
          <w:lang w:val="es-EC"/>
        </w:rPr>
        <w:t>Pasuy</w:t>
      </w:r>
      <w:proofErr w:type="spellEnd"/>
      <w:r w:rsidRPr="0026725A">
        <w:rPr>
          <w:rFonts w:ascii="Palatino Linotype" w:hAnsi="Palatino Linotype"/>
          <w:sz w:val="22"/>
          <w:szCs w:val="22"/>
          <w:lang w:val="es-EC"/>
        </w:rPr>
        <w:t>, Secretaria General del Concejo Metropolitano de Quito (E), convoca a sesión No. 25 Ordinaria para el 14 de septiembre de 2020 para revisar las observaciones</w:t>
      </w:r>
      <w:r w:rsidR="002D3C5D" w:rsidRPr="0026725A">
        <w:rPr>
          <w:rFonts w:ascii="Palatino Linotype" w:hAnsi="Palatino Linotype"/>
          <w:sz w:val="22"/>
          <w:szCs w:val="22"/>
          <w:lang w:val="es-EC"/>
        </w:rPr>
        <w:t xml:space="preserve"> a</w:t>
      </w:r>
      <w:r w:rsidRPr="0026725A">
        <w:rPr>
          <w:rFonts w:ascii="Palatino Linotype" w:hAnsi="Palatino Linotype"/>
          <w:sz w:val="22"/>
          <w:szCs w:val="22"/>
          <w:lang w:val="es-EC"/>
        </w:rPr>
        <w:t>l proyecto de ordenanza</w:t>
      </w:r>
      <w:r w:rsidR="002D3C5D" w:rsidRPr="0026725A">
        <w:rPr>
          <w:rFonts w:ascii="Palatino Linotype" w:hAnsi="Palatino Linotype"/>
          <w:sz w:val="22"/>
          <w:szCs w:val="22"/>
          <w:lang w:val="es-EC"/>
        </w:rPr>
        <w:t>.</w:t>
      </w:r>
    </w:p>
    <w:p w:rsidR="002D3C5D" w:rsidRDefault="002D3C5D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2D2BBE" w:rsidRPr="0026725A" w:rsidRDefault="00085F11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</w:t>
      </w:r>
      <w:r w:rsidR="00843DBF" w:rsidRPr="0026725A">
        <w:rPr>
          <w:rFonts w:ascii="Palatino Linotype" w:hAnsi="Palatino Linotype"/>
          <w:sz w:val="22"/>
          <w:szCs w:val="22"/>
        </w:rPr>
        <w:t>Oficio Nro. GADDMQ-PM-2020-2329-O</w:t>
      </w:r>
      <w:r w:rsidRPr="0026725A">
        <w:rPr>
          <w:rFonts w:ascii="Palatino Linotype" w:hAnsi="Palatino Linotype"/>
          <w:sz w:val="22"/>
          <w:szCs w:val="22"/>
        </w:rPr>
        <w:t>, de 1</w:t>
      </w:r>
      <w:r w:rsidR="00843DBF" w:rsidRPr="0026725A">
        <w:rPr>
          <w:rFonts w:ascii="Palatino Linotype" w:hAnsi="Palatino Linotype"/>
          <w:sz w:val="22"/>
          <w:szCs w:val="22"/>
        </w:rPr>
        <w:t>6</w:t>
      </w:r>
      <w:r w:rsidRPr="0026725A">
        <w:rPr>
          <w:rFonts w:ascii="Palatino Linotype" w:hAnsi="Palatino Linotype"/>
          <w:sz w:val="22"/>
          <w:szCs w:val="22"/>
        </w:rPr>
        <w:t xml:space="preserve"> de septiembre de 2020, </w:t>
      </w:r>
      <w:r w:rsidR="00843DBF" w:rsidRPr="0026725A">
        <w:rPr>
          <w:rFonts w:ascii="Palatino Linotype" w:hAnsi="Palatino Linotype"/>
          <w:sz w:val="22"/>
          <w:szCs w:val="22"/>
        </w:rPr>
        <w:t>el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 abogad</w:t>
      </w:r>
      <w:r w:rsidR="00843DBF" w:rsidRPr="0026725A">
        <w:rPr>
          <w:rFonts w:ascii="Palatino Linotype" w:hAnsi="Palatino Linotype"/>
          <w:sz w:val="22"/>
          <w:szCs w:val="22"/>
          <w:lang w:val="es-EC"/>
        </w:rPr>
        <w:t>o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843DBF" w:rsidRPr="0026725A">
        <w:rPr>
          <w:rFonts w:ascii="Palatino Linotype" w:hAnsi="Palatino Linotype"/>
          <w:sz w:val="22"/>
          <w:szCs w:val="22"/>
          <w:lang w:val="es-EC"/>
        </w:rPr>
        <w:t xml:space="preserve">Abg. Fernando </w:t>
      </w:r>
      <w:proofErr w:type="spellStart"/>
      <w:r w:rsidR="00843DBF" w:rsidRPr="0026725A">
        <w:rPr>
          <w:rFonts w:ascii="Palatino Linotype" w:hAnsi="Palatino Linotype"/>
          <w:sz w:val="22"/>
          <w:szCs w:val="22"/>
          <w:lang w:val="es-EC"/>
        </w:rPr>
        <w:t>Andre</w:t>
      </w:r>
      <w:proofErr w:type="spellEnd"/>
      <w:r w:rsidR="00843DBF" w:rsidRPr="0026725A">
        <w:rPr>
          <w:rFonts w:ascii="Palatino Linotype" w:hAnsi="Palatino Linotype"/>
          <w:sz w:val="22"/>
          <w:szCs w:val="22"/>
          <w:lang w:val="es-EC"/>
        </w:rPr>
        <w:t xml:space="preserve"> Rojas Yerovi, Subprocurador Metropolitano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843DBF" w:rsidRPr="0026725A">
        <w:rPr>
          <w:rFonts w:ascii="Palatino Linotype" w:hAnsi="Palatino Linotype"/>
          <w:sz w:val="22"/>
          <w:szCs w:val="22"/>
          <w:lang w:val="es-EC"/>
        </w:rPr>
        <w:t>informa consideraciones sobre e</w:t>
      </w:r>
      <w:r w:rsidRPr="0026725A">
        <w:rPr>
          <w:rFonts w:ascii="Palatino Linotype" w:hAnsi="Palatino Linotype"/>
          <w:sz w:val="22"/>
          <w:szCs w:val="22"/>
          <w:lang w:val="es-EC"/>
        </w:rPr>
        <w:t>l proyecto de ordenanza</w:t>
      </w:r>
      <w:r w:rsidR="00843DBF" w:rsidRPr="0026725A">
        <w:rPr>
          <w:rFonts w:ascii="Palatino Linotype" w:hAnsi="Palatino Linotype"/>
          <w:sz w:val="22"/>
          <w:szCs w:val="22"/>
          <w:lang w:val="es-EC"/>
        </w:rPr>
        <w:t>.</w:t>
      </w:r>
    </w:p>
    <w:p w:rsidR="002D2BBE" w:rsidRDefault="002D2BBE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1B146C" w:rsidRPr="0026725A" w:rsidRDefault="00843DBF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GADDMQ-SGCM-2020-3706-O, de 23 de octubre de 2020, 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la abogada Damaris Ortiz </w:t>
      </w:r>
      <w:proofErr w:type="spellStart"/>
      <w:r w:rsidRPr="0026725A">
        <w:rPr>
          <w:rFonts w:ascii="Palatino Linotype" w:hAnsi="Palatino Linotype"/>
          <w:sz w:val="22"/>
          <w:szCs w:val="22"/>
          <w:lang w:val="es-EC"/>
        </w:rPr>
        <w:t>Pasuy</w:t>
      </w:r>
      <w:proofErr w:type="spellEnd"/>
      <w:r w:rsidRPr="0026725A">
        <w:rPr>
          <w:rFonts w:ascii="Palatino Linotype" w:hAnsi="Palatino Linotype"/>
          <w:sz w:val="22"/>
          <w:szCs w:val="22"/>
          <w:lang w:val="es-EC"/>
        </w:rPr>
        <w:t xml:space="preserve">, Secretaria General del Concejo Metropolitano de Quito (E), convoca a sesión No. 26 Ordinaria para el 26 de octubre de 2020 </w:t>
      </w:r>
      <w:r w:rsidR="005427F5" w:rsidRPr="0026725A">
        <w:rPr>
          <w:rFonts w:ascii="Palatino Linotype" w:hAnsi="Palatino Linotype"/>
          <w:sz w:val="22"/>
          <w:szCs w:val="22"/>
          <w:lang w:val="es-EC"/>
        </w:rPr>
        <w:t xml:space="preserve">para conocer el oficio remitido por la Procuraduría Metropolitana sobre </w:t>
      </w:r>
      <w:r w:rsidRPr="0026725A">
        <w:rPr>
          <w:rFonts w:ascii="Palatino Linotype" w:hAnsi="Palatino Linotype"/>
          <w:sz w:val="22"/>
          <w:szCs w:val="22"/>
          <w:lang w:val="es-EC"/>
        </w:rPr>
        <w:t>el proyecto de reforma de ordenanza</w:t>
      </w:r>
      <w:r w:rsidR="005427F5" w:rsidRPr="0026725A">
        <w:rPr>
          <w:rFonts w:ascii="Palatino Linotype" w:hAnsi="Palatino Linotype"/>
          <w:sz w:val="22"/>
          <w:szCs w:val="22"/>
          <w:lang w:val="es-EC"/>
        </w:rPr>
        <w:t>.</w:t>
      </w:r>
    </w:p>
    <w:p w:rsidR="005427F5" w:rsidRDefault="005427F5" w:rsidP="000B0B87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D93407" w:rsidRPr="0026725A" w:rsidRDefault="00855AAF" w:rsidP="000B0B87">
      <w:pPr>
        <w:pStyle w:val="Prrafodelista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26725A">
        <w:rPr>
          <w:rFonts w:ascii="Palatino Linotype" w:hAnsi="Palatino Linotype"/>
          <w:sz w:val="22"/>
          <w:szCs w:val="22"/>
        </w:rPr>
        <w:t xml:space="preserve">Mediante Oficio Nro. </w:t>
      </w:r>
      <w:r w:rsidR="00681398" w:rsidRPr="0026725A">
        <w:rPr>
          <w:rFonts w:ascii="Palatino Linotype" w:hAnsi="Palatino Linotype"/>
          <w:sz w:val="22"/>
          <w:szCs w:val="22"/>
          <w:lang w:val="es-EC"/>
        </w:rPr>
        <w:t>GADDMQ-SGCM-2020-4091-O</w:t>
      </w:r>
      <w:r w:rsidRPr="0026725A">
        <w:rPr>
          <w:rFonts w:ascii="Palatino Linotype" w:hAnsi="Palatino Linotype"/>
          <w:sz w:val="22"/>
          <w:szCs w:val="22"/>
        </w:rPr>
        <w:t xml:space="preserve">, de </w:t>
      </w:r>
      <w:r w:rsidR="00681398" w:rsidRPr="0026725A">
        <w:rPr>
          <w:rFonts w:ascii="Palatino Linotype" w:hAnsi="Palatino Linotype"/>
          <w:sz w:val="22"/>
          <w:szCs w:val="22"/>
        </w:rPr>
        <w:t>20</w:t>
      </w:r>
      <w:r w:rsidRPr="0026725A">
        <w:rPr>
          <w:rFonts w:ascii="Palatino Linotype" w:hAnsi="Palatino Linotype"/>
          <w:sz w:val="22"/>
          <w:szCs w:val="22"/>
        </w:rPr>
        <w:t xml:space="preserve"> de noviembre de 20</w:t>
      </w:r>
      <w:r w:rsidR="00681398" w:rsidRPr="0026725A">
        <w:rPr>
          <w:rFonts w:ascii="Palatino Linotype" w:hAnsi="Palatino Linotype"/>
          <w:sz w:val="22"/>
          <w:szCs w:val="22"/>
        </w:rPr>
        <w:t>20</w:t>
      </w:r>
      <w:r w:rsidRPr="0026725A">
        <w:rPr>
          <w:rFonts w:ascii="Palatino Linotype" w:hAnsi="Palatino Linotype"/>
          <w:sz w:val="22"/>
          <w:szCs w:val="22"/>
        </w:rPr>
        <w:t xml:space="preserve">, </w:t>
      </w:r>
      <w:r w:rsidR="00E77033" w:rsidRPr="0026725A">
        <w:rPr>
          <w:rFonts w:ascii="Palatino Linotype" w:hAnsi="Palatino Linotype"/>
          <w:sz w:val="22"/>
          <w:szCs w:val="22"/>
          <w:lang w:val="es-EC"/>
        </w:rPr>
        <w:t xml:space="preserve">la abogada Damaris Ortiz </w:t>
      </w:r>
      <w:proofErr w:type="spellStart"/>
      <w:r w:rsidR="00E77033" w:rsidRPr="0026725A">
        <w:rPr>
          <w:rFonts w:ascii="Palatino Linotype" w:hAnsi="Palatino Linotype"/>
          <w:sz w:val="22"/>
          <w:szCs w:val="22"/>
          <w:lang w:val="es-EC"/>
        </w:rPr>
        <w:t>Pasuy</w:t>
      </w:r>
      <w:proofErr w:type="spellEnd"/>
      <w:r w:rsidR="00E77033" w:rsidRPr="0026725A">
        <w:rPr>
          <w:rFonts w:ascii="Palatino Linotype" w:hAnsi="Palatino Linotype"/>
          <w:sz w:val="22"/>
          <w:szCs w:val="22"/>
          <w:lang w:val="es-EC"/>
        </w:rPr>
        <w:t>, Secretaria General del Concejo Metropolitano de Quito (E),</w:t>
      </w:r>
      <w:r w:rsidRPr="0026725A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E77033" w:rsidRPr="0026725A">
        <w:rPr>
          <w:rFonts w:ascii="Palatino Linotype" w:hAnsi="Palatino Linotype"/>
          <w:sz w:val="22"/>
          <w:szCs w:val="22"/>
          <w:lang w:val="es-EC"/>
        </w:rPr>
        <w:t xml:space="preserve">convoca a </w:t>
      </w:r>
      <w:r w:rsidR="00EF00AE" w:rsidRPr="0026725A">
        <w:rPr>
          <w:rFonts w:ascii="Palatino Linotype" w:hAnsi="Palatino Linotype"/>
          <w:sz w:val="22"/>
          <w:szCs w:val="22"/>
          <w:lang w:val="es-EC"/>
        </w:rPr>
        <w:t xml:space="preserve">sesión No. </w:t>
      </w:r>
      <w:r w:rsidR="00681398" w:rsidRPr="0026725A">
        <w:rPr>
          <w:rFonts w:ascii="Palatino Linotype" w:hAnsi="Palatino Linotype"/>
          <w:sz w:val="22"/>
          <w:szCs w:val="22"/>
          <w:lang w:val="es-EC"/>
        </w:rPr>
        <w:t>28</w:t>
      </w:r>
      <w:r w:rsidR="00EF00AE" w:rsidRPr="0026725A">
        <w:rPr>
          <w:rFonts w:ascii="Palatino Linotype" w:hAnsi="Palatino Linotype"/>
          <w:sz w:val="22"/>
          <w:szCs w:val="22"/>
          <w:lang w:val="es-EC"/>
        </w:rPr>
        <w:t xml:space="preserve"> Ordinaria </w:t>
      </w:r>
      <w:r w:rsidR="00E77033" w:rsidRPr="0026725A">
        <w:rPr>
          <w:rFonts w:ascii="Palatino Linotype" w:hAnsi="Palatino Linotype"/>
          <w:sz w:val="22"/>
          <w:szCs w:val="22"/>
          <w:lang w:val="es-EC"/>
        </w:rPr>
        <w:t xml:space="preserve">para el </w:t>
      </w:r>
      <w:r w:rsidR="00681398" w:rsidRPr="0026725A">
        <w:rPr>
          <w:rFonts w:ascii="Palatino Linotype" w:hAnsi="Palatino Linotype"/>
          <w:sz w:val="22"/>
          <w:szCs w:val="22"/>
          <w:lang w:val="es-EC"/>
        </w:rPr>
        <w:t>2</w:t>
      </w:r>
      <w:r w:rsidR="00E77033" w:rsidRPr="0026725A">
        <w:rPr>
          <w:rFonts w:ascii="Palatino Linotype" w:hAnsi="Palatino Linotype"/>
          <w:sz w:val="22"/>
          <w:szCs w:val="22"/>
          <w:lang w:val="es-EC"/>
        </w:rPr>
        <w:t>3 de noviembre de 20</w:t>
      </w:r>
      <w:r w:rsidR="00681398" w:rsidRPr="0026725A">
        <w:rPr>
          <w:rFonts w:ascii="Palatino Linotype" w:hAnsi="Palatino Linotype"/>
          <w:sz w:val="22"/>
          <w:szCs w:val="22"/>
          <w:lang w:val="es-EC"/>
        </w:rPr>
        <w:t>20</w:t>
      </w:r>
      <w:r w:rsidR="003E3A14" w:rsidRPr="0026725A">
        <w:rPr>
          <w:rFonts w:ascii="Palatino Linotype" w:hAnsi="Palatino Linotype"/>
          <w:sz w:val="22"/>
          <w:szCs w:val="22"/>
        </w:rPr>
        <w:t>,</w:t>
      </w:r>
      <w:r w:rsidR="00632821" w:rsidRPr="0026725A">
        <w:rPr>
          <w:rFonts w:ascii="Palatino Linotype" w:hAnsi="Palatino Linotype"/>
          <w:sz w:val="22"/>
          <w:szCs w:val="22"/>
        </w:rPr>
        <w:t xml:space="preserve"> </w:t>
      </w:r>
      <w:r w:rsidR="003E3A14" w:rsidRPr="0026725A">
        <w:rPr>
          <w:rFonts w:ascii="Palatino Linotype" w:hAnsi="Palatino Linotype"/>
          <w:sz w:val="22"/>
          <w:szCs w:val="22"/>
        </w:rPr>
        <w:t xml:space="preserve">se </w:t>
      </w:r>
      <w:r w:rsidR="00D93407" w:rsidRPr="0026725A">
        <w:rPr>
          <w:rFonts w:ascii="Palatino Linotype" w:hAnsi="Palatino Linotype"/>
          <w:sz w:val="22"/>
          <w:szCs w:val="22"/>
        </w:rPr>
        <w:t>acog</w:t>
      </w:r>
      <w:r w:rsidR="003E3A14" w:rsidRPr="0026725A">
        <w:rPr>
          <w:rFonts w:ascii="Palatino Linotype" w:hAnsi="Palatino Linotype"/>
          <w:sz w:val="22"/>
          <w:szCs w:val="22"/>
        </w:rPr>
        <w:t xml:space="preserve">en </w:t>
      </w:r>
      <w:r w:rsidR="00D93407" w:rsidRPr="0026725A">
        <w:rPr>
          <w:rFonts w:ascii="Palatino Linotype" w:hAnsi="Palatino Linotype"/>
          <w:sz w:val="22"/>
          <w:szCs w:val="22"/>
        </w:rPr>
        <w:t xml:space="preserve">las </w:t>
      </w:r>
      <w:r w:rsidR="00632821" w:rsidRPr="0026725A">
        <w:rPr>
          <w:rFonts w:ascii="Palatino Linotype" w:hAnsi="Palatino Linotype"/>
          <w:sz w:val="22"/>
          <w:szCs w:val="22"/>
        </w:rPr>
        <w:t xml:space="preserve">observaciones </w:t>
      </w:r>
      <w:r w:rsidR="00D93407" w:rsidRPr="0026725A">
        <w:rPr>
          <w:rFonts w:ascii="Palatino Linotype" w:hAnsi="Palatino Linotype"/>
          <w:sz w:val="22"/>
          <w:szCs w:val="22"/>
        </w:rPr>
        <w:t xml:space="preserve">que </w:t>
      </w:r>
      <w:r w:rsidR="003E3A14" w:rsidRPr="0026725A">
        <w:rPr>
          <w:rFonts w:ascii="Palatino Linotype" w:hAnsi="Palatino Linotype"/>
          <w:sz w:val="22"/>
          <w:szCs w:val="22"/>
        </w:rPr>
        <w:t xml:space="preserve">la Comisión </w:t>
      </w:r>
      <w:r w:rsidR="00D93407" w:rsidRPr="0026725A">
        <w:rPr>
          <w:rFonts w:ascii="Palatino Linotype" w:hAnsi="Palatino Linotype"/>
          <w:sz w:val="22"/>
          <w:szCs w:val="22"/>
        </w:rPr>
        <w:t xml:space="preserve">consideró pertinentes. Concluido el análisis, la Comisión de </w:t>
      </w:r>
      <w:r w:rsidR="00681398" w:rsidRPr="0026725A">
        <w:rPr>
          <w:rFonts w:ascii="Palatino Linotype" w:hAnsi="Palatino Linotype"/>
          <w:sz w:val="22"/>
          <w:szCs w:val="22"/>
        </w:rPr>
        <w:t>Planificación Estratégica</w:t>
      </w:r>
      <w:r w:rsidR="00D93407" w:rsidRPr="0026725A">
        <w:rPr>
          <w:rFonts w:ascii="Palatino Linotype" w:hAnsi="Palatino Linotype"/>
          <w:sz w:val="22"/>
          <w:szCs w:val="22"/>
        </w:rPr>
        <w:t xml:space="preserve">, con la presencia de todos sus miembros, y, por unanimidad, emitió Dictamen Favorable, para que el Concejo Metropolitano conozca en primer debate, el proyecto de </w:t>
      </w:r>
      <w:r w:rsidR="003E3A14" w:rsidRPr="0026725A">
        <w:rPr>
          <w:rFonts w:ascii="Palatino Linotype" w:hAnsi="Palatino Linotype"/>
          <w:sz w:val="22"/>
          <w:szCs w:val="22"/>
        </w:rPr>
        <w:t>“</w:t>
      </w:r>
      <w:r w:rsidR="00681398" w:rsidRPr="0026725A">
        <w:rPr>
          <w:rFonts w:ascii="Palatino Linotype" w:hAnsi="Palatino Linotype"/>
          <w:i/>
          <w:sz w:val="22"/>
          <w:szCs w:val="22"/>
        </w:rPr>
        <w:t>Ordenanza que determina el procedimiento parlamentario para el desarrollo y organización de las sesiones y los debates, el funcionamiento del ejercicio de la facultad legislativa, las sesiones virtuales, el Código de Ética en el Concejo Metropolitano de Quito; y su coordinación con el órgano ejecutivo</w:t>
      </w:r>
      <w:r w:rsidR="003E3A14" w:rsidRPr="003E3A14">
        <w:rPr>
          <w:rStyle w:val="nfasis"/>
        </w:rPr>
        <w:t>”.</w:t>
      </w:r>
    </w:p>
    <w:p w:rsidR="00D93407" w:rsidRPr="00D93407" w:rsidRDefault="00D93407" w:rsidP="00D93407">
      <w:pPr>
        <w:jc w:val="both"/>
        <w:rPr>
          <w:rFonts w:ascii="Palatino Linotype" w:hAnsi="Palatino Linotype"/>
          <w:sz w:val="22"/>
          <w:szCs w:val="22"/>
        </w:rPr>
      </w:pPr>
    </w:p>
    <w:p w:rsidR="00CD2634" w:rsidRPr="00367D6B" w:rsidRDefault="00CD2634" w:rsidP="00CD2634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2"/>
          <w:szCs w:val="22"/>
        </w:rPr>
      </w:pPr>
      <w:r w:rsidRPr="00367D6B">
        <w:rPr>
          <w:rFonts w:ascii="Palatino Linotype" w:hAnsi="Palatino Linotype"/>
          <w:b/>
          <w:sz w:val="22"/>
          <w:szCs w:val="22"/>
        </w:rPr>
        <w:t xml:space="preserve">BASE NORMATIVA: </w:t>
      </w:r>
    </w:p>
    <w:p w:rsidR="00CD2634" w:rsidRPr="00367D6B" w:rsidRDefault="00CD2634" w:rsidP="00CD2634">
      <w:pPr>
        <w:tabs>
          <w:tab w:val="left" w:pos="1080"/>
        </w:tabs>
        <w:jc w:val="both"/>
        <w:rPr>
          <w:rFonts w:ascii="Palatino Linotype" w:hAnsi="Palatino Linotype"/>
          <w:b/>
          <w:sz w:val="10"/>
          <w:szCs w:val="10"/>
        </w:rPr>
      </w:pPr>
    </w:p>
    <w:p w:rsidR="00B96D95" w:rsidRPr="00367D6B" w:rsidRDefault="00B96D95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 w:rsidRPr="00367D6B">
        <w:rPr>
          <w:rFonts w:ascii="Palatino Linotype" w:hAnsi="Palatino Linotype"/>
          <w:b/>
          <w:sz w:val="22"/>
          <w:szCs w:val="22"/>
        </w:rPr>
        <w:t>(…)</w:t>
      </w: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i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El artículo 264 número 6, establece que: </w:t>
      </w:r>
      <w:r w:rsidRPr="003222A7">
        <w:rPr>
          <w:rFonts w:ascii="Palatino Linotype" w:hAnsi="Palatino Linotype"/>
          <w:i/>
          <w:sz w:val="22"/>
          <w:szCs w:val="22"/>
        </w:rPr>
        <w:t>“Los gobiernos municipales tendrán las siguientes competencias exclusivas sin perjuicio de otras que determine la ley: (…) 6. Planificar, regular y controlar el tránsito y el transporte público dentro de su territorio cantonal”.</w:t>
      </w:r>
    </w:p>
    <w:p w:rsidR="00CD2634" w:rsidRPr="003222A7" w:rsidRDefault="00CD2634" w:rsidP="00CD2634">
      <w:pPr>
        <w:pStyle w:val="Prrafodelista"/>
        <w:tabs>
          <w:tab w:val="left" w:pos="1080"/>
        </w:tabs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CD2634" w:rsidRPr="003222A7" w:rsidRDefault="00CD2634" w:rsidP="00CD2634">
      <w:pPr>
        <w:tabs>
          <w:tab w:val="left" w:pos="709"/>
        </w:tabs>
        <w:jc w:val="both"/>
        <w:rPr>
          <w:rFonts w:ascii="Palatino Linotype" w:hAnsi="Palatino Linotype"/>
          <w:i/>
          <w:sz w:val="22"/>
          <w:szCs w:val="22"/>
          <w:lang w:val="es-EC"/>
        </w:rPr>
      </w:pPr>
      <w:r w:rsidRPr="003222A7">
        <w:rPr>
          <w:rFonts w:ascii="Palatino Linotype" w:hAnsi="Palatino Linotype"/>
          <w:sz w:val="22"/>
          <w:szCs w:val="22"/>
          <w:lang w:val="es-EC"/>
        </w:rPr>
        <w:t xml:space="preserve">El artículo 266 de la Constitución de la República del Ecuador, establece, como una competencia exclusiva de los gobiernos de los distritos metropolitanos, que éstos: “(…) </w:t>
      </w:r>
      <w:r w:rsidRPr="003222A7">
        <w:rPr>
          <w:rFonts w:ascii="Palatino Linotype" w:hAnsi="Palatino Linotype"/>
          <w:i/>
          <w:sz w:val="22"/>
          <w:szCs w:val="22"/>
          <w:lang w:val="es-EC"/>
        </w:rPr>
        <w:t>ejercerán las competencias que corresponden a los gobiernos cantonales y todas las que sean aplicables de los gobiernos provinciales y regionales, sin perjuicio de las adicionales que determine la ley que regule el sistema nacional de competencias. En el ámbito de sus competencias y territorio, y en uso de sus facultades, expedirán ordenanzas distritales”.</w:t>
      </w:r>
    </w:p>
    <w:p w:rsidR="00CD2634" w:rsidRPr="003222A7" w:rsidRDefault="00CD2634" w:rsidP="00CD2634">
      <w:pPr>
        <w:tabs>
          <w:tab w:val="left" w:pos="709"/>
        </w:tabs>
        <w:jc w:val="both"/>
        <w:rPr>
          <w:rFonts w:ascii="Palatino Linotype" w:hAnsi="Palatino Linotype"/>
          <w:i/>
          <w:sz w:val="22"/>
          <w:szCs w:val="22"/>
          <w:lang w:val="es-EC"/>
        </w:rPr>
      </w:pPr>
    </w:p>
    <w:p w:rsidR="00CD2634" w:rsidRPr="003222A7" w:rsidRDefault="00CD2634" w:rsidP="00CD2634">
      <w:pPr>
        <w:tabs>
          <w:tab w:val="left" w:pos="0"/>
        </w:tabs>
        <w:jc w:val="both"/>
        <w:rPr>
          <w:rFonts w:ascii="Palatino Linotype" w:hAnsi="Palatino Linotype"/>
          <w:sz w:val="22"/>
          <w:szCs w:val="22"/>
          <w:lang w:val="es-EC"/>
        </w:rPr>
      </w:pPr>
      <w:r w:rsidRPr="003222A7">
        <w:rPr>
          <w:rFonts w:ascii="Palatino Linotype" w:hAnsi="Palatino Linotype"/>
          <w:sz w:val="22"/>
          <w:szCs w:val="22"/>
          <w:lang w:val="es-EC"/>
        </w:rPr>
        <w:t xml:space="preserve">El artículo 7 del Código Orgánico de Organización Territorial, Autonomía y Descentralización </w:t>
      </w:r>
      <w:r w:rsidRPr="003222A7">
        <w:rPr>
          <w:rFonts w:ascii="Palatino Linotype" w:hAnsi="Palatino Linotype"/>
          <w:i/>
          <w:sz w:val="22"/>
          <w:szCs w:val="22"/>
          <w:lang w:val="es-EC"/>
        </w:rPr>
        <w:t>“(…) reconoce a los concejos metropolitanos y municipales, la capacidad para dictar normas de carácter general a través de ordenanzas, acuerdos y resoluciones, aplicables dentro de su circunscripción territorial”</w:t>
      </w:r>
      <w:r w:rsidRPr="003222A7">
        <w:rPr>
          <w:rFonts w:ascii="Palatino Linotype" w:hAnsi="Palatino Linotype"/>
          <w:sz w:val="22"/>
          <w:szCs w:val="22"/>
          <w:lang w:val="es-EC"/>
        </w:rPr>
        <w:t>.</w:t>
      </w:r>
    </w:p>
    <w:p w:rsidR="00CD2634" w:rsidRPr="003222A7" w:rsidRDefault="00CD2634" w:rsidP="00CD2634">
      <w:pPr>
        <w:tabs>
          <w:tab w:val="left" w:pos="0"/>
        </w:tabs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CD2634" w:rsidRPr="003222A7" w:rsidRDefault="00CD2634" w:rsidP="00CD2634">
      <w:pPr>
        <w:tabs>
          <w:tab w:val="left" w:pos="0"/>
        </w:tabs>
        <w:jc w:val="both"/>
        <w:rPr>
          <w:rFonts w:ascii="Palatino Linotype" w:hAnsi="Palatino Linotype"/>
          <w:sz w:val="22"/>
          <w:szCs w:val="22"/>
          <w:lang w:val="es-EC"/>
        </w:rPr>
      </w:pPr>
      <w:r w:rsidRPr="003222A7">
        <w:rPr>
          <w:rFonts w:ascii="Palatino Linotype" w:hAnsi="Palatino Linotype"/>
          <w:sz w:val="22"/>
          <w:szCs w:val="22"/>
          <w:lang w:val="es-EC"/>
        </w:rPr>
        <w:t xml:space="preserve">La letra q) del artículo 84 del Código Orgánico de Organización Territorial, Autonomía y Descentralización, dispone que: </w:t>
      </w:r>
      <w:r w:rsidRPr="003222A7">
        <w:rPr>
          <w:rFonts w:ascii="Palatino Linotype" w:hAnsi="Palatino Linotype"/>
          <w:i/>
          <w:sz w:val="22"/>
          <w:szCs w:val="22"/>
          <w:lang w:val="es-EC"/>
        </w:rPr>
        <w:t xml:space="preserve">"Son funciones del gobierno del distrito autónomo </w:t>
      </w:r>
      <w:r w:rsidRPr="003222A7">
        <w:rPr>
          <w:rFonts w:ascii="Palatino Linotype" w:hAnsi="Palatino Linotype"/>
          <w:i/>
          <w:sz w:val="22"/>
          <w:szCs w:val="22"/>
          <w:lang w:val="es-EC"/>
        </w:rPr>
        <w:lastRenderedPageBreak/>
        <w:t xml:space="preserve">metropolitano: “(…) q) Planificar, regular y controlar el tránsito y el transporte terrestre dentro de territorio. (…)". </w:t>
      </w:r>
    </w:p>
    <w:p w:rsidR="00CD2634" w:rsidRPr="003222A7" w:rsidRDefault="00CD2634" w:rsidP="00CD2634">
      <w:pPr>
        <w:tabs>
          <w:tab w:val="left" w:pos="1080"/>
        </w:tabs>
        <w:ind w:left="993" w:hanging="993"/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CD2634" w:rsidRPr="003222A7" w:rsidRDefault="00CD2634" w:rsidP="00CD2634">
      <w:pPr>
        <w:tabs>
          <w:tab w:val="left" w:pos="709"/>
        </w:tabs>
        <w:jc w:val="both"/>
        <w:rPr>
          <w:rFonts w:ascii="Palatino Linotype" w:hAnsi="Palatino Linotype"/>
          <w:i/>
          <w:sz w:val="22"/>
          <w:szCs w:val="22"/>
          <w:lang w:val="es-EC"/>
        </w:rPr>
      </w:pPr>
      <w:r w:rsidRPr="003222A7">
        <w:rPr>
          <w:rFonts w:ascii="Palatino Linotype" w:hAnsi="Palatino Linotype"/>
          <w:sz w:val="22"/>
          <w:szCs w:val="22"/>
          <w:lang w:val="es-EC"/>
        </w:rPr>
        <w:t xml:space="preserve">La letra a) del artículo 87 del Código Orgánico de Organización Territorial, Autonomía y Descentralización, señala que al Concejo Metropolitano le corresponde: </w:t>
      </w:r>
      <w:r w:rsidRPr="003222A7">
        <w:rPr>
          <w:rFonts w:ascii="Palatino Linotype" w:hAnsi="Palatino Linotype"/>
          <w:i/>
          <w:sz w:val="22"/>
          <w:szCs w:val="22"/>
          <w:lang w:val="es-EC"/>
        </w:rPr>
        <w:t xml:space="preserve">"(…) a) Ejercer la facultad normativa en las materias de competencia del gobierno autónomo descentralizado metropolitano, mediante la expedición de ordenanzas metropolitanas, acuerdos y resoluciones; (…). </w:t>
      </w:r>
    </w:p>
    <w:p w:rsidR="00CD2634" w:rsidRPr="003222A7" w:rsidRDefault="00CD2634" w:rsidP="00CD2634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CourierNewNormal"/>
          <w:i/>
          <w:sz w:val="22"/>
          <w:szCs w:val="22"/>
          <w:lang w:val="es-EC" w:eastAsia="en-US"/>
        </w:rPr>
      </w:pPr>
    </w:p>
    <w:p w:rsidR="00CD2634" w:rsidRPr="003222A7" w:rsidRDefault="00CD2634" w:rsidP="00CD2634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  <w:lang w:val="es-EC"/>
        </w:rPr>
      </w:pPr>
      <w:r w:rsidRPr="003222A7">
        <w:rPr>
          <w:rFonts w:ascii="Palatino Linotype" w:hAnsi="Palatino Linotype"/>
          <w:sz w:val="22"/>
          <w:szCs w:val="22"/>
          <w:lang w:val="es-EC"/>
        </w:rPr>
        <w:t>El artículo 3 de la Ley Orgánica de Transporte Terrestre, Tránsito y Seguridad Vial, determina que el Estado garantizará que la prestación del servicio de transporte público se ajuste a los principios de seguridad, eficiencia, responsabilidad, universalidad, accesibilidad, continuidad y calidad, con tarifas socialmente justas.</w:t>
      </w:r>
    </w:p>
    <w:p w:rsidR="00CD2634" w:rsidRPr="003222A7" w:rsidRDefault="00CD2634" w:rsidP="00CD2634">
      <w:pPr>
        <w:tabs>
          <w:tab w:val="left" w:pos="1080"/>
        </w:tabs>
        <w:ind w:left="993" w:hanging="993"/>
        <w:jc w:val="both"/>
        <w:rPr>
          <w:rFonts w:ascii="Palatino Linotype" w:hAnsi="Palatino Linotype"/>
          <w:sz w:val="22"/>
          <w:szCs w:val="22"/>
          <w:lang w:val="es-EC"/>
        </w:rPr>
      </w:pPr>
    </w:p>
    <w:p w:rsidR="00CD2634" w:rsidRPr="003222A7" w:rsidRDefault="00CD2634" w:rsidP="00CD2634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  <w:lang w:val="es-EC"/>
        </w:rPr>
      </w:pPr>
      <w:r w:rsidRPr="003222A7">
        <w:rPr>
          <w:rFonts w:ascii="Palatino Linotype" w:hAnsi="Palatino Linotype"/>
          <w:sz w:val="22"/>
          <w:szCs w:val="22"/>
          <w:lang w:val="es-EC"/>
        </w:rPr>
        <w:t xml:space="preserve">El artículo 30 número 4 de la Ley Orgánica de Transporte Terrestre, Tránsito y Seguridad Vial, señala que: </w:t>
      </w:r>
      <w:r w:rsidRPr="003222A7">
        <w:rPr>
          <w:rFonts w:ascii="Palatino Linotype" w:hAnsi="Palatino Linotype"/>
          <w:i/>
          <w:sz w:val="22"/>
          <w:szCs w:val="22"/>
          <w:lang w:val="es-EC"/>
        </w:rPr>
        <w:t>“Los Gobiernos Autónomos Descentralizados Regionales, Metropolitanos y Municipales, en el ámbito de sus competencias en materia de transporte terrestre, tránsito y seguridad vial, en sus respectivas circunscripciones territoriales, tendrán las atribuciones de conformidad a la Ley y a las ordenanzas que expidan para planificar, regular y controlar el tránsito y el transporte, dentro de su jurisdicción, observando las disposiciones de carácter nacional emanadas desde la Agencia Nacional de Regulación y Control del Transporte Terrestre, Tránsito y Seguridad Vial; y deberán informar sobre las regulaciones locales que en materia de control del tránsito y la seguridad vial se vayan a aplicar (…)</w:t>
      </w:r>
      <w:r w:rsidRPr="003222A7">
        <w:rPr>
          <w:rFonts w:ascii="Palatino Linotype" w:hAnsi="Palatino Linotype"/>
          <w:sz w:val="22"/>
          <w:szCs w:val="22"/>
          <w:lang w:val="es-EC"/>
        </w:rPr>
        <w:t>.</w:t>
      </w:r>
    </w:p>
    <w:p w:rsidR="003039A5" w:rsidRDefault="003039A5">
      <w:pPr>
        <w:spacing w:after="160" w:line="259" w:lineRule="auto"/>
        <w:rPr>
          <w:rFonts w:ascii="Palatino Linotype" w:hAnsi="Palatino Linotype"/>
          <w:i/>
          <w:sz w:val="22"/>
          <w:szCs w:val="22"/>
        </w:rPr>
      </w:pPr>
    </w:p>
    <w:p w:rsidR="00CD2634" w:rsidRPr="003222A7" w:rsidRDefault="00CD2634" w:rsidP="00CD2634">
      <w:pPr>
        <w:pStyle w:val="Prrafodelista"/>
        <w:numPr>
          <w:ilvl w:val="0"/>
          <w:numId w:val="2"/>
        </w:numPr>
        <w:tabs>
          <w:tab w:val="left" w:pos="1080"/>
        </w:tabs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CONCLUSIONES Y RECOMENDACIONES:</w:t>
      </w:r>
    </w:p>
    <w:p w:rsidR="00CD2634" w:rsidRPr="003B0EF5" w:rsidRDefault="00CD2634" w:rsidP="00CD2634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10"/>
          <w:szCs w:val="10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En el marco de sus competencias, la </w:t>
      </w:r>
      <w:r w:rsidR="00CC53BF">
        <w:rPr>
          <w:rFonts w:ascii="Palatino Linotype" w:hAnsi="Palatino Linotype"/>
          <w:sz w:val="22"/>
          <w:szCs w:val="22"/>
        </w:rPr>
        <w:t>C</w:t>
      </w:r>
      <w:r w:rsidRPr="003222A7">
        <w:rPr>
          <w:rFonts w:ascii="Palatino Linotype" w:hAnsi="Palatino Linotype"/>
          <w:sz w:val="22"/>
          <w:szCs w:val="22"/>
        </w:rPr>
        <w:t xml:space="preserve">omisión de </w:t>
      </w:r>
      <w:r w:rsidR="00DB08EB">
        <w:rPr>
          <w:rFonts w:ascii="Palatino Linotype" w:hAnsi="Palatino Linotype"/>
          <w:sz w:val="22"/>
          <w:szCs w:val="22"/>
        </w:rPr>
        <w:t>Planificación Estratégica</w:t>
      </w:r>
      <w:r w:rsidRPr="003222A7">
        <w:rPr>
          <w:rFonts w:ascii="Palatino Linotype" w:hAnsi="Palatino Linotype"/>
          <w:sz w:val="22"/>
          <w:szCs w:val="22"/>
        </w:rPr>
        <w:t xml:space="preserve">, aprobó el proyecto de </w:t>
      </w:r>
      <w:r w:rsidR="003E3A14" w:rsidRPr="003E3A14">
        <w:rPr>
          <w:rFonts w:ascii="Palatino Linotype" w:hAnsi="Palatino Linotype"/>
          <w:sz w:val="22"/>
          <w:szCs w:val="22"/>
        </w:rPr>
        <w:t>“</w:t>
      </w:r>
      <w:r w:rsidR="00367D6B" w:rsidRPr="00DB08EB">
        <w:rPr>
          <w:rFonts w:ascii="Palatino Linotype" w:hAnsi="Palatino Linotype"/>
          <w:i/>
          <w:sz w:val="22"/>
          <w:szCs w:val="22"/>
        </w:rPr>
        <w:t xml:space="preserve">Ordenanza que determina el procedimiento parlamentario para el desarrollo y organización de las sesiones y los debates, el funcionamiento del ejercicio de la facultad legislativa, las sesiones virtuales, el </w:t>
      </w:r>
      <w:r w:rsidR="00367D6B">
        <w:rPr>
          <w:rFonts w:ascii="Palatino Linotype" w:hAnsi="Palatino Linotype"/>
          <w:i/>
          <w:sz w:val="22"/>
          <w:szCs w:val="22"/>
        </w:rPr>
        <w:t>C</w:t>
      </w:r>
      <w:r w:rsidR="00367D6B" w:rsidRPr="00DB08EB">
        <w:rPr>
          <w:rFonts w:ascii="Palatino Linotype" w:hAnsi="Palatino Linotype"/>
          <w:i/>
          <w:sz w:val="22"/>
          <w:szCs w:val="22"/>
        </w:rPr>
        <w:t xml:space="preserve">ódigo de </w:t>
      </w:r>
      <w:r w:rsidR="00367D6B">
        <w:rPr>
          <w:rFonts w:ascii="Palatino Linotype" w:hAnsi="Palatino Linotype"/>
          <w:i/>
          <w:sz w:val="22"/>
          <w:szCs w:val="22"/>
        </w:rPr>
        <w:t>É</w:t>
      </w:r>
      <w:r w:rsidR="00367D6B" w:rsidRPr="00DB08EB">
        <w:rPr>
          <w:rFonts w:ascii="Palatino Linotype" w:hAnsi="Palatino Linotype"/>
          <w:i/>
          <w:sz w:val="22"/>
          <w:szCs w:val="22"/>
        </w:rPr>
        <w:t xml:space="preserve">tica en el </w:t>
      </w:r>
      <w:r w:rsidR="00367D6B">
        <w:rPr>
          <w:rFonts w:ascii="Palatino Linotype" w:hAnsi="Palatino Linotype"/>
          <w:i/>
          <w:sz w:val="22"/>
          <w:szCs w:val="22"/>
        </w:rPr>
        <w:t>C</w:t>
      </w:r>
      <w:r w:rsidR="00367D6B" w:rsidRPr="00DB08EB">
        <w:rPr>
          <w:rFonts w:ascii="Palatino Linotype" w:hAnsi="Palatino Linotype"/>
          <w:i/>
          <w:sz w:val="22"/>
          <w:szCs w:val="22"/>
        </w:rPr>
        <w:t xml:space="preserve">oncejo </w:t>
      </w:r>
      <w:r w:rsidR="00367D6B">
        <w:rPr>
          <w:rFonts w:ascii="Palatino Linotype" w:hAnsi="Palatino Linotype"/>
          <w:i/>
          <w:sz w:val="22"/>
          <w:szCs w:val="22"/>
        </w:rPr>
        <w:t>M</w:t>
      </w:r>
      <w:r w:rsidR="00367D6B" w:rsidRPr="00DB08EB">
        <w:rPr>
          <w:rFonts w:ascii="Palatino Linotype" w:hAnsi="Palatino Linotype"/>
          <w:i/>
          <w:sz w:val="22"/>
          <w:szCs w:val="22"/>
        </w:rPr>
        <w:t xml:space="preserve">etropolitano de </w:t>
      </w:r>
      <w:r w:rsidR="00367D6B">
        <w:rPr>
          <w:rFonts w:ascii="Palatino Linotype" w:hAnsi="Palatino Linotype"/>
          <w:i/>
          <w:sz w:val="22"/>
          <w:szCs w:val="22"/>
        </w:rPr>
        <w:t>Q</w:t>
      </w:r>
      <w:r w:rsidR="00367D6B" w:rsidRPr="00DB08EB">
        <w:rPr>
          <w:rFonts w:ascii="Palatino Linotype" w:hAnsi="Palatino Linotype"/>
          <w:i/>
          <w:sz w:val="22"/>
          <w:szCs w:val="22"/>
        </w:rPr>
        <w:t>uito; y su coordinación con el órgano ejecutivo</w:t>
      </w:r>
      <w:r w:rsidR="003E3A14">
        <w:rPr>
          <w:rStyle w:val="nfasis"/>
        </w:rPr>
        <w:t>”</w:t>
      </w:r>
      <w:r w:rsidRPr="003222A7">
        <w:rPr>
          <w:rFonts w:ascii="Palatino Linotype" w:hAnsi="Palatino Linotype"/>
          <w:sz w:val="22"/>
          <w:szCs w:val="22"/>
        </w:rPr>
        <w:t xml:space="preserve">, con las modificaciones e incorporaciones que consideró pertinentes. </w:t>
      </w: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Default="003039A5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En virtud de lo anterior, la </w:t>
      </w:r>
      <w:r w:rsidR="00CC53BF">
        <w:rPr>
          <w:rFonts w:ascii="Palatino Linotype" w:hAnsi="Palatino Linotype"/>
          <w:sz w:val="22"/>
          <w:szCs w:val="22"/>
        </w:rPr>
        <w:t>C</w:t>
      </w:r>
      <w:r w:rsidR="00CD2634" w:rsidRPr="003222A7">
        <w:rPr>
          <w:rFonts w:ascii="Palatino Linotype" w:hAnsi="Palatino Linotype"/>
          <w:sz w:val="22"/>
          <w:szCs w:val="22"/>
        </w:rPr>
        <w:t xml:space="preserve">omisión de </w:t>
      </w:r>
      <w:r w:rsidR="00571090">
        <w:rPr>
          <w:rFonts w:ascii="Palatino Linotype" w:hAnsi="Palatino Linotype"/>
          <w:sz w:val="22"/>
          <w:szCs w:val="22"/>
        </w:rPr>
        <w:t xml:space="preserve">Planificación Estratégica </w:t>
      </w:r>
      <w:r w:rsidR="00CD2634" w:rsidRPr="003222A7">
        <w:rPr>
          <w:rFonts w:ascii="Palatino Linotype" w:hAnsi="Palatino Linotype"/>
          <w:sz w:val="22"/>
          <w:szCs w:val="22"/>
        </w:rPr>
        <w:t xml:space="preserve"> recomienda que el referido proyecto de ordenanza sea conocido en </w:t>
      </w:r>
      <w:r w:rsidR="00A75569">
        <w:rPr>
          <w:rFonts w:ascii="Palatino Linotype" w:hAnsi="Palatino Linotype"/>
          <w:sz w:val="22"/>
          <w:szCs w:val="22"/>
        </w:rPr>
        <w:t>primer</w:t>
      </w:r>
      <w:r>
        <w:rPr>
          <w:rFonts w:ascii="Palatino Linotype" w:hAnsi="Palatino Linotype"/>
          <w:sz w:val="22"/>
          <w:szCs w:val="22"/>
        </w:rPr>
        <w:t xml:space="preserve"> d</w:t>
      </w:r>
      <w:r w:rsidR="00CD2634" w:rsidRPr="003222A7">
        <w:rPr>
          <w:rFonts w:ascii="Palatino Linotype" w:hAnsi="Palatino Linotype"/>
          <w:sz w:val="22"/>
          <w:szCs w:val="22"/>
        </w:rPr>
        <w:t>ebate por el Concejo Metropolitano.</w:t>
      </w:r>
    </w:p>
    <w:p w:rsidR="00A75569" w:rsidRPr="003222A7" w:rsidRDefault="00A75569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Default="00CD2634" w:rsidP="00CD2634">
      <w:pPr>
        <w:pStyle w:val="Prrafodelista"/>
        <w:numPr>
          <w:ilvl w:val="0"/>
          <w:numId w:val="2"/>
        </w:numPr>
        <w:tabs>
          <w:tab w:val="left" w:pos="1080"/>
        </w:tabs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DICTAMEN DE LA COMISIÓN:</w:t>
      </w:r>
    </w:p>
    <w:p w:rsidR="003039A5" w:rsidRPr="003B0EF5" w:rsidRDefault="003039A5" w:rsidP="003039A5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10"/>
          <w:szCs w:val="10"/>
        </w:rPr>
      </w:pPr>
    </w:p>
    <w:p w:rsidR="0008161B" w:rsidRPr="003222A7" w:rsidRDefault="0008161B" w:rsidP="0008161B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222A7">
        <w:rPr>
          <w:rFonts w:ascii="Palatino Linotype" w:hAnsi="Palatino Linotype" w:cs="Arial"/>
          <w:sz w:val="22"/>
          <w:szCs w:val="22"/>
        </w:rPr>
        <w:lastRenderedPageBreak/>
        <w:t xml:space="preserve">La Comisión de </w:t>
      </w:r>
      <w:r w:rsidR="000E2F92">
        <w:rPr>
          <w:rFonts w:ascii="Palatino Linotype" w:hAnsi="Palatino Linotype" w:cs="Arial"/>
          <w:sz w:val="22"/>
          <w:szCs w:val="22"/>
        </w:rPr>
        <w:t>Planificación Estratégica</w:t>
      </w:r>
      <w:r>
        <w:rPr>
          <w:rFonts w:ascii="Palatino Linotype" w:hAnsi="Palatino Linotype" w:cs="Arial"/>
          <w:sz w:val="22"/>
          <w:szCs w:val="22"/>
        </w:rPr>
        <w:t>,</w:t>
      </w:r>
      <w:r w:rsidRPr="003222A7">
        <w:rPr>
          <w:rFonts w:ascii="Palatino Linotype" w:hAnsi="Palatino Linotype" w:cs="Arial"/>
          <w:sz w:val="22"/>
          <w:szCs w:val="22"/>
        </w:rPr>
        <w:t xml:space="preserve"> en Sesión Nro. 0</w:t>
      </w:r>
      <w:r w:rsidR="00B377D2">
        <w:rPr>
          <w:rFonts w:ascii="Palatino Linotype" w:hAnsi="Palatino Linotype" w:cs="Arial"/>
          <w:sz w:val="22"/>
          <w:szCs w:val="22"/>
        </w:rPr>
        <w:t>2</w:t>
      </w:r>
      <w:r w:rsidR="00571090">
        <w:rPr>
          <w:rFonts w:ascii="Palatino Linotype" w:hAnsi="Palatino Linotype" w:cs="Arial"/>
          <w:sz w:val="22"/>
          <w:szCs w:val="22"/>
        </w:rPr>
        <w:t>8</w:t>
      </w:r>
      <w:r w:rsidRPr="003222A7">
        <w:rPr>
          <w:rFonts w:ascii="Palatino Linotype" w:hAnsi="Palatino Linotype" w:cs="Arial"/>
          <w:sz w:val="22"/>
          <w:szCs w:val="22"/>
        </w:rPr>
        <w:t xml:space="preserve"> - Ordinaria del </w:t>
      </w:r>
      <w:r w:rsidR="00B377D2">
        <w:rPr>
          <w:rFonts w:ascii="Palatino Linotype" w:hAnsi="Palatino Linotype" w:cs="Arial"/>
          <w:sz w:val="22"/>
          <w:szCs w:val="22"/>
        </w:rPr>
        <w:t>2</w:t>
      </w:r>
      <w:r w:rsidR="00571090">
        <w:rPr>
          <w:rFonts w:ascii="Palatino Linotype" w:hAnsi="Palatino Linotype" w:cs="Arial"/>
          <w:sz w:val="22"/>
          <w:szCs w:val="22"/>
        </w:rPr>
        <w:t>3</w:t>
      </w:r>
      <w:r w:rsidR="003E3A14">
        <w:rPr>
          <w:rFonts w:ascii="Palatino Linotype" w:hAnsi="Palatino Linotype" w:cs="Arial"/>
          <w:sz w:val="22"/>
          <w:szCs w:val="22"/>
        </w:rPr>
        <w:t xml:space="preserve"> de </w:t>
      </w:r>
      <w:r w:rsidR="000E2F92">
        <w:rPr>
          <w:rFonts w:ascii="Palatino Linotype" w:hAnsi="Palatino Linotype" w:cs="Arial"/>
          <w:sz w:val="22"/>
          <w:szCs w:val="22"/>
        </w:rPr>
        <w:t>noviembre</w:t>
      </w:r>
      <w:r w:rsidRPr="003222A7">
        <w:rPr>
          <w:rFonts w:ascii="Palatino Linotype" w:hAnsi="Palatino Linotype" w:cs="Arial"/>
          <w:sz w:val="22"/>
          <w:szCs w:val="22"/>
        </w:rPr>
        <w:t xml:space="preserve"> de 20</w:t>
      </w:r>
      <w:r w:rsidR="00B377D2">
        <w:rPr>
          <w:rFonts w:ascii="Palatino Linotype" w:hAnsi="Palatino Linotype" w:cs="Arial"/>
          <w:sz w:val="22"/>
          <w:szCs w:val="22"/>
        </w:rPr>
        <w:t>20</w:t>
      </w:r>
      <w:r w:rsidRPr="003222A7">
        <w:rPr>
          <w:rFonts w:ascii="Palatino Linotype" w:hAnsi="Palatino Linotype" w:cs="Arial"/>
          <w:sz w:val="22"/>
          <w:szCs w:val="22"/>
        </w:rPr>
        <w:t xml:space="preserve">, luego de analizar la documentación que reposa en el expediente, el texto del proyecto de ordenanza y tras haber </w:t>
      </w:r>
      <w:r w:rsidR="00E75C79">
        <w:rPr>
          <w:rFonts w:ascii="Palatino Linotype" w:hAnsi="Palatino Linotype" w:cs="Arial"/>
          <w:sz w:val="22"/>
          <w:szCs w:val="22"/>
        </w:rPr>
        <w:t>procesado en las diferentes mesas de trabajo y sesiones de la Comisión</w:t>
      </w:r>
      <w:r w:rsidRPr="003222A7">
        <w:rPr>
          <w:rFonts w:ascii="Palatino Linotype" w:hAnsi="Palatino Linotype" w:cs="Arial"/>
          <w:sz w:val="22"/>
          <w:szCs w:val="22"/>
        </w:rPr>
        <w:t xml:space="preserve"> las observaciones que consideró pertinentes</w:t>
      </w:r>
      <w:r>
        <w:rPr>
          <w:rFonts w:ascii="Palatino Linotype" w:hAnsi="Palatino Linotype" w:cs="Arial"/>
          <w:sz w:val="22"/>
          <w:szCs w:val="22"/>
        </w:rPr>
        <w:t xml:space="preserve">, </w:t>
      </w:r>
      <w:r w:rsidRPr="003222A7">
        <w:rPr>
          <w:rFonts w:ascii="Palatino Linotype" w:hAnsi="Palatino Linotype" w:cs="Arial"/>
          <w:sz w:val="22"/>
          <w:szCs w:val="22"/>
        </w:rPr>
        <w:t>amparada en los artículos 8</w:t>
      </w:r>
      <w:r w:rsidRPr="003222A7">
        <w:rPr>
          <w:rFonts w:ascii="Palatino Linotype" w:eastAsiaTheme="minorHAnsi" w:hAnsi="Palatino Linotype"/>
          <w:sz w:val="22"/>
          <w:szCs w:val="22"/>
          <w:lang w:val="es-EC" w:eastAsia="en-US"/>
        </w:rPr>
        <w:t>7 literales a) y x) del Código Orgánico de Organización Territorial, Autonomía  y  Descentralización</w:t>
      </w:r>
      <w:r w:rsidRPr="003222A7">
        <w:rPr>
          <w:rFonts w:ascii="Palatino Linotype" w:hAnsi="Palatino Linotype" w:cs="Arial"/>
          <w:sz w:val="22"/>
          <w:szCs w:val="22"/>
        </w:rPr>
        <w:t>; e, I.1.32  del Código Municipal</w:t>
      </w:r>
      <w:r w:rsidRPr="008A4BAE">
        <w:rPr>
          <w:rFonts w:ascii="Palatino Linotype" w:hAnsi="Palatino Linotype" w:cs="Arial"/>
          <w:sz w:val="22"/>
          <w:szCs w:val="22"/>
        </w:rPr>
        <w:t>, emite</w:t>
      </w:r>
      <w:r w:rsidRPr="003222A7">
        <w:rPr>
          <w:rFonts w:ascii="Palatino Linotype" w:hAnsi="Palatino Linotype" w:cs="Arial"/>
          <w:b/>
          <w:sz w:val="22"/>
          <w:szCs w:val="22"/>
        </w:rPr>
        <w:t xml:space="preserve"> DICTAMEN FAVORABLE </w:t>
      </w:r>
      <w:r w:rsidRPr="003222A7">
        <w:rPr>
          <w:rFonts w:ascii="Palatino Linotype" w:hAnsi="Palatino Linotype" w:cs="Arial"/>
          <w:sz w:val="22"/>
          <w:szCs w:val="22"/>
        </w:rPr>
        <w:t xml:space="preserve">para que el Concejo Metropolitano conozca en </w:t>
      </w:r>
      <w:r w:rsidRPr="003222A7">
        <w:rPr>
          <w:rFonts w:ascii="Palatino Linotype" w:hAnsi="Palatino Linotype" w:cs="Arial"/>
          <w:b/>
          <w:sz w:val="22"/>
          <w:szCs w:val="22"/>
        </w:rPr>
        <w:t>PRIMER DEBATE</w:t>
      </w:r>
      <w:r w:rsidRPr="003222A7">
        <w:rPr>
          <w:rFonts w:ascii="Palatino Linotype" w:hAnsi="Palatino Linotype" w:cs="Arial"/>
          <w:sz w:val="22"/>
          <w:szCs w:val="22"/>
        </w:rPr>
        <w:t xml:space="preserve"> el </w:t>
      </w:r>
      <w:r w:rsidRPr="003222A7">
        <w:rPr>
          <w:rFonts w:ascii="Palatino Linotype" w:hAnsi="Palatino Linotype"/>
          <w:sz w:val="22"/>
          <w:szCs w:val="22"/>
        </w:rPr>
        <w:t xml:space="preserve">proyecto de </w:t>
      </w:r>
      <w:r w:rsidR="00E75C79">
        <w:rPr>
          <w:rFonts w:ascii="Palatino Linotype" w:hAnsi="Palatino Linotype"/>
          <w:sz w:val="22"/>
          <w:szCs w:val="22"/>
        </w:rPr>
        <w:t>“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Ordenanza que determina el procedimiento parlamentario para el desarrollo y organización de las sesiones y los debates, el funcionamiento del ejercicio de la facultad legislativa, las sesiones virtuales, el </w:t>
      </w:r>
      <w:r w:rsidR="00DB08EB">
        <w:rPr>
          <w:rFonts w:ascii="Palatino Linotype" w:hAnsi="Palatino Linotype"/>
          <w:i/>
          <w:sz w:val="22"/>
          <w:szCs w:val="22"/>
        </w:rPr>
        <w:t>C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ódigo de </w:t>
      </w:r>
      <w:r w:rsidR="00DB08EB">
        <w:rPr>
          <w:rFonts w:ascii="Palatino Linotype" w:hAnsi="Palatino Linotype"/>
          <w:i/>
          <w:sz w:val="22"/>
          <w:szCs w:val="22"/>
        </w:rPr>
        <w:t>É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tica en el </w:t>
      </w:r>
      <w:r w:rsidR="00DB08EB">
        <w:rPr>
          <w:rFonts w:ascii="Palatino Linotype" w:hAnsi="Palatino Linotype"/>
          <w:i/>
          <w:sz w:val="22"/>
          <w:szCs w:val="22"/>
        </w:rPr>
        <w:t>C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oncejo </w:t>
      </w:r>
      <w:r w:rsidR="00DB08EB">
        <w:rPr>
          <w:rFonts w:ascii="Palatino Linotype" w:hAnsi="Palatino Linotype"/>
          <w:i/>
          <w:sz w:val="22"/>
          <w:szCs w:val="22"/>
        </w:rPr>
        <w:t>M</w:t>
      </w:r>
      <w:r w:rsidR="00DB08EB" w:rsidRPr="00DB08EB">
        <w:rPr>
          <w:rFonts w:ascii="Palatino Linotype" w:hAnsi="Palatino Linotype"/>
          <w:i/>
          <w:sz w:val="22"/>
          <w:szCs w:val="22"/>
        </w:rPr>
        <w:t xml:space="preserve">etropolitano de </w:t>
      </w:r>
      <w:r w:rsidR="00DB08EB">
        <w:rPr>
          <w:rFonts w:ascii="Palatino Linotype" w:hAnsi="Palatino Linotype"/>
          <w:i/>
          <w:sz w:val="22"/>
          <w:szCs w:val="22"/>
        </w:rPr>
        <w:t>Q</w:t>
      </w:r>
      <w:r w:rsidR="00DB08EB" w:rsidRPr="00DB08EB">
        <w:rPr>
          <w:rFonts w:ascii="Palatino Linotype" w:hAnsi="Palatino Linotype"/>
          <w:i/>
          <w:sz w:val="22"/>
          <w:szCs w:val="22"/>
        </w:rPr>
        <w:t>uito; y su coordinación con el órgano ejecutivo</w:t>
      </w:r>
      <w:r w:rsidR="003E3A14">
        <w:rPr>
          <w:rStyle w:val="nfasis"/>
        </w:rPr>
        <w:t>”</w:t>
      </w:r>
      <w:r w:rsidR="00632821">
        <w:rPr>
          <w:rFonts w:ascii="Palatino Linotype" w:hAnsi="Palatino Linotype"/>
          <w:i/>
          <w:sz w:val="22"/>
          <w:szCs w:val="22"/>
        </w:rPr>
        <w:t xml:space="preserve">, </w:t>
      </w:r>
      <w:r w:rsidR="00E75C79" w:rsidRPr="00E75C79">
        <w:rPr>
          <w:rFonts w:ascii="Palatino Linotype" w:hAnsi="Palatino Linotype" w:cstheme="minorHAnsi"/>
          <w:sz w:val="22"/>
          <w:szCs w:val="22"/>
        </w:rPr>
        <w:t>junto con el texto del proyecto de ordenanza con las observaciones dadas en la sesión</w:t>
      </w:r>
      <w:r w:rsidRPr="003222A7">
        <w:rPr>
          <w:rFonts w:ascii="Palatino Linotype" w:hAnsi="Palatino Linotype" w:cstheme="minorHAnsi"/>
          <w:sz w:val="22"/>
          <w:szCs w:val="22"/>
        </w:rPr>
        <w:t>.</w:t>
      </w:r>
    </w:p>
    <w:p w:rsidR="00CD2634" w:rsidRPr="003222A7" w:rsidRDefault="00CD2634" w:rsidP="00CD2634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:rsidR="00CD2634" w:rsidRPr="003222A7" w:rsidRDefault="00CD2634" w:rsidP="00CD2634">
      <w:pPr>
        <w:pStyle w:val="Prrafodelista"/>
        <w:numPr>
          <w:ilvl w:val="0"/>
          <w:numId w:val="2"/>
        </w:numPr>
        <w:tabs>
          <w:tab w:val="left" w:pos="1080"/>
        </w:tabs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SUSCRIPCIÓN DEL INFORME:</w:t>
      </w:r>
    </w:p>
    <w:p w:rsidR="00CD2634" w:rsidRPr="003B0EF5" w:rsidRDefault="00CD2634" w:rsidP="00CD2634">
      <w:pPr>
        <w:tabs>
          <w:tab w:val="left" w:pos="1080"/>
        </w:tabs>
        <w:ind w:hanging="12"/>
        <w:jc w:val="both"/>
        <w:rPr>
          <w:rFonts w:ascii="Palatino Linotype" w:hAnsi="Palatino Linotype"/>
          <w:b/>
          <w:sz w:val="10"/>
          <w:szCs w:val="10"/>
        </w:rPr>
      </w:pPr>
    </w:p>
    <w:p w:rsidR="00CD2634" w:rsidRPr="003222A7" w:rsidRDefault="00CC53BF" w:rsidP="00CD263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Los miembros de la C</w:t>
      </w:r>
      <w:r w:rsidR="00CD2634" w:rsidRPr="003222A7">
        <w:rPr>
          <w:rFonts w:ascii="Palatino Linotype" w:hAnsi="Palatino Linotype"/>
          <w:sz w:val="22"/>
          <w:szCs w:val="22"/>
        </w:rPr>
        <w:t xml:space="preserve">omisión de </w:t>
      </w:r>
      <w:r w:rsidR="00571090">
        <w:rPr>
          <w:rFonts w:ascii="Palatino Linotype" w:hAnsi="Palatino Linotype"/>
          <w:sz w:val="22"/>
          <w:szCs w:val="22"/>
        </w:rPr>
        <w:t xml:space="preserve">Planificación Estratégica </w:t>
      </w:r>
      <w:r w:rsidR="00CD2634" w:rsidRPr="003222A7">
        <w:rPr>
          <w:rFonts w:ascii="Palatino Linotype" w:hAnsi="Palatino Linotype"/>
          <w:sz w:val="22"/>
          <w:szCs w:val="22"/>
        </w:rPr>
        <w:t xml:space="preserve"> abajo firmantes aprueban el día </w:t>
      </w:r>
      <w:r w:rsidR="00B96D95">
        <w:rPr>
          <w:rFonts w:ascii="Palatino Linotype" w:hAnsi="Palatino Linotype"/>
          <w:sz w:val="22"/>
          <w:szCs w:val="22"/>
        </w:rPr>
        <w:t>2</w:t>
      </w:r>
      <w:r w:rsidR="000E2F92">
        <w:rPr>
          <w:rFonts w:ascii="Palatino Linotype" w:hAnsi="Palatino Linotype"/>
          <w:sz w:val="22"/>
          <w:szCs w:val="22"/>
        </w:rPr>
        <w:t>3</w:t>
      </w:r>
      <w:r w:rsidR="003E3A14">
        <w:rPr>
          <w:rFonts w:ascii="Palatino Linotype" w:hAnsi="Palatino Linotype"/>
          <w:sz w:val="22"/>
          <w:szCs w:val="22"/>
        </w:rPr>
        <w:t xml:space="preserve"> </w:t>
      </w:r>
      <w:r w:rsidR="00CD2634" w:rsidRPr="003222A7">
        <w:rPr>
          <w:rFonts w:ascii="Palatino Linotype" w:hAnsi="Palatino Linotype"/>
          <w:sz w:val="22"/>
          <w:szCs w:val="22"/>
        </w:rPr>
        <w:t xml:space="preserve">de </w:t>
      </w:r>
      <w:r w:rsidR="000E2F92">
        <w:rPr>
          <w:rFonts w:ascii="Palatino Linotype" w:hAnsi="Palatino Linotype"/>
          <w:sz w:val="22"/>
          <w:szCs w:val="22"/>
        </w:rPr>
        <w:t>noviembre</w:t>
      </w:r>
      <w:r w:rsidR="00CD2634" w:rsidRPr="003222A7">
        <w:rPr>
          <w:rFonts w:ascii="Palatino Linotype" w:hAnsi="Palatino Linotype"/>
          <w:sz w:val="22"/>
          <w:szCs w:val="22"/>
        </w:rPr>
        <w:t xml:space="preserve"> de 20</w:t>
      </w:r>
      <w:r w:rsidR="00B96D95">
        <w:rPr>
          <w:rFonts w:ascii="Palatino Linotype" w:hAnsi="Palatino Linotype"/>
          <w:sz w:val="22"/>
          <w:szCs w:val="22"/>
        </w:rPr>
        <w:t>20</w:t>
      </w:r>
      <w:r w:rsidR="00CD2634" w:rsidRPr="003222A7">
        <w:rPr>
          <w:rFonts w:ascii="Palatino Linotype" w:hAnsi="Palatino Linotype"/>
          <w:sz w:val="22"/>
          <w:szCs w:val="22"/>
        </w:rPr>
        <w:t xml:space="preserve"> el Informe de la Comisión y el t</w:t>
      </w:r>
      <w:r w:rsidR="001872AE">
        <w:rPr>
          <w:rFonts w:ascii="Palatino Linotype" w:hAnsi="Palatino Linotype"/>
          <w:sz w:val="22"/>
          <w:szCs w:val="22"/>
        </w:rPr>
        <w:t>exto del proyecto de ordenanza,</w:t>
      </w:r>
      <w:r w:rsidR="007769C4">
        <w:rPr>
          <w:rFonts w:ascii="Palatino Linotype" w:hAnsi="Palatino Linotype"/>
          <w:sz w:val="22"/>
          <w:szCs w:val="22"/>
        </w:rPr>
        <w:t xml:space="preserve"> </w:t>
      </w:r>
      <w:r w:rsidR="00CD2634" w:rsidRPr="003222A7">
        <w:rPr>
          <w:rFonts w:ascii="Palatino Linotype" w:hAnsi="Palatino Linotype"/>
          <w:sz w:val="22"/>
          <w:szCs w:val="22"/>
        </w:rPr>
        <w:t>suscribiendo el presente documento por duplicado.</w:t>
      </w:r>
    </w:p>
    <w:p w:rsidR="00CD2634" w:rsidRPr="003222A7" w:rsidRDefault="00CD2634" w:rsidP="00CD2634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CD2634" w:rsidRPr="003222A7" w:rsidTr="00546A9C">
        <w:trPr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34" w:rsidRPr="003222A7" w:rsidRDefault="00CD2634" w:rsidP="00546A9C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CD2634" w:rsidRPr="003222A7" w:rsidRDefault="00CD2634" w:rsidP="00546A9C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3039A5" w:rsidRPr="003222A7" w:rsidRDefault="003039A5" w:rsidP="00546A9C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CD2634" w:rsidRPr="003222A7" w:rsidRDefault="00CD2634" w:rsidP="00546A9C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CD2634" w:rsidRPr="003222A7" w:rsidRDefault="000E2F92" w:rsidP="00546A9C">
            <w:pPr>
              <w:tabs>
                <w:tab w:val="left" w:pos="1080"/>
                <w:tab w:val="center" w:pos="4606"/>
                <w:tab w:val="left" w:pos="6480"/>
              </w:tabs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Sr. Omar Cevallos Patiño</w:t>
            </w:r>
          </w:p>
          <w:p w:rsidR="00CD2634" w:rsidRPr="003222A7" w:rsidRDefault="001872AE" w:rsidP="000E2F92">
            <w:pPr>
              <w:tabs>
                <w:tab w:val="left" w:pos="1080"/>
                <w:tab w:val="center" w:pos="4606"/>
                <w:tab w:val="left" w:pos="6480"/>
              </w:tabs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President</w:t>
            </w:r>
            <w:r w:rsidR="000E2F92">
              <w:rPr>
                <w:rFonts w:ascii="Palatino Linotype" w:hAnsi="Palatino Linotype"/>
                <w:b/>
                <w:bCs/>
                <w:sz w:val="22"/>
                <w:szCs w:val="22"/>
              </w:rPr>
              <w:t>e</w:t>
            </w:r>
            <w:r w:rsidR="00CD2634" w:rsidRPr="003222A7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de la Comisión de </w:t>
            </w:r>
            <w:r w:rsidR="00571090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Planificación Estratégica </w:t>
            </w:r>
          </w:p>
        </w:tc>
      </w:tr>
    </w:tbl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3179FC" w:rsidRPr="003222A7" w:rsidRDefault="003179FC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      </w:t>
      </w:r>
      <w:r w:rsidR="000E2F92">
        <w:rPr>
          <w:rFonts w:ascii="Palatino Linotype" w:hAnsi="Palatino Linotype"/>
          <w:sz w:val="22"/>
          <w:szCs w:val="22"/>
        </w:rPr>
        <w:t>Dr</w:t>
      </w:r>
      <w:r w:rsidR="001872AE">
        <w:rPr>
          <w:rFonts w:ascii="Palatino Linotype" w:hAnsi="Palatino Linotype"/>
          <w:sz w:val="22"/>
          <w:szCs w:val="22"/>
        </w:rPr>
        <w:t xml:space="preserve">. </w:t>
      </w:r>
      <w:r w:rsidR="000E2F92">
        <w:rPr>
          <w:rFonts w:ascii="Palatino Linotype" w:hAnsi="Palatino Linotype"/>
          <w:sz w:val="22"/>
          <w:szCs w:val="22"/>
        </w:rPr>
        <w:t xml:space="preserve">René </w:t>
      </w:r>
      <w:proofErr w:type="spellStart"/>
      <w:r w:rsidR="000E2F92">
        <w:rPr>
          <w:rFonts w:ascii="Palatino Linotype" w:hAnsi="Palatino Linotype"/>
          <w:sz w:val="22"/>
          <w:szCs w:val="22"/>
        </w:rPr>
        <w:t>Bedón</w:t>
      </w:r>
      <w:proofErr w:type="spellEnd"/>
      <w:r w:rsidRPr="003222A7">
        <w:rPr>
          <w:rFonts w:ascii="Palatino Linotype" w:hAnsi="Palatino Linotype"/>
          <w:sz w:val="22"/>
          <w:szCs w:val="22"/>
        </w:rPr>
        <w:tab/>
      </w:r>
      <w:r w:rsidRPr="003222A7">
        <w:rPr>
          <w:rFonts w:ascii="Palatino Linotype" w:hAnsi="Palatino Linotype"/>
          <w:sz w:val="22"/>
          <w:szCs w:val="22"/>
        </w:rPr>
        <w:tab/>
      </w:r>
      <w:r w:rsidRPr="003222A7">
        <w:rPr>
          <w:rFonts w:ascii="Palatino Linotype" w:hAnsi="Palatino Linotype"/>
          <w:sz w:val="22"/>
          <w:szCs w:val="22"/>
        </w:rPr>
        <w:tab/>
      </w:r>
      <w:r w:rsidRPr="003222A7">
        <w:rPr>
          <w:rFonts w:ascii="Palatino Linotype" w:hAnsi="Palatino Linotype"/>
          <w:sz w:val="22"/>
          <w:szCs w:val="22"/>
        </w:rPr>
        <w:tab/>
      </w:r>
      <w:r w:rsidR="000E2F92">
        <w:rPr>
          <w:rFonts w:ascii="Palatino Linotype" w:hAnsi="Palatino Linotype"/>
          <w:sz w:val="22"/>
          <w:szCs w:val="22"/>
        </w:rPr>
        <w:tab/>
        <w:t xml:space="preserve">     </w:t>
      </w:r>
      <w:proofErr w:type="spellStart"/>
      <w:r w:rsidR="000E2F92">
        <w:rPr>
          <w:rFonts w:ascii="Palatino Linotype" w:hAnsi="Palatino Linotype"/>
          <w:sz w:val="22"/>
          <w:szCs w:val="22"/>
        </w:rPr>
        <w:t>Mgs</w:t>
      </w:r>
      <w:proofErr w:type="spellEnd"/>
      <w:r w:rsidR="000E2F92">
        <w:rPr>
          <w:rFonts w:ascii="Palatino Linotype" w:hAnsi="Palatino Linotype"/>
          <w:sz w:val="22"/>
          <w:szCs w:val="22"/>
        </w:rPr>
        <w:t>. Soledad Benítez</w:t>
      </w: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3222A7">
        <w:rPr>
          <w:rFonts w:ascii="Palatino Linotype" w:hAnsi="Palatino Linotype"/>
          <w:b/>
          <w:bCs/>
          <w:sz w:val="22"/>
          <w:szCs w:val="22"/>
        </w:rPr>
        <w:t>Vicepresidente de la Comisión</w:t>
      </w:r>
      <w:r w:rsidR="003E3A14">
        <w:rPr>
          <w:rFonts w:ascii="Palatino Linotype" w:hAnsi="Palatino Linotype"/>
          <w:b/>
          <w:bCs/>
          <w:sz w:val="22"/>
          <w:szCs w:val="22"/>
        </w:rPr>
        <w:t xml:space="preserve">      </w:t>
      </w:r>
      <w:r w:rsidRPr="003222A7">
        <w:rPr>
          <w:rFonts w:ascii="Palatino Linotype" w:hAnsi="Palatino Linotype"/>
          <w:b/>
          <w:bCs/>
          <w:sz w:val="22"/>
          <w:szCs w:val="22"/>
        </w:rPr>
        <w:t xml:space="preserve">                    </w:t>
      </w:r>
      <w:r w:rsidR="00DB08EB">
        <w:rPr>
          <w:rFonts w:ascii="Palatino Linotype" w:hAnsi="Palatino Linotype"/>
          <w:b/>
          <w:bCs/>
          <w:sz w:val="22"/>
          <w:szCs w:val="22"/>
        </w:rPr>
        <w:t xml:space="preserve">    </w:t>
      </w:r>
      <w:r w:rsidR="001872AE">
        <w:rPr>
          <w:rFonts w:ascii="Palatino Linotype" w:hAnsi="Palatino Linotype"/>
          <w:b/>
          <w:bCs/>
          <w:sz w:val="22"/>
          <w:szCs w:val="22"/>
        </w:rPr>
        <w:t xml:space="preserve">  </w:t>
      </w:r>
      <w:bookmarkStart w:id="0" w:name="_GoBack"/>
      <w:bookmarkEnd w:id="0"/>
      <w:r w:rsidRPr="003222A7">
        <w:rPr>
          <w:rFonts w:ascii="Palatino Linotype" w:hAnsi="Palatino Linotype"/>
          <w:b/>
          <w:bCs/>
          <w:sz w:val="22"/>
          <w:szCs w:val="22"/>
        </w:rPr>
        <w:t>Miembro de la Comisió</w:t>
      </w:r>
      <w:r w:rsidRPr="003222A7">
        <w:rPr>
          <w:rFonts w:ascii="Palatino Linotype" w:hAnsi="Palatino Linotype"/>
          <w:b/>
          <w:sz w:val="22"/>
          <w:szCs w:val="22"/>
        </w:rPr>
        <w:t>n</w:t>
      </w: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3222A7">
        <w:rPr>
          <w:rFonts w:ascii="Palatino Linotype" w:hAnsi="Palatino Linotype"/>
          <w:b/>
          <w:bCs/>
          <w:sz w:val="22"/>
          <w:szCs w:val="22"/>
        </w:rPr>
        <w:t xml:space="preserve">                    </w:t>
      </w: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CD2634" w:rsidRDefault="00CD2634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B87C86" w:rsidRDefault="00B87C86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B87C86" w:rsidRDefault="00B87C86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B87C86" w:rsidRPr="003222A7" w:rsidRDefault="00B87C86" w:rsidP="00CD2634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center"/>
        <w:rPr>
          <w:rFonts w:ascii="Palatino Linotype" w:hAnsi="Palatino Linotype"/>
          <w:b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CERTIFICADO DE LA VOTACIÓN:</w:t>
      </w: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>El delegado de la Secretaría General del Conce</w:t>
      </w:r>
      <w:r w:rsidR="004112B2">
        <w:rPr>
          <w:rFonts w:ascii="Palatino Linotype" w:hAnsi="Palatino Linotype"/>
          <w:sz w:val="22"/>
          <w:szCs w:val="22"/>
        </w:rPr>
        <w:t xml:space="preserve">jo Metropolitano de Quito a la </w:t>
      </w:r>
      <w:r w:rsidR="00CC53BF">
        <w:rPr>
          <w:rFonts w:ascii="Palatino Linotype" w:hAnsi="Palatino Linotype"/>
          <w:sz w:val="22"/>
          <w:szCs w:val="22"/>
        </w:rPr>
        <w:t>C</w:t>
      </w:r>
      <w:r w:rsidRPr="003222A7">
        <w:rPr>
          <w:rFonts w:ascii="Palatino Linotype" w:hAnsi="Palatino Linotype"/>
          <w:sz w:val="22"/>
          <w:szCs w:val="22"/>
        </w:rPr>
        <w:t>omisión</w:t>
      </w:r>
      <w:r w:rsidR="004112B2">
        <w:rPr>
          <w:rFonts w:ascii="Palatino Linotype" w:hAnsi="Palatino Linotype"/>
          <w:sz w:val="22"/>
          <w:szCs w:val="22"/>
        </w:rPr>
        <w:t xml:space="preserve"> de </w:t>
      </w:r>
      <w:r w:rsidR="00571090">
        <w:rPr>
          <w:rFonts w:ascii="Palatino Linotype" w:hAnsi="Palatino Linotype"/>
          <w:sz w:val="22"/>
          <w:szCs w:val="22"/>
        </w:rPr>
        <w:t xml:space="preserve">Planificación Estratégica </w:t>
      </w:r>
      <w:r w:rsidR="004112B2">
        <w:rPr>
          <w:rFonts w:ascii="Palatino Linotype" w:hAnsi="Palatino Linotype"/>
          <w:sz w:val="22"/>
          <w:szCs w:val="22"/>
        </w:rPr>
        <w:t xml:space="preserve"> certifica que la c</w:t>
      </w:r>
      <w:r w:rsidRPr="003222A7">
        <w:rPr>
          <w:rFonts w:ascii="Palatino Linotype" w:hAnsi="Palatino Linotype"/>
          <w:sz w:val="22"/>
          <w:szCs w:val="22"/>
        </w:rPr>
        <w:t>omisión aprobó el presente Informe de Comisión y el texto del proyecto de ordenanza; los que fueron conocidos, tratados, debatidos y aprobados</w:t>
      </w:r>
      <w:r w:rsidR="004112B2">
        <w:rPr>
          <w:rFonts w:ascii="Palatino Linotype" w:hAnsi="Palatino Linotype"/>
          <w:sz w:val="22"/>
          <w:szCs w:val="22"/>
        </w:rPr>
        <w:t xml:space="preserve"> en el seno de la c</w:t>
      </w:r>
      <w:r w:rsidRPr="003222A7">
        <w:rPr>
          <w:rFonts w:ascii="Palatino Linotype" w:hAnsi="Palatino Linotype"/>
          <w:sz w:val="22"/>
          <w:szCs w:val="22"/>
        </w:rPr>
        <w:t>omisión en sesión No. 0</w:t>
      </w:r>
      <w:r w:rsidR="000E2F92">
        <w:rPr>
          <w:rFonts w:ascii="Palatino Linotype" w:hAnsi="Palatino Linotype"/>
          <w:sz w:val="22"/>
          <w:szCs w:val="22"/>
        </w:rPr>
        <w:t>2</w:t>
      </w:r>
      <w:r w:rsidR="00367D6B">
        <w:rPr>
          <w:rFonts w:ascii="Palatino Linotype" w:hAnsi="Palatino Linotype"/>
          <w:sz w:val="22"/>
          <w:szCs w:val="22"/>
        </w:rPr>
        <w:t>8</w:t>
      </w:r>
      <w:r w:rsidRPr="003222A7">
        <w:rPr>
          <w:rFonts w:ascii="Palatino Linotype" w:hAnsi="Palatino Linotype"/>
          <w:sz w:val="22"/>
          <w:szCs w:val="22"/>
        </w:rPr>
        <w:t xml:space="preserve"> - </w:t>
      </w:r>
      <w:r w:rsidR="004112B2">
        <w:rPr>
          <w:rFonts w:ascii="Palatino Linotype" w:hAnsi="Palatino Linotype"/>
          <w:sz w:val="22"/>
          <w:szCs w:val="22"/>
        </w:rPr>
        <w:t>o</w:t>
      </w:r>
      <w:r w:rsidRPr="003222A7">
        <w:rPr>
          <w:rFonts w:ascii="Palatino Linotype" w:hAnsi="Palatino Linotype"/>
          <w:sz w:val="22"/>
          <w:szCs w:val="22"/>
        </w:rPr>
        <w:t xml:space="preserve">rdinaria realizada el día </w:t>
      </w:r>
      <w:r w:rsidR="000E2F92">
        <w:rPr>
          <w:rFonts w:ascii="Palatino Linotype" w:hAnsi="Palatino Linotype"/>
          <w:sz w:val="22"/>
          <w:szCs w:val="22"/>
        </w:rPr>
        <w:t>lunes</w:t>
      </w:r>
      <w:r w:rsidR="003E3A14">
        <w:rPr>
          <w:rFonts w:ascii="Palatino Linotype" w:hAnsi="Palatino Linotype"/>
          <w:sz w:val="22"/>
          <w:szCs w:val="22"/>
        </w:rPr>
        <w:t xml:space="preserve"> </w:t>
      </w:r>
      <w:r w:rsidR="000E2F92">
        <w:rPr>
          <w:rFonts w:ascii="Palatino Linotype" w:hAnsi="Palatino Linotype"/>
          <w:sz w:val="22"/>
          <w:szCs w:val="22"/>
        </w:rPr>
        <w:t>2</w:t>
      </w:r>
      <w:r w:rsidR="003E3A14">
        <w:rPr>
          <w:rFonts w:ascii="Palatino Linotype" w:hAnsi="Palatino Linotype"/>
          <w:sz w:val="22"/>
          <w:szCs w:val="22"/>
        </w:rPr>
        <w:t>3 de noviem</w:t>
      </w:r>
      <w:r w:rsidRPr="003222A7">
        <w:rPr>
          <w:rFonts w:ascii="Palatino Linotype" w:hAnsi="Palatino Linotype"/>
          <w:sz w:val="22"/>
          <w:szCs w:val="22"/>
        </w:rPr>
        <w:t>bre de 20</w:t>
      </w:r>
      <w:r w:rsidR="000E2F92">
        <w:rPr>
          <w:rFonts w:ascii="Palatino Linotype" w:hAnsi="Palatino Linotype"/>
          <w:sz w:val="22"/>
          <w:szCs w:val="22"/>
        </w:rPr>
        <w:t>20</w:t>
      </w:r>
      <w:r w:rsidRPr="003222A7">
        <w:rPr>
          <w:rFonts w:ascii="Palatino Linotype" w:hAnsi="Palatino Linotype"/>
          <w:sz w:val="22"/>
          <w:szCs w:val="22"/>
        </w:rPr>
        <w:t>, con la siguiente votación de las y los concejales</w:t>
      </w:r>
      <w:r w:rsidRPr="00B87C86">
        <w:rPr>
          <w:rFonts w:ascii="Palatino Linotype" w:hAnsi="Palatino Linotype"/>
          <w:sz w:val="22"/>
          <w:szCs w:val="22"/>
        </w:rPr>
        <w:t xml:space="preserve">: A FAVOR: </w:t>
      </w:r>
      <w:proofErr w:type="spellStart"/>
      <w:r w:rsidR="00B377D2" w:rsidRPr="00B87C86">
        <w:rPr>
          <w:rFonts w:ascii="Palatino Linotype" w:hAnsi="Palatino Linotype"/>
          <w:sz w:val="22"/>
          <w:szCs w:val="22"/>
        </w:rPr>
        <w:t>Mgs</w:t>
      </w:r>
      <w:proofErr w:type="spellEnd"/>
      <w:r w:rsidR="00B377D2" w:rsidRPr="00B87C86">
        <w:rPr>
          <w:rFonts w:ascii="Palatino Linotype" w:hAnsi="Palatino Linotype"/>
          <w:sz w:val="22"/>
          <w:szCs w:val="22"/>
        </w:rPr>
        <w:t>.</w:t>
      </w:r>
      <w:r w:rsidR="001872AE" w:rsidRPr="00B87C86">
        <w:rPr>
          <w:rFonts w:ascii="Palatino Linotype" w:hAnsi="Palatino Linotype"/>
          <w:sz w:val="22"/>
          <w:szCs w:val="22"/>
        </w:rPr>
        <w:t xml:space="preserve"> </w:t>
      </w:r>
      <w:r w:rsidR="000E2F92">
        <w:rPr>
          <w:rFonts w:ascii="Palatino Linotype" w:hAnsi="Palatino Linotype"/>
          <w:sz w:val="22"/>
          <w:szCs w:val="22"/>
        </w:rPr>
        <w:t>Soledad Benítez,</w:t>
      </w:r>
      <w:r w:rsidR="001872AE" w:rsidRPr="00B87C86">
        <w:rPr>
          <w:rFonts w:ascii="Palatino Linotype" w:hAnsi="Palatino Linotype"/>
          <w:sz w:val="22"/>
          <w:szCs w:val="22"/>
        </w:rPr>
        <w:t xml:space="preserve"> </w:t>
      </w:r>
      <w:r w:rsidR="000E2F92">
        <w:rPr>
          <w:rFonts w:ascii="Palatino Linotype" w:hAnsi="Palatino Linotype"/>
          <w:sz w:val="22"/>
          <w:szCs w:val="22"/>
        </w:rPr>
        <w:t>Dr. René Bedón</w:t>
      </w:r>
      <w:r w:rsidRPr="00B87C86">
        <w:rPr>
          <w:rFonts w:ascii="Palatino Linotype" w:hAnsi="Palatino Linotype"/>
          <w:sz w:val="22"/>
          <w:szCs w:val="22"/>
        </w:rPr>
        <w:t xml:space="preserve"> </w:t>
      </w:r>
      <w:r w:rsidR="000E2F92">
        <w:rPr>
          <w:rFonts w:ascii="Palatino Linotype" w:hAnsi="Palatino Linotype"/>
          <w:sz w:val="22"/>
          <w:szCs w:val="22"/>
        </w:rPr>
        <w:t>y Sr. Omar Cevallos Patiño</w:t>
      </w:r>
      <w:r w:rsidRPr="00B87C86">
        <w:rPr>
          <w:rFonts w:ascii="Palatino Linotype" w:hAnsi="Palatino Linotype"/>
          <w:sz w:val="22"/>
          <w:szCs w:val="22"/>
        </w:rPr>
        <w:t xml:space="preserve">.-  total </w:t>
      </w:r>
      <w:r w:rsidR="000E2F92">
        <w:rPr>
          <w:rFonts w:ascii="Palatino Linotype" w:hAnsi="Palatino Linotype"/>
          <w:sz w:val="22"/>
          <w:szCs w:val="22"/>
        </w:rPr>
        <w:t>tres</w:t>
      </w:r>
      <w:r w:rsidRPr="00B87C86">
        <w:rPr>
          <w:rFonts w:ascii="Palatino Linotype" w:hAnsi="Palatino Linotype"/>
          <w:sz w:val="22"/>
          <w:szCs w:val="22"/>
        </w:rPr>
        <w:t xml:space="preserve"> votos (</w:t>
      </w:r>
      <w:r w:rsidR="001872AE" w:rsidRPr="00B87C86">
        <w:rPr>
          <w:rFonts w:ascii="Palatino Linotype" w:hAnsi="Palatino Linotype"/>
          <w:sz w:val="22"/>
          <w:szCs w:val="22"/>
        </w:rPr>
        <w:t>3</w:t>
      </w:r>
      <w:r w:rsidRPr="00B87C86">
        <w:rPr>
          <w:rFonts w:ascii="Palatino Linotype" w:hAnsi="Palatino Linotype"/>
          <w:sz w:val="22"/>
          <w:szCs w:val="22"/>
        </w:rPr>
        <w:t>); EN CONTRA: total cero (0); ABSTENCIÓN: total cero (0); y, EN BLANCO: total cero (0). CONCEJALES AUSENTES: total</w:t>
      </w:r>
      <w:r w:rsidR="00A27261" w:rsidRPr="00B87C86">
        <w:rPr>
          <w:rFonts w:ascii="Palatino Linotype" w:hAnsi="Palatino Linotype"/>
          <w:sz w:val="22"/>
          <w:szCs w:val="22"/>
        </w:rPr>
        <w:t xml:space="preserve"> </w:t>
      </w:r>
      <w:r w:rsidR="001872AE" w:rsidRPr="00B87C86">
        <w:rPr>
          <w:rFonts w:ascii="Palatino Linotype" w:hAnsi="Palatino Linotype"/>
          <w:sz w:val="22"/>
          <w:szCs w:val="22"/>
        </w:rPr>
        <w:t>cero</w:t>
      </w:r>
      <w:r w:rsidR="00A27261" w:rsidRPr="00B87C86">
        <w:rPr>
          <w:rFonts w:ascii="Palatino Linotype" w:hAnsi="Palatino Linotype"/>
          <w:sz w:val="22"/>
          <w:szCs w:val="22"/>
        </w:rPr>
        <w:t xml:space="preserve"> (</w:t>
      </w:r>
      <w:r w:rsidR="001872AE" w:rsidRPr="00B87C86">
        <w:rPr>
          <w:rFonts w:ascii="Palatino Linotype" w:hAnsi="Palatino Linotype"/>
          <w:sz w:val="22"/>
          <w:szCs w:val="22"/>
        </w:rPr>
        <w:t>0</w:t>
      </w:r>
      <w:r w:rsidRPr="00B87C86">
        <w:rPr>
          <w:rFonts w:ascii="Palatino Linotype" w:hAnsi="Palatino Linotype"/>
          <w:sz w:val="22"/>
          <w:szCs w:val="22"/>
        </w:rPr>
        <w:t>).</w:t>
      </w: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Quito D.M., </w:t>
      </w:r>
      <w:r w:rsidR="001872AE">
        <w:rPr>
          <w:rFonts w:ascii="Palatino Linotype" w:hAnsi="Palatino Linotype"/>
          <w:sz w:val="22"/>
          <w:szCs w:val="22"/>
        </w:rPr>
        <w:t>2</w:t>
      </w:r>
      <w:r w:rsidR="000E2F92">
        <w:rPr>
          <w:rFonts w:ascii="Palatino Linotype" w:hAnsi="Palatino Linotype"/>
          <w:sz w:val="22"/>
          <w:szCs w:val="22"/>
        </w:rPr>
        <w:t>3</w:t>
      </w:r>
      <w:r w:rsidRPr="003222A7">
        <w:rPr>
          <w:rFonts w:ascii="Palatino Linotype" w:hAnsi="Palatino Linotype"/>
          <w:sz w:val="22"/>
          <w:szCs w:val="22"/>
        </w:rPr>
        <w:t xml:space="preserve"> de </w:t>
      </w:r>
      <w:r w:rsidR="000E2F92">
        <w:rPr>
          <w:rFonts w:ascii="Palatino Linotype" w:hAnsi="Palatino Linotype"/>
          <w:sz w:val="22"/>
          <w:szCs w:val="22"/>
        </w:rPr>
        <w:t>noviembre</w:t>
      </w:r>
      <w:r w:rsidRPr="003222A7">
        <w:rPr>
          <w:rFonts w:ascii="Palatino Linotype" w:hAnsi="Palatino Linotype"/>
          <w:sz w:val="22"/>
          <w:szCs w:val="22"/>
        </w:rPr>
        <w:t xml:space="preserve"> de 20</w:t>
      </w:r>
      <w:r w:rsidR="001872AE">
        <w:rPr>
          <w:rFonts w:ascii="Palatino Linotype" w:hAnsi="Palatino Linotype"/>
          <w:sz w:val="22"/>
          <w:szCs w:val="22"/>
        </w:rPr>
        <w:t>20</w:t>
      </w: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Default="00CD2634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4112B2" w:rsidRPr="003222A7" w:rsidRDefault="004112B2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:rsidR="00CD2634" w:rsidRPr="003222A7" w:rsidRDefault="001872AE" w:rsidP="00CD2634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Lic</w:t>
      </w:r>
      <w:r w:rsidR="00CD2634" w:rsidRPr="003222A7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Paúl Carvajal López</w:t>
      </w:r>
    </w:p>
    <w:p w:rsidR="00CD2634" w:rsidRPr="003222A7" w:rsidRDefault="00CD2634" w:rsidP="00CD2634">
      <w:pPr>
        <w:tabs>
          <w:tab w:val="left" w:pos="1080"/>
          <w:tab w:val="center" w:pos="4606"/>
          <w:tab w:val="left" w:pos="6480"/>
        </w:tabs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Delegado de la Secretaría General del Concejo a la Comisión</w:t>
      </w:r>
      <w:r w:rsidRPr="003222A7">
        <w:rPr>
          <w:rFonts w:ascii="Palatino Linotype" w:hAnsi="Palatino Linotype"/>
          <w:b/>
          <w:bCs/>
          <w:sz w:val="22"/>
          <w:szCs w:val="22"/>
        </w:rPr>
        <w:t xml:space="preserve"> de </w:t>
      </w:r>
      <w:r w:rsidR="00571090">
        <w:rPr>
          <w:rFonts w:ascii="Palatino Linotype" w:hAnsi="Palatino Linotype"/>
          <w:b/>
          <w:bCs/>
          <w:sz w:val="22"/>
          <w:szCs w:val="22"/>
        </w:rPr>
        <w:t xml:space="preserve">Planificación Estratégica </w:t>
      </w:r>
      <w:r w:rsidRPr="003222A7">
        <w:rPr>
          <w:rFonts w:ascii="Palatino Linotype" w:hAnsi="Palatino Linotype"/>
          <w:b/>
          <w:sz w:val="22"/>
          <w:szCs w:val="22"/>
        </w:rPr>
        <w:t xml:space="preserve">              </w:t>
      </w:r>
    </w:p>
    <w:p w:rsidR="00CD2634" w:rsidRPr="003222A7" w:rsidRDefault="00CD2634" w:rsidP="00CD2634">
      <w:pPr>
        <w:rPr>
          <w:rFonts w:ascii="Palatino Linotype" w:hAnsi="Palatino Linotype"/>
          <w:sz w:val="22"/>
          <w:szCs w:val="22"/>
        </w:rPr>
      </w:pPr>
    </w:p>
    <w:p w:rsidR="004762B2" w:rsidRDefault="003179FC"/>
    <w:sectPr w:rsidR="004762B2" w:rsidSect="00071532">
      <w:headerReference w:type="default" r:id="rId8"/>
      <w:footerReference w:type="default" r:id="rId9"/>
      <w:pgSz w:w="11906" w:h="16838"/>
      <w:pgMar w:top="2552" w:right="1416" w:bottom="113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9" w:rsidRDefault="003A63F9" w:rsidP="003039A5">
      <w:r>
        <w:separator/>
      </w:r>
    </w:p>
  </w:endnote>
  <w:endnote w:type="continuationSeparator" w:id="0">
    <w:p w:rsidR="003A63F9" w:rsidRDefault="003A63F9" w:rsidP="0030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20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2FF6" w:rsidRDefault="00E81F85" w:rsidP="00CF0CE2">
            <w:pPr>
              <w:pStyle w:val="Piedepgina"/>
              <w:jc w:val="right"/>
            </w:pPr>
            <w:r w:rsidRPr="000467AF">
              <w:rPr>
                <w:rFonts w:ascii="Palatino Linotype" w:hAnsi="Palatino Linotype"/>
                <w:sz w:val="20"/>
                <w:szCs w:val="20"/>
              </w:rPr>
              <w:t xml:space="preserve">Página </w:t>
            </w:r>
            <w:r w:rsidRPr="000467AF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0467AF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0467AF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3179FC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0467AF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0467AF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r w:rsidRPr="000467AF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0467AF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0467AF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3179FC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6</w:t>
            </w:r>
            <w:r w:rsidRPr="000467AF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9" w:rsidRDefault="003A63F9" w:rsidP="003039A5">
      <w:r>
        <w:separator/>
      </w:r>
    </w:p>
  </w:footnote>
  <w:footnote w:type="continuationSeparator" w:id="0">
    <w:p w:rsidR="003A63F9" w:rsidRDefault="003A63F9" w:rsidP="0030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CF" w:rsidRDefault="003179FC" w:rsidP="004B07CF">
    <w:pPr>
      <w:tabs>
        <w:tab w:val="left" w:pos="284"/>
        <w:tab w:val="left" w:pos="1080"/>
      </w:tabs>
      <w:jc w:val="right"/>
      <w:rPr>
        <w:rFonts w:ascii="Palatino Linotype" w:hAnsi="Palatino Linotype"/>
        <w:b/>
        <w:bCs/>
        <w:sz w:val="22"/>
        <w:szCs w:val="22"/>
      </w:rPr>
    </w:pPr>
  </w:p>
  <w:p w:rsidR="004B07CF" w:rsidRDefault="003179FC" w:rsidP="004B07CF">
    <w:pPr>
      <w:tabs>
        <w:tab w:val="left" w:pos="284"/>
        <w:tab w:val="left" w:pos="1080"/>
      </w:tabs>
      <w:jc w:val="right"/>
      <w:rPr>
        <w:rFonts w:ascii="Palatino Linotype" w:hAnsi="Palatino Linotype"/>
        <w:b/>
        <w:bCs/>
        <w:sz w:val="22"/>
        <w:szCs w:val="22"/>
      </w:rPr>
    </w:pPr>
  </w:p>
  <w:p w:rsidR="004B07CF" w:rsidRDefault="003179FC" w:rsidP="004B07CF">
    <w:pPr>
      <w:tabs>
        <w:tab w:val="left" w:pos="284"/>
        <w:tab w:val="left" w:pos="1080"/>
      </w:tabs>
      <w:jc w:val="right"/>
      <w:rPr>
        <w:rFonts w:ascii="Palatino Linotype" w:hAnsi="Palatino Linotype"/>
        <w:b/>
        <w:bCs/>
        <w:sz w:val="22"/>
        <w:szCs w:val="22"/>
      </w:rPr>
    </w:pPr>
  </w:p>
  <w:p w:rsidR="00CF0CE2" w:rsidRDefault="003179FC" w:rsidP="004B07CF">
    <w:pPr>
      <w:tabs>
        <w:tab w:val="left" w:pos="284"/>
        <w:tab w:val="left" w:pos="1080"/>
      </w:tabs>
      <w:jc w:val="right"/>
      <w:rPr>
        <w:rFonts w:ascii="Palatino Linotype" w:hAnsi="Palatino Linotype"/>
        <w:b/>
        <w:bCs/>
        <w:sz w:val="22"/>
        <w:szCs w:val="22"/>
      </w:rPr>
    </w:pPr>
  </w:p>
  <w:p w:rsidR="00CF0CE2" w:rsidRDefault="003179FC" w:rsidP="004B07CF">
    <w:pPr>
      <w:tabs>
        <w:tab w:val="left" w:pos="284"/>
        <w:tab w:val="left" w:pos="1080"/>
      </w:tabs>
      <w:jc w:val="right"/>
      <w:rPr>
        <w:rFonts w:ascii="Palatino Linotype" w:hAnsi="Palatino Linotype"/>
        <w:b/>
        <w:bCs/>
        <w:sz w:val="22"/>
        <w:szCs w:val="22"/>
      </w:rPr>
    </w:pPr>
  </w:p>
  <w:p w:rsidR="004B07CF" w:rsidRPr="001872AE" w:rsidRDefault="003179FC" w:rsidP="004B07CF">
    <w:pPr>
      <w:tabs>
        <w:tab w:val="left" w:pos="284"/>
        <w:tab w:val="left" w:pos="1080"/>
      </w:tabs>
      <w:jc w:val="right"/>
      <w:rPr>
        <w:rFonts w:ascii="Palatino Linotype" w:hAnsi="Palatino Linotype"/>
        <w:b/>
        <w:bCs/>
        <w:sz w:val="22"/>
        <w:szCs w:val="22"/>
      </w:rPr>
    </w:pPr>
  </w:p>
  <w:p w:rsidR="001872AE" w:rsidRPr="001872AE" w:rsidRDefault="001872AE" w:rsidP="002C5886">
    <w:pPr>
      <w:tabs>
        <w:tab w:val="left" w:pos="1080"/>
      </w:tabs>
      <w:jc w:val="center"/>
      <w:rPr>
        <w:rFonts w:ascii="Palatino Linotype" w:hAnsi="Palatino Linotype"/>
        <w:b/>
        <w:sz w:val="22"/>
        <w:szCs w:val="22"/>
      </w:rPr>
    </w:pPr>
    <w:r w:rsidRPr="001872AE">
      <w:rPr>
        <w:rFonts w:ascii="Palatino Linotype" w:hAnsi="Palatino Linotype"/>
        <w:b/>
        <w:sz w:val="22"/>
        <w:szCs w:val="22"/>
      </w:rPr>
      <w:t xml:space="preserve">EJE DE GOBERNABILIDAD E INSTITUCIONALIDAD </w:t>
    </w:r>
  </w:p>
  <w:p w:rsidR="002C5886" w:rsidRPr="002C5886" w:rsidRDefault="002C5886" w:rsidP="002C5886">
    <w:pPr>
      <w:tabs>
        <w:tab w:val="left" w:pos="1080"/>
      </w:tabs>
      <w:jc w:val="center"/>
      <w:rPr>
        <w:rFonts w:ascii="Palatino Linotype" w:hAnsi="Palatino Linotype"/>
        <w:b/>
        <w:sz w:val="22"/>
        <w:szCs w:val="22"/>
      </w:rPr>
    </w:pPr>
    <w:r w:rsidRPr="002C5886">
      <w:rPr>
        <w:rFonts w:ascii="Palatino Linotype" w:hAnsi="Palatino Linotype"/>
        <w:b/>
        <w:sz w:val="22"/>
        <w:szCs w:val="22"/>
      </w:rPr>
      <w:t>COMISIÓN DE PLANIFICACIÓN ESTRATÉGICA</w:t>
    </w:r>
  </w:p>
  <w:p w:rsidR="004B07CF" w:rsidRDefault="003179FC" w:rsidP="004B07CF">
    <w:pPr>
      <w:tabs>
        <w:tab w:val="left" w:pos="284"/>
        <w:tab w:val="left" w:pos="1080"/>
      </w:tabs>
      <w:jc w:val="right"/>
      <w:rPr>
        <w:rFonts w:ascii="Palatino Linotype" w:hAnsi="Palatino Linotype"/>
        <w:b/>
        <w:bCs/>
        <w:sz w:val="22"/>
        <w:szCs w:val="22"/>
      </w:rPr>
    </w:pPr>
  </w:p>
  <w:p w:rsidR="004B07CF" w:rsidRDefault="00E81F85" w:rsidP="004B07CF">
    <w:pPr>
      <w:tabs>
        <w:tab w:val="left" w:pos="284"/>
        <w:tab w:val="left" w:pos="1080"/>
      </w:tabs>
      <w:jc w:val="right"/>
      <w:rPr>
        <w:rFonts w:ascii="Palatino Linotype" w:hAnsi="Palatino Linotype"/>
        <w:b/>
        <w:bCs/>
        <w:sz w:val="22"/>
        <w:szCs w:val="22"/>
      </w:rPr>
    </w:pPr>
    <w:r w:rsidRPr="00196EB8">
      <w:rPr>
        <w:rFonts w:ascii="Palatino Linotype" w:hAnsi="Palatino Linotype"/>
        <w:b/>
        <w:bCs/>
        <w:sz w:val="22"/>
        <w:szCs w:val="22"/>
      </w:rPr>
      <w:t>Informe No.</w:t>
    </w:r>
    <w:r w:rsidRPr="00196EB8">
      <w:rPr>
        <w:rFonts w:ascii="Palatino Linotype" w:hAnsi="Palatino Linotype"/>
        <w:bCs/>
        <w:sz w:val="22"/>
        <w:szCs w:val="22"/>
      </w:rPr>
      <w:t xml:space="preserve"> </w:t>
    </w:r>
    <w:r w:rsidRPr="00196EB8">
      <w:rPr>
        <w:rFonts w:ascii="Palatino Linotype" w:hAnsi="Palatino Linotype"/>
        <w:b/>
        <w:bCs/>
        <w:sz w:val="22"/>
        <w:szCs w:val="22"/>
      </w:rPr>
      <w:t>IC-O-C</w:t>
    </w:r>
    <w:r w:rsidR="002C5886">
      <w:rPr>
        <w:rFonts w:ascii="Palatino Linotype" w:hAnsi="Palatino Linotype"/>
        <w:b/>
        <w:bCs/>
        <w:sz w:val="22"/>
        <w:szCs w:val="22"/>
      </w:rPr>
      <w:t>PE</w:t>
    </w:r>
    <w:r w:rsidRPr="00196EB8">
      <w:rPr>
        <w:rFonts w:ascii="Palatino Linotype" w:hAnsi="Palatino Linotype"/>
        <w:b/>
        <w:bCs/>
        <w:sz w:val="22"/>
        <w:szCs w:val="22"/>
      </w:rPr>
      <w:t>-20</w:t>
    </w:r>
    <w:r w:rsidR="001872AE">
      <w:rPr>
        <w:rFonts w:ascii="Palatino Linotype" w:hAnsi="Palatino Linotype"/>
        <w:b/>
        <w:bCs/>
        <w:sz w:val="22"/>
        <w:szCs w:val="22"/>
      </w:rPr>
      <w:t>20</w:t>
    </w:r>
    <w:r w:rsidRPr="00196EB8">
      <w:rPr>
        <w:rFonts w:ascii="Palatino Linotype" w:hAnsi="Palatino Linotype"/>
        <w:b/>
        <w:bCs/>
        <w:sz w:val="22"/>
        <w:szCs w:val="22"/>
      </w:rPr>
      <w:t>-00</w:t>
    </w:r>
    <w:r w:rsidR="001872AE">
      <w:rPr>
        <w:rFonts w:ascii="Palatino Linotype" w:hAnsi="Palatino Linotype"/>
        <w:b/>
        <w:bCs/>
        <w:sz w:val="22"/>
        <w:szCs w:val="22"/>
      </w:rPr>
      <w:t>1</w:t>
    </w:r>
  </w:p>
  <w:p w:rsidR="00D92FF6" w:rsidRDefault="003179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B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4607BA"/>
    <w:multiLevelType w:val="hybridMultilevel"/>
    <w:tmpl w:val="20F6F2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1C0A"/>
    <w:multiLevelType w:val="multilevel"/>
    <w:tmpl w:val="AF165B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D3E254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7C17F8"/>
    <w:multiLevelType w:val="multilevel"/>
    <w:tmpl w:val="AF165B0A"/>
    <w:numStyleLink w:val="Estilo1"/>
  </w:abstractNum>
  <w:abstractNum w:abstractNumId="5">
    <w:nsid w:val="59A42E23"/>
    <w:multiLevelType w:val="multilevel"/>
    <w:tmpl w:val="AF165B0A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  <w:b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4"/>
    <w:rsid w:val="00015AA2"/>
    <w:rsid w:val="0008161B"/>
    <w:rsid w:val="00085F11"/>
    <w:rsid w:val="000974EB"/>
    <w:rsid w:val="000B0B87"/>
    <w:rsid w:val="000E2F92"/>
    <w:rsid w:val="001872AE"/>
    <w:rsid w:val="001B146C"/>
    <w:rsid w:val="00250953"/>
    <w:rsid w:val="002536AB"/>
    <w:rsid w:val="00255A30"/>
    <w:rsid w:val="0026725A"/>
    <w:rsid w:val="002C5886"/>
    <w:rsid w:val="002D2BBE"/>
    <w:rsid w:val="002D3C5D"/>
    <w:rsid w:val="003039A5"/>
    <w:rsid w:val="003179FC"/>
    <w:rsid w:val="00367D6B"/>
    <w:rsid w:val="003763F2"/>
    <w:rsid w:val="003A63F9"/>
    <w:rsid w:val="003B0EF5"/>
    <w:rsid w:val="003E3A14"/>
    <w:rsid w:val="003F708B"/>
    <w:rsid w:val="004112B2"/>
    <w:rsid w:val="004505C3"/>
    <w:rsid w:val="00463C95"/>
    <w:rsid w:val="00472E33"/>
    <w:rsid w:val="004E0931"/>
    <w:rsid w:val="004F435B"/>
    <w:rsid w:val="00510CD6"/>
    <w:rsid w:val="005427F5"/>
    <w:rsid w:val="005646D5"/>
    <w:rsid w:val="00571090"/>
    <w:rsid w:val="005954D2"/>
    <w:rsid w:val="00632821"/>
    <w:rsid w:val="00644E7D"/>
    <w:rsid w:val="00681398"/>
    <w:rsid w:val="006D2B04"/>
    <w:rsid w:val="006E6839"/>
    <w:rsid w:val="007769C4"/>
    <w:rsid w:val="007C7D1F"/>
    <w:rsid w:val="007F06C7"/>
    <w:rsid w:val="0080628F"/>
    <w:rsid w:val="00843DBF"/>
    <w:rsid w:val="00855AAF"/>
    <w:rsid w:val="008B4FC2"/>
    <w:rsid w:val="009134F3"/>
    <w:rsid w:val="009E12E4"/>
    <w:rsid w:val="00A27261"/>
    <w:rsid w:val="00A75569"/>
    <w:rsid w:val="00A8043E"/>
    <w:rsid w:val="00AA008D"/>
    <w:rsid w:val="00AB1DF4"/>
    <w:rsid w:val="00AC4461"/>
    <w:rsid w:val="00AE1898"/>
    <w:rsid w:val="00AE58E1"/>
    <w:rsid w:val="00B15DCB"/>
    <w:rsid w:val="00B377D2"/>
    <w:rsid w:val="00B87C86"/>
    <w:rsid w:val="00B96D95"/>
    <w:rsid w:val="00BB68A4"/>
    <w:rsid w:val="00C663EE"/>
    <w:rsid w:val="00C8448A"/>
    <w:rsid w:val="00CB1B20"/>
    <w:rsid w:val="00CC53BF"/>
    <w:rsid w:val="00CD2634"/>
    <w:rsid w:val="00D93407"/>
    <w:rsid w:val="00DB08EB"/>
    <w:rsid w:val="00DC690B"/>
    <w:rsid w:val="00E75C79"/>
    <w:rsid w:val="00E77033"/>
    <w:rsid w:val="00E81F85"/>
    <w:rsid w:val="00EF00AE"/>
    <w:rsid w:val="00F345A5"/>
    <w:rsid w:val="00F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6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26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2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2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6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3E3A14"/>
    <w:rPr>
      <w:i/>
      <w:iCs/>
    </w:rPr>
  </w:style>
  <w:style w:type="numbering" w:customStyle="1" w:styleId="Estilo1">
    <w:name w:val="Estilo1"/>
    <w:uiPriority w:val="99"/>
    <w:rsid w:val="000B0B8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6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26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2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2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6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3E3A14"/>
    <w:rPr>
      <w:i/>
      <w:iCs/>
    </w:rPr>
  </w:style>
  <w:style w:type="numbering" w:customStyle="1" w:styleId="Estilo1">
    <w:name w:val="Estilo1"/>
    <w:uiPriority w:val="99"/>
    <w:rsid w:val="000B0B8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1780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Clemente Calderon Ruiz</dc:creator>
  <cp:lastModifiedBy>Igor Pául Carvajal López</cp:lastModifiedBy>
  <cp:revision>14</cp:revision>
  <cp:lastPrinted>2019-09-27T15:50:00Z</cp:lastPrinted>
  <dcterms:created xsi:type="dcterms:W3CDTF">2020-11-23T20:12:00Z</dcterms:created>
  <dcterms:modified xsi:type="dcterms:W3CDTF">2020-12-01T19:55:00Z</dcterms:modified>
</cp:coreProperties>
</file>