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3AC" w:rsidRPr="00DA6F40" w:rsidRDefault="000113AC" w:rsidP="000113AC">
      <w:pPr>
        <w:autoSpaceDE w:val="0"/>
        <w:autoSpaceDN w:val="0"/>
        <w:adjustRightInd w:val="0"/>
        <w:spacing w:line="276" w:lineRule="auto"/>
        <w:jc w:val="center"/>
        <w:rPr>
          <w:rFonts w:ascii="Palatino Linotype" w:eastAsiaTheme="minorHAnsi" w:hAnsi="Palatino Linotype"/>
          <w:b/>
          <w:sz w:val="22"/>
          <w:szCs w:val="22"/>
          <w:lang w:eastAsia="en-US"/>
        </w:rPr>
      </w:pPr>
      <w:r w:rsidRPr="00DA6F40">
        <w:rPr>
          <w:rFonts w:ascii="Palatino Linotype" w:eastAsiaTheme="minorHAnsi" w:hAnsi="Palatino Linotype"/>
          <w:b/>
          <w:sz w:val="22"/>
          <w:szCs w:val="22"/>
          <w:lang w:eastAsia="en-US"/>
        </w:rPr>
        <w:t>EL CONCEJO METROPOLITANO DE QUITO</w:t>
      </w:r>
    </w:p>
    <w:p w:rsidR="000113AC" w:rsidRPr="00DA6F40" w:rsidRDefault="000113AC" w:rsidP="000113AC">
      <w:pPr>
        <w:autoSpaceDE w:val="0"/>
        <w:autoSpaceDN w:val="0"/>
        <w:adjustRightInd w:val="0"/>
        <w:spacing w:line="276" w:lineRule="auto"/>
        <w:jc w:val="center"/>
        <w:rPr>
          <w:rFonts w:ascii="Palatino Linotype" w:eastAsiaTheme="minorHAnsi" w:hAnsi="Palatino Linotype"/>
          <w:b/>
          <w:sz w:val="22"/>
          <w:szCs w:val="22"/>
          <w:lang w:eastAsia="en-US"/>
        </w:rPr>
      </w:pPr>
    </w:p>
    <w:p w:rsidR="000113AC" w:rsidRPr="00DA6F40" w:rsidRDefault="000113AC" w:rsidP="000113AC">
      <w:pPr>
        <w:autoSpaceDE w:val="0"/>
        <w:autoSpaceDN w:val="0"/>
        <w:adjustRightInd w:val="0"/>
        <w:spacing w:line="276" w:lineRule="auto"/>
        <w:jc w:val="center"/>
        <w:rPr>
          <w:rFonts w:ascii="Palatino Linotype" w:eastAsiaTheme="minorHAnsi" w:hAnsi="Palatino Linotype"/>
          <w:b/>
          <w:sz w:val="22"/>
          <w:szCs w:val="22"/>
          <w:lang w:eastAsia="en-US"/>
        </w:rPr>
      </w:pPr>
      <w:r w:rsidRPr="00DA6F40">
        <w:rPr>
          <w:rFonts w:ascii="Palatino Linotype" w:eastAsiaTheme="minorHAnsi" w:hAnsi="Palatino Linotype"/>
          <w:b/>
          <w:sz w:val="22"/>
          <w:szCs w:val="22"/>
          <w:lang w:eastAsia="en-US"/>
        </w:rPr>
        <w:t>CONSIDERANDO:</w:t>
      </w:r>
    </w:p>
    <w:p w:rsidR="000113AC" w:rsidRPr="00DA6F40" w:rsidRDefault="000113AC" w:rsidP="000113AC">
      <w:pPr>
        <w:autoSpaceDE w:val="0"/>
        <w:autoSpaceDN w:val="0"/>
        <w:adjustRightInd w:val="0"/>
        <w:ind w:left="705" w:hanging="705"/>
        <w:jc w:val="both"/>
        <w:rPr>
          <w:rFonts w:ascii="Palatino Linotype" w:eastAsiaTheme="minorHAnsi" w:hAnsi="Palatino Linotype"/>
          <w:i/>
          <w:iCs/>
          <w:sz w:val="22"/>
          <w:szCs w:val="22"/>
          <w:lang w:eastAsia="en-US"/>
        </w:rPr>
      </w:pPr>
      <w:r w:rsidRPr="00DA6F40">
        <w:rPr>
          <w:rFonts w:ascii="Palatino Linotype" w:eastAsiaTheme="minorHAnsi" w:hAnsi="Palatino Linotype"/>
          <w:b/>
          <w:bCs/>
          <w:sz w:val="22"/>
          <w:szCs w:val="22"/>
          <w:lang w:eastAsia="en-US"/>
        </w:rPr>
        <w:t>Que</w:t>
      </w:r>
      <w:r w:rsidRPr="00DA6F40">
        <w:rPr>
          <w:rFonts w:ascii="Palatino Linotype" w:eastAsiaTheme="minorHAnsi" w:hAnsi="Palatino Linotype"/>
          <w:sz w:val="22"/>
          <w:szCs w:val="22"/>
          <w:lang w:eastAsia="en-US"/>
        </w:rPr>
        <w:t xml:space="preserve">, </w:t>
      </w:r>
      <w:r w:rsidRPr="00DA6F40">
        <w:rPr>
          <w:rFonts w:ascii="Palatino Linotype" w:eastAsiaTheme="minorHAnsi" w:hAnsi="Palatino Linotype"/>
          <w:sz w:val="22"/>
          <w:szCs w:val="22"/>
          <w:lang w:eastAsia="en-US"/>
        </w:rPr>
        <w:tab/>
        <w:t xml:space="preserve"> el artículo 240 de la Constitución de República del Ecuador, en adelante Constitución, establece: “</w:t>
      </w:r>
      <w:r w:rsidRPr="00DA6F40">
        <w:rPr>
          <w:rFonts w:ascii="Palatino Linotype" w:eastAsiaTheme="minorHAnsi" w:hAnsi="Palatino Linotype"/>
          <w:i/>
          <w:iCs/>
          <w:sz w:val="22"/>
          <w:szCs w:val="22"/>
          <w:lang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0113AC" w:rsidRPr="00DA6F40"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DA6F40"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DA6F40">
        <w:rPr>
          <w:rFonts w:ascii="Palatino Linotype" w:eastAsiaTheme="minorHAnsi" w:hAnsi="Palatino Linotype"/>
          <w:b/>
          <w:sz w:val="22"/>
          <w:szCs w:val="22"/>
          <w:lang w:eastAsia="en-US"/>
        </w:rPr>
        <w:t>Que,</w:t>
      </w:r>
      <w:r w:rsidRPr="00DA6F40">
        <w:rPr>
          <w:rFonts w:ascii="Palatino Linotype" w:eastAsiaTheme="minorHAnsi" w:hAnsi="Palatino Linotype"/>
          <w:sz w:val="22"/>
          <w:szCs w:val="22"/>
          <w:lang w:eastAsia="en-US"/>
        </w:rPr>
        <w:t xml:space="preserve"> </w:t>
      </w:r>
      <w:r w:rsidRPr="00DA6F40">
        <w:rPr>
          <w:rFonts w:ascii="Palatino Linotype" w:eastAsiaTheme="minorHAnsi" w:hAnsi="Palatino Linotype"/>
          <w:sz w:val="22"/>
          <w:szCs w:val="22"/>
          <w:lang w:eastAsia="en-US"/>
        </w:rPr>
        <w:tab/>
        <w:t xml:space="preserve">la Constitución de la República del Ecuador en su artículo 266, determina: </w:t>
      </w:r>
      <w:r w:rsidRPr="00DA6F40">
        <w:rPr>
          <w:rFonts w:ascii="Palatino Linotype" w:eastAsiaTheme="minorHAnsi" w:hAnsi="Palatino Linotype"/>
          <w:i/>
          <w:sz w:val="22"/>
          <w:szCs w:val="22"/>
          <w:lang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DA6F40">
        <w:rPr>
          <w:rFonts w:ascii="Palatino Linotype" w:eastAsiaTheme="minorHAnsi" w:hAnsi="Palatino Linotype"/>
          <w:sz w:val="22"/>
          <w:szCs w:val="22"/>
          <w:lang w:eastAsia="en-US"/>
        </w:rPr>
        <w:t>;</w:t>
      </w:r>
    </w:p>
    <w:p w:rsidR="000113AC" w:rsidRPr="00DA6F40"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DA6F40" w:rsidRDefault="000113AC" w:rsidP="000113AC">
      <w:pPr>
        <w:autoSpaceDE w:val="0"/>
        <w:autoSpaceDN w:val="0"/>
        <w:adjustRightInd w:val="0"/>
        <w:ind w:left="709" w:hanging="709"/>
        <w:jc w:val="both"/>
        <w:rPr>
          <w:rFonts w:ascii="Palatino Linotype" w:eastAsiaTheme="minorHAnsi" w:hAnsi="Palatino Linotype"/>
          <w:i/>
          <w:sz w:val="22"/>
          <w:szCs w:val="22"/>
          <w:lang w:eastAsia="en-US"/>
        </w:rPr>
      </w:pPr>
      <w:r w:rsidRPr="00DA6F40">
        <w:rPr>
          <w:rFonts w:ascii="Palatino Linotype" w:eastAsiaTheme="minorHAnsi" w:hAnsi="Palatino Linotype"/>
          <w:b/>
          <w:bCs/>
          <w:sz w:val="22"/>
          <w:szCs w:val="22"/>
          <w:lang w:eastAsia="en-US"/>
        </w:rPr>
        <w:t>Que,</w:t>
      </w:r>
      <w:r w:rsidRPr="00DA6F40">
        <w:rPr>
          <w:rFonts w:ascii="Palatino Linotype" w:eastAsiaTheme="minorHAnsi" w:hAnsi="Palatino Linotype"/>
          <w:sz w:val="22"/>
          <w:szCs w:val="22"/>
          <w:lang w:eastAsia="en-US"/>
        </w:rPr>
        <w:t xml:space="preserve"> el literal c) del artículo 84, del Código Orgánico de Organización Territorial, Autonomía y Descentralización, en adelante COOTAD, manifiesta: </w:t>
      </w:r>
      <w:r w:rsidRPr="00DA6F40">
        <w:rPr>
          <w:rFonts w:ascii="Palatino Linotype" w:eastAsiaTheme="minorHAnsi" w:hAnsi="Palatino Linotype"/>
          <w:i/>
          <w:sz w:val="22"/>
          <w:szCs w:val="22"/>
          <w:lang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0113AC" w:rsidRPr="00DA6F40"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DA6F40"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DA6F40">
        <w:rPr>
          <w:rFonts w:ascii="Palatino Linotype" w:eastAsiaTheme="minorHAnsi" w:hAnsi="Palatino Linotype"/>
          <w:b/>
          <w:sz w:val="22"/>
          <w:szCs w:val="22"/>
          <w:lang w:eastAsia="en-US"/>
        </w:rPr>
        <w:t>Que,</w:t>
      </w:r>
      <w:r w:rsidRPr="00DA6F40">
        <w:rPr>
          <w:rFonts w:ascii="Palatino Linotype" w:eastAsiaTheme="minorHAnsi" w:hAnsi="Palatino Linotype"/>
          <w:sz w:val="22"/>
          <w:szCs w:val="22"/>
          <w:lang w:eastAsia="en-US"/>
        </w:rPr>
        <w:t xml:space="preserve"> </w:t>
      </w:r>
      <w:r w:rsidRPr="00DA6F40">
        <w:rPr>
          <w:rFonts w:ascii="Palatino Linotype" w:eastAsiaTheme="minorHAnsi" w:hAnsi="Palatino Linotype"/>
          <w:sz w:val="22"/>
          <w:szCs w:val="22"/>
          <w:lang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rsidR="000113AC" w:rsidRPr="00DA6F40"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DA6F40"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DA6F40">
        <w:rPr>
          <w:rFonts w:ascii="Palatino Linotype" w:eastAsiaTheme="minorHAnsi" w:hAnsi="Palatino Linotype"/>
          <w:b/>
          <w:sz w:val="22"/>
          <w:szCs w:val="22"/>
          <w:lang w:eastAsia="en-US"/>
        </w:rPr>
        <w:t>Que,</w:t>
      </w:r>
      <w:r w:rsidRPr="00DA6F40">
        <w:rPr>
          <w:rFonts w:ascii="Palatino Linotype" w:eastAsiaTheme="minorHAnsi" w:hAnsi="Palatino Linotype"/>
          <w:sz w:val="22"/>
          <w:szCs w:val="22"/>
          <w:lang w:eastAsia="en-US"/>
        </w:rPr>
        <w:t xml:space="preserve"> </w:t>
      </w:r>
      <w:r w:rsidRPr="00DA6F40">
        <w:rPr>
          <w:rFonts w:ascii="Palatino Linotype" w:eastAsiaTheme="minorHAnsi" w:hAnsi="Palatino Linotype"/>
          <w:sz w:val="22"/>
          <w:szCs w:val="22"/>
          <w:lang w:eastAsia="en-US"/>
        </w:rPr>
        <w:tab/>
        <w:t xml:space="preserve">conforme establece el artículo 87, literal v) del COOTAD, al Concejo Metropolitano le corresponde: </w:t>
      </w:r>
      <w:r w:rsidRPr="00DA6F40">
        <w:rPr>
          <w:rFonts w:ascii="Palatino Linotype" w:eastAsiaTheme="minorHAnsi" w:hAnsi="Palatino Linotype"/>
          <w:i/>
          <w:sz w:val="22"/>
          <w:szCs w:val="22"/>
          <w:lang w:eastAsia="en-US"/>
        </w:rPr>
        <w:t>“… v) Regular y controlar el uso del suelo en el territorio del distrito metropolitano, de conformidad con las leyes sobre la materia, y establecer el régimen urbanístico de la tierra”;</w:t>
      </w:r>
      <w:r w:rsidRPr="00DA6F40">
        <w:rPr>
          <w:rFonts w:ascii="Palatino Linotype" w:eastAsiaTheme="minorHAnsi" w:hAnsi="Palatino Linotype"/>
          <w:sz w:val="22"/>
          <w:szCs w:val="22"/>
          <w:lang w:eastAsia="en-US"/>
        </w:rPr>
        <w:t xml:space="preserve"> </w:t>
      </w:r>
    </w:p>
    <w:p w:rsidR="000113AC" w:rsidRPr="00DA6F40"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DA6F40" w:rsidRDefault="000113AC" w:rsidP="000113AC">
      <w:pPr>
        <w:autoSpaceDE w:val="0"/>
        <w:autoSpaceDN w:val="0"/>
        <w:adjustRightInd w:val="0"/>
        <w:ind w:left="709" w:hanging="709"/>
        <w:jc w:val="both"/>
        <w:rPr>
          <w:rFonts w:ascii="Palatino Linotype" w:eastAsiaTheme="minorHAnsi" w:hAnsi="Palatino Linotype"/>
          <w:i/>
          <w:iCs/>
          <w:sz w:val="22"/>
          <w:szCs w:val="22"/>
          <w:lang w:eastAsia="en-US"/>
        </w:rPr>
      </w:pPr>
      <w:r w:rsidRPr="00DA6F40">
        <w:rPr>
          <w:rFonts w:ascii="Palatino Linotype" w:eastAsiaTheme="minorHAnsi" w:hAnsi="Palatino Linotype"/>
          <w:sz w:val="22"/>
          <w:szCs w:val="22"/>
          <w:lang w:eastAsia="en-US"/>
        </w:rPr>
        <w:t xml:space="preserve">Que, </w:t>
      </w:r>
      <w:r w:rsidRPr="00DA6F40">
        <w:rPr>
          <w:rFonts w:ascii="Palatino Linotype" w:eastAsiaTheme="minorHAnsi" w:hAnsi="Palatino Linotype"/>
          <w:sz w:val="22"/>
          <w:szCs w:val="22"/>
          <w:lang w:eastAsia="en-US"/>
        </w:rPr>
        <w:tab/>
        <w:t>el artículo 323 del COOTAD establece: “</w:t>
      </w:r>
      <w:r w:rsidRPr="00DA6F40">
        <w:rPr>
          <w:rFonts w:ascii="Palatino Linotype" w:eastAsiaTheme="minorHAnsi" w:hAnsi="Palatino Linotype"/>
          <w:i/>
          <w:iCs/>
          <w:sz w:val="22"/>
          <w:szCs w:val="22"/>
          <w:lang w:eastAsia="en-US"/>
        </w:rPr>
        <w:t xml:space="preserve">Aprobación de otros actos normativos.- El órgano normativo del respectivo gobierno autónomo descentralizado podrá expedir además, acuerdos y resoluciones sobre temas que tengan carácter especial o específico, los que serán aprobados </w:t>
      </w:r>
      <w:r w:rsidRPr="00DA6F40">
        <w:rPr>
          <w:rFonts w:ascii="Palatino Linotype" w:eastAsiaTheme="minorHAnsi" w:hAnsi="Palatino Linotype"/>
          <w:i/>
          <w:iCs/>
          <w:sz w:val="22"/>
          <w:szCs w:val="22"/>
          <w:lang w:eastAsia="en-US"/>
        </w:rPr>
        <w:lastRenderedPageBreak/>
        <w:t>por el órgano legislativo del gobierno autónomo, por simple mayoría, en un solo debate y serán notificados a los interesados, sin perjuicio de disponer su publicación en cualquiera de los medios determinados en el artículo precedente, de existir mérito para ello. (…)”</w:t>
      </w:r>
    </w:p>
    <w:p w:rsidR="000113AC" w:rsidRPr="00DA6F40"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DA6F40"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DA6F40">
        <w:rPr>
          <w:rFonts w:ascii="Palatino Linotype" w:eastAsiaTheme="minorHAnsi" w:hAnsi="Palatino Linotype"/>
          <w:b/>
          <w:sz w:val="22"/>
          <w:szCs w:val="22"/>
          <w:lang w:eastAsia="en-US"/>
        </w:rPr>
        <w:t>Que,</w:t>
      </w:r>
      <w:r w:rsidRPr="00DA6F40">
        <w:rPr>
          <w:rFonts w:ascii="Palatino Linotype" w:eastAsiaTheme="minorHAnsi" w:hAnsi="Palatino Linotype"/>
          <w:sz w:val="22"/>
          <w:szCs w:val="22"/>
          <w:lang w:eastAsia="en-US"/>
        </w:rPr>
        <w:t xml:space="preserve"> 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0113AC" w:rsidRPr="00DA6F40"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DA6F40" w:rsidRDefault="000113AC" w:rsidP="000113AC">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DA6F40">
        <w:rPr>
          <w:rFonts w:ascii="Palatino Linotype" w:eastAsiaTheme="minorHAnsi" w:hAnsi="Palatino Linotype"/>
          <w:b/>
          <w:sz w:val="22"/>
          <w:szCs w:val="22"/>
          <w:lang w:eastAsia="en-US"/>
        </w:rPr>
        <w:t>Que,</w:t>
      </w:r>
      <w:r w:rsidRPr="00DA6F40">
        <w:rPr>
          <w:rFonts w:ascii="Palatino Linotype" w:eastAsiaTheme="minorHAnsi" w:hAnsi="Palatino Linotype"/>
          <w:sz w:val="22"/>
          <w:szCs w:val="22"/>
          <w:lang w:eastAsia="en-US"/>
        </w:rPr>
        <w:t xml:space="preserve"> el artículo 424 del COOTAD señala: </w:t>
      </w:r>
      <w:r w:rsidRPr="00DA6F40">
        <w:rPr>
          <w:rFonts w:ascii="Palatino Linotype" w:eastAsiaTheme="minorHAnsi" w:hAnsi="Palatino Linotype"/>
          <w:i/>
          <w:sz w:val="22"/>
          <w:szCs w:val="22"/>
          <w:lang w:eastAsia="en-US"/>
        </w:rPr>
        <w:t xml:space="preserve">“Área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 (...)”; </w:t>
      </w:r>
    </w:p>
    <w:p w:rsidR="000113AC" w:rsidRPr="00DA6F40" w:rsidRDefault="000113AC" w:rsidP="000113AC">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p>
    <w:p w:rsidR="000113AC" w:rsidRPr="00DA6F40"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DA6F40">
        <w:rPr>
          <w:rFonts w:ascii="Palatino Linotype" w:eastAsiaTheme="minorHAnsi" w:hAnsi="Palatino Linotype"/>
          <w:b/>
          <w:sz w:val="22"/>
          <w:szCs w:val="22"/>
          <w:lang w:eastAsia="en-US"/>
        </w:rPr>
        <w:t>Que,</w:t>
      </w:r>
      <w:r w:rsidRPr="00DA6F40">
        <w:rPr>
          <w:rFonts w:ascii="Palatino Linotype" w:eastAsiaTheme="minorHAnsi" w:hAnsi="Palatino Linotype"/>
          <w:sz w:val="22"/>
          <w:szCs w:val="22"/>
          <w:lang w:eastAsia="en-US"/>
        </w:rPr>
        <w:t xml:space="preserve"> el artículo 472 del COOTAD señala que: </w:t>
      </w:r>
      <w:r w:rsidRPr="00DA6F40">
        <w:rPr>
          <w:rFonts w:ascii="Palatino Linotype" w:eastAsiaTheme="minorHAnsi" w:hAnsi="Palatino Linotype"/>
          <w:i/>
          <w:sz w:val="22"/>
          <w:szCs w:val="22"/>
          <w:lang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DA6F40">
        <w:rPr>
          <w:rFonts w:ascii="Palatino Linotype" w:eastAsiaTheme="minorHAnsi" w:hAnsi="Palatino Linotype"/>
          <w:sz w:val="22"/>
          <w:szCs w:val="22"/>
          <w:lang w:eastAsia="en-US"/>
        </w:rPr>
        <w:t>;</w:t>
      </w:r>
    </w:p>
    <w:p w:rsidR="000113AC" w:rsidRPr="00DA6F40"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DA6F40" w:rsidRDefault="000113AC" w:rsidP="000113AC">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DA6F40">
        <w:rPr>
          <w:rFonts w:ascii="Palatino Linotype" w:eastAsiaTheme="minorHAnsi" w:hAnsi="Palatino Linotype"/>
          <w:b/>
          <w:sz w:val="22"/>
          <w:szCs w:val="22"/>
          <w:lang w:eastAsia="en-US"/>
        </w:rPr>
        <w:t>Que,</w:t>
      </w:r>
      <w:r w:rsidRPr="00DA6F40">
        <w:rPr>
          <w:rFonts w:ascii="Palatino Linotype" w:eastAsiaTheme="minorHAnsi" w:hAnsi="Palatino Linotype"/>
          <w:sz w:val="22"/>
          <w:szCs w:val="22"/>
          <w:lang w:eastAsia="en-US"/>
        </w:rPr>
        <w:t xml:space="preserve"> el artículo 2410 del el Código Civil Ecuatoriano determina que: </w:t>
      </w:r>
      <w:r w:rsidRPr="00DA6F40">
        <w:rPr>
          <w:rFonts w:ascii="Palatino Linotype" w:eastAsiaTheme="minorHAnsi" w:hAnsi="Palatino Linotype"/>
          <w:i/>
          <w:sz w:val="22"/>
          <w:szCs w:val="22"/>
          <w:lang w:eastAsia="en-US"/>
        </w:rPr>
        <w:t xml:space="preserve">“dominio de las cosas comerciales que no ha sido adquirido por la prescripción ordinaria, puede serlo por la extraordinaria, bajo las reglas que van a expresarse: 1. Cabe la prescripción extraordinaria contra título inscrito; 2. Para la prescripción extraordinaria no es necesario título alguno; basta la posesión material en los términos del Art. 715; 3. Se presume en ella de derecho la buena fe, sin embargo de la falta de un título adquisitivo de dominio…”; </w:t>
      </w:r>
    </w:p>
    <w:p w:rsidR="000113AC" w:rsidRPr="00DA6F40"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DA6F40" w:rsidRDefault="000113AC" w:rsidP="000113AC">
      <w:pPr>
        <w:autoSpaceDE w:val="0"/>
        <w:autoSpaceDN w:val="0"/>
        <w:adjustRightInd w:val="0"/>
        <w:jc w:val="both"/>
        <w:rPr>
          <w:rFonts w:ascii="Palatino Linotype" w:hAnsi="Palatino Linotype"/>
          <w:sz w:val="22"/>
          <w:szCs w:val="22"/>
        </w:rPr>
      </w:pPr>
    </w:p>
    <w:p w:rsidR="000113AC" w:rsidRPr="00DA6F40" w:rsidRDefault="000113AC" w:rsidP="000113AC">
      <w:pPr>
        <w:autoSpaceDE w:val="0"/>
        <w:autoSpaceDN w:val="0"/>
        <w:adjustRightInd w:val="0"/>
        <w:ind w:left="709" w:hanging="709"/>
        <w:jc w:val="both"/>
        <w:rPr>
          <w:rFonts w:ascii="Palatino Linotype" w:eastAsiaTheme="minorHAnsi" w:hAnsi="Palatino Linotype"/>
          <w:sz w:val="22"/>
          <w:szCs w:val="22"/>
          <w:lang w:eastAsia="en-US"/>
        </w:rPr>
      </w:pPr>
      <w:r w:rsidRPr="00DA6F40">
        <w:rPr>
          <w:rFonts w:ascii="Palatino Linotype" w:eastAsiaTheme="minorHAnsi" w:hAnsi="Palatino Linotype"/>
          <w:sz w:val="22"/>
          <w:szCs w:val="22"/>
          <w:lang w:eastAsia="en-US"/>
        </w:rPr>
        <w:lastRenderedPageBreak/>
        <w:t>Que,</w:t>
      </w:r>
      <w:r w:rsidRPr="00DA6F40">
        <w:rPr>
          <w:rFonts w:ascii="Palatino Linotype" w:eastAsiaTheme="minorHAnsi" w:hAnsi="Palatino Linotype"/>
          <w:sz w:val="22"/>
          <w:szCs w:val="22"/>
          <w:lang w:eastAsia="en-US"/>
        </w:rPr>
        <w:tab/>
        <w:t>el numeral 1, del artículo 2 de la Ley de Régimen para el Distrito Metropolitano de Quito, determina, como finalidad, que el Municipio del Distrito Metropolitano de Quito: “</w:t>
      </w:r>
      <w:r w:rsidRPr="00DA6F40">
        <w:rPr>
          <w:rFonts w:ascii="Palatino Linotype" w:eastAsiaTheme="minorHAnsi" w:hAnsi="Palatino Linotype"/>
          <w:i/>
          <w:iCs/>
          <w:sz w:val="22"/>
          <w:szCs w:val="22"/>
          <w:lang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DA6F40">
        <w:rPr>
          <w:rFonts w:ascii="Palatino Linotype" w:eastAsiaTheme="minorHAnsi" w:hAnsi="Palatino Linotype"/>
          <w:sz w:val="22"/>
          <w:szCs w:val="22"/>
          <w:lang w:eastAsia="en-US"/>
        </w:rPr>
        <w:t>;</w:t>
      </w:r>
    </w:p>
    <w:p w:rsidR="000113AC" w:rsidRPr="00DA6F40"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0113AC" w:rsidRPr="00DA6F40" w:rsidRDefault="000113AC" w:rsidP="000113AC">
      <w:pPr>
        <w:autoSpaceDE w:val="0"/>
        <w:autoSpaceDN w:val="0"/>
        <w:adjustRightInd w:val="0"/>
        <w:spacing w:line="276" w:lineRule="auto"/>
        <w:ind w:left="709" w:hanging="709"/>
        <w:jc w:val="both"/>
        <w:rPr>
          <w:rFonts w:ascii="Palatino Linotype" w:hAnsi="Palatino Linotype"/>
          <w:sz w:val="22"/>
          <w:szCs w:val="22"/>
        </w:rPr>
      </w:pPr>
      <w:r w:rsidRPr="00DA6F40">
        <w:rPr>
          <w:rFonts w:ascii="Palatino Linotype" w:eastAsiaTheme="minorHAnsi" w:hAnsi="Palatino Linotype"/>
          <w:b/>
          <w:sz w:val="22"/>
          <w:szCs w:val="22"/>
          <w:lang w:eastAsia="en-US"/>
        </w:rPr>
        <w:t>Que,</w:t>
      </w:r>
      <w:r w:rsidRPr="00DA6F40">
        <w:rPr>
          <w:rFonts w:ascii="Palatino Linotype" w:eastAsiaTheme="minorHAnsi" w:hAnsi="Palatino Linotype"/>
          <w:sz w:val="22"/>
          <w:szCs w:val="22"/>
          <w:lang w:eastAsia="en-US"/>
        </w:rPr>
        <w:t xml:space="preserve"> </w:t>
      </w:r>
      <w:r w:rsidRPr="00DA6F40">
        <w:rPr>
          <w:rFonts w:ascii="Palatino Linotype" w:eastAsiaTheme="minorHAnsi" w:hAnsi="Palatino Linotype"/>
          <w:sz w:val="22"/>
          <w:szCs w:val="22"/>
          <w:lang w:eastAsia="en-US"/>
        </w:rPr>
        <w:tab/>
        <w:t xml:space="preserve">el Código Municipal para el Distrito Metropolitano de Quito, en adelante Código Municipal, en su artículo 2162, numeral 1, establece que: </w:t>
      </w:r>
      <w:r w:rsidRPr="00DA6F40">
        <w:rPr>
          <w:rFonts w:ascii="Palatino Linotype" w:eastAsiaTheme="minorHAnsi" w:hAnsi="Palatino Linotype"/>
          <w:i/>
          <w:sz w:val="22"/>
          <w:szCs w:val="22"/>
          <w:lang w:eastAsia="en-US"/>
        </w:rPr>
        <w:t>“1. Los proyectos de subdivisión son propuestas que tienen por finalidad dividir y habilitar predios, conforme la zonificación establecida en el PUOS y demás instrumentos de planificación. En todos los casos deberá observarse el lote mínimo establecido en la normativa vigente.</w:t>
      </w:r>
      <w:r w:rsidRPr="00DA6F40">
        <w:rPr>
          <w:rFonts w:ascii="Palatino Linotype" w:hAnsi="Palatino Linotype"/>
          <w:i/>
          <w:sz w:val="22"/>
          <w:szCs w:val="22"/>
        </w:rPr>
        <w:t>”</w:t>
      </w:r>
      <w:r w:rsidRPr="00DA6F40">
        <w:rPr>
          <w:rFonts w:ascii="Palatino Linotype" w:hAnsi="Palatino Linotype"/>
          <w:sz w:val="22"/>
          <w:szCs w:val="22"/>
        </w:rPr>
        <w:t xml:space="preserve">; </w:t>
      </w:r>
    </w:p>
    <w:p w:rsidR="000113AC" w:rsidRPr="00DA6F40" w:rsidRDefault="000113AC" w:rsidP="000113AC">
      <w:pPr>
        <w:autoSpaceDE w:val="0"/>
        <w:autoSpaceDN w:val="0"/>
        <w:adjustRightInd w:val="0"/>
        <w:spacing w:line="276" w:lineRule="auto"/>
        <w:ind w:left="709" w:hanging="709"/>
        <w:jc w:val="both"/>
        <w:rPr>
          <w:rFonts w:ascii="Palatino Linotype" w:hAnsi="Palatino Linotype"/>
          <w:sz w:val="22"/>
          <w:szCs w:val="22"/>
        </w:rPr>
      </w:pPr>
    </w:p>
    <w:p w:rsidR="000113AC" w:rsidRPr="00DA6F40" w:rsidRDefault="000113AC" w:rsidP="000113AC">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DA6F40">
        <w:rPr>
          <w:rFonts w:ascii="Palatino Linotype" w:eastAsiaTheme="minorHAnsi" w:hAnsi="Palatino Linotype"/>
          <w:b/>
          <w:sz w:val="22"/>
          <w:szCs w:val="22"/>
          <w:lang w:eastAsia="en-US"/>
        </w:rPr>
        <w:t>Que,</w:t>
      </w:r>
      <w:r w:rsidRPr="00DA6F40">
        <w:rPr>
          <w:rFonts w:ascii="Palatino Linotype" w:eastAsiaTheme="minorHAnsi" w:hAnsi="Palatino Linotype"/>
          <w:sz w:val="22"/>
          <w:szCs w:val="22"/>
          <w:lang w:eastAsia="en-US"/>
        </w:rPr>
        <w:t xml:space="preserve"> </w:t>
      </w:r>
      <w:r w:rsidRPr="00DA6F40">
        <w:rPr>
          <w:rFonts w:ascii="Palatino Linotype" w:eastAsiaTheme="minorHAnsi" w:hAnsi="Palatino Linotype"/>
          <w:sz w:val="22"/>
          <w:szCs w:val="22"/>
          <w:lang w:eastAsia="en-US"/>
        </w:rPr>
        <w:tab/>
        <w:t xml:space="preserve">el Código Municipal en su artículo 2171, establece: </w:t>
      </w:r>
      <w:r w:rsidRPr="00DA6F40">
        <w:rPr>
          <w:rFonts w:ascii="Palatino Linotype" w:eastAsiaTheme="minorHAnsi" w:hAnsi="Palatino Linotype"/>
          <w:i/>
          <w:sz w:val="22"/>
          <w:szCs w:val="22"/>
          <w:lang w:eastAsia="en-US"/>
        </w:rPr>
        <w:t xml:space="preserve">“Supuestos en el que la contribución de áreas verdes públicas, para subdivisiones puede ser compensada: (...) 4. En el caso de la sentencia ejecutoriada dictada dentro del juicio de prescripción extraordinaria adquisitiva de dominio, de una parte, de un lote que obliga a un fraccionamiento, de conformidad a lo estipulado en el artículo 424 reformado del Código Orgánico de Organización Territorial, Autonomía y Descentralización, se deberá calcular el aporte del 15% del área útil adquirida mediante sentencia. Si el área de la sentencia es inferior a 3000.00 m2, la contribución del 15% del área útil adjudicada, se compensará en valor monetario según el avalúo catastral actualizado, cuando sea menor al lote mínimo asignado en la zonificación vigente”;  </w:t>
      </w:r>
    </w:p>
    <w:p w:rsidR="000113AC" w:rsidRPr="00DA6F40" w:rsidRDefault="000113AC" w:rsidP="000113AC">
      <w:pPr>
        <w:autoSpaceDE w:val="0"/>
        <w:autoSpaceDN w:val="0"/>
        <w:adjustRightInd w:val="0"/>
        <w:spacing w:line="276" w:lineRule="auto"/>
        <w:ind w:left="709" w:hanging="709"/>
        <w:jc w:val="both"/>
        <w:rPr>
          <w:rFonts w:ascii="Palatino Linotype" w:eastAsiaTheme="minorHAnsi" w:hAnsi="Palatino Linotype"/>
          <w:sz w:val="22"/>
          <w:szCs w:val="22"/>
          <w:highlight w:val="yellow"/>
          <w:lang w:eastAsia="en-US"/>
        </w:rPr>
      </w:pPr>
    </w:p>
    <w:p w:rsidR="00967D02" w:rsidRPr="008D5F03" w:rsidRDefault="000113AC" w:rsidP="00967D02">
      <w:pPr>
        <w:autoSpaceDE w:val="0"/>
        <w:autoSpaceDN w:val="0"/>
        <w:adjustRightInd w:val="0"/>
        <w:ind w:left="708" w:hanging="708"/>
        <w:jc w:val="both"/>
        <w:rPr>
          <w:rFonts w:ascii="Palatino Linotype" w:hAnsi="Palatino Linotype"/>
          <w:i/>
          <w:sz w:val="22"/>
          <w:szCs w:val="22"/>
        </w:rPr>
      </w:pPr>
      <w:r w:rsidRPr="00DA6F40">
        <w:rPr>
          <w:rFonts w:ascii="Palatino Linotype" w:eastAsiaTheme="minorHAnsi" w:hAnsi="Palatino Linotype"/>
          <w:b/>
          <w:sz w:val="22"/>
          <w:szCs w:val="22"/>
          <w:lang w:eastAsia="en-US"/>
        </w:rPr>
        <w:t>Que,</w:t>
      </w:r>
      <w:r w:rsidR="004E4064" w:rsidRPr="00DA6F40">
        <w:rPr>
          <w:rFonts w:ascii="Palatino Linotype" w:eastAsiaTheme="minorHAnsi" w:hAnsi="Palatino Linotype"/>
          <w:sz w:val="22"/>
          <w:szCs w:val="22"/>
          <w:lang w:eastAsia="en-US"/>
        </w:rPr>
        <w:t xml:space="preserve"> </w:t>
      </w:r>
      <w:r w:rsidR="00967D02">
        <w:rPr>
          <w:rFonts w:ascii="Palatino Linotype" w:hAnsi="Palatino Linotype"/>
          <w:sz w:val="22"/>
          <w:szCs w:val="22"/>
        </w:rPr>
        <w:t>d</w:t>
      </w:r>
      <w:r w:rsidR="00967D02" w:rsidRPr="008D5F03">
        <w:rPr>
          <w:rFonts w:ascii="Palatino Linotype" w:hAnsi="Palatino Linotype"/>
          <w:sz w:val="22"/>
          <w:szCs w:val="22"/>
        </w:rPr>
        <w:t xml:space="preserve">e conformidad al Proceso de Juicio No. 17230-2011-0017 de 01 de diciembre de 2017 a las 14h18, de la Unidad Judicial Civil con sede en la Parroquia de Iñaquito del Distrito Metropolitano de Quito, suscrito por el Juez Salazar Vasco Gustavo Javier a favor de Lomas Ayala Marco Marcelo, en su parte pertinente señala: </w:t>
      </w:r>
      <w:r w:rsidR="00967D02" w:rsidRPr="008D5F03">
        <w:rPr>
          <w:rFonts w:ascii="Palatino Linotype" w:hAnsi="Palatino Linotype"/>
          <w:i/>
          <w:sz w:val="22"/>
          <w:szCs w:val="22"/>
        </w:rPr>
        <w:t xml:space="preserve">¨(…) se acepta la demanda y se declara la Prescripción Adquisitiva Extraordinaria de Dominio a favor del señor Marco Marcelino Lomas Ayala, respecto del lote de terreno que forma parte de uno de mayor extensión, adquirido por adjudicación del IERAC, en el barrio Jardines del Norte, parroquia de Pomasqui de este Distrito Metropolitano de Quito, Provincia de Pichincha, con una superficie de 210 metros cuadrados”. </w:t>
      </w:r>
    </w:p>
    <w:p w:rsidR="003144EF" w:rsidRPr="00DA6F40" w:rsidRDefault="003144EF" w:rsidP="001A6EE6">
      <w:pPr>
        <w:autoSpaceDE w:val="0"/>
        <w:autoSpaceDN w:val="0"/>
        <w:adjustRightInd w:val="0"/>
        <w:jc w:val="both"/>
        <w:rPr>
          <w:rFonts w:ascii="Palatino Linotype" w:hAnsi="Palatino Linotype"/>
          <w:color w:val="000000" w:themeColor="text1"/>
          <w:sz w:val="22"/>
          <w:szCs w:val="22"/>
          <w:lang w:val="es-ES"/>
        </w:rPr>
      </w:pPr>
    </w:p>
    <w:p w:rsidR="003144EF" w:rsidRPr="00DA6F40" w:rsidRDefault="003144EF" w:rsidP="003144EF">
      <w:pPr>
        <w:autoSpaceDE w:val="0"/>
        <w:autoSpaceDN w:val="0"/>
        <w:adjustRightInd w:val="0"/>
        <w:ind w:left="708" w:hanging="708"/>
        <w:jc w:val="both"/>
        <w:rPr>
          <w:rFonts w:ascii="Palatino Linotype" w:eastAsiaTheme="minorHAnsi" w:hAnsi="Palatino Linotype"/>
          <w:sz w:val="22"/>
          <w:szCs w:val="22"/>
          <w:lang w:eastAsia="en-US"/>
        </w:rPr>
      </w:pPr>
      <w:r w:rsidRPr="00DA6F40">
        <w:rPr>
          <w:rFonts w:ascii="Palatino Linotype" w:eastAsiaTheme="minorHAnsi" w:hAnsi="Palatino Linotype"/>
          <w:b/>
          <w:sz w:val="22"/>
          <w:szCs w:val="22"/>
          <w:lang w:eastAsia="en-US"/>
        </w:rPr>
        <w:t>Que,</w:t>
      </w:r>
      <w:r w:rsidRPr="00DA6F40">
        <w:rPr>
          <w:rFonts w:ascii="Palatino Linotype" w:eastAsiaTheme="minorHAnsi" w:hAnsi="Palatino Linotype"/>
          <w:sz w:val="22"/>
          <w:szCs w:val="22"/>
          <w:lang w:eastAsia="en-US"/>
        </w:rPr>
        <w:t xml:space="preserve"> mediante oficio Nro.</w:t>
      </w:r>
      <w:r w:rsidRPr="00DA6F40">
        <w:rPr>
          <w:rFonts w:ascii="Palatino Linotype" w:hAnsi="Palatino Linotype"/>
          <w:sz w:val="22"/>
          <w:szCs w:val="22"/>
        </w:rPr>
        <w:t xml:space="preserve"> 2950-2010 de 31 de octubre de 2011</w:t>
      </w:r>
      <w:r w:rsidRPr="00DA6F40">
        <w:rPr>
          <w:rFonts w:ascii="Palatino Linotype" w:eastAsiaTheme="minorHAnsi" w:hAnsi="Palatino Linotype"/>
          <w:sz w:val="22"/>
          <w:szCs w:val="22"/>
          <w:lang w:eastAsia="en-US"/>
        </w:rPr>
        <w:t xml:space="preserve"> la Procuraduría Metropolitana emitió un </w:t>
      </w:r>
      <w:r w:rsidRPr="00DA6F40">
        <w:rPr>
          <w:rFonts w:ascii="Palatino Linotype" w:hAnsi="Palatino Linotype"/>
          <w:sz w:val="22"/>
          <w:szCs w:val="22"/>
        </w:rPr>
        <w:t xml:space="preserve">pronunciamiento en forma general, respecto al marco legal y operativo para todos los casos de </w:t>
      </w:r>
      <w:r w:rsidRPr="00DA6F40">
        <w:rPr>
          <w:rFonts w:ascii="Palatino Linotype" w:eastAsiaTheme="minorHAnsi" w:hAnsi="Palatino Linotype"/>
          <w:sz w:val="22"/>
          <w:szCs w:val="22"/>
          <w:lang w:eastAsia="en-US"/>
        </w:rPr>
        <w:t>prescripción extraordinaria adquisitiva de dominio;</w:t>
      </w:r>
    </w:p>
    <w:p w:rsidR="00372B0E" w:rsidRPr="00DA6F40" w:rsidRDefault="00372B0E" w:rsidP="00372B0E">
      <w:pPr>
        <w:autoSpaceDE w:val="0"/>
        <w:autoSpaceDN w:val="0"/>
        <w:adjustRightInd w:val="0"/>
        <w:spacing w:line="276" w:lineRule="auto"/>
        <w:ind w:left="708" w:hanging="708"/>
        <w:jc w:val="both"/>
        <w:rPr>
          <w:rFonts w:ascii="Palatino Linotype" w:hAnsi="Palatino Linotype"/>
          <w:i/>
          <w:sz w:val="22"/>
          <w:szCs w:val="22"/>
        </w:rPr>
      </w:pPr>
    </w:p>
    <w:p w:rsidR="00BE06CC" w:rsidRPr="008D5F03" w:rsidRDefault="00D24C41" w:rsidP="00BE06CC">
      <w:pPr>
        <w:tabs>
          <w:tab w:val="left" w:pos="1080"/>
        </w:tabs>
        <w:jc w:val="both"/>
        <w:rPr>
          <w:rFonts w:ascii="Palatino Linotype" w:hAnsi="Palatino Linotype"/>
          <w:sz w:val="22"/>
          <w:szCs w:val="22"/>
        </w:rPr>
      </w:pPr>
      <w:r w:rsidRPr="00DA6F40">
        <w:rPr>
          <w:rFonts w:ascii="Palatino Linotype" w:hAnsi="Palatino Linotype"/>
          <w:b/>
          <w:sz w:val="22"/>
          <w:szCs w:val="22"/>
        </w:rPr>
        <w:lastRenderedPageBreak/>
        <w:t xml:space="preserve">Que, </w:t>
      </w:r>
      <w:r w:rsidR="00BE06CC">
        <w:rPr>
          <w:rFonts w:ascii="Palatino Linotype" w:hAnsi="Palatino Linotype"/>
          <w:sz w:val="22"/>
          <w:szCs w:val="22"/>
        </w:rPr>
        <w:t>m</w:t>
      </w:r>
      <w:r w:rsidR="00BE06CC" w:rsidRPr="008D5F03">
        <w:rPr>
          <w:rFonts w:ascii="Palatino Linotype" w:hAnsi="Palatino Linotype"/>
          <w:sz w:val="22"/>
          <w:szCs w:val="22"/>
        </w:rPr>
        <w:t>ediante memorando Nro. GADDMQ-STHV-DMC-UGT-AZC-2021-0142-M de 14 de septiembre de 2021, la Ing. Nancy Maribel Calapaqui Chiliquinga, Responsable de la Unidad Catastro Administración Zonal Calderón, señala:</w:t>
      </w:r>
    </w:p>
    <w:p w:rsidR="00BE06CC" w:rsidRPr="008D5F03" w:rsidRDefault="00BE06CC" w:rsidP="00BE06CC">
      <w:pPr>
        <w:tabs>
          <w:tab w:val="left" w:pos="1080"/>
        </w:tabs>
        <w:jc w:val="both"/>
        <w:rPr>
          <w:rFonts w:ascii="Palatino Linotype" w:hAnsi="Palatino Linotype"/>
          <w:i/>
          <w:sz w:val="22"/>
          <w:szCs w:val="22"/>
        </w:rPr>
      </w:pPr>
    </w:p>
    <w:p w:rsidR="00BE06CC" w:rsidRPr="008D5F03" w:rsidRDefault="00A3193F" w:rsidP="00BE06CC">
      <w:pPr>
        <w:tabs>
          <w:tab w:val="left" w:pos="1080"/>
        </w:tabs>
        <w:ind w:left="708"/>
        <w:jc w:val="both"/>
        <w:rPr>
          <w:rFonts w:ascii="Palatino Linotype" w:hAnsi="Palatino Linotype"/>
          <w:i/>
          <w:sz w:val="22"/>
          <w:szCs w:val="22"/>
        </w:rPr>
      </w:pPr>
      <w:r>
        <w:rPr>
          <w:rFonts w:ascii="Palatino Linotype" w:hAnsi="Palatino Linotype"/>
          <w:i/>
          <w:sz w:val="22"/>
          <w:szCs w:val="22"/>
        </w:rPr>
        <w:t>“De</w:t>
      </w:r>
      <w:r w:rsidR="00BE06CC" w:rsidRPr="008D5F03">
        <w:rPr>
          <w:rFonts w:ascii="Palatino Linotype" w:hAnsi="Palatino Linotype"/>
          <w:i/>
          <w:sz w:val="22"/>
          <w:szCs w:val="22"/>
        </w:rPr>
        <w:t xml:space="preserve"> la  base  legal  expuesta,  me  permito  informar  que,  es  competencia  de  la  Dirección Metropolitana  de  Catastro  ingresar  al  sistema  de  Catastro  las  sentencias  de  Prescripción Adquisitiva  de  Dominio  y  generar  número  de  predio,  una  vez  ingresado  al  Sistema  de Licencias    Metropolitanas    SLUM,    más    no    la    de    generar    valor    alguno    sobrecompensaciones monetarias por la contribución del 15% del área útil prescrita. </w:t>
      </w:r>
    </w:p>
    <w:p w:rsidR="00BE06CC" w:rsidRPr="008D5F03" w:rsidRDefault="00BE06CC" w:rsidP="00BE06CC">
      <w:pPr>
        <w:tabs>
          <w:tab w:val="left" w:pos="1080"/>
        </w:tabs>
        <w:ind w:left="708"/>
        <w:jc w:val="both"/>
        <w:rPr>
          <w:rFonts w:ascii="Palatino Linotype" w:hAnsi="Palatino Linotype"/>
          <w:i/>
          <w:sz w:val="22"/>
          <w:szCs w:val="22"/>
        </w:rPr>
      </w:pPr>
    </w:p>
    <w:p w:rsidR="00BE06CC" w:rsidRPr="008D5F03" w:rsidRDefault="00A3193F" w:rsidP="00BE06CC">
      <w:pPr>
        <w:tabs>
          <w:tab w:val="left" w:pos="1080"/>
        </w:tabs>
        <w:ind w:left="708"/>
        <w:jc w:val="both"/>
        <w:rPr>
          <w:rFonts w:ascii="Palatino Linotype" w:hAnsi="Palatino Linotype"/>
          <w:i/>
          <w:sz w:val="22"/>
          <w:szCs w:val="22"/>
        </w:rPr>
      </w:pPr>
      <w:r>
        <w:rPr>
          <w:rFonts w:ascii="Palatino Linotype" w:hAnsi="Palatino Linotype"/>
          <w:i/>
          <w:sz w:val="22"/>
          <w:szCs w:val="22"/>
        </w:rPr>
        <w:t>Por</w:t>
      </w:r>
      <w:r w:rsidR="00F112C0">
        <w:rPr>
          <w:rFonts w:ascii="Palatino Linotype" w:hAnsi="Palatino Linotype"/>
          <w:i/>
          <w:sz w:val="22"/>
          <w:szCs w:val="22"/>
        </w:rPr>
        <w:t xml:space="preserve"> tanto,</w:t>
      </w:r>
      <w:r w:rsidR="00BE06CC" w:rsidRPr="008D5F03">
        <w:rPr>
          <w:rFonts w:ascii="Palatino Linotype" w:hAnsi="Palatino Linotype"/>
          <w:i/>
          <w:sz w:val="22"/>
          <w:szCs w:val="22"/>
        </w:rPr>
        <w:t xml:space="preserve"> revisado  el  sistema  de  registro  catastral  SIREC-Q  a  la  presente  fecha,  el inmueble  identificado  con  Predio  390030,  Clave  Catastral  1381404022,  ubicado  en  la parroquia  Calderón  y  catastrado  a  nombre  de  GONZALEZ  QUISILEMA  MANUEL MARIA HRDS Ci. 1701478479, registra los siguientes datos técnicos:</w:t>
      </w:r>
    </w:p>
    <w:p w:rsidR="00BE06CC" w:rsidRPr="008D5F03" w:rsidRDefault="00BE06CC" w:rsidP="00BE06CC">
      <w:pPr>
        <w:tabs>
          <w:tab w:val="left" w:pos="1080"/>
        </w:tabs>
        <w:ind w:left="708"/>
        <w:jc w:val="both"/>
        <w:rPr>
          <w:rFonts w:ascii="Palatino Linotype" w:hAnsi="Palatino Linotype"/>
          <w:b/>
          <w:sz w:val="22"/>
          <w:szCs w:val="22"/>
        </w:rPr>
      </w:pPr>
    </w:p>
    <w:tbl>
      <w:tblPr>
        <w:tblW w:w="823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5"/>
        <w:gridCol w:w="1511"/>
        <w:gridCol w:w="2022"/>
        <w:gridCol w:w="3000"/>
      </w:tblGrid>
      <w:tr w:rsidR="00BE06CC" w:rsidRPr="008D5F03" w:rsidTr="003B6356">
        <w:trPr>
          <w:trHeight w:val="301"/>
        </w:trPr>
        <w:tc>
          <w:tcPr>
            <w:tcW w:w="1584" w:type="dxa"/>
          </w:tcPr>
          <w:p w:rsidR="00BE06CC" w:rsidRPr="003B6356" w:rsidRDefault="00BE06CC" w:rsidP="004B58FE">
            <w:pPr>
              <w:tabs>
                <w:tab w:val="left" w:pos="1080"/>
              </w:tabs>
              <w:ind w:left="133"/>
              <w:jc w:val="both"/>
              <w:rPr>
                <w:rFonts w:ascii="Palatino Linotype" w:hAnsi="Palatino Linotype"/>
                <w:b/>
                <w:i/>
                <w:sz w:val="20"/>
                <w:szCs w:val="20"/>
                <w:shd w:val="clear" w:color="auto" w:fill="FAF9F8"/>
              </w:rPr>
            </w:pPr>
            <w:r w:rsidRPr="003B6356">
              <w:rPr>
                <w:rFonts w:ascii="Palatino Linotype" w:hAnsi="Palatino Linotype"/>
                <w:b/>
                <w:i/>
                <w:sz w:val="20"/>
                <w:szCs w:val="20"/>
                <w:shd w:val="clear" w:color="auto" w:fill="FAF9F8"/>
              </w:rPr>
              <w:t>AIVA</w:t>
            </w:r>
          </w:p>
        </w:tc>
        <w:tc>
          <w:tcPr>
            <w:tcW w:w="1532" w:type="dxa"/>
          </w:tcPr>
          <w:p w:rsidR="00BE06CC" w:rsidRPr="003B6356" w:rsidRDefault="00BE06CC" w:rsidP="004B58FE">
            <w:pPr>
              <w:tabs>
                <w:tab w:val="left" w:pos="1080"/>
              </w:tabs>
              <w:ind w:left="337"/>
              <w:jc w:val="both"/>
              <w:rPr>
                <w:rFonts w:ascii="Palatino Linotype" w:hAnsi="Palatino Linotype"/>
                <w:b/>
                <w:i/>
                <w:sz w:val="20"/>
                <w:szCs w:val="20"/>
                <w:shd w:val="clear" w:color="auto" w:fill="FAF9F8"/>
              </w:rPr>
            </w:pPr>
            <w:r w:rsidRPr="003B6356">
              <w:rPr>
                <w:rFonts w:ascii="Palatino Linotype" w:hAnsi="Palatino Linotype"/>
                <w:b/>
                <w:i/>
                <w:sz w:val="20"/>
                <w:szCs w:val="20"/>
                <w:shd w:val="clear" w:color="auto" w:fill="FAF9F8"/>
              </w:rPr>
              <w:t>AREA</w:t>
            </w:r>
          </w:p>
        </w:tc>
        <w:tc>
          <w:tcPr>
            <w:tcW w:w="2041" w:type="dxa"/>
          </w:tcPr>
          <w:p w:rsidR="00BE06CC" w:rsidRPr="003B6356" w:rsidRDefault="00BE06CC" w:rsidP="004B58FE">
            <w:pPr>
              <w:tabs>
                <w:tab w:val="left" w:pos="1080"/>
              </w:tabs>
              <w:ind w:left="445"/>
              <w:jc w:val="both"/>
              <w:rPr>
                <w:rFonts w:ascii="Palatino Linotype" w:hAnsi="Palatino Linotype"/>
                <w:b/>
                <w:i/>
                <w:sz w:val="20"/>
                <w:szCs w:val="20"/>
                <w:shd w:val="clear" w:color="auto" w:fill="FAF9F8"/>
              </w:rPr>
            </w:pPr>
            <w:r w:rsidRPr="003B6356">
              <w:rPr>
                <w:rFonts w:ascii="Palatino Linotype" w:hAnsi="Palatino Linotype"/>
                <w:b/>
                <w:i/>
                <w:sz w:val="20"/>
                <w:szCs w:val="20"/>
                <w:shd w:val="clear" w:color="auto" w:fill="FAF9F8"/>
              </w:rPr>
              <w:t>VALOR/m2</w:t>
            </w:r>
          </w:p>
        </w:tc>
        <w:tc>
          <w:tcPr>
            <w:tcW w:w="3081" w:type="dxa"/>
          </w:tcPr>
          <w:p w:rsidR="00BE06CC" w:rsidRPr="003B6356" w:rsidRDefault="00BE06CC" w:rsidP="004B58FE">
            <w:pPr>
              <w:tabs>
                <w:tab w:val="left" w:pos="1080"/>
              </w:tabs>
              <w:ind w:left="227"/>
              <w:jc w:val="both"/>
              <w:rPr>
                <w:rFonts w:ascii="Palatino Linotype" w:hAnsi="Palatino Linotype"/>
                <w:b/>
                <w:i/>
                <w:sz w:val="20"/>
                <w:szCs w:val="20"/>
                <w:shd w:val="clear" w:color="auto" w:fill="FAF9F8"/>
              </w:rPr>
            </w:pPr>
            <w:r w:rsidRPr="003B6356">
              <w:rPr>
                <w:rFonts w:ascii="Palatino Linotype" w:hAnsi="Palatino Linotype"/>
                <w:b/>
                <w:i/>
                <w:sz w:val="20"/>
                <w:szCs w:val="20"/>
                <w:shd w:val="clear" w:color="auto" w:fill="FAF9F8"/>
              </w:rPr>
              <w:t>Avalúo de terreno</w:t>
            </w:r>
          </w:p>
        </w:tc>
      </w:tr>
      <w:tr w:rsidR="00BE06CC" w:rsidRPr="008D5F03" w:rsidTr="003B6356">
        <w:trPr>
          <w:trHeight w:val="957"/>
        </w:trPr>
        <w:tc>
          <w:tcPr>
            <w:tcW w:w="1584" w:type="dxa"/>
          </w:tcPr>
          <w:p w:rsidR="00BE06CC" w:rsidRPr="003B6356" w:rsidRDefault="00BE06CC" w:rsidP="004B58FE">
            <w:pPr>
              <w:tabs>
                <w:tab w:val="left" w:pos="1080"/>
              </w:tabs>
              <w:ind w:left="133"/>
              <w:jc w:val="both"/>
              <w:rPr>
                <w:rFonts w:ascii="Palatino Linotype" w:hAnsi="Palatino Linotype"/>
                <w:i/>
                <w:sz w:val="20"/>
                <w:szCs w:val="20"/>
                <w:shd w:val="clear" w:color="auto" w:fill="FAF9F8"/>
              </w:rPr>
            </w:pPr>
            <w:r w:rsidRPr="003B6356">
              <w:rPr>
                <w:rFonts w:ascii="Palatino Linotype" w:hAnsi="Palatino Linotype"/>
                <w:i/>
                <w:sz w:val="20"/>
                <w:szCs w:val="20"/>
                <w:shd w:val="clear" w:color="auto" w:fill="FAF9F8"/>
              </w:rPr>
              <w:t>08010114</w:t>
            </w:r>
          </w:p>
          <w:p w:rsidR="00BE06CC" w:rsidRPr="003B6356" w:rsidRDefault="00BE06CC" w:rsidP="004B58FE">
            <w:pPr>
              <w:tabs>
                <w:tab w:val="left" w:pos="1080"/>
              </w:tabs>
              <w:ind w:left="133"/>
              <w:jc w:val="both"/>
              <w:rPr>
                <w:rFonts w:ascii="Palatino Linotype" w:hAnsi="Palatino Linotype"/>
                <w:i/>
                <w:sz w:val="20"/>
                <w:szCs w:val="20"/>
                <w:shd w:val="clear" w:color="auto" w:fill="FAF9F8"/>
              </w:rPr>
            </w:pPr>
            <w:r w:rsidRPr="003B6356">
              <w:rPr>
                <w:rFonts w:ascii="Palatino Linotype" w:hAnsi="Palatino Linotype"/>
                <w:i/>
                <w:sz w:val="20"/>
                <w:szCs w:val="20"/>
                <w:shd w:val="clear" w:color="auto" w:fill="FAF9F8"/>
              </w:rPr>
              <w:t xml:space="preserve">COOPERATIVA LUZ </w:t>
            </w:r>
          </w:p>
          <w:p w:rsidR="00BE06CC" w:rsidRPr="003B6356" w:rsidRDefault="00BE06CC" w:rsidP="004B58FE">
            <w:pPr>
              <w:tabs>
                <w:tab w:val="left" w:pos="1080"/>
              </w:tabs>
              <w:ind w:left="133"/>
              <w:jc w:val="both"/>
              <w:rPr>
                <w:rFonts w:ascii="Palatino Linotype" w:hAnsi="Palatino Linotype"/>
                <w:i/>
                <w:sz w:val="20"/>
                <w:szCs w:val="20"/>
                <w:shd w:val="clear" w:color="auto" w:fill="FAF9F8"/>
              </w:rPr>
            </w:pPr>
            <w:r w:rsidRPr="003B6356">
              <w:rPr>
                <w:rFonts w:ascii="Palatino Linotype" w:hAnsi="Palatino Linotype"/>
                <w:i/>
                <w:sz w:val="20"/>
                <w:szCs w:val="20"/>
                <w:shd w:val="clear" w:color="auto" w:fill="FAF9F8"/>
              </w:rPr>
              <w:t>Y VIDA - URBANO</w:t>
            </w:r>
          </w:p>
          <w:p w:rsidR="00BE06CC" w:rsidRPr="003B6356" w:rsidRDefault="00BE06CC" w:rsidP="004B58FE">
            <w:pPr>
              <w:tabs>
                <w:tab w:val="left" w:pos="1080"/>
              </w:tabs>
              <w:jc w:val="both"/>
              <w:rPr>
                <w:rFonts w:ascii="Palatino Linotype" w:hAnsi="Palatino Linotype"/>
                <w:i/>
                <w:sz w:val="20"/>
                <w:szCs w:val="20"/>
                <w:shd w:val="clear" w:color="auto" w:fill="FAF9F8"/>
              </w:rPr>
            </w:pPr>
          </w:p>
        </w:tc>
        <w:tc>
          <w:tcPr>
            <w:tcW w:w="1532" w:type="dxa"/>
          </w:tcPr>
          <w:p w:rsidR="00BE06CC" w:rsidRPr="003B6356" w:rsidRDefault="00BE06CC" w:rsidP="004B58FE">
            <w:pPr>
              <w:tabs>
                <w:tab w:val="left" w:pos="1080"/>
              </w:tabs>
              <w:jc w:val="both"/>
              <w:rPr>
                <w:rFonts w:ascii="Palatino Linotype" w:hAnsi="Palatino Linotype"/>
                <w:i/>
                <w:sz w:val="20"/>
                <w:szCs w:val="20"/>
                <w:shd w:val="clear" w:color="auto" w:fill="FAF9F8"/>
              </w:rPr>
            </w:pPr>
          </w:p>
          <w:p w:rsidR="00BE06CC" w:rsidRPr="003B6356" w:rsidRDefault="00BE06CC" w:rsidP="004B58FE">
            <w:pPr>
              <w:tabs>
                <w:tab w:val="left" w:pos="1080"/>
              </w:tabs>
              <w:jc w:val="both"/>
              <w:rPr>
                <w:rFonts w:ascii="Palatino Linotype" w:hAnsi="Palatino Linotype"/>
                <w:i/>
                <w:sz w:val="20"/>
                <w:szCs w:val="20"/>
                <w:shd w:val="clear" w:color="auto" w:fill="FAF9F8"/>
              </w:rPr>
            </w:pPr>
            <w:r w:rsidRPr="003B6356">
              <w:rPr>
                <w:rFonts w:ascii="Palatino Linotype" w:hAnsi="Palatino Linotype"/>
                <w:i/>
                <w:sz w:val="20"/>
                <w:szCs w:val="20"/>
                <w:shd w:val="clear" w:color="auto" w:fill="FAF9F8"/>
              </w:rPr>
              <w:t>9.256,70m2</w:t>
            </w:r>
          </w:p>
          <w:p w:rsidR="00BE06CC" w:rsidRPr="003B6356" w:rsidRDefault="00BE06CC" w:rsidP="004B58FE">
            <w:pPr>
              <w:tabs>
                <w:tab w:val="left" w:pos="1080"/>
              </w:tabs>
              <w:jc w:val="both"/>
              <w:rPr>
                <w:rFonts w:ascii="Palatino Linotype" w:hAnsi="Palatino Linotype"/>
                <w:i/>
                <w:sz w:val="20"/>
                <w:szCs w:val="20"/>
                <w:shd w:val="clear" w:color="auto" w:fill="FAF9F8"/>
              </w:rPr>
            </w:pPr>
          </w:p>
        </w:tc>
        <w:tc>
          <w:tcPr>
            <w:tcW w:w="2041" w:type="dxa"/>
          </w:tcPr>
          <w:p w:rsidR="00BE06CC" w:rsidRPr="003B6356" w:rsidRDefault="00BE06CC" w:rsidP="004B58FE">
            <w:pPr>
              <w:tabs>
                <w:tab w:val="left" w:pos="1080"/>
              </w:tabs>
              <w:jc w:val="both"/>
              <w:rPr>
                <w:rFonts w:ascii="Palatino Linotype" w:hAnsi="Palatino Linotype"/>
                <w:i/>
                <w:sz w:val="20"/>
                <w:szCs w:val="20"/>
                <w:shd w:val="clear" w:color="auto" w:fill="FAF9F8"/>
              </w:rPr>
            </w:pPr>
          </w:p>
          <w:p w:rsidR="00BE06CC" w:rsidRPr="003B6356" w:rsidRDefault="00BE06CC" w:rsidP="004B58FE">
            <w:pPr>
              <w:tabs>
                <w:tab w:val="left" w:pos="1080"/>
              </w:tabs>
              <w:jc w:val="both"/>
              <w:rPr>
                <w:rFonts w:ascii="Palatino Linotype" w:hAnsi="Palatino Linotype"/>
                <w:i/>
                <w:sz w:val="20"/>
                <w:szCs w:val="20"/>
                <w:shd w:val="clear" w:color="auto" w:fill="FAF9F8"/>
              </w:rPr>
            </w:pPr>
            <w:r w:rsidRPr="003B6356">
              <w:rPr>
                <w:rFonts w:ascii="Palatino Linotype" w:hAnsi="Palatino Linotype"/>
                <w:i/>
                <w:sz w:val="20"/>
                <w:szCs w:val="20"/>
                <w:shd w:val="clear" w:color="auto" w:fill="FAF9F8"/>
              </w:rPr>
              <w:t>95,00usd</w:t>
            </w:r>
          </w:p>
          <w:p w:rsidR="00BE06CC" w:rsidRPr="003B6356" w:rsidRDefault="00BE06CC" w:rsidP="004B58FE">
            <w:pPr>
              <w:tabs>
                <w:tab w:val="left" w:pos="1080"/>
              </w:tabs>
              <w:jc w:val="both"/>
              <w:rPr>
                <w:rFonts w:ascii="Palatino Linotype" w:hAnsi="Palatino Linotype"/>
                <w:i/>
                <w:sz w:val="20"/>
                <w:szCs w:val="20"/>
                <w:shd w:val="clear" w:color="auto" w:fill="FAF9F8"/>
              </w:rPr>
            </w:pPr>
          </w:p>
        </w:tc>
        <w:tc>
          <w:tcPr>
            <w:tcW w:w="3081" w:type="dxa"/>
          </w:tcPr>
          <w:p w:rsidR="00BE06CC" w:rsidRPr="003B6356" w:rsidRDefault="00BE06CC" w:rsidP="004B58FE">
            <w:pPr>
              <w:tabs>
                <w:tab w:val="left" w:pos="1080"/>
              </w:tabs>
              <w:jc w:val="both"/>
              <w:rPr>
                <w:rFonts w:ascii="Palatino Linotype" w:hAnsi="Palatino Linotype"/>
                <w:i/>
                <w:sz w:val="20"/>
                <w:szCs w:val="20"/>
                <w:shd w:val="clear" w:color="auto" w:fill="FAF9F8"/>
              </w:rPr>
            </w:pPr>
          </w:p>
          <w:p w:rsidR="00BE06CC" w:rsidRPr="003B6356" w:rsidRDefault="00BE06CC" w:rsidP="004B58FE">
            <w:pPr>
              <w:tabs>
                <w:tab w:val="left" w:pos="1080"/>
              </w:tabs>
              <w:jc w:val="both"/>
              <w:rPr>
                <w:rFonts w:ascii="Palatino Linotype" w:hAnsi="Palatino Linotype"/>
                <w:i/>
                <w:sz w:val="20"/>
                <w:szCs w:val="20"/>
                <w:shd w:val="clear" w:color="auto" w:fill="FAF9F8"/>
              </w:rPr>
            </w:pPr>
            <w:r w:rsidRPr="003B6356">
              <w:rPr>
                <w:rFonts w:ascii="Palatino Linotype" w:hAnsi="Palatino Linotype"/>
                <w:i/>
                <w:sz w:val="20"/>
                <w:szCs w:val="20"/>
                <w:shd w:val="clear" w:color="auto" w:fill="FAF9F8"/>
              </w:rPr>
              <w:t xml:space="preserve">739.300,23usd </w:t>
            </w:r>
          </w:p>
          <w:p w:rsidR="00BE06CC" w:rsidRPr="003B6356" w:rsidRDefault="00BE06CC" w:rsidP="004B58FE">
            <w:pPr>
              <w:tabs>
                <w:tab w:val="left" w:pos="1080"/>
              </w:tabs>
              <w:jc w:val="both"/>
              <w:rPr>
                <w:rFonts w:ascii="Palatino Linotype" w:hAnsi="Palatino Linotype"/>
                <w:i/>
                <w:sz w:val="20"/>
                <w:szCs w:val="20"/>
                <w:shd w:val="clear" w:color="auto" w:fill="FAF9F8"/>
              </w:rPr>
            </w:pPr>
          </w:p>
        </w:tc>
      </w:tr>
      <w:tr w:rsidR="00BE06CC" w:rsidRPr="008D5F03" w:rsidTr="003B6356">
        <w:trPr>
          <w:trHeight w:val="1568"/>
        </w:trPr>
        <w:tc>
          <w:tcPr>
            <w:tcW w:w="8238" w:type="dxa"/>
            <w:gridSpan w:val="4"/>
          </w:tcPr>
          <w:p w:rsidR="00BE06CC" w:rsidRPr="003B6356" w:rsidRDefault="00BE06CC" w:rsidP="006F6D18">
            <w:pPr>
              <w:tabs>
                <w:tab w:val="left" w:pos="1080"/>
              </w:tabs>
              <w:jc w:val="both"/>
              <w:rPr>
                <w:rFonts w:ascii="Palatino Linotype" w:hAnsi="Palatino Linotype"/>
                <w:i/>
                <w:sz w:val="20"/>
                <w:szCs w:val="20"/>
                <w:shd w:val="clear" w:color="auto" w:fill="FAF9F8"/>
              </w:rPr>
            </w:pPr>
            <w:r w:rsidRPr="003B6356">
              <w:rPr>
                <w:rFonts w:ascii="Palatino Linotype" w:hAnsi="Palatino Linotype"/>
                <w:b/>
                <w:i/>
                <w:sz w:val="20"/>
                <w:szCs w:val="20"/>
                <w:shd w:val="clear" w:color="auto" w:fill="FAF9F8"/>
              </w:rPr>
              <w:t>Base Legal:</w:t>
            </w:r>
            <w:r w:rsidRPr="003B6356">
              <w:rPr>
                <w:rFonts w:ascii="Palatino Linotype" w:hAnsi="Palatino Linotype"/>
                <w:i/>
                <w:sz w:val="20"/>
                <w:szCs w:val="20"/>
                <w:shd w:val="clear" w:color="auto" w:fill="FAF9F8"/>
              </w:rPr>
              <w:t xml:space="preserve"> Ordenanza Metropolitana Nro. 008-2019, Modificatoria del Capítulo I "VALORACIÓN INMOBILIARIA", DEL TÍTULO III “, DEL LIBRO 111.5 Del Eje Económico del Código Municipal para el Distrito Metropolitano de Quito con el cual se aprueba el Plano de Valor de la Tierra de los predios Urbanos y Rurales del Distrito Metropolitano a regir para el Bienio 2020-2021.</w:t>
            </w:r>
          </w:p>
        </w:tc>
      </w:tr>
    </w:tbl>
    <w:p w:rsidR="00BE06CC" w:rsidRDefault="00BE06CC" w:rsidP="00BE06CC">
      <w:pPr>
        <w:autoSpaceDE w:val="0"/>
        <w:autoSpaceDN w:val="0"/>
        <w:adjustRightInd w:val="0"/>
        <w:jc w:val="both"/>
        <w:rPr>
          <w:rFonts w:ascii="Palatino Linotype" w:hAnsi="Palatino Linotype"/>
          <w:sz w:val="22"/>
          <w:szCs w:val="22"/>
        </w:rPr>
      </w:pPr>
    </w:p>
    <w:p w:rsidR="00C92ED6" w:rsidRDefault="00C92ED6" w:rsidP="00C92ED6">
      <w:pPr>
        <w:autoSpaceDE w:val="0"/>
        <w:autoSpaceDN w:val="0"/>
        <w:adjustRightInd w:val="0"/>
        <w:ind w:left="708"/>
        <w:jc w:val="both"/>
        <w:rPr>
          <w:rFonts w:ascii="Palatino Linotype" w:hAnsi="Palatino Linotype"/>
          <w:i/>
          <w:sz w:val="22"/>
          <w:szCs w:val="22"/>
        </w:rPr>
      </w:pPr>
      <w:r w:rsidRPr="00036C0E">
        <w:rPr>
          <w:rFonts w:ascii="Palatino Linotype" w:hAnsi="Palatino Linotype"/>
          <w:i/>
          <w:sz w:val="22"/>
          <w:szCs w:val="22"/>
        </w:rPr>
        <w:t>Por tanto, el valor por compensación del 15% por ciento del área útil adjudicada mediante sentencia a la fecha de hoy es la que se detalla a continuación pudiendo esta cambiar si cambia el avaluó catastral.</w:t>
      </w:r>
    </w:p>
    <w:p w:rsidR="001D43D9" w:rsidRDefault="001D43D9" w:rsidP="00C92ED6">
      <w:pPr>
        <w:autoSpaceDE w:val="0"/>
        <w:autoSpaceDN w:val="0"/>
        <w:adjustRightInd w:val="0"/>
        <w:ind w:left="708"/>
        <w:jc w:val="both"/>
        <w:rPr>
          <w:rFonts w:ascii="Palatino Linotype" w:hAnsi="Palatino Linotype"/>
          <w:i/>
          <w:sz w:val="22"/>
          <w:szCs w:val="22"/>
        </w:rPr>
      </w:pPr>
    </w:p>
    <w:p w:rsidR="001D43D9" w:rsidRPr="00036C0E" w:rsidRDefault="002435E3" w:rsidP="00C92ED6">
      <w:pPr>
        <w:autoSpaceDE w:val="0"/>
        <w:autoSpaceDN w:val="0"/>
        <w:adjustRightInd w:val="0"/>
        <w:ind w:left="708"/>
        <w:jc w:val="both"/>
        <w:rPr>
          <w:rFonts w:ascii="Palatino Linotype" w:hAnsi="Palatino Linotype"/>
          <w:i/>
          <w:sz w:val="22"/>
          <w:szCs w:val="22"/>
        </w:rPr>
      </w:pPr>
      <w:r w:rsidRPr="002435E3">
        <w:rPr>
          <w:rFonts w:ascii="Palatino Linotype" w:hAnsi="Palatino Linotype"/>
          <w:i/>
          <w:sz w:val="22"/>
          <w:szCs w:val="22"/>
        </w:rPr>
        <w:drawing>
          <wp:inline distT="0" distB="0" distL="0" distR="0" wp14:anchorId="2DDD4556" wp14:editId="0B02ADEA">
            <wp:extent cx="4744112" cy="676369"/>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44112" cy="676369"/>
                    </a:xfrm>
                    <a:prstGeom prst="rect">
                      <a:avLst/>
                    </a:prstGeom>
                  </pic:spPr>
                </pic:pic>
              </a:graphicData>
            </a:graphic>
          </wp:inline>
        </w:drawing>
      </w:r>
    </w:p>
    <w:p w:rsidR="00D90E77" w:rsidRDefault="00D90E77" w:rsidP="00BE06CC">
      <w:pPr>
        <w:autoSpaceDE w:val="0"/>
        <w:autoSpaceDN w:val="0"/>
        <w:adjustRightInd w:val="0"/>
        <w:ind w:left="708" w:hanging="708"/>
        <w:jc w:val="both"/>
        <w:rPr>
          <w:rFonts w:ascii="Palatino Linotype" w:hAnsi="Palatino Linotype"/>
          <w:color w:val="000000" w:themeColor="text1"/>
          <w:sz w:val="22"/>
          <w:szCs w:val="22"/>
        </w:rPr>
      </w:pPr>
    </w:p>
    <w:p w:rsidR="00804DD4" w:rsidRPr="008D5F03" w:rsidRDefault="000022D4" w:rsidP="00804DD4">
      <w:pPr>
        <w:autoSpaceDE w:val="0"/>
        <w:autoSpaceDN w:val="0"/>
        <w:adjustRightInd w:val="0"/>
        <w:ind w:left="708" w:hanging="708"/>
        <w:jc w:val="both"/>
        <w:rPr>
          <w:rFonts w:ascii="Palatino Linotype" w:hAnsi="Palatino Linotype"/>
          <w:sz w:val="22"/>
          <w:szCs w:val="22"/>
        </w:rPr>
      </w:pPr>
      <w:r w:rsidRPr="00DA6F40">
        <w:rPr>
          <w:rFonts w:ascii="Palatino Linotype" w:hAnsi="Palatino Linotype"/>
          <w:b/>
          <w:sz w:val="22"/>
          <w:szCs w:val="22"/>
        </w:rPr>
        <w:t xml:space="preserve">Que, </w:t>
      </w:r>
      <w:r w:rsidR="00804DD4">
        <w:rPr>
          <w:rFonts w:ascii="Palatino Linotype" w:hAnsi="Palatino Linotype"/>
          <w:sz w:val="22"/>
          <w:szCs w:val="22"/>
        </w:rPr>
        <w:t>m</w:t>
      </w:r>
      <w:r w:rsidR="00804DD4" w:rsidRPr="008D5F03">
        <w:rPr>
          <w:rFonts w:ascii="Palatino Linotype" w:hAnsi="Palatino Linotype"/>
          <w:sz w:val="22"/>
          <w:szCs w:val="22"/>
        </w:rPr>
        <w:t xml:space="preserve">ediante oficio GADDMQ-AZCA-DGT-2021-2662-M de fecha 16 de noviembre de 2021, emitido por la Jefatura de Territorio y Vivienda de la Administración Zonal Calderón se expone: </w:t>
      </w:r>
    </w:p>
    <w:p w:rsidR="00804DD4" w:rsidRPr="008D5F03" w:rsidRDefault="00804DD4" w:rsidP="00804DD4">
      <w:pPr>
        <w:autoSpaceDE w:val="0"/>
        <w:autoSpaceDN w:val="0"/>
        <w:adjustRightInd w:val="0"/>
        <w:jc w:val="both"/>
        <w:rPr>
          <w:rFonts w:ascii="Palatino Linotype" w:hAnsi="Palatino Linotype"/>
          <w:sz w:val="22"/>
          <w:szCs w:val="22"/>
        </w:rPr>
      </w:pPr>
    </w:p>
    <w:p w:rsidR="00804DD4" w:rsidRPr="008D5F03" w:rsidRDefault="00804DD4" w:rsidP="00804DD4">
      <w:pPr>
        <w:autoSpaceDE w:val="0"/>
        <w:autoSpaceDN w:val="0"/>
        <w:adjustRightInd w:val="0"/>
        <w:ind w:left="708" w:firstLine="60"/>
        <w:jc w:val="both"/>
        <w:rPr>
          <w:rFonts w:ascii="Palatino Linotype" w:hAnsi="Palatino Linotype"/>
          <w:sz w:val="22"/>
          <w:szCs w:val="22"/>
        </w:rPr>
      </w:pPr>
      <w:r w:rsidRPr="008D5F03">
        <w:rPr>
          <w:rFonts w:ascii="Palatino Linotype" w:hAnsi="Palatino Linotype"/>
          <w:sz w:val="22"/>
          <w:szCs w:val="22"/>
        </w:rPr>
        <w:lastRenderedPageBreak/>
        <w:t>“</w:t>
      </w:r>
      <w:r w:rsidRPr="008D5F03">
        <w:rPr>
          <w:rFonts w:ascii="Palatino Linotype" w:hAnsi="Palatino Linotype"/>
          <w:i/>
          <w:sz w:val="22"/>
          <w:szCs w:val="22"/>
        </w:rPr>
        <w:t xml:space="preserve">El inmueble descrito en la </w:t>
      </w:r>
      <w:r w:rsidRPr="008D5F03">
        <w:rPr>
          <w:rFonts w:ascii="Palatino Linotype" w:hAnsi="Palatino Linotype"/>
          <w:b/>
          <w:i/>
          <w:sz w:val="22"/>
          <w:szCs w:val="22"/>
          <w:u w:val="single"/>
        </w:rPr>
        <w:t>Sentencia de prescripci</w:t>
      </w:r>
      <w:r w:rsidRPr="008D5F03">
        <w:rPr>
          <w:rFonts w:ascii="Palatino Linotype" w:hAnsi="Palatino Linotype" w:cs="Palatino Linotype"/>
          <w:b/>
          <w:i/>
          <w:sz w:val="22"/>
          <w:szCs w:val="22"/>
          <w:u w:val="single"/>
        </w:rPr>
        <w:t>ó</w:t>
      </w:r>
      <w:r w:rsidRPr="008D5F03">
        <w:rPr>
          <w:rFonts w:ascii="Palatino Linotype" w:hAnsi="Palatino Linotype"/>
          <w:b/>
          <w:i/>
          <w:sz w:val="22"/>
          <w:szCs w:val="22"/>
          <w:u w:val="single"/>
        </w:rPr>
        <w:t>n Adquisitiva de Dominio del Sr. MARCO MARCELINO LOMAS AYALA con cedula CU: 150018328-8, referencia LOTE No. 12</w:t>
      </w:r>
      <w:r w:rsidRPr="008D5F03">
        <w:rPr>
          <w:rFonts w:ascii="Palatino Linotype" w:hAnsi="Palatino Linotype"/>
          <w:i/>
          <w:sz w:val="22"/>
          <w:szCs w:val="22"/>
        </w:rPr>
        <w:t xml:space="preserve">; se encuentra ubicado en la parte interna del predio No. </w:t>
      </w:r>
      <w:r w:rsidRPr="008D5F03">
        <w:rPr>
          <w:rFonts w:ascii="Palatino Linotype" w:hAnsi="Palatino Linotype"/>
          <w:b/>
          <w:i/>
          <w:sz w:val="22"/>
          <w:szCs w:val="22"/>
        </w:rPr>
        <w:t>390030</w:t>
      </w:r>
      <w:r w:rsidRPr="008D5F03">
        <w:rPr>
          <w:rFonts w:ascii="Palatino Linotype" w:hAnsi="Palatino Linotype"/>
          <w:i/>
          <w:sz w:val="22"/>
          <w:szCs w:val="22"/>
        </w:rPr>
        <w:t xml:space="preserve"> de clave catastral </w:t>
      </w:r>
      <w:r w:rsidRPr="008D5F03">
        <w:rPr>
          <w:rFonts w:ascii="Palatino Linotype" w:hAnsi="Palatino Linotype"/>
          <w:b/>
          <w:i/>
          <w:sz w:val="22"/>
          <w:szCs w:val="22"/>
        </w:rPr>
        <w:t>13814-04-022</w:t>
      </w:r>
      <w:r w:rsidRPr="008D5F03">
        <w:rPr>
          <w:rFonts w:ascii="Palatino Linotype" w:hAnsi="Palatino Linotype"/>
          <w:i/>
          <w:sz w:val="22"/>
          <w:szCs w:val="22"/>
        </w:rPr>
        <w:t xml:space="preserve"> ubicado en el sector LUZ y VIDA de la parroquia de CALDERON, como se visualiza en la foto adjunta De acuerdo al Plan Parcial Calderón las vías locales existentes aperturada, aprobadas por ordenanza Metropolitana Nro. 0209-(005/Ref0016)(P.P.C). Esta Sentencia de Prescripción </w:t>
      </w:r>
      <w:r w:rsidR="00310B84">
        <w:rPr>
          <w:rFonts w:ascii="Palatino Linotype" w:hAnsi="Palatino Linotype"/>
          <w:b/>
          <w:i/>
          <w:sz w:val="22"/>
          <w:szCs w:val="22"/>
        </w:rPr>
        <w:t>Adquisitiva</w:t>
      </w:r>
      <w:r w:rsidRPr="008D5F03">
        <w:rPr>
          <w:rFonts w:ascii="Palatino Linotype" w:hAnsi="Palatino Linotype"/>
          <w:b/>
          <w:i/>
          <w:sz w:val="22"/>
          <w:szCs w:val="22"/>
        </w:rPr>
        <w:t xml:space="preserve"> NO COLINDA </w:t>
      </w:r>
      <w:r w:rsidRPr="008D5F03">
        <w:rPr>
          <w:rFonts w:ascii="Palatino Linotype" w:hAnsi="Palatino Linotype"/>
          <w:i/>
          <w:sz w:val="22"/>
          <w:szCs w:val="22"/>
        </w:rPr>
        <w:t xml:space="preserve">con ninguna vía Publica aprobada para su acceso.” </w:t>
      </w:r>
    </w:p>
    <w:p w:rsidR="000113AC" w:rsidRPr="00DA6F40" w:rsidRDefault="000113AC" w:rsidP="00804DD4">
      <w:pPr>
        <w:autoSpaceDE w:val="0"/>
        <w:autoSpaceDN w:val="0"/>
        <w:adjustRightInd w:val="0"/>
        <w:ind w:left="708" w:hanging="708"/>
        <w:jc w:val="both"/>
        <w:rPr>
          <w:rFonts w:ascii="Palatino Linotype" w:hAnsi="Palatino Linotype"/>
          <w:b/>
          <w:sz w:val="22"/>
          <w:szCs w:val="22"/>
        </w:rPr>
      </w:pPr>
    </w:p>
    <w:p w:rsidR="00CF122E" w:rsidRPr="008D5F03" w:rsidRDefault="0050436B" w:rsidP="00CF122E">
      <w:pPr>
        <w:autoSpaceDE w:val="0"/>
        <w:autoSpaceDN w:val="0"/>
        <w:adjustRightInd w:val="0"/>
        <w:jc w:val="both"/>
        <w:rPr>
          <w:rFonts w:ascii="Palatino Linotype" w:hAnsi="Palatino Linotype"/>
          <w:sz w:val="22"/>
          <w:szCs w:val="22"/>
        </w:rPr>
      </w:pPr>
      <w:r w:rsidRPr="00DA6F40">
        <w:rPr>
          <w:rFonts w:ascii="Palatino Linotype" w:hAnsi="Palatino Linotype"/>
          <w:b/>
          <w:sz w:val="22"/>
          <w:szCs w:val="22"/>
        </w:rPr>
        <w:t>Que,</w:t>
      </w:r>
      <w:r w:rsidR="004948A2" w:rsidRPr="00DA6F40">
        <w:rPr>
          <w:rFonts w:ascii="Palatino Linotype" w:hAnsi="Palatino Linotype"/>
          <w:b/>
          <w:sz w:val="22"/>
          <w:szCs w:val="22"/>
        </w:rPr>
        <w:t xml:space="preserve"> </w:t>
      </w:r>
      <w:r w:rsidR="00CF122E">
        <w:rPr>
          <w:rFonts w:ascii="Palatino Linotype" w:hAnsi="Palatino Linotype"/>
          <w:sz w:val="22"/>
          <w:szCs w:val="22"/>
        </w:rPr>
        <w:t>m</w:t>
      </w:r>
      <w:r w:rsidR="00CF122E" w:rsidRPr="008D5F03">
        <w:rPr>
          <w:rFonts w:ascii="Palatino Linotype" w:hAnsi="Palatino Linotype"/>
          <w:sz w:val="22"/>
          <w:szCs w:val="22"/>
        </w:rPr>
        <w:t xml:space="preserve">ediante Informe Técnico Nro. </w:t>
      </w:r>
      <w:r w:rsidR="00CF122E" w:rsidRPr="008D5F03">
        <w:rPr>
          <w:rFonts w:ascii="Palatino Linotype" w:hAnsi="Palatino Linotype" w:cs="Arial"/>
          <w:sz w:val="22"/>
          <w:szCs w:val="22"/>
          <w:shd w:val="clear" w:color="auto" w:fill="FAF9F8"/>
        </w:rPr>
        <w:t>AZCA-DGT-2021-016</w:t>
      </w:r>
      <w:r w:rsidR="00CF122E" w:rsidRPr="008D5F03">
        <w:rPr>
          <w:rFonts w:ascii="Palatino Linotype" w:hAnsi="Palatino Linotype"/>
          <w:sz w:val="22"/>
          <w:szCs w:val="22"/>
          <w:lang w:val="es-ES"/>
        </w:rPr>
        <w:t xml:space="preserve"> de 24 de noviembre de 2021</w:t>
      </w:r>
      <w:r w:rsidR="00CF122E" w:rsidRPr="008D5F03">
        <w:rPr>
          <w:rFonts w:ascii="Palatino Linotype" w:hAnsi="Palatino Linotype"/>
          <w:sz w:val="22"/>
          <w:szCs w:val="22"/>
        </w:rPr>
        <w:t xml:space="preserve">, el Ing. Israel Jiménez Veloz, señala: </w:t>
      </w:r>
    </w:p>
    <w:p w:rsidR="00CF122E" w:rsidRPr="008D5F03" w:rsidRDefault="00CF122E" w:rsidP="00CF122E">
      <w:pPr>
        <w:autoSpaceDE w:val="0"/>
        <w:autoSpaceDN w:val="0"/>
        <w:adjustRightInd w:val="0"/>
        <w:rPr>
          <w:rFonts w:ascii="Palatino Linotype" w:hAnsi="Palatino Linotype"/>
          <w:sz w:val="22"/>
          <w:szCs w:val="22"/>
        </w:rPr>
      </w:pPr>
      <w:r w:rsidRPr="008D5F03">
        <w:rPr>
          <w:rFonts w:ascii="Palatino Linotype" w:hAnsi="Palatino Linotype"/>
          <w:sz w:val="22"/>
          <w:szCs w:val="22"/>
        </w:rPr>
        <w:t xml:space="preserve"> </w:t>
      </w:r>
    </w:p>
    <w:p w:rsidR="00CF122E" w:rsidRPr="008D5F03" w:rsidRDefault="00CF122E" w:rsidP="00CF122E">
      <w:pPr>
        <w:tabs>
          <w:tab w:val="left" w:pos="284"/>
        </w:tabs>
        <w:ind w:left="360"/>
        <w:jc w:val="both"/>
        <w:rPr>
          <w:rFonts w:ascii="Palatino Linotype" w:hAnsi="Palatino Linotype"/>
          <w:b/>
          <w:i/>
          <w:sz w:val="22"/>
          <w:szCs w:val="22"/>
        </w:rPr>
      </w:pPr>
      <w:r w:rsidRPr="008D5F03">
        <w:rPr>
          <w:rFonts w:ascii="Palatino Linotype" w:hAnsi="Palatino Linotype"/>
          <w:sz w:val="22"/>
          <w:szCs w:val="22"/>
        </w:rPr>
        <w:t>“</w:t>
      </w:r>
      <w:r w:rsidRPr="008D5F03">
        <w:rPr>
          <w:rFonts w:ascii="Palatino Linotype" w:hAnsi="Palatino Linotype"/>
          <w:i/>
          <w:sz w:val="22"/>
          <w:szCs w:val="22"/>
        </w:rPr>
        <w:t>Del análisis técnico se desprende que, la prescripción adquisitiva de dominio de una parte del inmueble del pr</w:t>
      </w:r>
      <w:r w:rsidR="00310B84">
        <w:rPr>
          <w:rFonts w:ascii="Palatino Linotype" w:hAnsi="Palatino Linotype"/>
          <w:i/>
          <w:sz w:val="22"/>
          <w:szCs w:val="22"/>
        </w:rPr>
        <w:t xml:space="preserve">edio No. 390030, Cumple con el </w:t>
      </w:r>
      <w:r w:rsidRPr="008D5F03">
        <w:rPr>
          <w:rFonts w:ascii="Palatino Linotype" w:hAnsi="Palatino Linotype"/>
          <w:i/>
          <w:sz w:val="22"/>
          <w:szCs w:val="22"/>
        </w:rPr>
        <w:t>Lote m</w:t>
      </w:r>
      <w:r w:rsidRPr="008D5F03">
        <w:rPr>
          <w:rFonts w:ascii="Palatino Linotype" w:hAnsi="Palatino Linotype" w:cs="Palatino Linotype"/>
          <w:i/>
          <w:sz w:val="22"/>
          <w:szCs w:val="22"/>
        </w:rPr>
        <w:t>í</w:t>
      </w:r>
      <w:r w:rsidRPr="008D5F03">
        <w:rPr>
          <w:rFonts w:ascii="Palatino Linotype" w:hAnsi="Palatino Linotype"/>
          <w:i/>
          <w:sz w:val="22"/>
          <w:szCs w:val="22"/>
        </w:rPr>
        <w:t xml:space="preserve">nimo </w:t>
      </w:r>
      <w:r w:rsidRPr="008D5F03">
        <w:rPr>
          <w:i/>
          <w:sz w:val="22"/>
          <w:szCs w:val="22"/>
        </w:rPr>
        <w:t>̈</w:t>
      </w:r>
      <w:r w:rsidR="00310B84">
        <w:rPr>
          <w:rFonts w:ascii="Palatino Linotype" w:hAnsi="Palatino Linotype"/>
          <w:i/>
          <w:sz w:val="22"/>
          <w:szCs w:val="22"/>
        </w:rPr>
        <w:t xml:space="preserve">establecida en </w:t>
      </w:r>
      <w:r w:rsidRPr="008D5F03">
        <w:rPr>
          <w:rFonts w:ascii="Palatino Linotype" w:hAnsi="Palatino Linotype"/>
          <w:i/>
          <w:sz w:val="22"/>
          <w:szCs w:val="22"/>
        </w:rPr>
        <w:t>la zonificaci</w:t>
      </w:r>
      <w:r w:rsidRPr="008D5F03">
        <w:rPr>
          <w:rFonts w:ascii="Palatino Linotype" w:hAnsi="Palatino Linotype" w:cs="Palatino Linotype"/>
          <w:i/>
          <w:sz w:val="22"/>
          <w:szCs w:val="22"/>
        </w:rPr>
        <w:t>ó</w:t>
      </w:r>
      <w:r w:rsidRPr="008D5F03">
        <w:rPr>
          <w:rFonts w:ascii="Palatino Linotype" w:hAnsi="Palatino Linotype"/>
          <w:i/>
          <w:sz w:val="22"/>
          <w:szCs w:val="22"/>
        </w:rPr>
        <w:t>n  vigente, pero al no tener frente hacia una v</w:t>
      </w:r>
      <w:r w:rsidRPr="008D5F03">
        <w:rPr>
          <w:rFonts w:ascii="Palatino Linotype" w:hAnsi="Palatino Linotype" w:cs="Palatino Linotype"/>
          <w:i/>
          <w:sz w:val="22"/>
          <w:szCs w:val="22"/>
        </w:rPr>
        <w:t>í</w:t>
      </w:r>
      <w:r w:rsidRPr="008D5F03">
        <w:rPr>
          <w:rFonts w:ascii="Palatino Linotype" w:hAnsi="Palatino Linotype"/>
          <w:i/>
          <w:sz w:val="22"/>
          <w:szCs w:val="22"/>
        </w:rPr>
        <w:t>a p</w:t>
      </w:r>
      <w:r w:rsidRPr="008D5F03">
        <w:rPr>
          <w:rFonts w:ascii="Palatino Linotype" w:hAnsi="Palatino Linotype" w:cs="Palatino Linotype"/>
          <w:i/>
          <w:sz w:val="22"/>
          <w:szCs w:val="22"/>
        </w:rPr>
        <w:t>ú</w:t>
      </w:r>
      <w:r w:rsidRPr="008D5F03">
        <w:rPr>
          <w:rFonts w:ascii="Palatino Linotype" w:hAnsi="Palatino Linotype"/>
          <w:i/>
          <w:sz w:val="22"/>
          <w:szCs w:val="22"/>
        </w:rPr>
        <w:t xml:space="preserve">blica no cumple con el  </w:t>
      </w:r>
      <w:r w:rsidRPr="008D5F03">
        <w:rPr>
          <w:i/>
          <w:sz w:val="22"/>
          <w:szCs w:val="22"/>
        </w:rPr>
        <w:t>̈</w:t>
      </w:r>
      <w:r w:rsidRPr="008D5F03">
        <w:rPr>
          <w:rFonts w:ascii="Palatino Linotype" w:hAnsi="Palatino Linotype"/>
          <w:i/>
          <w:sz w:val="22"/>
          <w:szCs w:val="22"/>
        </w:rPr>
        <w:t>Frente m</w:t>
      </w:r>
      <w:r w:rsidRPr="008D5F03">
        <w:rPr>
          <w:rFonts w:ascii="Palatino Linotype" w:hAnsi="Palatino Linotype" w:cs="Palatino Linotype"/>
          <w:i/>
          <w:sz w:val="22"/>
          <w:szCs w:val="22"/>
        </w:rPr>
        <w:t>í</w:t>
      </w:r>
      <w:r w:rsidRPr="008D5F03">
        <w:rPr>
          <w:rFonts w:ascii="Palatino Linotype" w:hAnsi="Palatino Linotype"/>
          <w:i/>
          <w:sz w:val="22"/>
          <w:szCs w:val="22"/>
        </w:rPr>
        <w:t xml:space="preserve">nimo </w:t>
      </w:r>
      <w:r w:rsidRPr="008D5F03">
        <w:rPr>
          <w:i/>
          <w:sz w:val="22"/>
          <w:szCs w:val="22"/>
        </w:rPr>
        <w:t>̈</w:t>
      </w:r>
      <w:r w:rsidRPr="008D5F03">
        <w:rPr>
          <w:rFonts w:ascii="Palatino Linotype" w:hAnsi="Palatino Linotype"/>
          <w:i/>
          <w:sz w:val="22"/>
          <w:szCs w:val="22"/>
        </w:rPr>
        <w:t>, raz</w:t>
      </w:r>
      <w:r w:rsidRPr="008D5F03">
        <w:rPr>
          <w:rFonts w:ascii="Palatino Linotype" w:hAnsi="Palatino Linotype" w:cs="Palatino Linotype"/>
          <w:i/>
          <w:sz w:val="22"/>
          <w:szCs w:val="22"/>
        </w:rPr>
        <w:t>ó</w:t>
      </w:r>
      <w:r w:rsidRPr="008D5F03">
        <w:rPr>
          <w:rFonts w:ascii="Palatino Linotype" w:hAnsi="Palatino Linotype"/>
          <w:i/>
          <w:sz w:val="22"/>
          <w:szCs w:val="22"/>
        </w:rPr>
        <w:t xml:space="preserve">n por la que se emite </w:t>
      </w:r>
      <w:r w:rsidRPr="008D5F03">
        <w:rPr>
          <w:rFonts w:ascii="Palatino Linotype" w:hAnsi="Palatino Linotype"/>
          <w:b/>
          <w:i/>
          <w:sz w:val="22"/>
          <w:szCs w:val="22"/>
        </w:rPr>
        <w:t>Informe T</w:t>
      </w:r>
      <w:r w:rsidRPr="008D5F03">
        <w:rPr>
          <w:rFonts w:ascii="Palatino Linotype" w:hAnsi="Palatino Linotype" w:cs="Palatino Linotype"/>
          <w:b/>
          <w:i/>
          <w:sz w:val="22"/>
          <w:szCs w:val="22"/>
        </w:rPr>
        <w:t>é</w:t>
      </w:r>
      <w:r w:rsidRPr="008D5F03">
        <w:rPr>
          <w:rFonts w:ascii="Palatino Linotype" w:hAnsi="Palatino Linotype"/>
          <w:b/>
          <w:i/>
          <w:sz w:val="22"/>
          <w:szCs w:val="22"/>
        </w:rPr>
        <w:t>cnico Desfavorable</w:t>
      </w:r>
      <w:r w:rsidRPr="008D5F03">
        <w:rPr>
          <w:rFonts w:ascii="Palatino Linotype" w:hAnsi="Palatino Linotype"/>
          <w:i/>
          <w:sz w:val="22"/>
          <w:szCs w:val="22"/>
        </w:rPr>
        <w:t xml:space="preserve">”. </w:t>
      </w:r>
    </w:p>
    <w:p w:rsidR="0050436B" w:rsidRDefault="0050436B" w:rsidP="00595410">
      <w:pPr>
        <w:pStyle w:val="Default"/>
        <w:jc w:val="both"/>
        <w:rPr>
          <w:b/>
          <w:sz w:val="22"/>
          <w:szCs w:val="22"/>
        </w:rPr>
      </w:pPr>
    </w:p>
    <w:p w:rsidR="00E75599" w:rsidRDefault="00E75599" w:rsidP="00E75599">
      <w:pPr>
        <w:autoSpaceDE w:val="0"/>
        <w:autoSpaceDN w:val="0"/>
        <w:adjustRightInd w:val="0"/>
        <w:jc w:val="both"/>
        <w:rPr>
          <w:rFonts w:ascii="Palatino Linotype" w:hAnsi="Palatino Linotype"/>
          <w:sz w:val="22"/>
          <w:szCs w:val="22"/>
        </w:rPr>
      </w:pPr>
      <w:r w:rsidRPr="00DA6F40">
        <w:rPr>
          <w:rFonts w:ascii="Palatino Linotype" w:hAnsi="Palatino Linotype"/>
          <w:b/>
          <w:sz w:val="22"/>
          <w:szCs w:val="22"/>
        </w:rPr>
        <w:t xml:space="preserve">Que, </w:t>
      </w:r>
      <w:r>
        <w:rPr>
          <w:rFonts w:ascii="Palatino Linotype" w:hAnsi="Palatino Linotype"/>
          <w:sz w:val="22"/>
          <w:szCs w:val="22"/>
        </w:rPr>
        <w:t>m</w:t>
      </w:r>
      <w:r w:rsidRPr="008D5F03">
        <w:rPr>
          <w:rFonts w:ascii="Palatino Linotype" w:hAnsi="Palatino Linotype"/>
          <w:sz w:val="22"/>
          <w:szCs w:val="22"/>
        </w:rPr>
        <w:t xml:space="preserve">ediante </w:t>
      </w:r>
      <w:r>
        <w:rPr>
          <w:rFonts w:ascii="Palatino Linotype" w:hAnsi="Palatino Linotype"/>
          <w:sz w:val="22"/>
          <w:szCs w:val="22"/>
        </w:rPr>
        <w:t xml:space="preserve">oficio </w:t>
      </w:r>
      <w:r w:rsidRPr="008D5F03">
        <w:rPr>
          <w:rFonts w:ascii="Palatino Linotype" w:hAnsi="Palatino Linotype"/>
          <w:sz w:val="22"/>
          <w:szCs w:val="22"/>
        </w:rPr>
        <w:t xml:space="preserve">Nro. </w:t>
      </w:r>
      <w:r>
        <w:t>GADDMQ-AZCA-2022-0341-O</w:t>
      </w:r>
      <w:r>
        <w:t xml:space="preserve">, </w:t>
      </w:r>
      <w:r w:rsidRPr="008D5F03">
        <w:rPr>
          <w:rFonts w:ascii="Palatino Linotype" w:hAnsi="Palatino Linotype"/>
          <w:sz w:val="22"/>
          <w:szCs w:val="22"/>
          <w:lang w:val="es-ES"/>
        </w:rPr>
        <w:t xml:space="preserve">de </w:t>
      </w:r>
      <w:r>
        <w:rPr>
          <w:rFonts w:ascii="Palatino Linotype" w:hAnsi="Palatino Linotype"/>
          <w:sz w:val="22"/>
          <w:szCs w:val="22"/>
          <w:lang w:val="es-ES"/>
        </w:rPr>
        <w:t xml:space="preserve">29 </w:t>
      </w:r>
      <w:r w:rsidRPr="008D5F03">
        <w:rPr>
          <w:rFonts w:ascii="Palatino Linotype" w:hAnsi="Palatino Linotype"/>
          <w:sz w:val="22"/>
          <w:szCs w:val="22"/>
          <w:lang w:val="es-ES"/>
        </w:rPr>
        <w:t xml:space="preserve">de </w:t>
      </w:r>
      <w:r>
        <w:rPr>
          <w:rFonts w:ascii="Palatino Linotype" w:hAnsi="Palatino Linotype"/>
          <w:sz w:val="22"/>
          <w:szCs w:val="22"/>
          <w:lang w:val="es-ES"/>
        </w:rPr>
        <w:t>enero de 2022</w:t>
      </w:r>
      <w:r w:rsidRPr="008D5F03">
        <w:rPr>
          <w:rFonts w:ascii="Palatino Linotype" w:hAnsi="Palatino Linotype"/>
          <w:sz w:val="22"/>
          <w:szCs w:val="22"/>
        </w:rPr>
        <w:t xml:space="preserve">, </w:t>
      </w:r>
      <w:r w:rsidR="00842941">
        <w:rPr>
          <w:rFonts w:ascii="Palatino Linotype" w:hAnsi="Palatino Linotype"/>
          <w:sz w:val="22"/>
          <w:szCs w:val="22"/>
        </w:rPr>
        <w:t>la Mgs. Ana María Sánchez, Administradora Zonal Calderón</w:t>
      </w:r>
      <w:r w:rsidRPr="008D5F03">
        <w:rPr>
          <w:rFonts w:ascii="Palatino Linotype" w:hAnsi="Palatino Linotype"/>
          <w:sz w:val="22"/>
          <w:szCs w:val="22"/>
        </w:rPr>
        <w:t xml:space="preserve">, señala: </w:t>
      </w:r>
    </w:p>
    <w:p w:rsidR="00842941" w:rsidRDefault="00842941" w:rsidP="00E75599">
      <w:pPr>
        <w:autoSpaceDE w:val="0"/>
        <w:autoSpaceDN w:val="0"/>
        <w:adjustRightInd w:val="0"/>
        <w:jc w:val="both"/>
        <w:rPr>
          <w:rFonts w:ascii="Palatino Linotype" w:hAnsi="Palatino Linotype"/>
          <w:sz w:val="22"/>
          <w:szCs w:val="22"/>
        </w:rPr>
      </w:pPr>
    </w:p>
    <w:p w:rsidR="00842941" w:rsidRDefault="00842941" w:rsidP="009E4E92">
      <w:pPr>
        <w:autoSpaceDE w:val="0"/>
        <w:autoSpaceDN w:val="0"/>
        <w:adjustRightInd w:val="0"/>
        <w:ind w:left="708"/>
        <w:jc w:val="both"/>
        <w:rPr>
          <w:i/>
        </w:rPr>
      </w:pPr>
      <w:r w:rsidRPr="009E4E92">
        <w:rPr>
          <w:rFonts w:ascii="Palatino Linotype" w:hAnsi="Palatino Linotype"/>
          <w:i/>
          <w:sz w:val="22"/>
          <w:szCs w:val="22"/>
        </w:rPr>
        <w:t>“(…)</w:t>
      </w:r>
      <w:r w:rsidR="002F36C3" w:rsidRPr="009E4E92">
        <w:rPr>
          <w:rFonts w:ascii="Palatino Linotype" w:hAnsi="Palatino Linotype"/>
          <w:i/>
          <w:sz w:val="22"/>
          <w:szCs w:val="22"/>
        </w:rPr>
        <w:t xml:space="preserve"> </w:t>
      </w:r>
      <w:r w:rsidR="009E4E92" w:rsidRPr="009E4E92">
        <w:rPr>
          <w:i/>
        </w:rPr>
        <w:t>Por tanto, el valor por compensación del 15% por ciento del área útil adjudicada mediante sentencia a la fecha de hoy es la que se detalla a continuación pudiendo esta cambiar si cambia el avaluó catastral.</w:t>
      </w:r>
    </w:p>
    <w:p w:rsidR="009E4E92" w:rsidRDefault="009E4E92" w:rsidP="009E4E92">
      <w:pPr>
        <w:autoSpaceDE w:val="0"/>
        <w:autoSpaceDN w:val="0"/>
        <w:adjustRightInd w:val="0"/>
        <w:ind w:left="708"/>
        <w:jc w:val="both"/>
        <w:rPr>
          <w:rFonts w:ascii="Palatino Linotype" w:hAnsi="Palatino Linotype"/>
          <w:i/>
          <w:sz w:val="22"/>
          <w:szCs w:val="22"/>
        </w:rPr>
      </w:pPr>
    </w:p>
    <w:p w:rsidR="009E4E92" w:rsidRPr="009E4E92" w:rsidRDefault="002E1BD8" w:rsidP="009E4E92">
      <w:pPr>
        <w:autoSpaceDE w:val="0"/>
        <w:autoSpaceDN w:val="0"/>
        <w:adjustRightInd w:val="0"/>
        <w:ind w:left="708"/>
        <w:jc w:val="both"/>
        <w:rPr>
          <w:rFonts w:ascii="Palatino Linotype" w:hAnsi="Palatino Linotype"/>
          <w:i/>
          <w:sz w:val="22"/>
          <w:szCs w:val="22"/>
        </w:rPr>
      </w:pPr>
      <w:r w:rsidRPr="002E1BD8">
        <w:rPr>
          <w:rFonts w:ascii="Palatino Linotype" w:hAnsi="Palatino Linotype"/>
          <w:i/>
          <w:sz w:val="22"/>
          <w:szCs w:val="22"/>
        </w:rPr>
        <w:drawing>
          <wp:inline distT="0" distB="0" distL="0" distR="0" wp14:anchorId="21F8D022" wp14:editId="26AA37E8">
            <wp:extent cx="4686954" cy="70494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86954" cy="704948"/>
                    </a:xfrm>
                    <a:prstGeom prst="rect">
                      <a:avLst/>
                    </a:prstGeom>
                  </pic:spPr>
                </pic:pic>
              </a:graphicData>
            </a:graphic>
          </wp:inline>
        </w:drawing>
      </w:r>
    </w:p>
    <w:p w:rsidR="00E75599" w:rsidRDefault="00E75599" w:rsidP="00595410">
      <w:pPr>
        <w:pStyle w:val="Default"/>
        <w:jc w:val="both"/>
        <w:rPr>
          <w:b/>
          <w:sz w:val="22"/>
          <w:szCs w:val="22"/>
        </w:rPr>
      </w:pPr>
    </w:p>
    <w:p w:rsidR="002E1BD8" w:rsidRDefault="002E1BD8" w:rsidP="002E1BD8">
      <w:pPr>
        <w:pStyle w:val="Default"/>
        <w:ind w:left="708"/>
        <w:jc w:val="both"/>
        <w:rPr>
          <w:i/>
        </w:rPr>
      </w:pPr>
      <w:r w:rsidRPr="002E1BD8">
        <w:rPr>
          <w:i/>
        </w:rPr>
        <w:t>En virtud de lo expuesto, ratificamos el informe Técnico y Legal de fechas 24-11-2021 y 08-10-2021 respectivamente referente al valor de contribución correspondiente a $2515.79 a las fechas mencionadas, pudiendo este valor cambiar si cambia el avalúo catastral.</w:t>
      </w:r>
    </w:p>
    <w:p w:rsidR="002E1BD8" w:rsidRPr="002E1BD8" w:rsidRDefault="002E1BD8" w:rsidP="002E1BD8">
      <w:pPr>
        <w:pStyle w:val="Default"/>
        <w:ind w:left="708"/>
        <w:jc w:val="both"/>
        <w:rPr>
          <w:b/>
          <w:i/>
          <w:sz w:val="22"/>
          <w:szCs w:val="22"/>
        </w:rPr>
      </w:pPr>
      <w:bookmarkStart w:id="0" w:name="_GoBack"/>
      <w:bookmarkEnd w:id="0"/>
    </w:p>
    <w:p w:rsidR="000113AC" w:rsidRPr="00DA6F40" w:rsidRDefault="000113AC" w:rsidP="000113AC">
      <w:pPr>
        <w:pStyle w:val="Default"/>
        <w:ind w:left="708" w:hanging="708"/>
        <w:jc w:val="both"/>
        <w:rPr>
          <w:sz w:val="22"/>
          <w:szCs w:val="22"/>
        </w:rPr>
      </w:pPr>
      <w:r w:rsidRPr="00DA6F40">
        <w:rPr>
          <w:b/>
          <w:sz w:val="22"/>
          <w:szCs w:val="22"/>
        </w:rPr>
        <w:t>Que,</w:t>
      </w:r>
      <w:r w:rsidRPr="00DA6F40">
        <w:rPr>
          <w:sz w:val="22"/>
          <w:szCs w:val="22"/>
        </w:rPr>
        <w:t xml:space="preserve"> mediante oficio GADDMQ-PM-2021-0396-O de 29 de enero de 2021, el Dr. Edison Yépez Vinueza, Subprocurador Metropolitano, señala: </w:t>
      </w:r>
    </w:p>
    <w:p w:rsidR="000113AC" w:rsidRPr="00DA6F40" w:rsidRDefault="000113AC" w:rsidP="000113AC">
      <w:pPr>
        <w:tabs>
          <w:tab w:val="left" w:pos="426"/>
        </w:tabs>
        <w:ind w:left="1416" w:right="566"/>
        <w:jc w:val="both"/>
        <w:rPr>
          <w:rFonts w:ascii="Palatino Linotype" w:hAnsi="Palatino Linotype"/>
          <w:i/>
          <w:sz w:val="22"/>
          <w:szCs w:val="22"/>
        </w:rPr>
      </w:pPr>
    </w:p>
    <w:p w:rsidR="000113AC" w:rsidRPr="00DA6F40" w:rsidRDefault="000113AC" w:rsidP="000113AC">
      <w:pPr>
        <w:tabs>
          <w:tab w:val="left" w:pos="284"/>
        </w:tabs>
        <w:ind w:left="708"/>
        <w:jc w:val="both"/>
        <w:rPr>
          <w:rFonts w:ascii="Palatino Linotype" w:hAnsi="Palatino Linotype"/>
          <w:i/>
          <w:sz w:val="22"/>
          <w:szCs w:val="22"/>
        </w:rPr>
      </w:pPr>
      <w:r w:rsidRPr="00DA6F40">
        <w:rPr>
          <w:rFonts w:ascii="Palatino Linotype" w:hAnsi="Palatino Linotype"/>
          <w:i/>
          <w:sz w:val="22"/>
          <w:szCs w:val="22"/>
        </w:rPr>
        <w:t xml:space="preserve">“(…) Mediante oficio No. 2950-2010 de 31 de octubre de 2011, la Procuraduría Metropolitana absuelve la consulta planteada por la Secretaría de Coordinación Territorial y Participación Ciudadana, para los casos de fraccionamiento producidos a causa de las </w:t>
      </w:r>
      <w:r w:rsidRPr="00DA6F40">
        <w:rPr>
          <w:rFonts w:ascii="Palatino Linotype" w:hAnsi="Palatino Linotype"/>
          <w:i/>
          <w:sz w:val="22"/>
          <w:szCs w:val="22"/>
        </w:rPr>
        <w:lastRenderedPageBreak/>
        <w:t>sentencias dictadas en juicios de prescripción adquisitiva de dominio y se pronunció respecto del procedimiento a seguir para el cumplimiento y ejecución de dichas sentencias.</w:t>
      </w:r>
    </w:p>
    <w:p w:rsidR="000113AC" w:rsidRPr="00DA6F40" w:rsidRDefault="000113AC" w:rsidP="000113AC">
      <w:pPr>
        <w:tabs>
          <w:tab w:val="left" w:pos="284"/>
        </w:tabs>
        <w:ind w:left="708"/>
        <w:jc w:val="both"/>
        <w:rPr>
          <w:rFonts w:ascii="Palatino Linotype" w:hAnsi="Palatino Linotype"/>
          <w:i/>
          <w:sz w:val="22"/>
          <w:szCs w:val="22"/>
        </w:rPr>
      </w:pPr>
      <w:r w:rsidRPr="00DA6F40">
        <w:rPr>
          <w:rFonts w:ascii="Palatino Linotype" w:hAnsi="Palatino Linotype"/>
          <w:i/>
          <w:sz w:val="22"/>
          <w:szCs w:val="22"/>
        </w:rPr>
        <w:t>En este sentido, corresponde a las Administraciones Zonales determinar en cada caso particular, la aplicación del criterio anteriormente señalado, para lo cual deberá tomar en cuenta en sujeción a la normativa vigente y por tratarse de un fraccionamiento, los parámetros de lote mínimo, frente mínimo y contribución o compensación de áreas verdes.</w:t>
      </w:r>
    </w:p>
    <w:p w:rsidR="00E969BE" w:rsidRPr="00DA6F40" w:rsidRDefault="00E969BE" w:rsidP="000113AC">
      <w:pPr>
        <w:tabs>
          <w:tab w:val="left" w:pos="284"/>
        </w:tabs>
        <w:ind w:left="708"/>
        <w:jc w:val="both"/>
        <w:rPr>
          <w:rFonts w:ascii="Palatino Linotype" w:hAnsi="Palatino Linotype"/>
          <w:i/>
          <w:sz w:val="22"/>
          <w:szCs w:val="22"/>
        </w:rPr>
      </w:pPr>
    </w:p>
    <w:p w:rsidR="000113AC" w:rsidRPr="00DA6F40" w:rsidRDefault="000113AC" w:rsidP="000113AC">
      <w:pPr>
        <w:tabs>
          <w:tab w:val="left" w:pos="284"/>
        </w:tabs>
        <w:ind w:left="708"/>
        <w:jc w:val="both"/>
        <w:rPr>
          <w:rFonts w:ascii="Palatino Linotype" w:hAnsi="Palatino Linotype"/>
          <w:i/>
          <w:sz w:val="22"/>
          <w:szCs w:val="22"/>
        </w:rPr>
      </w:pPr>
      <w:r w:rsidRPr="00DA6F40">
        <w:rPr>
          <w:rFonts w:ascii="Palatino Linotype" w:hAnsi="Palatino Linotype"/>
          <w:i/>
          <w:sz w:val="22"/>
          <w:szCs w:val="22"/>
        </w:rPr>
        <w:t>En el evento de que la subdivisión que se genere con la ejecución de la sentencia no cumpla con los parámetros de zonificación respecto a lote y frente mínimos, se remitirá el expediente con los informes de la Administración Zonal, para conocimiento y resolución del Concejo Metropolitano.</w:t>
      </w:r>
    </w:p>
    <w:p w:rsidR="00E969BE" w:rsidRPr="00DA6F40" w:rsidRDefault="00E969BE" w:rsidP="000113AC">
      <w:pPr>
        <w:tabs>
          <w:tab w:val="left" w:pos="284"/>
        </w:tabs>
        <w:ind w:left="708"/>
        <w:jc w:val="both"/>
        <w:rPr>
          <w:rFonts w:ascii="Palatino Linotype" w:hAnsi="Palatino Linotype"/>
          <w:i/>
          <w:sz w:val="22"/>
          <w:szCs w:val="22"/>
        </w:rPr>
      </w:pPr>
    </w:p>
    <w:p w:rsidR="000113AC" w:rsidRPr="00DA6F40" w:rsidRDefault="000113AC" w:rsidP="000113AC">
      <w:pPr>
        <w:tabs>
          <w:tab w:val="left" w:pos="284"/>
        </w:tabs>
        <w:ind w:left="708"/>
        <w:jc w:val="both"/>
        <w:rPr>
          <w:rFonts w:ascii="Palatino Linotype" w:hAnsi="Palatino Linotype"/>
          <w:i/>
          <w:sz w:val="22"/>
          <w:szCs w:val="22"/>
        </w:rPr>
      </w:pPr>
      <w:r w:rsidRPr="00DA6F40">
        <w:rPr>
          <w:rFonts w:ascii="Palatino Linotype" w:hAnsi="Palatino Linotype"/>
          <w:i/>
          <w:sz w:val="22"/>
          <w:szCs w:val="22"/>
        </w:rPr>
        <w:t>Por lo expuesto, las Administraciones Zonales de acuerdo al régimen jurídico aplicable realizarán el análisis de cumplimiento de los parámetros de zonificación y de la contribución o compensación del área verde, e informarán al Concejo Metropolitano, según los supuestos fácticos que presenten cada u</w:t>
      </w:r>
      <w:r w:rsidR="00CF561D" w:rsidRPr="00DA6F40">
        <w:rPr>
          <w:rFonts w:ascii="Palatino Linotype" w:hAnsi="Palatino Linotype"/>
          <w:i/>
          <w:sz w:val="22"/>
          <w:szCs w:val="22"/>
        </w:rPr>
        <w:t>no de los casos en particular.”;</w:t>
      </w:r>
    </w:p>
    <w:p w:rsidR="005168D0" w:rsidRPr="00DA6F40" w:rsidRDefault="005168D0" w:rsidP="000F0D3B">
      <w:pPr>
        <w:pStyle w:val="Default"/>
        <w:ind w:left="708" w:hanging="708"/>
        <w:jc w:val="both"/>
        <w:rPr>
          <w:b/>
          <w:i/>
          <w:sz w:val="22"/>
          <w:szCs w:val="22"/>
        </w:rPr>
      </w:pPr>
    </w:p>
    <w:p w:rsidR="00D46EAD" w:rsidRPr="008D5F03" w:rsidRDefault="009C7AA1" w:rsidP="002D415C">
      <w:pPr>
        <w:pStyle w:val="Default"/>
        <w:ind w:left="708" w:hanging="708"/>
        <w:jc w:val="both"/>
        <w:rPr>
          <w:sz w:val="22"/>
          <w:szCs w:val="22"/>
        </w:rPr>
      </w:pPr>
      <w:r w:rsidRPr="00DA6F40">
        <w:rPr>
          <w:b/>
          <w:sz w:val="22"/>
          <w:szCs w:val="22"/>
        </w:rPr>
        <w:t xml:space="preserve">Que, </w:t>
      </w:r>
      <w:r w:rsidR="00D46EAD">
        <w:rPr>
          <w:sz w:val="22"/>
          <w:szCs w:val="22"/>
        </w:rPr>
        <w:t>m</w:t>
      </w:r>
      <w:r w:rsidR="00D46EAD" w:rsidRPr="008D5F03">
        <w:rPr>
          <w:sz w:val="22"/>
          <w:szCs w:val="22"/>
        </w:rPr>
        <w:t xml:space="preserve">ediante </w:t>
      </w:r>
      <w:r w:rsidR="00D46EAD" w:rsidRPr="008D5F03">
        <w:rPr>
          <w:sz w:val="22"/>
          <w:szCs w:val="22"/>
          <w:lang w:val="es-EC"/>
        </w:rPr>
        <w:t xml:space="preserve">Memorando Nro. GADDMQ-AZCA-AJ-2021-0486-M </w:t>
      </w:r>
      <w:r w:rsidR="00D46EAD" w:rsidRPr="008D5F03">
        <w:rPr>
          <w:sz w:val="22"/>
          <w:szCs w:val="22"/>
        </w:rPr>
        <w:t>de 08 de diciembre</w:t>
      </w:r>
      <w:r w:rsidR="0018204A">
        <w:rPr>
          <w:sz w:val="22"/>
          <w:szCs w:val="22"/>
        </w:rPr>
        <w:t xml:space="preserve"> de 2021, </w:t>
      </w:r>
      <w:r w:rsidR="00D46EAD" w:rsidRPr="008D5F03">
        <w:rPr>
          <w:sz w:val="22"/>
          <w:szCs w:val="22"/>
        </w:rPr>
        <w:t xml:space="preserve">la </w:t>
      </w:r>
      <w:r w:rsidR="00D46EAD" w:rsidRPr="008D5F03">
        <w:rPr>
          <w:sz w:val="22"/>
          <w:szCs w:val="22"/>
          <w:lang w:val="es-EC"/>
        </w:rPr>
        <w:t>Abg. Lorena Elizabeth Donoso Rivera</w:t>
      </w:r>
      <w:r w:rsidR="00D46EAD" w:rsidRPr="008D5F03">
        <w:rPr>
          <w:sz w:val="22"/>
          <w:szCs w:val="22"/>
        </w:rPr>
        <w:t>, Subprocuradora Zonal de la Administración Calderón, señala:</w:t>
      </w:r>
    </w:p>
    <w:p w:rsidR="00D46EAD" w:rsidRPr="008D5F03" w:rsidRDefault="00D46EAD" w:rsidP="00D46EAD">
      <w:pPr>
        <w:pStyle w:val="Default"/>
        <w:jc w:val="both"/>
        <w:rPr>
          <w:i/>
          <w:sz w:val="22"/>
          <w:szCs w:val="22"/>
        </w:rPr>
      </w:pPr>
    </w:p>
    <w:p w:rsidR="00D46EAD" w:rsidRPr="008D5F03" w:rsidRDefault="00D46EAD" w:rsidP="00D46EAD">
      <w:pPr>
        <w:tabs>
          <w:tab w:val="left" w:pos="284"/>
        </w:tabs>
        <w:ind w:left="708"/>
        <w:jc w:val="both"/>
        <w:rPr>
          <w:rFonts w:ascii="Palatino Linotype" w:eastAsiaTheme="minorHAnsi" w:hAnsi="Palatino Linotype" w:cs="Palatino Linotype"/>
          <w:i/>
          <w:color w:val="000000"/>
          <w:sz w:val="22"/>
          <w:szCs w:val="22"/>
          <w:lang w:eastAsia="en-US"/>
        </w:rPr>
      </w:pPr>
      <w:r w:rsidRPr="008D5F03">
        <w:rPr>
          <w:rFonts w:ascii="Palatino Linotype" w:eastAsiaTheme="minorHAnsi" w:hAnsi="Palatino Linotype" w:cs="Palatino Linotype"/>
          <w:i/>
          <w:color w:val="000000"/>
          <w:sz w:val="22"/>
          <w:szCs w:val="22"/>
          <w:lang w:eastAsia="en-US"/>
        </w:rPr>
        <w:t xml:space="preserve">“Por lo expuesto, esta Dirección Jurídica acogiendo el informe técnico AZCA-DGT-2021-016,de  24  de  noviembre  de  2021,   del  Jefe  de  Gestión  Urbana  y  aprobado  por  la  Directora  de Gestión    Territorial    de    la    Administración    Zonal    Calderón    con    memorando    Nro.GADDMQ-AZCA-DGT-2021-2724-M  de  25  de  noviembre  de  2021,  en  el  que  indica  que  la prescripción  adquisitiva  de  dominio  de  una  parte  del  inmueble  del  predio  No.  390030, </w:t>
      </w:r>
      <w:r w:rsidR="0018204A">
        <w:rPr>
          <w:rFonts w:ascii="Palatino Linotype" w:eastAsiaTheme="minorHAnsi" w:hAnsi="Palatino Linotype" w:cs="Palatino Linotype"/>
          <w:i/>
          <w:color w:val="000000"/>
          <w:sz w:val="22"/>
          <w:szCs w:val="22"/>
          <w:lang w:eastAsia="en-US"/>
        </w:rPr>
        <w:t>Cumple</w:t>
      </w:r>
      <w:r w:rsidR="00B34FBC">
        <w:rPr>
          <w:rFonts w:ascii="Palatino Linotype" w:eastAsiaTheme="minorHAnsi" w:hAnsi="Palatino Linotype" w:cs="Palatino Linotype"/>
          <w:i/>
          <w:color w:val="000000"/>
          <w:sz w:val="22"/>
          <w:szCs w:val="22"/>
          <w:lang w:eastAsia="en-US"/>
        </w:rPr>
        <w:t xml:space="preserve"> con</w:t>
      </w:r>
      <w:r w:rsidRPr="008D5F03">
        <w:rPr>
          <w:rFonts w:ascii="Palatino Linotype" w:eastAsiaTheme="minorHAnsi" w:hAnsi="Palatino Linotype" w:cs="Palatino Linotype"/>
          <w:i/>
          <w:color w:val="000000"/>
          <w:sz w:val="22"/>
          <w:szCs w:val="22"/>
          <w:lang w:eastAsia="en-US"/>
        </w:rPr>
        <w:t xml:space="preserve"> el   </w:t>
      </w:r>
      <w:r w:rsidRPr="008D5F03">
        <w:rPr>
          <w:rFonts w:eastAsiaTheme="minorHAnsi"/>
          <w:i/>
          <w:color w:val="000000"/>
          <w:sz w:val="22"/>
          <w:szCs w:val="22"/>
          <w:lang w:eastAsia="en-US"/>
        </w:rPr>
        <w:t>̈</w:t>
      </w:r>
      <w:r w:rsidRPr="008D5F03">
        <w:rPr>
          <w:rFonts w:ascii="Palatino Linotype" w:eastAsiaTheme="minorHAnsi" w:hAnsi="Palatino Linotype" w:cs="Palatino Linotype"/>
          <w:i/>
          <w:color w:val="000000"/>
          <w:sz w:val="22"/>
          <w:szCs w:val="22"/>
          <w:lang w:eastAsia="en-US"/>
        </w:rPr>
        <w:t xml:space="preserve">Lote  mínimo </w:t>
      </w:r>
      <w:r w:rsidRPr="008D5F03">
        <w:rPr>
          <w:rFonts w:eastAsiaTheme="minorHAnsi"/>
          <w:i/>
          <w:color w:val="000000"/>
          <w:sz w:val="22"/>
          <w:szCs w:val="22"/>
          <w:lang w:eastAsia="en-US"/>
        </w:rPr>
        <w:t>̈</w:t>
      </w:r>
      <w:r w:rsidRPr="008D5F03">
        <w:rPr>
          <w:rFonts w:ascii="Palatino Linotype" w:eastAsiaTheme="minorHAnsi" w:hAnsi="Palatino Linotype" w:cs="Palatino Linotype"/>
          <w:i/>
          <w:color w:val="000000"/>
          <w:sz w:val="22"/>
          <w:szCs w:val="22"/>
          <w:lang w:eastAsia="en-US"/>
        </w:rPr>
        <w:t xml:space="preserve">  establecida  en  la  zonificación  vigente,  pero  al  no  tener  frente hacia una vía pública no cumple con el  </w:t>
      </w:r>
      <w:r w:rsidRPr="008D5F03">
        <w:rPr>
          <w:rFonts w:eastAsiaTheme="minorHAnsi"/>
          <w:i/>
          <w:color w:val="000000"/>
          <w:sz w:val="22"/>
          <w:szCs w:val="22"/>
          <w:lang w:eastAsia="en-US"/>
        </w:rPr>
        <w:t>̈</w:t>
      </w:r>
      <w:r w:rsidRPr="008D5F03">
        <w:rPr>
          <w:rFonts w:ascii="Palatino Linotype" w:eastAsiaTheme="minorHAnsi" w:hAnsi="Palatino Linotype" w:cs="Palatino Linotype"/>
          <w:i/>
          <w:color w:val="000000"/>
          <w:sz w:val="22"/>
          <w:szCs w:val="22"/>
          <w:lang w:eastAsia="en-US"/>
        </w:rPr>
        <w:t xml:space="preserve">Frente mínimo </w:t>
      </w:r>
      <w:r w:rsidRPr="008D5F03">
        <w:rPr>
          <w:rFonts w:eastAsiaTheme="minorHAnsi"/>
          <w:i/>
          <w:color w:val="000000"/>
          <w:sz w:val="22"/>
          <w:szCs w:val="22"/>
          <w:lang w:eastAsia="en-US"/>
        </w:rPr>
        <w:t>̈</w:t>
      </w:r>
      <w:r w:rsidRPr="008D5F03">
        <w:rPr>
          <w:rFonts w:ascii="Palatino Linotype" w:eastAsiaTheme="minorHAnsi" w:hAnsi="Palatino Linotype" w:cs="Palatino Linotype"/>
          <w:i/>
          <w:color w:val="000000"/>
          <w:sz w:val="22"/>
          <w:szCs w:val="22"/>
          <w:lang w:eastAsia="en-US"/>
        </w:rPr>
        <w:t xml:space="preserve">, en este sentido, se deberá proceder conforme lo establece en el COOTAD y la Ordenanza 001”. </w:t>
      </w:r>
    </w:p>
    <w:p w:rsidR="003144EF" w:rsidRPr="00DA6F40" w:rsidRDefault="003144EF" w:rsidP="00B34FBC">
      <w:pPr>
        <w:pStyle w:val="Default"/>
        <w:jc w:val="both"/>
        <w:rPr>
          <w:b/>
          <w:sz w:val="22"/>
          <w:szCs w:val="22"/>
        </w:rPr>
      </w:pPr>
    </w:p>
    <w:p w:rsidR="000113AC" w:rsidRPr="00DA6F40" w:rsidRDefault="000113AC" w:rsidP="000113AC">
      <w:pPr>
        <w:pStyle w:val="Default"/>
        <w:ind w:left="708" w:hanging="708"/>
        <w:jc w:val="both"/>
        <w:rPr>
          <w:sz w:val="22"/>
          <w:szCs w:val="22"/>
        </w:rPr>
      </w:pPr>
      <w:r w:rsidRPr="00DA6F40">
        <w:rPr>
          <w:b/>
          <w:sz w:val="22"/>
          <w:szCs w:val="22"/>
        </w:rPr>
        <w:t xml:space="preserve">Que, </w:t>
      </w:r>
      <w:r w:rsidRPr="00DA6F40">
        <w:rPr>
          <w:sz w:val="22"/>
          <w:szCs w:val="22"/>
        </w:rPr>
        <w:tab/>
        <w:t>la Comisión de Uso de Su</w:t>
      </w:r>
      <w:r w:rsidR="00C31F94" w:rsidRPr="00DA6F40">
        <w:rPr>
          <w:sz w:val="22"/>
          <w:szCs w:val="22"/>
        </w:rPr>
        <w:t xml:space="preserve">elo en sesión ordinaria Nro. </w:t>
      </w:r>
      <w:r w:rsidR="004372D3">
        <w:rPr>
          <w:sz w:val="22"/>
          <w:szCs w:val="22"/>
        </w:rPr>
        <w:t>149</w:t>
      </w:r>
      <w:r w:rsidRPr="00DA6F40">
        <w:rPr>
          <w:sz w:val="22"/>
          <w:szCs w:val="22"/>
        </w:rPr>
        <w:t xml:space="preserve">, de </w:t>
      </w:r>
      <w:r w:rsidR="004372D3">
        <w:rPr>
          <w:sz w:val="22"/>
          <w:szCs w:val="22"/>
        </w:rPr>
        <w:t xml:space="preserve">06 </w:t>
      </w:r>
      <w:r w:rsidRPr="00DA6F40">
        <w:rPr>
          <w:sz w:val="22"/>
          <w:szCs w:val="22"/>
        </w:rPr>
        <w:t xml:space="preserve">de </w:t>
      </w:r>
      <w:r w:rsidR="004372D3">
        <w:rPr>
          <w:sz w:val="22"/>
          <w:szCs w:val="22"/>
        </w:rPr>
        <w:t xml:space="preserve">junio </w:t>
      </w:r>
      <w:r w:rsidR="00061B14" w:rsidRPr="00DA6F40">
        <w:rPr>
          <w:sz w:val="22"/>
          <w:szCs w:val="22"/>
        </w:rPr>
        <w:t>de 2022</w:t>
      </w:r>
      <w:r w:rsidRPr="00DA6F40">
        <w:rPr>
          <w:sz w:val="22"/>
          <w:szCs w:val="22"/>
        </w:rPr>
        <w:t>, analizó los informes técnicos y legale</w:t>
      </w:r>
      <w:r w:rsidR="009D1665" w:rsidRPr="00DA6F40">
        <w:rPr>
          <w:sz w:val="22"/>
          <w:szCs w:val="22"/>
        </w:rPr>
        <w:t>s, que reposan en el expediente</w:t>
      </w:r>
      <w:r w:rsidRPr="00DA6F40">
        <w:rPr>
          <w:sz w:val="22"/>
          <w:szCs w:val="22"/>
        </w:rPr>
        <w:t>, y emitió dictamen favorable para que el Concejo Metropolitano conozca la sentencia de prescripción extraordinaria adquisitiva de dominio y como efecto de dicha sentencia, y para su efectiva ejecución, autorice la subdivisión del bien en mención, cambiando las condiciones de ese inmueble en particular y generando una excepc</w:t>
      </w:r>
      <w:r w:rsidR="003D00A7" w:rsidRPr="00DA6F40">
        <w:rPr>
          <w:sz w:val="22"/>
          <w:szCs w:val="22"/>
        </w:rPr>
        <w:t>i</w:t>
      </w:r>
      <w:r w:rsidR="00E0537E" w:rsidRPr="00DA6F40">
        <w:rPr>
          <w:sz w:val="22"/>
          <w:szCs w:val="22"/>
        </w:rPr>
        <w:t xml:space="preserve">ón a las condiciones generales. </w:t>
      </w:r>
      <w:r w:rsidRPr="00DA6F40">
        <w:rPr>
          <w:sz w:val="22"/>
          <w:szCs w:val="22"/>
        </w:rPr>
        <w:t xml:space="preserve"> </w:t>
      </w:r>
    </w:p>
    <w:p w:rsidR="000113AC" w:rsidRPr="00DA6F40" w:rsidRDefault="000113AC" w:rsidP="000113AC">
      <w:pPr>
        <w:autoSpaceDE w:val="0"/>
        <w:autoSpaceDN w:val="0"/>
        <w:adjustRightInd w:val="0"/>
        <w:ind w:left="709" w:hanging="709"/>
        <w:jc w:val="both"/>
        <w:rPr>
          <w:rFonts w:ascii="Palatino Linotype" w:eastAsiaTheme="minorHAnsi" w:hAnsi="Palatino Linotype"/>
          <w:sz w:val="22"/>
          <w:szCs w:val="22"/>
          <w:lang w:eastAsia="en-US"/>
        </w:rPr>
      </w:pPr>
    </w:p>
    <w:p w:rsidR="000113AC" w:rsidRPr="00DA6F40" w:rsidRDefault="000113AC" w:rsidP="000113AC">
      <w:pPr>
        <w:autoSpaceDE w:val="0"/>
        <w:autoSpaceDN w:val="0"/>
        <w:adjustRightInd w:val="0"/>
        <w:ind w:left="709" w:hanging="709"/>
        <w:jc w:val="both"/>
        <w:rPr>
          <w:rFonts w:ascii="Palatino Linotype" w:eastAsiaTheme="minorHAnsi" w:hAnsi="Palatino Linotype"/>
          <w:sz w:val="22"/>
          <w:szCs w:val="22"/>
          <w:lang w:eastAsia="en-US"/>
        </w:rPr>
      </w:pPr>
      <w:r w:rsidRPr="00DA6F40">
        <w:rPr>
          <w:rFonts w:ascii="Palatino Linotype" w:eastAsiaTheme="minorHAnsi" w:hAnsi="Palatino Linotype"/>
          <w:sz w:val="22"/>
          <w:szCs w:val="22"/>
          <w:lang w:eastAsia="en-US"/>
        </w:rPr>
        <w:lastRenderedPageBreak/>
        <w:t xml:space="preserve">Que, </w:t>
      </w:r>
      <w:r w:rsidRPr="00DA6F40">
        <w:rPr>
          <w:rFonts w:ascii="Palatino Linotype" w:eastAsiaTheme="minorHAnsi" w:hAnsi="Palatino Linotype"/>
          <w:sz w:val="22"/>
          <w:szCs w:val="22"/>
          <w:lang w:eastAsia="en-US"/>
        </w:rPr>
        <w:tab/>
        <w:t>el Concejo Metropolitano de Quito, en sesión pública ordinaria realizada el … de … de 2022, analizó el informe Nro. IC-CUS-202</w:t>
      </w:r>
      <w:r w:rsidR="00061B14" w:rsidRPr="00DA6F40">
        <w:rPr>
          <w:rFonts w:ascii="Palatino Linotype" w:eastAsiaTheme="minorHAnsi" w:hAnsi="Palatino Linotype"/>
          <w:sz w:val="22"/>
          <w:szCs w:val="22"/>
          <w:lang w:eastAsia="en-US"/>
        </w:rPr>
        <w:t>2</w:t>
      </w:r>
      <w:r w:rsidR="007A32EC" w:rsidRPr="00DA6F40">
        <w:rPr>
          <w:rFonts w:ascii="Palatino Linotype" w:eastAsiaTheme="minorHAnsi" w:hAnsi="Palatino Linotype"/>
          <w:sz w:val="22"/>
          <w:szCs w:val="22"/>
          <w:lang w:eastAsia="en-US"/>
        </w:rPr>
        <w:t>-</w:t>
      </w:r>
      <w:r w:rsidR="004729F0">
        <w:rPr>
          <w:rFonts w:ascii="Palatino Linotype" w:eastAsiaTheme="minorHAnsi" w:hAnsi="Palatino Linotype"/>
          <w:sz w:val="22"/>
          <w:szCs w:val="22"/>
          <w:lang w:eastAsia="en-US"/>
        </w:rPr>
        <w:t>060</w:t>
      </w:r>
      <w:r w:rsidRPr="00DA6F40">
        <w:rPr>
          <w:rFonts w:ascii="Palatino Linotype" w:eastAsiaTheme="minorHAnsi" w:hAnsi="Palatino Linotype"/>
          <w:sz w:val="22"/>
          <w:szCs w:val="22"/>
          <w:lang w:eastAsia="en-US"/>
        </w:rPr>
        <w:t xml:space="preserve">, emitido por la Comisión de Uso de Suelo; </w:t>
      </w:r>
    </w:p>
    <w:p w:rsidR="000113AC" w:rsidRPr="00DA6F40"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p>
    <w:p w:rsidR="000113AC" w:rsidRPr="00DA6F40" w:rsidRDefault="000113AC" w:rsidP="000113AC">
      <w:pPr>
        <w:autoSpaceDE w:val="0"/>
        <w:autoSpaceDN w:val="0"/>
        <w:adjustRightInd w:val="0"/>
        <w:spacing w:line="276" w:lineRule="auto"/>
        <w:jc w:val="both"/>
        <w:rPr>
          <w:rFonts w:ascii="Palatino Linotype" w:eastAsiaTheme="minorHAnsi" w:hAnsi="Palatino Linotype"/>
          <w:b/>
          <w:bCs/>
          <w:sz w:val="22"/>
          <w:szCs w:val="22"/>
          <w:lang w:eastAsia="en-US"/>
        </w:rPr>
      </w:pPr>
      <w:r w:rsidRPr="00DA6F40">
        <w:rPr>
          <w:rFonts w:ascii="Palatino Linotype" w:eastAsiaTheme="minorHAnsi" w:hAnsi="Palatino Linotype"/>
          <w:b/>
          <w:bCs/>
          <w:sz w:val="22"/>
          <w:szCs w:val="22"/>
          <w:lang w:eastAsia="en-US"/>
        </w:rPr>
        <w:t xml:space="preserve">En ejercicio de las atribuciones previstas en el artículo 240 de la Constitución de la República; y artículos 87 literal a) y 323 del Código Orgánico de Organización Territorial, Autonomía y Descentralización. </w:t>
      </w:r>
    </w:p>
    <w:p w:rsidR="000113AC" w:rsidRPr="00DA6F40" w:rsidRDefault="000113AC" w:rsidP="000113AC">
      <w:pPr>
        <w:autoSpaceDE w:val="0"/>
        <w:autoSpaceDN w:val="0"/>
        <w:adjustRightInd w:val="0"/>
        <w:spacing w:line="276" w:lineRule="auto"/>
        <w:jc w:val="both"/>
        <w:rPr>
          <w:rFonts w:ascii="Palatino Linotype" w:eastAsiaTheme="minorHAnsi" w:hAnsi="Palatino Linotype"/>
          <w:b/>
          <w:bCs/>
          <w:sz w:val="22"/>
          <w:szCs w:val="22"/>
          <w:lang w:eastAsia="en-US"/>
        </w:rPr>
      </w:pPr>
    </w:p>
    <w:p w:rsidR="000113AC" w:rsidRPr="00DA6F40" w:rsidRDefault="000113AC" w:rsidP="000113AC">
      <w:pPr>
        <w:autoSpaceDE w:val="0"/>
        <w:autoSpaceDN w:val="0"/>
        <w:adjustRightInd w:val="0"/>
        <w:spacing w:line="276" w:lineRule="auto"/>
        <w:jc w:val="center"/>
        <w:rPr>
          <w:rFonts w:ascii="Palatino Linotype" w:eastAsiaTheme="minorHAnsi" w:hAnsi="Palatino Linotype"/>
          <w:b/>
          <w:bCs/>
          <w:sz w:val="22"/>
          <w:szCs w:val="22"/>
          <w:lang w:eastAsia="en-US"/>
        </w:rPr>
      </w:pPr>
      <w:r w:rsidRPr="00DA6F40">
        <w:rPr>
          <w:rFonts w:ascii="Palatino Linotype" w:eastAsiaTheme="minorHAnsi" w:hAnsi="Palatino Linotype"/>
          <w:b/>
          <w:bCs/>
          <w:sz w:val="22"/>
          <w:szCs w:val="22"/>
          <w:lang w:eastAsia="en-US"/>
        </w:rPr>
        <w:t>RESUELVE:</w:t>
      </w:r>
    </w:p>
    <w:p w:rsidR="000113AC" w:rsidRPr="00DA6F40" w:rsidRDefault="000113AC" w:rsidP="000113AC">
      <w:pPr>
        <w:autoSpaceDE w:val="0"/>
        <w:autoSpaceDN w:val="0"/>
        <w:adjustRightInd w:val="0"/>
        <w:spacing w:line="276" w:lineRule="auto"/>
        <w:jc w:val="center"/>
        <w:rPr>
          <w:rFonts w:ascii="Palatino Linotype" w:hAnsi="Palatino Linotype"/>
          <w:sz w:val="22"/>
          <w:szCs w:val="22"/>
        </w:rPr>
      </w:pPr>
    </w:p>
    <w:p w:rsidR="000113AC" w:rsidRPr="00DA6F40"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r w:rsidRPr="00DA6F40">
        <w:rPr>
          <w:rFonts w:ascii="Palatino Linotype" w:eastAsiaTheme="minorHAnsi" w:hAnsi="Palatino Linotype"/>
          <w:b/>
          <w:sz w:val="22"/>
          <w:szCs w:val="22"/>
          <w:lang w:eastAsia="en-US"/>
        </w:rPr>
        <w:t>Artículo 1.-</w:t>
      </w:r>
      <w:r w:rsidRPr="00DA6F40">
        <w:rPr>
          <w:rFonts w:ascii="Palatino Linotype" w:eastAsiaTheme="minorHAnsi" w:hAnsi="Palatino Linotype"/>
          <w:sz w:val="22"/>
          <w:szCs w:val="22"/>
          <w:lang w:eastAsia="en-US"/>
        </w:rPr>
        <w:t xml:space="preserve"> Acoger el informe Nr</w:t>
      </w:r>
      <w:r w:rsidR="00061B14" w:rsidRPr="00DA6F40">
        <w:rPr>
          <w:rFonts w:ascii="Palatino Linotype" w:eastAsiaTheme="minorHAnsi" w:hAnsi="Palatino Linotype"/>
          <w:sz w:val="22"/>
          <w:szCs w:val="22"/>
          <w:lang w:eastAsia="en-US"/>
        </w:rPr>
        <w:t>o. IC-CUS-2022</w:t>
      </w:r>
      <w:r w:rsidRPr="00DA6F40">
        <w:rPr>
          <w:rFonts w:ascii="Palatino Linotype" w:eastAsiaTheme="minorHAnsi" w:hAnsi="Palatino Linotype"/>
          <w:sz w:val="22"/>
          <w:szCs w:val="22"/>
          <w:lang w:eastAsia="en-US"/>
        </w:rPr>
        <w:t>-</w:t>
      </w:r>
      <w:r w:rsidR="004729F0">
        <w:rPr>
          <w:rFonts w:ascii="Palatino Linotype" w:eastAsiaTheme="minorHAnsi" w:hAnsi="Palatino Linotype"/>
          <w:sz w:val="22"/>
          <w:szCs w:val="22"/>
          <w:lang w:eastAsia="en-US"/>
        </w:rPr>
        <w:t>060</w:t>
      </w:r>
      <w:r w:rsidRPr="00DA6F40">
        <w:rPr>
          <w:rFonts w:ascii="Palatino Linotype" w:eastAsiaTheme="minorHAnsi" w:hAnsi="Palatino Linotype"/>
          <w:sz w:val="22"/>
          <w:szCs w:val="22"/>
          <w:lang w:eastAsia="en-US"/>
        </w:rPr>
        <w:t xml:space="preserve"> emitido por la Comisión de Uso de Suelo, y por tanto, conocer la sentencia de prescripción extraordinaria adquisitiva de dominio y como efecto de dicha sentencia, y para su efectiva ejecución, autorizar la subdivisión del bien en mención, cambiando las condiciones de ese inmueble en particular y generando una excepció</w:t>
      </w:r>
      <w:r w:rsidR="00C167C7" w:rsidRPr="00DA6F40">
        <w:rPr>
          <w:rFonts w:ascii="Palatino Linotype" w:eastAsiaTheme="minorHAnsi" w:hAnsi="Palatino Linotype"/>
          <w:sz w:val="22"/>
          <w:szCs w:val="22"/>
          <w:lang w:eastAsia="en-US"/>
        </w:rPr>
        <w:t xml:space="preserve">n a las condiciones generales. </w:t>
      </w:r>
    </w:p>
    <w:p w:rsidR="000113AC" w:rsidRPr="00DA6F40"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p>
    <w:p w:rsidR="000113AC" w:rsidRPr="00DA6F40"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r w:rsidRPr="00DA6F40">
        <w:rPr>
          <w:rFonts w:ascii="Palatino Linotype" w:eastAsiaTheme="minorHAnsi" w:hAnsi="Palatino Linotype"/>
          <w:sz w:val="22"/>
          <w:szCs w:val="22"/>
          <w:lang w:eastAsia="en-US"/>
        </w:rPr>
        <w:t xml:space="preserve">De conformidad con lo dispuesto en el numeral 4 del artículo 2171 del Código Municipal para el Distrito Metropolitano de Quito, </w:t>
      </w:r>
      <w:r w:rsidR="008824AD">
        <w:rPr>
          <w:rFonts w:ascii="Palatino Linotype" w:hAnsi="Palatino Linotype"/>
          <w:color w:val="000000" w:themeColor="text1"/>
          <w:sz w:val="22"/>
          <w:szCs w:val="22"/>
        </w:rPr>
        <w:t>el señor</w:t>
      </w:r>
      <w:r w:rsidR="008824AD" w:rsidRPr="008D5F03">
        <w:rPr>
          <w:rFonts w:ascii="Palatino Linotype" w:hAnsi="Palatino Linotype"/>
          <w:sz w:val="22"/>
          <w:szCs w:val="22"/>
        </w:rPr>
        <w:t xml:space="preserve"> Marco Marcelino Lomas Ayala</w:t>
      </w:r>
      <w:r w:rsidRPr="00DA6F40">
        <w:rPr>
          <w:rFonts w:ascii="Palatino Linotype" w:eastAsiaTheme="minorHAnsi" w:hAnsi="Palatino Linotype"/>
          <w:sz w:val="22"/>
          <w:szCs w:val="22"/>
          <w:lang w:eastAsia="en-US"/>
        </w:rPr>
        <w:t xml:space="preserve">, deberá compensar en valor monetario, la contribución del 15% del área útil adjudicada, que, de acuerdo al cálculo realizado por la Administración Zonal, corresponde al </w:t>
      </w:r>
      <w:r w:rsidRPr="00D71BB9">
        <w:rPr>
          <w:rFonts w:ascii="Palatino Linotype" w:eastAsiaTheme="minorHAnsi" w:hAnsi="Palatino Linotype"/>
          <w:sz w:val="22"/>
          <w:szCs w:val="22"/>
          <w:lang w:eastAsia="en-US"/>
        </w:rPr>
        <w:t xml:space="preserve">valor </w:t>
      </w:r>
      <w:r w:rsidR="00D71BB9">
        <w:rPr>
          <w:rFonts w:ascii="Palatino Linotype" w:hAnsi="Palatino Linotype"/>
          <w:sz w:val="22"/>
          <w:szCs w:val="22"/>
        </w:rPr>
        <w:t xml:space="preserve">de </w:t>
      </w:r>
      <w:r w:rsidR="00E326D5">
        <w:rPr>
          <w:rFonts w:ascii="Palatino Linotype" w:hAnsi="Palatino Linotype"/>
          <w:sz w:val="22"/>
          <w:szCs w:val="22"/>
        </w:rPr>
        <w:t>USD 2</w:t>
      </w:r>
      <w:r w:rsidR="00E326D5">
        <w:t>515.79</w:t>
      </w:r>
      <w:r w:rsidR="00E326D5">
        <w:t xml:space="preserve"> dólares. </w:t>
      </w:r>
    </w:p>
    <w:p w:rsidR="000113AC" w:rsidRPr="00DA6F40"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p>
    <w:p w:rsidR="000113AC" w:rsidRPr="00DA6F40"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r w:rsidRPr="00DA6F40">
        <w:rPr>
          <w:rFonts w:ascii="Palatino Linotype" w:eastAsiaTheme="minorHAnsi" w:hAnsi="Palatino Linotype"/>
          <w:b/>
          <w:sz w:val="22"/>
          <w:szCs w:val="22"/>
          <w:lang w:eastAsia="en-US"/>
        </w:rPr>
        <w:t xml:space="preserve">Artículo 2.- </w:t>
      </w:r>
      <w:r w:rsidRPr="00DA6F40">
        <w:rPr>
          <w:rFonts w:ascii="Palatino Linotype" w:eastAsiaTheme="minorHAnsi" w:hAnsi="Palatino Linotype"/>
          <w:sz w:val="22"/>
          <w:szCs w:val="22"/>
          <w:lang w:eastAsia="en-US"/>
        </w:rPr>
        <w:t xml:space="preserve">Comuníquese al interesado, a la Administración Zonal correspondiente y, a la Secretaría de Territorio, Hábitat y Vivienda, a fin de que se continúe con los trámites de ley. </w:t>
      </w:r>
    </w:p>
    <w:p w:rsidR="000113AC" w:rsidRPr="00DA6F40" w:rsidRDefault="000113AC" w:rsidP="000113AC">
      <w:pPr>
        <w:autoSpaceDE w:val="0"/>
        <w:autoSpaceDN w:val="0"/>
        <w:adjustRightInd w:val="0"/>
        <w:spacing w:line="276" w:lineRule="auto"/>
        <w:rPr>
          <w:rFonts w:ascii="Palatino Linotype" w:eastAsiaTheme="minorHAnsi" w:hAnsi="Palatino Linotype"/>
          <w:sz w:val="22"/>
          <w:szCs w:val="22"/>
          <w:lang w:eastAsia="en-US"/>
        </w:rPr>
      </w:pPr>
    </w:p>
    <w:p w:rsidR="000113AC" w:rsidRPr="00DA6F40"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r w:rsidRPr="00DA6F40">
        <w:rPr>
          <w:rFonts w:ascii="Palatino Linotype" w:eastAsiaTheme="minorHAnsi" w:hAnsi="Palatino Linotype"/>
          <w:b/>
          <w:sz w:val="22"/>
          <w:szCs w:val="22"/>
          <w:lang w:eastAsia="en-US"/>
        </w:rPr>
        <w:t>Disposición Final.-</w:t>
      </w:r>
      <w:r w:rsidRPr="00DA6F40">
        <w:rPr>
          <w:rFonts w:ascii="Palatino Linotype" w:eastAsiaTheme="minorHAnsi" w:hAnsi="Palatino Linotype"/>
          <w:sz w:val="22"/>
          <w:szCs w:val="22"/>
          <w:lang w:eastAsia="en-US"/>
        </w:rPr>
        <w:t xml:space="preserve"> La presente resolución entrará en vigencia a partir de su suscripción sin perjuicio de su publicación.</w:t>
      </w:r>
    </w:p>
    <w:p w:rsidR="000113AC" w:rsidRPr="00DA6F40" w:rsidRDefault="000113AC" w:rsidP="000113AC">
      <w:pPr>
        <w:autoSpaceDE w:val="0"/>
        <w:autoSpaceDN w:val="0"/>
        <w:adjustRightInd w:val="0"/>
        <w:spacing w:line="276" w:lineRule="auto"/>
        <w:jc w:val="both"/>
        <w:rPr>
          <w:rFonts w:ascii="Palatino Linotype" w:eastAsiaTheme="minorHAnsi" w:hAnsi="Palatino Linotype"/>
          <w:sz w:val="22"/>
          <w:szCs w:val="22"/>
          <w:lang w:eastAsia="en-US"/>
        </w:rPr>
      </w:pPr>
    </w:p>
    <w:p w:rsidR="000113AC" w:rsidRPr="00DA6F40" w:rsidRDefault="000113AC" w:rsidP="000113AC">
      <w:pPr>
        <w:spacing w:line="276" w:lineRule="auto"/>
        <w:ind w:left="-5"/>
        <w:jc w:val="both"/>
        <w:rPr>
          <w:rFonts w:ascii="Palatino Linotype" w:hAnsi="Palatino Linotype"/>
          <w:sz w:val="22"/>
          <w:szCs w:val="22"/>
        </w:rPr>
      </w:pPr>
      <w:r w:rsidRPr="00DA6F40">
        <w:rPr>
          <w:rFonts w:ascii="Palatino Linotype" w:hAnsi="Palatino Linotype"/>
          <w:sz w:val="22"/>
          <w:szCs w:val="22"/>
        </w:rPr>
        <w:t xml:space="preserve">Dada en la sesión del Concejo Metropolitano de Quito, el ……….. </w:t>
      </w:r>
    </w:p>
    <w:p w:rsidR="000113AC" w:rsidRPr="00DA6F40" w:rsidRDefault="000113AC" w:rsidP="000113AC">
      <w:pPr>
        <w:spacing w:line="276" w:lineRule="auto"/>
        <w:ind w:left="-5"/>
        <w:jc w:val="both"/>
        <w:rPr>
          <w:rFonts w:ascii="Palatino Linotype" w:hAnsi="Palatino Linotype"/>
          <w:sz w:val="22"/>
          <w:szCs w:val="22"/>
        </w:rPr>
      </w:pPr>
    </w:p>
    <w:p w:rsidR="000113AC" w:rsidRPr="00DA6F40" w:rsidRDefault="000113AC" w:rsidP="000113AC">
      <w:pPr>
        <w:spacing w:line="276" w:lineRule="auto"/>
        <w:ind w:left="-5" w:right="-143"/>
        <w:jc w:val="both"/>
        <w:rPr>
          <w:rFonts w:ascii="Palatino Linotype" w:hAnsi="Palatino Linotype"/>
          <w:sz w:val="22"/>
          <w:szCs w:val="22"/>
        </w:rPr>
      </w:pPr>
      <w:r w:rsidRPr="00DA6F40">
        <w:rPr>
          <w:rFonts w:ascii="Palatino Linotype" w:hAnsi="Palatino Linotype"/>
          <w:b/>
          <w:sz w:val="22"/>
          <w:szCs w:val="22"/>
        </w:rPr>
        <w:t xml:space="preserve">Alcaldía del Distrito Metropolitano. - </w:t>
      </w:r>
      <w:r w:rsidRPr="00DA6F40">
        <w:rPr>
          <w:rFonts w:ascii="Palatino Linotype" w:hAnsi="Palatino Linotype"/>
          <w:sz w:val="22"/>
          <w:szCs w:val="22"/>
        </w:rPr>
        <w:t>Distrito Metropolitano de Quito, ………..</w:t>
      </w:r>
    </w:p>
    <w:p w:rsidR="000113AC" w:rsidRPr="00DA6F40" w:rsidRDefault="000113AC" w:rsidP="000113AC">
      <w:pPr>
        <w:spacing w:line="276" w:lineRule="auto"/>
        <w:jc w:val="both"/>
        <w:rPr>
          <w:rFonts w:ascii="Palatino Linotype" w:hAnsi="Palatino Linotype"/>
          <w:sz w:val="22"/>
          <w:szCs w:val="22"/>
        </w:rPr>
      </w:pPr>
    </w:p>
    <w:p w:rsidR="000113AC" w:rsidRPr="00DA6F40" w:rsidRDefault="000113AC" w:rsidP="000113AC">
      <w:pPr>
        <w:spacing w:line="276" w:lineRule="auto"/>
        <w:jc w:val="center"/>
        <w:rPr>
          <w:rFonts w:ascii="Palatino Linotype" w:hAnsi="Palatino Linotype"/>
          <w:sz w:val="22"/>
          <w:szCs w:val="22"/>
        </w:rPr>
      </w:pPr>
      <w:r w:rsidRPr="00DA6F40">
        <w:rPr>
          <w:rFonts w:ascii="Palatino Linotype" w:hAnsi="Palatino Linotype"/>
          <w:b/>
          <w:sz w:val="22"/>
          <w:szCs w:val="22"/>
        </w:rPr>
        <w:t>EJECÚTESE:</w:t>
      </w:r>
    </w:p>
    <w:p w:rsidR="000113AC" w:rsidRPr="00DA6F40" w:rsidRDefault="000113AC" w:rsidP="000113AC">
      <w:pPr>
        <w:spacing w:line="276" w:lineRule="auto"/>
        <w:ind w:left="51"/>
        <w:jc w:val="center"/>
        <w:rPr>
          <w:rFonts w:ascii="Palatino Linotype" w:hAnsi="Palatino Linotype"/>
          <w:sz w:val="22"/>
          <w:szCs w:val="22"/>
        </w:rPr>
      </w:pPr>
    </w:p>
    <w:p w:rsidR="000113AC" w:rsidRPr="00DA6F40" w:rsidRDefault="000113AC" w:rsidP="000113AC">
      <w:pPr>
        <w:spacing w:line="276" w:lineRule="auto"/>
        <w:ind w:left="51"/>
        <w:jc w:val="center"/>
        <w:rPr>
          <w:rFonts w:ascii="Palatino Linotype" w:hAnsi="Palatino Linotype"/>
          <w:sz w:val="22"/>
          <w:szCs w:val="22"/>
        </w:rPr>
      </w:pPr>
    </w:p>
    <w:p w:rsidR="000113AC" w:rsidRPr="00DA6F40" w:rsidRDefault="000113AC" w:rsidP="000113AC">
      <w:pPr>
        <w:spacing w:line="276" w:lineRule="auto"/>
        <w:ind w:left="51"/>
        <w:jc w:val="center"/>
        <w:rPr>
          <w:rFonts w:ascii="Palatino Linotype" w:hAnsi="Palatino Linotype"/>
          <w:sz w:val="22"/>
          <w:szCs w:val="22"/>
        </w:rPr>
      </w:pPr>
    </w:p>
    <w:p w:rsidR="000113AC" w:rsidRPr="00DA6F40" w:rsidRDefault="000113AC" w:rsidP="000113AC">
      <w:pPr>
        <w:spacing w:line="276" w:lineRule="auto"/>
        <w:ind w:left="51"/>
        <w:jc w:val="center"/>
        <w:rPr>
          <w:rFonts w:ascii="Palatino Linotype" w:hAnsi="Palatino Linotype"/>
          <w:sz w:val="22"/>
          <w:szCs w:val="22"/>
        </w:rPr>
      </w:pPr>
      <w:r w:rsidRPr="00DA6F40">
        <w:rPr>
          <w:rFonts w:ascii="Palatino Linotype" w:hAnsi="Palatino Linotype"/>
          <w:sz w:val="22"/>
          <w:szCs w:val="22"/>
        </w:rPr>
        <w:lastRenderedPageBreak/>
        <w:t>Dr. Santiago Guarderas Izquierdo</w:t>
      </w:r>
    </w:p>
    <w:p w:rsidR="000113AC" w:rsidRPr="00DA6F40" w:rsidRDefault="000113AC" w:rsidP="000113AC">
      <w:pPr>
        <w:keepNext/>
        <w:keepLines/>
        <w:spacing w:line="276" w:lineRule="auto"/>
        <w:ind w:left="10" w:right="6" w:hanging="10"/>
        <w:jc w:val="center"/>
        <w:outlineLvl w:val="0"/>
        <w:rPr>
          <w:rFonts w:ascii="Palatino Linotype" w:eastAsia="Palatino Linotype" w:hAnsi="Palatino Linotype" w:cs="Palatino Linotype"/>
          <w:b/>
          <w:color w:val="000000"/>
          <w:sz w:val="22"/>
          <w:szCs w:val="22"/>
          <w:lang w:eastAsia="es-EC"/>
        </w:rPr>
      </w:pPr>
      <w:r w:rsidRPr="00DA6F40">
        <w:rPr>
          <w:rFonts w:ascii="Palatino Linotype" w:eastAsia="Palatino Linotype" w:hAnsi="Palatino Linotype" w:cs="Palatino Linotype"/>
          <w:b/>
          <w:color w:val="000000"/>
          <w:sz w:val="22"/>
          <w:szCs w:val="22"/>
          <w:lang w:eastAsia="es-EC"/>
        </w:rPr>
        <w:t>ALCALDE DEL DISTRITO METROPOLITANO DE QUITO</w:t>
      </w:r>
    </w:p>
    <w:p w:rsidR="000113AC" w:rsidRPr="00DA6F40" w:rsidRDefault="000113AC" w:rsidP="000113AC">
      <w:pPr>
        <w:spacing w:line="276" w:lineRule="auto"/>
        <w:jc w:val="center"/>
        <w:rPr>
          <w:rFonts w:ascii="Palatino Linotype" w:hAnsi="Palatino Linotype"/>
          <w:sz w:val="22"/>
          <w:szCs w:val="22"/>
        </w:rPr>
      </w:pPr>
    </w:p>
    <w:p w:rsidR="000113AC" w:rsidRPr="00DA6F40" w:rsidRDefault="000113AC" w:rsidP="000113AC">
      <w:pPr>
        <w:spacing w:line="276" w:lineRule="auto"/>
        <w:ind w:left="-5"/>
        <w:jc w:val="both"/>
        <w:rPr>
          <w:rFonts w:ascii="Palatino Linotype" w:hAnsi="Palatino Linotype"/>
          <w:sz w:val="22"/>
          <w:szCs w:val="22"/>
        </w:rPr>
      </w:pPr>
      <w:r w:rsidRPr="00DA6F40">
        <w:rPr>
          <w:rFonts w:ascii="Palatino Linotype" w:hAnsi="Palatino Linotype"/>
          <w:b/>
          <w:sz w:val="22"/>
          <w:szCs w:val="22"/>
        </w:rPr>
        <w:t>CERTIFICO,</w:t>
      </w:r>
      <w:r w:rsidRPr="00DA6F40">
        <w:rPr>
          <w:rFonts w:ascii="Palatino Linotype" w:hAnsi="Palatino Linotype"/>
          <w:sz w:val="22"/>
          <w:szCs w:val="22"/>
        </w:rPr>
        <w:t xml:space="preserve"> que la presente resolución fue discutida y aprobada en la sesión ordinaria del Concejo Metropolitano de Quito, el xx de xx de 2022; y, suscrita por el Dr. Santiago Guarderas Izquierdo, Alcalde del Distrito Metropolitano de Quito, el xx de xx de 2022. </w:t>
      </w:r>
    </w:p>
    <w:p w:rsidR="000113AC" w:rsidRPr="00DA6F40" w:rsidRDefault="000113AC" w:rsidP="000113AC">
      <w:pPr>
        <w:spacing w:line="276" w:lineRule="auto"/>
        <w:jc w:val="both"/>
        <w:rPr>
          <w:rFonts w:ascii="Palatino Linotype" w:hAnsi="Palatino Linotype"/>
          <w:sz w:val="22"/>
          <w:szCs w:val="22"/>
        </w:rPr>
      </w:pPr>
      <w:r w:rsidRPr="00DA6F40">
        <w:rPr>
          <w:rFonts w:ascii="Palatino Linotype" w:hAnsi="Palatino Linotype"/>
          <w:b/>
          <w:sz w:val="22"/>
          <w:szCs w:val="22"/>
        </w:rPr>
        <w:t xml:space="preserve"> </w:t>
      </w:r>
    </w:p>
    <w:p w:rsidR="000113AC" w:rsidRPr="00DA6F40" w:rsidRDefault="000113AC" w:rsidP="000113AC">
      <w:pPr>
        <w:spacing w:line="276" w:lineRule="auto"/>
        <w:ind w:left="-5"/>
        <w:jc w:val="both"/>
        <w:rPr>
          <w:rFonts w:ascii="Palatino Linotype" w:hAnsi="Palatino Linotype"/>
          <w:sz w:val="22"/>
          <w:szCs w:val="22"/>
          <w:highlight w:val="yellow"/>
        </w:rPr>
      </w:pPr>
      <w:r w:rsidRPr="00DA6F40">
        <w:rPr>
          <w:rFonts w:ascii="Palatino Linotype" w:hAnsi="Palatino Linotype"/>
          <w:b/>
          <w:sz w:val="22"/>
          <w:szCs w:val="22"/>
        </w:rPr>
        <w:t xml:space="preserve">Lo certifico. - </w:t>
      </w:r>
      <w:r w:rsidR="00754E1F" w:rsidRPr="00DA6F40">
        <w:rPr>
          <w:rFonts w:ascii="Palatino Linotype" w:hAnsi="Palatino Linotype"/>
          <w:sz w:val="22"/>
          <w:szCs w:val="22"/>
        </w:rPr>
        <w:t>Distrito Metropolitano de Quito</w:t>
      </w:r>
      <w:r w:rsidRPr="00DA6F40">
        <w:rPr>
          <w:rFonts w:ascii="Palatino Linotype" w:hAnsi="Palatino Linotype"/>
          <w:sz w:val="22"/>
          <w:szCs w:val="22"/>
        </w:rPr>
        <w:t xml:space="preserve">. </w:t>
      </w:r>
    </w:p>
    <w:p w:rsidR="000113AC" w:rsidRPr="00DA6F40" w:rsidRDefault="000113AC" w:rsidP="000113AC">
      <w:pPr>
        <w:spacing w:line="276" w:lineRule="auto"/>
        <w:jc w:val="both"/>
        <w:rPr>
          <w:rFonts w:ascii="Palatino Linotype" w:hAnsi="Palatino Linotype"/>
          <w:sz w:val="22"/>
          <w:szCs w:val="22"/>
          <w:highlight w:val="yellow"/>
        </w:rPr>
      </w:pPr>
      <w:r w:rsidRPr="00DA6F40">
        <w:rPr>
          <w:rFonts w:ascii="Palatino Linotype" w:hAnsi="Palatino Linotype"/>
          <w:sz w:val="22"/>
          <w:szCs w:val="22"/>
          <w:highlight w:val="yellow"/>
        </w:rPr>
        <w:t xml:space="preserve"> </w:t>
      </w:r>
    </w:p>
    <w:p w:rsidR="000113AC" w:rsidRPr="00DA6F40" w:rsidRDefault="000113AC" w:rsidP="000113AC">
      <w:pPr>
        <w:spacing w:line="276" w:lineRule="auto"/>
        <w:jc w:val="both"/>
        <w:rPr>
          <w:rFonts w:ascii="Palatino Linotype" w:hAnsi="Palatino Linotype"/>
          <w:sz w:val="22"/>
          <w:szCs w:val="22"/>
          <w:highlight w:val="yellow"/>
        </w:rPr>
      </w:pPr>
    </w:p>
    <w:p w:rsidR="000113AC" w:rsidRPr="00DA6F40" w:rsidRDefault="000113AC" w:rsidP="000113AC">
      <w:pPr>
        <w:spacing w:line="276" w:lineRule="auto"/>
        <w:jc w:val="both"/>
        <w:rPr>
          <w:rFonts w:ascii="Palatino Linotype" w:hAnsi="Palatino Linotype"/>
          <w:sz w:val="22"/>
          <w:szCs w:val="22"/>
          <w:highlight w:val="yellow"/>
        </w:rPr>
      </w:pPr>
      <w:r w:rsidRPr="00DA6F40">
        <w:rPr>
          <w:rFonts w:ascii="Palatino Linotype" w:hAnsi="Palatino Linotype"/>
          <w:sz w:val="22"/>
          <w:szCs w:val="22"/>
          <w:highlight w:val="yellow"/>
        </w:rPr>
        <w:t xml:space="preserve"> </w:t>
      </w:r>
    </w:p>
    <w:p w:rsidR="000113AC" w:rsidRPr="00DA6F40" w:rsidRDefault="000113AC" w:rsidP="000113AC">
      <w:pPr>
        <w:spacing w:line="276" w:lineRule="auto"/>
        <w:jc w:val="both"/>
        <w:rPr>
          <w:rFonts w:ascii="Palatino Linotype" w:hAnsi="Palatino Linotype"/>
          <w:sz w:val="22"/>
          <w:szCs w:val="22"/>
          <w:highlight w:val="yellow"/>
        </w:rPr>
      </w:pPr>
      <w:r w:rsidRPr="00DA6F40">
        <w:rPr>
          <w:rFonts w:ascii="Palatino Linotype" w:hAnsi="Palatino Linotype"/>
          <w:sz w:val="22"/>
          <w:szCs w:val="22"/>
          <w:highlight w:val="yellow"/>
        </w:rPr>
        <w:t xml:space="preserve"> </w:t>
      </w:r>
    </w:p>
    <w:p w:rsidR="000113AC" w:rsidRPr="00DA6F40" w:rsidRDefault="000113AC" w:rsidP="000113AC">
      <w:pPr>
        <w:spacing w:line="276" w:lineRule="auto"/>
        <w:jc w:val="center"/>
        <w:rPr>
          <w:rFonts w:ascii="Palatino Linotype" w:hAnsi="Palatino Linotype"/>
          <w:sz w:val="22"/>
          <w:szCs w:val="22"/>
        </w:rPr>
      </w:pPr>
      <w:r w:rsidRPr="00DA6F40">
        <w:rPr>
          <w:rFonts w:ascii="Palatino Linotype" w:hAnsi="Palatino Linotype"/>
          <w:sz w:val="22"/>
          <w:szCs w:val="22"/>
        </w:rPr>
        <w:t>Abg. Pablo Santillán Paredes</w:t>
      </w:r>
    </w:p>
    <w:p w:rsidR="000113AC" w:rsidRPr="00DA6F40" w:rsidRDefault="000113AC" w:rsidP="000113AC">
      <w:pPr>
        <w:spacing w:line="276" w:lineRule="auto"/>
        <w:jc w:val="center"/>
        <w:rPr>
          <w:rFonts w:ascii="Palatino Linotype" w:eastAsia="Calibri" w:hAnsi="Palatino Linotype"/>
          <w:b/>
          <w:sz w:val="22"/>
          <w:szCs w:val="22"/>
          <w:lang w:eastAsia="en-US"/>
        </w:rPr>
      </w:pPr>
      <w:r w:rsidRPr="00DA6F40">
        <w:rPr>
          <w:rFonts w:ascii="Palatino Linotype" w:eastAsia="Calibri" w:hAnsi="Palatino Linotype"/>
          <w:b/>
          <w:sz w:val="22"/>
          <w:szCs w:val="22"/>
          <w:lang w:eastAsia="en-US"/>
        </w:rPr>
        <w:t>SECRETARIO GENERAL DEL CONCEJO METROPOLITANO DE QUITO</w:t>
      </w:r>
    </w:p>
    <w:p w:rsidR="000113AC" w:rsidRPr="00DA6F40" w:rsidRDefault="000113AC" w:rsidP="000113AC">
      <w:pPr>
        <w:pStyle w:val="Sinespaciado"/>
        <w:jc w:val="center"/>
        <w:rPr>
          <w:rFonts w:ascii="Palatino Linotype" w:hAnsi="Palatino Linotype"/>
          <w:b/>
          <w:sz w:val="22"/>
          <w:szCs w:val="22"/>
        </w:rPr>
      </w:pPr>
    </w:p>
    <w:p w:rsidR="000113AC" w:rsidRPr="00DA6F40" w:rsidRDefault="000113AC" w:rsidP="000113AC">
      <w:pPr>
        <w:rPr>
          <w:rFonts w:ascii="Palatino Linotype" w:hAnsi="Palatino Linotype"/>
          <w:sz w:val="22"/>
          <w:szCs w:val="22"/>
        </w:rPr>
      </w:pPr>
    </w:p>
    <w:p w:rsidR="000113AC" w:rsidRPr="00DA6F40" w:rsidRDefault="000113AC" w:rsidP="000113AC">
      <w:pPr>
        <w:rPr>
          <w:rFonts w:ascii="Palatino Linotype" w:hAnsi="Palatino Linotype"/>
          <w:sz w:val="22"/>
          <w:szCs w:val="22"/>
        </w:rPr>
      </w:pPr>
    </w:p>
    <w:p w:rsidR="00A70E2E" w:rsidRPr="00DA6F40" w:rsidRDefault="00A70E2E">
      <w:pPr>
        <w:rPr>
          <w:rFonts w:ascii="Palatino Linotype" w:hAnsi="Palatino Linotype"/>
          <w:sz w:val="22"/>
          <w:szCs w:val="22"/>
        </w:rPr>
      </w:pPr>
    </w:p>
    <w:sectPr w:rsidR="00A70E2E" w:rsidRPr="00DA6F40" w:rsidSect="005D2467">
      <w:headerReference w:type="default" r:id="rId8"/>
      <w:footerReference w:type="default" r:id="rId9"/>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2CE" w:rsidRDefault="00DA62CE">
      <w:r>
        <w:separator/>
      </w:r>
    </w:p>
  </w:endnote>
  <w:endnote w:type="continuationSeparator" w:id="0">
    <w:p w:rsidR="00DA62CE" w:rsidRDefault="00DA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707DE5" w:rsidRDefault="00754E1F">
            <w:pPr>
              <w:pStyle w:val="Piedepgina"/>
              <w:jc w:val="right"/>
              <w:rPr>
                <w:rFonts w:ascii="Palatino Linotype" w:hAnsi="Palatino Linotype"/>
                <w:b/>
                <w:bCs/>
                <w:sz w:val="20"/>
                <w:szCs w:val="20"/>
              </w:rPr>
            </w:pPr>
            <w:r w:rsidRPr="00707DE5">
              <w:rPr>
                <w:rFonts w:ascii="Palatino Linotype" w:hAnsi="Palatino Linotype"/>
                <w:sz w:val="20"/>
                <w:szCs w:val="20"/>
              </w:rPr>
              <w:t xml:space="preserve">Página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PAGE</w:instrText>
            </w:r>
            <w:r w:rsidRPr="00707DE5">
              <w:rPr>
                <w:rFonts w:ascii="Palatino Linotype" w:hAnsi="Palatino Linotype"/>
                <w:b/>
                <w:bCs/>
                <w:sz w:val="20"/>
                <w:szCs w:val="20"/>
              </w:rPr>
              <w:fldChar w:fldCharType="separate"/>
            </w:r>
            <w:r w:rsidR="002E1BD8">
              <w:rPr>
                <w:rFonts w:ascii="Palatino Linotype" w:hAnsi="Palatino Linotype"/>
                <w:b/>
                <w:bCs/>
                <w:noProof/>
                <w:sz w:val="20"/>
                <w:szCs w:val="20"/>
              </w:rPr>
              <w:t>5</w:t>
            </w:r>
            <w:r w:rsidRPr="00707DE5">
              <w:rPr>
                <w:rFonts w:ascii="Palatino Linotype" w:hAnsi="Palatino Linotype"/>
                <w:b/>
                <w:bCs/>
                <w:sz w:val="20"/>
                <w:szCs w:val="20"/>
              </w:rPr>
              <w:fldChar w:fldCharType="end"/>
            </w:r>
            <w:r w:rsidRPr="00707DE5">
              <w:rPr>
                <w:rFonts w:ascii="Palatino Linotype" w:hAnsi="Palatino Linotype"/>
                <w:sz w:val="20"/>
                <w:szCs w:val="20"/>
              </w:rPr>
              <w:t xml:space="preserve"> de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NUMPAGES</w:instrText>
            </w:r>
            <w:r w:rsidRPr="00707DE5">
              <w:rPr>
                <w:rFonts w:ascii="Palatino Linotype" w:hAnsi="Palatino Linotype"/>
                <w:b/>
                <w:bCs/>
                <w:sz w:val="20"/>
                <w:szCs w:val="20"/>
              </w:rPr>
              <w:fldChar w:fldCharType="separate"/>
            </w:r>
            <w:r w:rsidR="002E1BD8">
              <w:rPr>
                <w:rFonts w:ascii="Palatino Linotype" w:hAnsi="Palatino Linotype"/>
                <w:b/>
                <w:bCs/>
                <w:noProof/>
                <w:sz w:val="20"/>
                <w:szCs w:val="20"/>
              </w:rPr>
              <w:t>8</w:t>
            </w:r>
            <w:r w:rsidRPr="00707DE5">
              <w:rPr>
                <w:rFonts w:ascii="Palatino Linotype" w:hAnsi="Palatino Linotype"/>
                <w:b/>
                <w:bCs/>
                <w:sz w:val="20"/>
                <w:szCs w:val="20"/>
              </w:rPr>
              <w:fldChar w:fldCharType="end"/>
            </w:r>
          </w:p>
          <w:p w:rsidR="005D2467" w:rsidRPr="008479FB" w:rsidRDefault="00DA62CE">
            <w:pPr>
              <w:pStyle w:val="Piedepgina"/>
              <w:jc w:val="right"/>
              <w:rPr>
                <w:rFonts w:ascii="Palatino Linotype" w:hAnsi="Palatino Linotype"/>
                <w:sz w:val="20"/>
                <w:szCs w:val="20"/>
              </w:rPr>
            </w:pPr>
          </w:p>
        </w:sdtContent>
      </w:sdt>
    </w:sdtContent>
  </w:sdt>
  <w:p w:rsidR="005D2467" w:rsidRPr="008479FB" w:rsidRDefault="00DA62CE">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2CE" w:rsidRDefault="00DA62CE">
      <w:r>
        <w:separator/>
      </w:r>
    </w:p>
  </w:footnote>
  <w:footnote w:type="continuationSeparator" w:id="0">
    <w:p w:rsidR="00DA62CE" w:rsidRDefault="00DA62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E5" w:rsidRDefault="00DA62CE" w:rsidP="00253163">
    <w:pPr>
      <w:autoSpaceDE w:val="0"/>
      <w:autoSpaceDN w:val="0"/>
      <w:adjustRightInd w:val="0"/>
      <w:jc w:val="center"/>
      <w:rPr>
        <w:rFonts w:ascii="Palatino Linotype" w:eastAsiaTheme="minorHAnsi" w:hAnsi="Palatino Linotype"/>
        <w:b/>
        <w:bCs/>
        <w:sz w:val="22"/>
        <w:szCs w:val="22"/>
        <w:lang w:eastAsia="en-US"/>
      </w:rPr>
    </w:pPr>
  </w:p>
  <w:p w:rsidR="00707DE5" w:rsidRDefault="00DA62CE" w:rsidP="00253163">
    <w:pPr>
      <w:autoSpaceDE w:val="0"/>
      <w:autoSpaceDN w:val="0"/>
      <w:adjustRightInd w:val="0"/>
      <w:jc w:val="center"/>
      <w:rPr>
        <w:rFonts w:ascii="Palatino Linotype" w:eastAsiaTheme="minorHAnsi" w:hAnsi="Palatino Linotype"/>
        <w:b/>
        <w:bCs/>
        <w:sz w:val="22"/>
        <w:szCs w:val="22"/>
        <w:lang w:eastAsia="en-US"/>
      </w:rPr>
    </w:pPr>
  </w:p>
  <w:p w:rsidR="005D2467" w:rsidRDefault="00DA62C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3AC"/>
    <w:rsid w:val="000022D4"/>
    <w:rsid w:val="000113AC"/>
    <w:rsid w:val="000320FA"/>
    <w:rsid w:val="000350C3"/>
    <w:rsid w:val="00036C0E"/>
    <w:rsid w:val="00061B14"/>
    <w:rsid w:val="000F0D3B"/>
    <w:rsid w:val="000F53A8"/>
    <w:rsid w:val="000F6D87"/>
    <w:rsid w:val="0010315E"/>
    <w:rsid w:val="001203A0"/>
    <w:rsid w:val="00135676"/>
    <w:rsid w:val="00162AB0"/>
    <w:rsid w:val="0018204A"/>
    <w:rsid w:val="001A37F6"/>
    <w:rsid w:val="001A6EE6"/>
    <w:rsid w:val="001D43D9"/>
    <w:rsid w:val="001E6BB2"/>
    <w:rsid w:val="001F18A5"/>
    <w:rsid w:val="002435E3"/>
    <w:rsid w:val="002C0724"/>
    <w:rsid w:val="002D415C"/>
    <w:rsid w:val="002E1BD8"/>
    <w:rsid w:val="002E3F59"/>
    <w:rsid w:val="002F36C3"/>
    <w:rsid w:val="003057C1"/>
    <w:rsid w:val="00310B84"/>
    <w:rsid w:val="00311483"/>
    <w:rsid w:val="003144EF"/>
    <w:rsid w:val="003328D7"/>
    <w:rsid w:val="00372B0E"/>
    <w:rsid w:val="00385ABB"/>
    <w:rsid w:val="003B6356"/>
    <w:rsid w:val="003D00A7"/>
    <w:rsid w:val="004372D3"/>
    <w:rsid w:val="00462DF6"/>
    <w:rsid w:val="00462FAA"/>
    <w:rsid w:val="004729F0"/>
    <w:rsid w:val="00493A79"/>
    <w:rsid w:val="004948A2"/>
    <w:rsid w:val="0049515C"/>
    <w:rsid w:val="004E4064"/>
    <w:rsid w:val="004F29ED"/>
    <w:rsid w:val="0050436B"/>
    <w:rsid w:val="005168D0"/>
    <w:rsid w:val="00531F8A"/>
    <w:rsid w:val="005839EA"/>
    <w:rsid w:val="00595410"/>
    <w:rsid w:val="005A184C"/>
    <w:rsid w:val="005C1350"/>
    <w:rsid w:val="005D7A61"/>
    <w:rsid w:val="005F4329"/>
    <w:rsid w:val="0060538D"/>
    <w:rsid w:val="00606CEF"/>
    <w:rsid w:val="00626F33"/>
    <w:rsid w:val="006273BD"/>
    <w:rsid w:val="00630C41"/>
    <w:rsid w:val="00635D5D"/>
    <w:rsid w:val="006378A2"/>
    <w:rsid w:val="00656876"/>
    <w:rsid w:val="006767EB"/>
    <w:rsid w:val="00694D54"/>
    <w:rsid w:val="006F2BAD"/>
    <w:rsid w:val="006F6D18"/>
    <w:rsid w:val="00704417"/>
    <w:rsid w:val="00722F25"/>
    <w:rsid w:val="00754E1F"/>
    <w:rsid w:val="00757FA6"/>
    <w:rsid w:val="007854B8"/>
    <w:rsid w:val="00796E58"/>
    <w:rsid w:val="007A32EC"/>
    <w:rsid w:val="007E076B"/>
    <w:rsid w:val="00804DD4"/>
    <w:rsid w:val="00842941"/>
    <w:rsid w:val="0085024D"/>
    <w:rsid w:val="008532E8"/>
    <w:rsid w:val="008824AD"/>
    <w:rsid w:val="008A28F7"/>
    <w:rsid w:val="00902F65"/>
    <w:rsid w:val="009061F9"/>
    <w:rsid w:val="009441E9"/>
    <w:rsid w:val="00967D02"/>
    <w:rsid w:val="00971DAC"/>
    <w:rsid w:val="009906BE"/>
    <w:rsid w:val="009C51D6"/>
    <w:rsid w:val="009C7AA1"/>
    <w:rsid w:val="009D1665"/>
    <w:rsid w:val="009D3508"/>
    <w:rsid w:val="009E4E92"/>
    <w:rsid w:val="00A05387"/>
    <w:rsid w:val="00A3193F"/>
    <w:rsid w:val="00A37080"/>
    <w:rsid w:val="00A43B85"/>
    <w:rsid w:val="00A53CCA"/>
    <w:rsid w:val="00A666D4"/>
    <w:rsid w:val="00A70E2E"/>
    <w:rsid w:val="00AD76F0"/>
    <w:rsid w:val="00AD7AF2"/>
    <w:rsid w:val="00AE729F"/>
    <w:rsid w:val="00AF1FF5"/>
    <w:rsid w:val="00B34FBC"/>
    <w:rsid w:val="00B456A6"/>
    <w:rsid w:val="00B52FC7"/>
    <w:rsid w:val="00B9427A"/>
    <w:rsid w:val="00BE06CC"/>
    <w:rsid w:val="00C167C7"/>
    <w:rsid w:val="00C31F94"/>
    <w:rsid w:val="00C37F48"/>
    <w:rsid w:val="00C45A11"/>
    <w:rsid w:val="00C55EC2"/>
    <w:rsid w:val="00C70B8C"/>
    <w:rsid w:val="00C92ED6"/>
    <w:rsid w:val="00CC57B0"/>
    <w:rsid w:val="00CC6BBC"/>
    <w:rsid w:val="00CD56D1"/>
    <w:rsid w:val="00CF122E"/>
    <w:rsid w:val="00CF561D"/>
    <w:rsid w:val="00D24C41"/>
    <w:rsid w:val="00D46EAD"/>
    <w:rsid w:val="00D50F32"/>
    <w:rsid w:val="00D71BB9"/>
    <w:rsid w:val="00D834DC"/>
    <w:rsid w:val="00D90E77"/>
    <w:rsid w:val="00DA62CE"/>
    <w:rsid w:val="00DA6F40"/>
    <w:rsid w:val="00DC7143"/>
    <w:rsid w:val="00DF169C"/>
    <w:rsid w:val="00DF190B"/>
    <w:rsid w:val="00E0537E"/>
    <w:rsid w:val="00E31911"/>
    <w:rsid w:val="00E326D5"/>
    <w:rsid w:val="00E661F9"/>
    <w:rsid w:val="00E75599"/>
    <w:rsid w:val="00E969BE"/>
    <w:rsid w:val="00EA3F70"/>
    <w:rsid w:val="00EB28B4"/>
    <w:rsid w:val="00ED0FE0"/>
    <w:rsid w:val="00F112C0"/>
    <w:rsid w:val="00F1475B"/>
    <w:rsid w:val="00F23370"/>
    <w:rsid w:val="00F57398"/>
    <w:rsid w:val="00F66680"/>
    <w:rsid w:val="00F7765D"/>
    <w:rsid w:val="00FF7DA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5F89C"/>
  <w15:chartTrackingRefBased/>
  <w15:docId w15:val="{0F731E31-9764-4894-A81A-30D27527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3AC"/>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0113AC"/>
    <w:pPr>
      <w:jc w:val="both"/>
    </w:pPr>
    <w:rPr>
      <w:rFonts w:asciiTheme="minorHAnsi" w:eastAsiaTheme="minorHAnsi" w:hAnsiTheme="minorHAnsi" w:cstheme="minorBidi"/>
      <w:sz w:val="20"/>
      <w:szCs w:val="20"/>
      <w:lang w:eastAsia="en-US"/>
    </w:rPr>
  </w:style>
  <w:style w:type="character" w:customStyle="1" w:styleId="SinespaciadoCar">
    <w:name w:val="Sin espaciado Car"/>
    <w:basedOn w:val="Fuentedeprrafopredeter"/>
    <w:link w:val="Sinespaciado"/>
    <w:uiPriority w:val="1"/>
    <w:rsid w:val="000113AC"/>
    <w:rPr>
      <w:sz w:val="20"/>
      <w:szCs w:val="20"/>
    </w:rPr>
  </w:style>
  <w:style w:type="paragraph" w:styleId="Piedepgina">
    <w:name w:val="footer"/>
    <w:basedOn w:val="Normal"/>
    <w:link w:val="PiedepginaCar"/>
    <w:uiPriority w:val="99"/>
    <w:unhideWhenUsed/>
    <w:rsid w:val="000113AC"/>
    <w:pPr>
      <w:tabs>
        <w:tab w:val="center" w:pos="4252"/>
        <w:tab w:val="right" w:pos="8504"/>
      </w:tabs>
    </w:pPr>
  </w:style>
  <w:style w:type="character" w:customStyle="1" w:styleId="PiedepginaCar">
    <w:name w:val="Pie de página Car"/>
    <w:basedOn w:val="Fuentedeprrafopredeter"/>
    <w:link w:val="Piedepgina"/>
    <w:uiPriority w:val="99"/>
    <w:rsid w:val="000113AC"/>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0113AC"/>
    <w:pPr>
      <w:tabs>
        <w:tab w:val="center" w:pos="4419"/>
        <w:tab w:val="right" w:pos="8838"/>
      </w:tabs>
    </w:pPr>
  </w:style>
  <w:style w:type="character" w:customStyle="1" w:styleId="EncabezadoCar">
    <w:name w:val="Encabezado Car"/>
    <w:basedOn w:val="Fuentedeprrafopredeter"/>
    <w:link w:val="Encabezado"/>
    <w:uiPriority w:val="99"/>
    <w:rsid w:val="000113AC"/>
    <w:rPr>
      <w:rFonts w:ascii="Times New Roman" w:eastAsia="Times New Roman" w:hAnsi="Times New Roman" w:cs="Times New Roman"/>
      <w:sz w:val="24"/>
      <w:szCs w:val="24"/>
      <w:lang w:eastAsia="es-ES_tradnl"/>
    </w:rPr>
  </w:style>
  <w:style w:type="paragraph" w:customStyle="1" w:styleId="Default">
    <w:name w:val="Default"/>
    <w:rsid w:val="000113AC"/>
    <w:pPr>
      <w:autoSpaceDE w:val="0"/>
      <w:autoSpaceDN w:val="0"/>
      <w:adjustRightInd w:val="0"/>
      <w:spacing w:after="0" w:line="240" w:lineRule="auto"/>
    </w:pPr>
    <w:rPr>
      <w:rFonts w:ascii="Palatino Linotype" w:hAnsi="Palatino Linotype" w:cs="Palatino Linotype"/>
      <w:color w:val="000000"/>
      <w:sz w:val="24"/>
      <w:szCs w:val="24"/>
      <w:lang w:val="es-ES"/>
    </w:rPr>
  </w:style>
  <w:style w:type="paragraph" w:styleId="Textodeglobo">
    <w:name w:val="Balloon Text"/>
    <w:basedOn w:val="Normal"/>
    <w:link w:val="TextodegloboCar"/>
    <w:uiPriority w:val="99"/>
    <w:semiHidden/>
    <w:unhideWhenUsed/>
    <w:rsid w:val="009906BE"/>
    <w:rPr>
      <w:rFonts w:ascii="Tahoma" w:hAnsi="Tahoma" w:cs="Tahoma"/>
      <w:sz w:val="16"/>
      <w:szCs w:val="16"/>
    </w:rPr>
  </w:style>
  <w:style w:type="character" w:customStyle="1" w:styleId="TextodegloboCar">
    <w:name w:val="Texto de globo Car"/>
    <w:basedOn w:val="Fuentedeprrafopredeter"/>
    <w:link w:val="Textodeglobo"/>
    <w:uiPriority w:val="99"/>
    <w:semiHidden/>
    <w:rsid w:val="009906BE"/>
    <w:rPr>
      <w:rFonts w:ascii="Tahoma" w:eastAsia="Times New Roman" w:hAnsi="Tahoma" w:cs="Tahoma"/>
      <w:sz w:val="16"/>
      <w:szCs w:val="16"/>
      <w:lang w:eastAsia="es-ES_tradnl"/>
    </w:rPr>
  </w:style>
  <w:style w:type="table" w:styleId="Tablaconcuadrcula">
    <w:name w:val="Table Grid"/>
    <w:basedOn w:val="Tablanormal"/>
    <w:uiPriority w:val="59"/>
    <w:rsid w:val="00AF1FF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8</Pages>
  <Words>2482</Words>
  <Characters>13855</Characters>
  <Application>Microsoft Office Word</Application>
  <DocSecurity>0</DocSecurity>
  <Lines>1259</Lines>
  <Paragraphs>526</Paragraphs>
  <ScaleCrop>false</ScaleCrop>
  <Company>HP Inc.</Company>
  <LinksUpToDate>false</LinksUpToDate>
  <CharactersWithSpaces>15811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Marisela Caleno</dc:creator>
  <cp:keywords/>
  <dc:description/>
  <cp:lastModifiedBy>Marisela Caleno</cp:lastModifiedBy>
  <cp:revision>279</cp:revision>
  <dcterms:created xsi:type="dcterms:W3CDTF">2022-08-17T20:37:00Z</dcterms:created>
  <dcterms:modified xsi:type="dcterms:W3CDTF">2022-09-22T19:36:00Z</dcterms:modified>
</cp:coreProperties>
</file>