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438A6ED2" w:rsidR="00C926A0" w:rsidRPr="006975CB" w:rsidRDefault="00C926A0" w:rsidP="00327A8D">
      <w:pPr>
        <w:autoSpaceDE w:val="0"/>
        <w:autoSpaceDN w:val="0"/>
        <w:adjustRightInd w:val="0"/>
        <w:jc w:val="center"/>
        <w:rPr>
          <w:rFonts w:ascii="Palatino Linotype" w:eastAsiaTheme="minorHAnsi" w:hAnsi="Palatino Linotype"/>
          <w:b/>
          <w:sz w:val="22"/>
          <w:szCs w:val="22"/>
          <w:lang w:eastAsia="en-US"/>
        </w:rPr>
      </w:pPr>
      <w:bookmarkStart w:id="0" w:name="_GoBack"/>
      <w:bookmarkEnd w:id="0"/>
      <w:r w:rsidRPr="006975CB">
        <w:rPr>
          <w:rFonts w:ascii="Palatino Linotype" w:eastAsiaTheme="minorHAnsi" w:hAnsi="Palatino Linotype"/>
          <w:b/>
          <w:sz w:val="22"/>
          <w:szCs w:val="22"/>
          <w:lang w:eastAsia="en-US"/>
        </w:rPr>
        <w:t>EL CONCEJO METROPOLITANO DE QUITO</w:t>
      </w:r>
    </w:p>
    <w:p w14:paraId="21148F6A" w14:textId="77777777" w:rsidR="00C926A0" w:rsidRPr="006975CB"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6975CB" w:rsidRDefault="00C926A0" w:rsidP="00327A8D">
      <w:pPr>
        <w:autoSpaceDE w:val="0"/>
        <w:autoSpaceDN w:val="0"/>
        <w:adjustRightInd w:val="0"/>
        <w:jc w:val="center"/>
        <w:rPr>
          <w:rFonts w:ascii="Palatino Linotype" w:eastAsiaTheme="minorHAnsi" w:hAnsi="Palatino Linotype"/>
          <w:b/>
          <w:sz w:val="22"/>
          <w:szCs w:val="22"/>
          <w:lang w:eastAsia="en-US"/>
        </w:rPr>
      </w:pPr>
      <w:r w:rsidRPr="006975CB">
        <w:rPr>
          <w:rFonts w:ascii="Palatino Linotype" w:eastAsiaTheme="minorHAnsi" w:hAnsi="Palatino Linotype"/>
          <w:b/>
          <w:sz w:val="22"/>
          <w:szCs w:val="22"/>
          <w:lang w:eastAsia="en-US"/>
        </w:rPr>
        <w:t>CONSIDERANDO:</w:t>
      </w:r>
    </w:p>
    <w:p w14:paraId="0F7D42C4" w14:textId="77777777" w:rsidR="00327A8D" w:rsidRPr="006975CB"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6975CB"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6975CB">
        <w:rPr>
          <w:rFonts w:ascii="Palatino Linotype" w:eastAsiaTheme="minorHAnsi" w:hAnsi="Palatino Linotype"/>
          <w:b/>
          <w:bCs/>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 el artículo 240 de la Constitución de República del Ecuador, en adelante Constitución, establece: “</w:t>
      </w:r>
      <w:r w:rsidRPr="006975CB">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6975CB">
        <w:rPr>
          <w:rFonts w:ascii="Palatino Linotype" w:eastAsiaTheme="minorHAnsi" w:hAnsi="Palatino Linotype"/>
          <w:i/>
          <w:iCs/>
          <w:sz w:val="22"/>
          <w:szCs w:val="22"/>
          <w:lang w:eastAsia="en-US"/>
        </w:rPr>
        <w:t>;</w:t>
      </w:r>
    </w:p>
    <w:p w14:paraId="1BAC642D"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la Constitución de la República del Ecuador en su artículo 266, determina: </w:t>
      </w:r>
      <w:r w:rsidRPr="006975CB">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6975CB">
        <w:rPr>
          <w:rFonts w:ascii="Palatino Linotype" w:eastAsiaTheme="minorHAnsi" w:hAnsi="Palatino Linotype"/>
          <w:sz w:val="22"/>
          <w:szCs w:val="22"/>
          <w:lang w:eastAsia="en-US"/>
        </w:rPr>
        <w:t>;</w:t>
      </w:r>
    </w:p>
    <w:p w14:paraId="70FFF803"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6975CB"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6975CB">
        <w:rPr>
          <w:rFonts w:ascii="Palatino Linotype" w:eastAsiaTheme="minorHAnsi" w:hAnsi="Palatino Linotype"/>
          <w:b/>
          <w:bCs/>
          <w:sz w:val="22"/>
          <w:szCs w:val="22"/>
          <w:lang w:eastAsia="en-US"/>
        </w:rPr>
        <w:t>Que</w:t>
      </w:r>
      <w:r w:rsidR="00327A8D" w:rsidRPr="006975CB">
        <w:rPr>
          <w:rFonts w:ascii="Palatino Linotype" w:eastAsiaTheme="minorHAnsi" w:hAnsi="Palatino Linotype"/>
          <w:sz w:val="22"/>
          <w:szCs w:val="22"/>
          <w:lang w:eastAsia="en-US"/>
        </w:rPr>
        <w:tab/>
      </w:r>
      <w:r w:rsidRPr="006975CB">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6975CB">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conforme establece el artículo 87, literal v) del COOTAD, al Concejo Metropolitano le corresponde: </w:t>
      </w:r>
      <w:r w:rsidRPr="006975CB">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6975CB">
        <w:rPr>
          <w:rFonts w:ascii="Palatino Linotype" w:eastAsiaTheme="minorHAnsi" w:hAnsi="Palatino Linotype"/>
          <w:sz w:val="22"/>
          <w:szCs w:val="22"/>
          <w:lang w:eastAsia="en-US"/>
        </w:rPr>
        <w:t xml:space="preserve"> </w:t>
      </w:r>
    </w:p>
    <w:p w14:paraId="09FCFE8D"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6975CB"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6975CB">
        <w:rPr>
          <w:rFonts w:ascii="Palatino Linotype" w:eastAsiaTheme="minorHAnsi" w:hAnsi="Palatino Linotype"/>
          <w:b/>
          <w:bCs/>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el artículo 323 del COOTAD establece: “</w:t>
      </w:r>
      <w:r w:rsidRPr="006975CB">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6975CB">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6975CB">
        <w:rPr>
          <w:rFonts w:ascii="Palatino Linotype" w:eastAsiaTheme="minorHAnsi" w:hAnsi="Palatino Linotype"/>
          <w:i/>
          <w:iCs/>
          <w:sz w:val="22"/>
          <w:szCs w:val="22"/>
          <w:lang w:eastAsia="en-US"/>
        </w:rPr>
        <w:t>;</w:t>
      </w:r>
    </w:p>
    <w:p w14:paraId="1D0D56F6"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00327A8D" w:rsidRPr="006975CB">
        <w:rPr>
          <w:rFonts w:ascii="Palatino Linotype" w:eastAsiaTheme="minorHAnsi" w:hAnsi="Palatino Linotype"/>
          <w:sz w:val="22"/>
          <w:szCs w:val="22"/>
          <w:lang w:eastAsia="en-US"/>
        </w:rPr>
        <w:tab/>
      </w:r>
      <w:r w:rsidRPr="006975CB">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6975CB">
        <w:rPr>
          <w:rFonts w:ascii="Palatino Linotype" w:eastAsiaTheme="minorHAnsi" w:hAnsi="Palatino Linotype"/>
          <w:sz w:val="22"/>
          <w:szCs w:val="22"/>
          <w:lang w:eastAsia="en-US"/>
        </w:rPr>
        <w:t>descentralizados</w:t>
      </w:r>
      <w:r w:rsidRPr="006975CB">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6975CB"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6975CB">
        <w:rPr>
          <w:rFonts w:ascii="Palatino Linotype" w:eastAsiaTheme="minorHAnsi" w:hAnsi="Palatino Linotype"/>
          <w:b/>
          <w:sz w:val="22"/>
          <w:szCs w:val="22"/>
          <w:lang w:eastAsia="en-US"/>
        </w:rPr>
        <w:t>Que</w:t>
      </w:r>
      <w:r w:rsidR="00327A8D" w:rsidRPr="006975CB">
        <w:rPr>
          <w:rFonts w:ascii="Palatino Linotype" w:eastAsiaTheme="minorHAnsi" w:hAnsi="Palatino Linotype"/>
          <w:sz w:val="22"/>
          <w:szCs w:val="22"/>
          <w:lang w:eastAsia="en-US"/>
        </w:rPr>
        <w:tab/>
      </w:r>
      <w:r w:rsidRPr="006975CB">
        <w:rPr>
          <w:rFonts w:ascii="Palatino Linotype" w:eastAsiaTheme="minorHAnsi" w:hAnsi="Palatino Linotype"/>
          <w:sz w:val="22"/>
          <w:szCs w:val="22"/>
          <w:lang w:eastAsia="en-US"/>
        </w:rPr>
        <w:t xml:space="preserve">el artículo 424 del COOTAD señala: </w:t>
      </w:r>
      <w:r w:rsidRPr="006975CB">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6975CB"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00327A8D" w:rsidRPr="006975CB">
        <w:rPr>
          <w:rFonts w:ascii="Palatino Linotype" w:eastAsiaTheme="minorHAnsi" w:hAnsi="Palatino Linotype"/>
          <w:sz w:val="22"/>
          <w:szCs w:val="22"/>
          <w:lang w:eastAsia="en-US"/>
        </w:rPr>
        <w:tab/>
      </w:r>
      <w:r w:rsidRPr="006975CB">
        <w:rPr>
          <w:rFonts w:ascii="Palatino Linotype" w:eastAsiaTheme="minorHAnsi" w:hAnsi="Palatino Linotype"/>
          <w:sz w:val="22"/>
          <w:szCs w:val="22"/>
          <w:lang w:eastAsia="en-US"/>
        </w:rPr>
        <w:t xml:space="preserve">el artículo 472 del COOTAD señala que: </w:t>
      </w:r>
      <w:r w:rsidRPr="006975CB">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6975CB">
        <w:rPr>
          <w:rFonts w:ascii="Palatino Linotype" w:eastAsiaTheme="minorHAnsi" w:hAnsi="Palatino Linotype"/>
          <w:sz w:val="22"/>
          <w:szCs w:val="22"/>
          <w:lang w:eastAsia="en-US"/>
        </w:rPr>
        <w:t>;</w:t>
      </w:r>
    </w:p>
    <w:p w14:paraId="56DD8537" w14:textId="77777777" w:rsidR="00B10E7C" w:rsidRPr="006975CB"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6975CB"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ab/>
        <w:t xml:space="preserve">el artículo 473 del COOTAD señala que: </w:t>
      </w:r>
      <w:r w:rsidRPr="006975CB">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6975CB">
        <w:rPr>
          <w:rFonts w:ascii="Palatino Linotype" w:eastAsiaTheme="minorHAnsi" w:hAnsi="Palatino Linotype"/>
          <w:sz w:val="22"/>
          <w:szCs w:val="22"/>
          <w:lang w:eastAsia="en-US"/>
        </w:rPr>
        <w:t>;</w:t>
      </w:r>
    </w:p>
    <w:p w14:paraId="7F26413D"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6975CB"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ab/>
        <w:t xml:space="preserve">el artículo 2410 del Código Civil Ecuatoriano determina que: </w:t>
      </w:r>
      <w:r w:rsidRPr="006975CB">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6975CB">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6975CB" w:rsidRDefault="00FE4F27" w:rsidP="00FE4F27">
      <w:pPr>
        <w:autoSpaceDE w:val="0"/>
        <w:autoSpaceDN w:val="0"/>
        <w:adjustRightInd w:val="0"/>
        <w:jc w:val="both"/>
        <w:rPr>
          <w:rFonts w:ascii="Palatino Linotype" w:hAnsi="Palatino Linotype"/>
          <w:sz w:val="22"/>
          <w:szCs w:val="22"/>
        </w:rPr>
      </w:pPr>
    </w:p>
    <w:p w14:paraId="0FD85531" w14:textId="1B3DD25B" w:rsidR="00FE4F27" w:rsidRPr="006975CB"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b/>
          <w:sz w:val="22"/>
          <w:szCs w:val="22"/>
          <w:lang w:eastAsia="en-US"/>
        </w:rPr>
        <w:tab/>
      </w:r>
      <w:r w:rsidRPr="006975CB">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6975CB">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975CB">
        <w:rPr>
          <w:rFonts w:ascii="Palatino Linotype" w:eastAsiaTheme="minorHAnsi" w:hAnsi="Palatino Linotype"/>
          <w:sz w:val="22"/>
          <w:szCs w:val="22"/>
          <w:lang w:eastAsia="en-US"/>
        </w:rPr>
        <w:t>;</w:t>
      </w:r>
    </w:p>
    <w:p w14:paraId="7948EF58" w14:textId="77777777" w:rsidR="00FE4F27" w:rsidRPr="006975CB"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6975CB" w:rsidRDefault="00FE4F27" w:rsidP="00FE4F27">
      <w:pPr>
        <w:autoSpaceDE w:val="0"/>
        <w:autoSpaceDN w:val="0"/>
        <w:adjustRightInd w:val="0"/>
        <w:ind w:left="709" w:hanging="709"/>
        <w:jc w:val="both"/>
        <w:rPr>
          <w:rFonts w:ascii="Palatino Linotype" w:hAnsi="Palatino Linotype"/>
          <w:sz w:val="22"/>
          <w:szCs w:val="22"/>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6975CB">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6975CB"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6975CB"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6975CB">
        <w:rPr>
          <w:rFonts w:ascii="Palatino Linotype" w:eastAsiaTheme="minorHAnsi" w:hAnsi="Palatino Linotype"/>
          <w:b/>
          <w:sz w:val="22"/>
          <w:szCs w:val="22"/>
          <w:lang w:eastAsia="en-US"/>
        </w:rPr>
        <w:t>Que</w:t>
      </w:r>
      <w:r w:rsidRPr="006975CB">
        <w:rPr>
          <w:rFonts w:ascii="Palatino Linotype" w:eastAsiaTheme="minorHAnsi" w:hAnsi="Palatino Linotype"/>
          <w:sz w:val="22"/>
          <w:szCs w:val="22"/>
          <w:lang w:eastAsia="en-US"/>
        </w:rPr>
        <w:t xml:space="preserve"> </w:t>
      </w:r>
      <w:r w:rsidRPr="006975CB">
        <w:rPr>
          <w:rFonts w:ascii="Palatino Linotype" w:eastAsiaTheme="minorHAnsi" w:hAnsi="Palatino Linotype"/>
          <w:sz w:val="22"/>
          <w:szCs w:val="22"/>
          <w:lang w:eastAsia="en-US"/>
        </w:rPr>
        <w:tab/>
        <w:t xml:space="preserve">el Código Municipal en su artículo 2567 establece: </w:t>
      </w:r>
      <w:r w:rsidRPr="006975CB">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6975CB">
        <w:rPr>
          <w:rFonts w:ascii="Palatino Linotype" w:eastAsiaTheme="minorHAnsi" w:hAnsi="Palatino Linotype"/>
          <w:sz w:val="22"/>
          <w:szCs w:val="22"/>
          <w:lang w:eastAsia="en-US"/>
        </w:rPr>
        <w:t>;</w:t>
      </w:r>
      <w:r w:rsidRPr="006975CB">
        <w:rPr>
          <w:rFonts w:ascii="Palatino Linotype" w:eastAsiaTheme="minorHAnsi" w:hAnsi="Palatino Linotype"/>
          <w:i/>
          <w:sz w:val="22"/>
          <w:szCs w:val="22"/>
          <w:lang w:eastAsia="en-US"/>
        </w:rPr>
        <w:t xml:space="preserve">  </w:t>
      </w:r>
    </w:p>
    <w:p w14:paraId="4E598D8D" w14:textId="77777777"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6975CB"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Que</w:t>
      </w:r>
      <w:r w:rsidR="00327A8D" w:rsidRPr="006975CB">
        <w:rPr>
          <w:rFonts w:ascii="Palatino Linotype" w:eastAsiaTheme="minorHAnsi" w:hAnsi="Palatino Linotype"/>
          <w:sz w:val="22"/>
          <w:szCs w:val="22"/>
          <w:lang w:eastAsia="en-US"/>
        </w:rPr>
        <w:tab/>
      </w:r>
      <w:r w:rsidRPr="006975CB">
        <w:rPr>
          <w:rFonts w:ascii="Palatino Linotype" w:eastAsiaTheme="minorHAnsi" w:hAnsi="Palatino Linotype"/>
          <w:sz w:val="22"/>
          <w:szCs w:val="22"/>
          <w:lang w:eastAsia="en-US"/>
        </w:rPr>
        <w:t>mediante oficio Nro.</w:t>
      </w:r>
      <w:r w:rsidRPr="006975CB">
        <w:rPr>
          <w:rFonts w:ascii="Palatino Linotype" w:hAnsi="Palatino Linotype"/>
          <w:sz w:val="22"/>
          <w:szCs w:val="22"/>
        </w:rPr>
        <w:t xml:space="preserve"> 2950-2010 de 31 de octubre de 2011</w:t>
      </w:r>
      <w:r w:rsidRPr="006975CB">
        <w:rPr>
          <w:rFonts w:ascii="Palatino Linotype" w:eastAsiaTheme="minorHAnsi" w:hAnsi="Palatino Linotype"/>
          <w:sz w:val="22"/>
          <w:szCs w:val="22"/>
          <w:lang w:eastAsia="en-US"/>
        </w:rPr>
        <w:t xml:space="preserve"> la Procuraduría Metropolitana emitió un </w:t>
      </w:r>
      <w:r w:rsidRPr="006975CB">
        <w:rPr>
          <w:rFonts w:ascii="Palatino Linotype" w:hAnsi="Palatino Linotype"/>
          <w:sz w:val="22"/>
          <w:szCs w:val="22"/>
        </w:rPr>
        <w:t xml:space="preserve">pronunciamiento en forma general, respecto al marco legal y operativo para todos los casos de </w:t>
      </w:r>
      <w:r w:rsidRPr="006975CB">
        <w:rPr>
          <w:rFonts w:ascii="Palatino Linotype" w:eastAsiaTheme="minorHAnsi" w:hAnsi="Palatino Linotype"/>
          <w:sz w:val="22"/>
          <w:szCs w:val="22"/>
          <w:lang w:eastAsia="en-US"/>
        </w:rPr>
        <w:t>prescripción extraordinaria adquisitiva de dominio;</w:t>
      </w:r>
    </w:p>
    <w:p w14:paraId="0A77A64B" w14:textId="77777777" w:rsidR="009859A6" w:rsidRPr="006975CB"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54811C64" w14:textId="026A46FC" w:rsidR="009C1834" w:rsidRPr="006975CB" w:rsidRDefault="007E108B" w:rsidP="004C3A0F">
      <w:pPr>
        <w:spacing w:after="160" w:line="259" w:lineRule="auto"/>
        <w:ind w:left="708" w:hanging="708"/>
        <w:jc w:val="both"/>
        <w:rPr>
          <w:rFonts w:ascii="Palatino Linotype" w:hAnsi="Palatino Linotype"/>
          <w:sz w:val="22"/>
          <w:szCs w:val="22"/>
          <w:lang w:val="es-ES_tradnl"/>
        </w:rPr>
      </w:pPr>
      <w:r w:rsidRPr="006975CB">
        <w:rPr>
          <w:rFonts w:ascii="Palatino Linotype" w:hAnsi="Palatino Linotype"/>
          <w:b/>
          <w:sz w:val="22"/>
          <w:szCs w:val="22"/>
        </w:rPr>
        <w:t xml:space="preserve">Que </w:t>
      </w:r>
      <w:r w:rsidR="007337B1" w:rsidRPr="006975CB">
        <w:rPr>
          <w:rFonts w:ascii="Palatino Linotype" w:hAnsi="Palatino Linotype"/>
          <w:sz w:val="22"/>
          <w:szCs w:val="22"/>
          <w:lang w:val="es-ES_tradnl"/>
        </w:rPr>
        <w:t>m</w:t>
      </w:r>
      <w:r w:rsidR="007337B1" w:rsidRPr="006975CB">
        <w:rPr>
          <w:rFonts w:ascii="Palatino Linotype" w:hAnsi="Palatino Linotype"/>
          <w:sz w:val="22"/>
          <w:szCs w:val="22"/>
          <w:lang w:val="es-ES_tradnl"/>
        </w:rPr>
        <w:t xml:space="preserve">ediante Sentencia dictada el 21 de mayo del 2019, la Unidad Judicial Civil con Sede en la parroquia Iñaquito del Distrito Metropolitano de Quito, dentro del juicio No. 17230-2019-07410, declaró que la prescripción Extraordinaria Adquisitiva de Dominio ha operado a favor de la señora Quichimbo Saraguro Jane de Lourdes, del inmueble ubicado en la parroquia San Isidro del Inca, sector El Tablón del Sur, con una superficie de 193,81 </w:t>
      </w:r>
      <w:r w:rsidR="004C3A0F" w:rsidRPr="006975CB">
        <w:rPr>
          <w:rFonts w:ascii="Palatino Linotype" w:hAnsi="Palatino Linotype"/>
          <w:sz w:val="22"/>
          <w:szCs w:val="22"/>
          <w:lang w:val="es-ES_tradnl"/>
        </w:rPr>
        <w:t>metros cuadrados</w:t>
      </w:r>
      <w:r w:rsidR="000762A9" w:rsidRPr="006975CB">
        <w:rPr>
          <w:rFonts w:ascii="Palatino Linotype" w:hAnsi="Palatino Linotype"/>
          <w:sz w:val="22"/>
          <w:szCs w:val="22"/>
          <w:lang w:val="es-ES_tradnl"/>
        </w:rPr>
        <w:t xml:space="preserve">; </w:t>
      </w:r>
    </w:p>
    <w:p w14:paraId="278F0107" w14:textId="77777777" w:rsidR="003E3AB8" w:rsidRPr="006975CB" w:rsidRDefault="003E3AB8" w:rsidP="003E3AB8">
      <w:pPr>
        <w:pStyle w:val="Default"/>
        <w:ind w:left="708" w:hanging="708"/>
        <w:jc w:val="both"/>
        <w:rPr>
          <w:sz w:val="22"/>
          <w:szCs w:val="22"/>
        </w:rPr>
      </w:pPr>
      <w:r w:rsidRPr="006975CB">
        <w:rPr>
          <w:b/>
          <w:sz w:val="22"/>
          <w:szCs w:val="22"/>
        </w:rPr>
        <w:lastRenderedPageBreak/>
        <w:t>Que</w:t>
      </w:r>
      <w:r w:rsidRPr="006975CB">
        <w:rPr>
          <w:sz w:val="22"/>
          <w:szCs w:val="22"/>
        </w:rPr>
        <w:tab/>
        <w:t xml:space="preserve">mediante oficio GADDMQ-PM-2021-0396-O de 29 de enero de 2021, el Dr. Edison Yépez Vinueza, Subprocurador Metropolitano, señala:  </w:t>
      </w:r>
    </w:p>
    <w:p w14:paraId="342734CF" w14:textId="77777777" w:rsidR="003E3AB8" w:rsidRPr="006975CB" w:rsidRDefault="003E3AB8" w:rsidP="003E3AB8">
      <w:pPr>
        <w:tabs>
          <w:tab w:val="left" w:pos="426"/>
        </w:tabs>
        <w:ind w:left="1416" w:right="566"/>
        <w:jc w:val="both"/>
        <w:rPr>
          <w:rFonts w:ascii="Palatino Linotype" w:hAnsi="Palatino Linotype"/>
          <w:i/>
          <w:sz w:val="22"/>
          <w:szCs w:val="22"/>
        </w:rPr>
      </w:pPr>
    </w:p>
    <w:p w14:paraId="5F21C16D" w14:textId="77F3F4E0" w:rsidR="003E3AB8" w:rsidRPr="006975CB" w:rsidRDefault="003E3AB8" w:rsidP="003E3AB8">
      <w:pPr>
        <w:tabs>
          <w:tab w:val="left" w:pos="284"/>
        </w:tabs>
        <w:ind w:left="708"/>
        <w:jc w:val="both"/>
        <w:rPr>
          <w:rFonts w:ascii="Palatino Linotype" w:hAnsi="Palatino Linotype"/>
          <w:i/>
          <w:sz w:val="22"/>
          <w:szCs w:val="22"/>
        </w:rPr>
      </w:pPr>
      <w:r w:rsidRPr="006975CB">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w:t>
      </w:r>
      <w:r w:rsidR="0024449F" w:rsidRPr="006975CB">
        <w:rPr>
          <w:rFonts w:ascii="Palatino Linotype" w:hAnsi="Palatino Linotype"/>
          <w:i/>
          <w:sz w:val="22"/>
          <w:szCs w:val="22"/>
        </w:rPr>
        <w:t>g</w:t>
      </w:r>
      <w:r w:rsidRPr="006975CB">
        <w:rPr>
          <w:rFonts w:ascii="Palatino Linotype" w:hAnsi="Palatino Linotype"/>
          <w:i/>
          <w:sz w:val="22"/>
          <w:szCs w:val="22"/>
        </w:rPr>
        <w:t>Ciudadana, para los casos de fraccionamiento producidos a causa de las sentencias dictadas en juicios de prescripción adquisitiva de dominio y se pronunció respecto del procedimiento a seguir para el cumplimiento y ejecución de dichas sentencias.</w:t>
      </w:r>
    </w:p>
    <w:p w14:paraId="2D065B16" w14:textId="77777777" w:rsidR="003E3AB8" w:rsidRPr="006975CB" w:rsidRDefault="003E3AB8" w:rsidP="003E3AB8">
      <w:pPr>
        <w:tabs>
          <w:tab w:val="left" w:pos="284"/>
        </w:tabs>
        <w:ind w:left="708"/>
        <w:jc w:val="both"/>
        <w:rPr>
          <w:rFonts w:ascii="Palatino Linotype" w:hAnsi="Palatino Linotype"/>
          <w:i/>
          <w:sz w:val="22"/>
          <w:szCs w:val="22"/>
        </w:rPr>
      </w:pPr>
      <w:r w:rsidRPr="006975CB">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67E12D1D" w14:textId="77777777" w:rsidR="003E3AB8" w:rsidRPr="006975CB" w:rsidRDefault="003E3AB8" w:rsidP="003E3AB8">
      <w:pPr>
        <w:tabs>
          <w:tab w:val="left" w:pos="284"/>
        </w:tabs>
        <w:ind w:left="708"/>
        <w:jc w:val="both"/>
        <w:rPr>
          <w:rFonts w:ascii="Palatino Linotype" w:hAnsi="Palatino Linotype"/>
          <w:i/>
          <w:sz w:val="22"/>
          <w:szCs w:val="22"/>
        </w:rPr>
      </w:pPr>
      <w:r w:rsidRPr="006975CB">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448C8E5F" w14:textId="20807731" w:rsidR="003E3AB8" w:rsidRPr="006975CB" w:rsidRDefault="003E3AB8" w:rsidP="003E3AB8">
      <w:pPr>
        <w:tabs>
          <w:tab w:val="left" w:pos="284"/>
        </w:tabs>
        <w:ind w:left="708"/>
        <w:jc w:val="both"/>
        <w:rPr>
          <w:rFonts w:ascii="Palatino Linotype" w:hAnsi="Palatino Linotype"/>
          <w:i/>
          <w:sz w:val="22"/>
          <w:szCs w:val="22"/>
        </w:rPr>
      </w:pPr>
      <w:r w:rsidRPr="006975CB">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8B4C9A" w:rsidRPr="006975CB">
        <w:rPr>
          <w:rFonts w:ascii="Palatino Linotype" w:hAnsi="Palatino Linotype"/>
          <w:i/>
          <w:sz w:val="22"/>
          <w:szCs w:val="22"/>
        </w:rPr>
        <w:t>no de los casos en particular</w:t>
      </w:r>
      <w:r w:rsidRPr="006975CB">
        <w:rPr>
          <w:rFonts w:ascii="Palatino Linotype" w:hAnsi="Palatino Linotype"/>
          <w:i/>
          <w:sz w:val="22"/>
          <w:szCs w:val="22"/>
        </w:rPr>
        <w:t>”;</w:t>
      </w:r>
    </w:p>
    <w:p w14:paraId="68C2B3FF" w14:textId="0D711FCD" w:rsidR="00073462" w:rsidRPr="006975CB" w:rsidRDefault="00073462" w:rsidP="00073462">
      <w:pPr>
        <w:jc w:val="both"/>
        <w:rPr>
          <w:rFonts w:ascii="Palatino Linotype" w:hAnsi="Palatino Linotype"/>
          <w:i/>
          <w:sz w:val="22"/>
          <w:szCs w:val="22"/>
        </w:rPr>
      </w:pPr>
    </w:p>
    <w:p w14:paraId="06B4D305" w14:textId="1CFB3926" w:rsidR="00947284" w:rsidRPr="006975CB" w:rsidRDefault="00947284" w:rsidP="00947284">
      <w:pPr>
        <w:autoSpaceDE w:val="0"/>
        <w:autoSpaceDN w:val="0"/>
        <w:adjustRightInd w:val="0"/>
        <w:ind w:left="708" w:hanging="708"/>
        <w:jc w:val="both"/>
        <w:rPr>
          <w:rFonts w:ascii="Palatino Linotype" w:hAnsi="Palatino Linotype"/>
          <w:sz w:val="22"/>
          <w:szCs w:val="22"/>
          <w:lang w:val="es-ES_tradnl"/>
        </w:rPr>
      </w:pPr>
      <w:r w:rsidRPr="006975CB">
        <w:rPr>
          <w:rFonts w:ascii="Palatino Linotype" w:hAnsi="Palatino Linotype"/>
          <w:b/>
          <w:sz w:val="22"/>
          <w:szCs w:val="22"/>
        </w:rPr>
        <w:t xml:space="preserve">Que </w:t>
      </w:r>
      <w:r w:rsidR="00F7526B" w:rsidRPr="006975CB">
        <w:rPr>
          <w:rFonts w:ascii="Palatino Linotype" w:hAnsi="Palatino Linotype"/>
          <w:sz w:val="22"/>
          <w:szCs w:val="22"/>
          <w:lang w:val="es-ES_tradnl"/>
        </w:rPr>
        <w:t>m</w:t>
      </w:r>
      <w:r w:rsidR="00F7526B" w:rsidRPr="006975CB">
        <w:rPr>
          <w:rFonts w:ascii="Palatino Linotype" w:hAnsi="Palatino Linotype"/>
          <w:sz w:val="22"/>
          <w:szCs w:val="22"/>
          <w:lang w:val="es-ES_tradnl"/>
        </w:rPr>
        <w:t>ediante solicitud de 22 de septiembre de 2022, la señora Jane de Lourdes Quichimbo Saraguro, solicitó a la Administración Zonal Eugenio Espejo, perfeccionar el catastro de la prescripción extraordinaria adquisitiva de dominio, dada a su favor</w:t>
      </w:r>
      <w:r w:rsidR="005F75EE" w:rsidRPr="006975CB">
        <w:rPr>
          <w:rFonts w:ascii="Palatino Linotype" w:hAnsi="Palatino Linotype"/>
          <w:sz w:val="22"/>
          <w:szCs w:val="22"/>
          <w:lang w:val="es-ES_tradnl"/>
        </w:rPr>
        <w:t xml:space="preserve">; </w:t>
      </w:r>
    </w:p>
    <w:p w14:paraId="3D494FC3" w14:textId="1A0F6896" w:rsidR="00947284" w:rsidRPr="006975CB" w:rsidRDefault="00947284" w:rsidP="00327A8D">
      <w:pPr>
        <w:pStyle w:val="Default"/>
        <w:ind w:left="708" w:hanging="708"/>
        <w:jc w:val="both"/>
        <w:rPr>
          <w:b/>
          <w:sz w:val="22"/>
          <w:szCs w:val="22"/>
        </w:rPr>
      </w:pPr>
    </w:p>
    <w:p w14:paraId="0DBE021F" w14:textId="52850CD0" w:rsidR="00FD7609" w:rsidRPr="006975CB" w:rsidRDefault="009F34AA" w:rsidP="00FD7609">
      <w:pPr>
        <w:autoSpaceDE w:val="0"/>
        <w:autoSpaceDN w:val="0"/>
        <w:adjustRightInd w:val="0"/>
        <w:ind w:left="708" w:hanging="708"/>
        <w:jc w:val="both"/>
        <w:rPr>
          <w:rFonts w:ascii="Palatino Linotype" w:hAnsi="Palatino Linotype"/>
          <w:sz w:val="22"/>
          <w:szCs w:val="22"/>
          <w:lang w:val="es-ES_tradnl"/>
        </w:rPr>
      </w:pPr>
      <w:r w:rsidRPr="006975CB">
        <w:rPr>
          <w:rFonts w:ascii="Palatino Linotype" w:hAnsi="Palatino Linotype"/>
          <w:b/>
          <w:sz w:val="22"/>
          <w:szCs w:val="22"/>
        </w:rPr>
        <w:t xml:space="preserve">Que </w:t>
      </w:r>
      <w:r w:rsidR="00FD7609" w:rsidRPr="006975CB">
        <w:rPr>
          <w:rFonts w:ascii="Palatino Linotype" w:hAnsi="Palatino Linotype"/>
          <w:sz w:val="22"/>
          <w:szCs w:val="22"/>
          <w:lang w:val="es-ES_tradnl"/>
        </w:rPr>
        <w:t>m</w:t>
      </w:r>
      <w:r w:rsidR="00FD7609" w:rsidRPr="006975CB">
        <w:rPr>
          <w:rFonts w:ascii="Palatino Linotype" w:hAnsi="Palatino Linotype"/>
          <w:sz w:val="22"/>
          <w:szCs w:val="22"/>
          <w:lang w:val="es-ES_tradnl"/>
        </w:rPr>
        <w:t xml:space="preserve">ediante informe técnico Nro. AZEE-DGT-UGU-2023-03, de 24 de enero de 2023, la Arq. Nancy Jiménez, funcionaria de la Administración Zonal Eugenio Espejo, señala: </w:t>
      </w:r>
    </w:p>
    <w:p w14:paraId="4D640BD8" w14:textId="77777777" w:rsidR="00FD7609" w:rsidRPr="006975CB" w:rsidRDefault="00FD7609" w:rsidP="00FD7609">
      <w:pPr>
        <w:pStyle w:val="Prrafodelista"/>
        <w:autoSpaceDE w:val="0"/>
        <w:autoSpaceDN w:val="0"/>
        <w:adjustRightInd w:val="0"/>
        <w:ind w:left="1080"/>
        <w:jc w:val="both"/>
        <w:rPr>
          <w:rFonts w:ascii="Palatino Linotype" w:hAnsi="Palatino Linotype"/>
          <w:b/>
          <w:sz w:val="22"/>
          <w:szCs w:val="22"/>
          <w:lang w:val="es-ES_tradnl"/>
        </w:rPr>
      </w:pPr>
    </w:p>
    <w:p w14:paraId="12273A3C" w14:textId="77777777" w:rsidR="00FD7609" w:rsidRPr="006975CB" w:rsidRDefault="00FD7609" w:rsidP="00FD7609">
      <w:pPr>
        <w:pStyle w:val="Prrafodelista"/>
        <w:autoSpaceDE w:val="0"/>
        <w:autoSpaceDN w:val="0"/>
        <w:adjustRightInd w:val="0"/>
        <w:ind w:left="1080"/>
        <w:jc w:val="both"/>
        <w:rPr>
          <w:rFonts w:ascii="Palatino Linotype" w:hAnsi="Palatino Linotype"/>
          <w:b/>
          <w:i/>
          <w:sz w:val="22"/>
          <w:szCs w:val="22"/>
          <w:lang w:val="es-ES_tradnl"/>
        </w:rPr>
      </w:pPr>
      <w:r w:rsidRPr="006975CB">
        <w:rPr>
          <w:rFonts w:ascii="Palatino Linotype" w:hAnsi="Palatino Linotype"/>
          <w:b/>
          <w:i/>
          <w:sz w:val="22"/>
          <w:szCs w:val="22"/>
          <w:lang w:val="es-ES_tradnl"/>
        </w:rPr>
        <w:t xml:space="preserve">“(…) Análisis de la Prescripción Adquisitiva de Dominio </w:t>
      </w:r>
    </w:p>
    <w:p w14:paraId="05F1BE55"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Descripción del Juicio </w:t>
      </w:r>
    </w:p>
    <w:p w14:paraId="261F6EA4"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p>
    <w:p w14:paraId="1EE4400E"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“(…)acepta el recurso de apelación de la actora Jane de Lourdes Quichimbo Saraguro y en los términos anotados REVOCA la sentencia subida en grado, disponiendo que ha operado en su beneficio la prescripción extraordinaria adquisitiva de dominio del bien inmueble identificado como Lote Nº 2, ubicado en la provincia de Pichincha, cantón Quito, parroquia de Zambiza, Sector “El tablón del Sur” en la calle José Ricardo Chiriboga y de los Olivos, pasaje A, sin nomenclatura municipal, se encuentra comprendido dentro de los siguientes linderos y dimensiones específicos: NORTE: con </w:t>
      </w:r>
      <w:r w:rsidRPr="006975CB">
        <w:rPr>
          <w:rFonts w:ascii="Palatino Linotype" w:hAnsi="Palatino Linotype"/>
          <w:i/>
          <w:sz w:val="22"/>
          <w:szCs w:val="22"/>
          <w:lang w:val="es-ES_tradnl"/>
        </w:rPr>
        <w:lastRenderedPageBreak/>
        <w:t xml:space="preserve">cancha de futbol publica, en 10.84 metros; SUR: con propiedad de Segundo Oña Gualotuña, en 11.73 metros; ESTE: con pasaje A, en 18.41 m; y, OESTE: con la propiedad del Sr. José Tituaña, en 16.21 m, con una superficie total de 193.81 m2 (…)”. </w:t>
      </w:r>
    </w:p>
    <w:p w14:paraId="357A0E96"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p>
    <w:p w14:paraId="268E5E7F"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Prescripción Adquisitiva de Dominio Área Observaciones </w:t>
      </w:r>
    </w:p>
    <w:p w14:paraId="3ECBE4FC"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No. 17230-2019-07410 </w:t>
      </w:r>
    </w:p>
    <w:p w14:paraId="2F1C6FE4"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Perito: Arq. Fanny Rodríguez L. Registro de Perito Nº 18-00207-00020 </w:t>
      </w:r>
    </w:p>
    <w:p w14:paraId="70FD3738"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Lote= 193,81 m2 NO Cumple </w:t>
      </w:r>
    </w:p>
    <w:p w14:paraId="3D3C64CB"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Frente= 18,41 m Cumple (…)”.</w:t>
      </w:r>
    </w:p>
    <w:p w14:paraId="50F3868D"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297DC204" w14:textId="77777777" w:rsidR="00FD7609" w:rsidRPr="006975CB" w:rsidRDefault="00FD7609" w:rsidP="00FD7609">
      <w:pPr>
        <w:pStyle w:val="Prrafodelista"/>
        <w:autoSpaceDE w:val="0"/>
        <w:autoSpaceDN w:val="0"/>
        <w:adjustRightInd w:val="0"/>
        <w:ind w:left="1080"/>
        <w:jc w:val="both"/>
        <w:rPr>
          <w:rFonts w:ascii="Palatino Linotype" w:hAnsi="Palatino Linotype"/>
          <w:b/>
          <w:i/>
          <w:sz w:val="22"/>
          <w:szCs w:val="22"/>
          <w:lang w:val="es-ES_tradnl"/>
        </w:rPr>
      </w:pPr>
      <w:r w:rsidRPr="006975CB">
        <w:rPr>
          <w:rFonts w:ascii="Palatino Linotype" w:hAnsi="Palatino Linotype"/>
          <w:b/>
          <w:i/>
          <w:sz w:val="22"/>
          <w:szCs w:val="22"/>
          <w:lang w:val="es-ES_tradnl"/>
        </w:rPr>
        <w:t xml:space="preserve">“(…) ANÁLISIS DE CONTRIBUCIÓN </w:t>
      </w:r>
    </w:p>
    <w:p w14:paraId="5888D16B" w14:textId="77777777" w:rsidR="00FD7609" w:rsidRPr="006975CB" w:rsidRDefault="00FD7609" w:rsidP="00FD7609">
      <w:pPr>
        <w:pStyle w:val="Prrafodelista"/>
        <w:numPr>
          <w:ilvl w:val="0"/>
          <w:numId w:val="3"/>
        </w:numPr>
        <w:autoSpaceDE w:val="0"/>
        <w:autoSpaceDN w:val="0"/>
        <w:adjustRightInd w:val="0"/>
        <w:jc w:val="both"/>
        <w:rPr>
          <w:rFonts w:ascii="Palatino Linotype" w:hAnsi="Palatino Linotype"/>
          <w:b/>
          <w:i/>
          <w:sz w:val="22"/>
          <w:szCs w:val="22"/>
          <w:lang w:val="es-ES_tradnl"/>
        </w:rPr>
      </w:pPr>
      <w:r w:rsidRPr="006975CB">
        <w:rPr>
          <w:rFonts w:ascii="Palatino Linotype" w:hAnsi="Palatino Linotype"/>
          <w:b/>
          <w:i/>
          <w:sz w:val="22"/>
          <w:szCs w:val="22"/>
          <w:lang w:val="es-ES_tradnl"/>
        </w:rPr>
        <w:t xml:space="preserve">Análisis, contribución del 15% del área útil adjudicada adquirida mediante sentencia. </w:t>
      </w:r>
    </w:p>
    <w:p w14:paraId="13D6D808"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p>
    <w:p w14:paraId="342A5C6F"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En el caso que nos ocupa, el 15% del área útil prescrita corresponde a 29.07 m2, lo cual es inferior al lote mínimo vigente (300m2), razón por la que el actor de la demanda deberá compensar en valor monetario de acuerdo al avalúo catastral vigente a la fecha de la emisión del título de crédito correspondiente. </w:t>
      </w:r>
    </w:p>
    <w:p w14:paraId="5828EAA2"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p>
    <w:p w14:paraId="34BE40AA" w14:textId="77777777" w:rsidR="00FD7609" w:rsidRPr="006975CB" w:rsidRDefault="00FD7609" w:rsidP="00FD7609">
      <w:pPr>
        <w:pStyle w:val="Prrafodelista"/>
        <w:autoSpaceDE w:val="0"/>
        <w:autoSpaceDN w:val="0"/>
        <w:adjustRightInd w:val="0"/>
        <w:ind w:left="1080"/>
        <w:jc w:val="both"/>
        <w:rPr>
          <w:rFonts w:ascii="Palatino Linotype" w:hAnsi="Palatino Linotype"/>
          <w:i/>
          <w:sz w:val="22"/>
          <w:szCs w:val="22"/>
          <w:lang w:val="es-ES_tradnl"/>
        </w:rPr>
      </w:pPr>
      <w:r w:rsidRPr="006975CB">
        <w:rPr>
          <w:rFonts w:ascii="Palatino Linotype" w:hAnsi="Palatino Linotype"/>
          <w:i/>
          <w:sz w:val="22"/>
          <w:szCs w:val="22"/>
          <w:lang w:val="es-ES_tradnl"/>
        </w:rPr>
        <w:t xml:space="preserve">Conforme lo señalado en el Informe Técnico de 20 de enero de 2023 emitida por la Unidad de Catastros AZEE, ¨(…) valor del m2 del predio N° 528385 de propiedad de SANCHEZ AGUILAR MARIA AGUSTA(…) ¨ y remite la información siguiente: </w:t>
      </w:r>
    </w:p>
    <w:p w14:paraId="01C37E3F"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43CEEB1D" w14:textId="2147A900" w:rsidR="00FD7609" w:rsidRPr="006975CB" w:rsidRDefault="00FD7609" w:rsidP="00FD7609">
      <w:pPr>
        <w:autoSpaceDE w:val="0"/>
        <w:autoSpaceDN w:val="0"/>
        <w:adjustRightInd w:val="0"/>
        <w:ind w:left="1069"/>
        <w:jc w:val="center"/>
        <w:rPr>
          <w:rFonts w:ascii="Palatino Linotype" w:hAnsi="Palatino Linotype"/>
          <w:b/>
          <w:bCs/>
          <w:i/>
          <w:iCs/>
          <w:sz w:val="22"/>
          <w:szCs w:val="22"/>
          <w:lang w:val="es-ES_tradnl" w:eastAsia="es-EC"/>
        </w:rPr>
      </w:pPr>
      <w:r w:rsidRPr="006975CB">
        <w:rPr>
          <w:rFonts w:ascii="Palatino Linotype" w:hAnsi="Palatino Linotype"/>
          <w:b/>
          <w:i/>
          <w:noProof/>
          <w:sz w:val="22"/>
          <w:szCs w:val="22"/>
          <w:lang w:eastAsia="es-EC"/>
        </w:rPr>
        <w:drawing>
          <wp:inline distT="0" distB="0" distL="0" distR="0" wp14:anchorId="40396267" wp14:editId="358A9A21">
            <wp:extent cx="4895850" cy="2095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095500"/>
                    </a:xfrm>
                    <a:prstGeom prst="rect">
                      <a:avLst/>
                    </a:prstGeom>
                    <a:noFill/>
                    <a:ln>
                      <a:noFill/>
                    </a:ln>
                  </pic:spPr>
                </pic:pic>
              </a:graphicData>
            </a:graphic>
          </wp:inline>
        </w:drawing>
      </w:r>
    </w:p>
    <w:p w14:paraId="741E822A"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517472CD"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Por tanto, el valor por compensación del 15% del área útil adjudicada mediante sentencia a la fecha de hoy es la que se detalla a continuación pudiendo esta cambiar si cambia el avaluó catastral. </w:t>
      </w:r>
    </w:p>
    <w:p w14:paraId="7B6511E3" w14:textId="77777777" w:rsidR="00FD7609" w:rsidRPr="006975CB" w:rsidRDefault="00FD7609" w:rsidP="00FD7609">
      <w:pPr>
        <w:autoSpaceDE w:val="0"/>
        <w:autoSpaceDN w:val="0"/>
        <w:adjustRightInd w:val="0"/>
        <w:ind w:left="708"/>
        <w:jc w:val="both"/>
        <w:rPr>
          <w:rFonts w:ascii="Palatino Linotype" w:hAnsi="Palatino Linotype" w:cs="Calibri"/>
          <w:i/>
          <w:color w:val="000000"/>
          <w:sz w:val="22"/>
          <w:szCs w:val="22"/>
          <w:lang w:eastAsia="es-EC"/>
        </w:rPr>
      </w:pPr>
    </w:p>
    <w:p w14:paraId="6F6C357C"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1.- El cálculo se realiza en función del Avalúo del Terreno y no al AIVA. Se utiliza el Avalúo del terreno ya que el sistema SLUM en el cual se ingresa las Subdivisiones por prescripción utiliza los valores de: el Avalúo del Terreno, Área del Terreno y Área Prescrita </w:t>
      </w:r>
    </w:p>
    <w:p w14:paraId="254CD859" w14:textId="77777777" w:rsidR="00FD7609" w:rsidRPr="006975CB" w:rsidRDefault="00FD7609" w:rsidP="00FD7609">
      <w:pPr>
        <w:autoSpaceDE w:val="0"/>
        <w:autoSpaceDN w:val="0"/>
        <w:adjustRightInd w:val="0"/>
        <w:ind w:left="708"/>
        <w:jc w:val="both"/>
        <w:rPr>
          <w:rFonts w:ascii="Palatino Linotype" w:hAnsi="Palatino Linotype" w:cs="Calibri"/>
          <w:i/>
          <w:color w:val="000000"/>
          <w:sz w:val="22"/>
          <w:szCs w:val="22"/>
          <w:lang w:eastAsia="es-EC"/>
        </w:rPr>
      </w:pPr>
    </w:p>
    <w:p w14:paraId="1014A361"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2.- La fórmula con la cual se calcula la compensación es la siguiente. </w:t>
      </w:r>
    </w:p>
    <w:p w14:paraId="02CC79F0"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(Avalúo del Terreno / Área del Terreno) * (Área de prescripción) * (15% Contribución) </w:t>
      </w:r>
    </w:p>
    <w:p w14:paraId="796E9A6A"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p>
    <w:p w14:paraId="2326D77D"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Por tanto, el valor por compensación del 15% del área útil adjudicada mediante sentencia a la fecha de hoy es la que se detalla a continuación pudiendo esta cambiar si cambia el avaluó catastral. </w:t>
      </w:r>
    </w:p>
    <w:p w14:paraId="24258E15" w14:textId="77777777" w:rsidR="00FD7609" w:rsidRPr="006975CB" w:rsidRDefault="00FD7609" w:rsidP="00FD7609">
      <w:pPr>
        <w:autoSpaceDE w:val="0"/>
        <w:autoSpaceDN w:val="0"/>
        <w:adjustRightInd w:val="0"/>
        <w:ind w:left="708"/>
        <w:jc w:val="both"/>
        <w:rPr>
          <w:rFonts w:ascii="Palatino Linotype" w:hAnsi="Palatino Linotype" w:cs="Calibri"/>
          <w:i/>
          <w:color w:val="000000"/>
          <w:sz w:val="22"/>
          <w:szCs w:val="22"/>
          <w:lang w:eastAsia="es-EC"/>
        </w:rPr>
      </w:pPr>
    </w:p>
    <w:p w14:paraId="4FC893E5"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xml:space="preserve">3.- Con la fórmula mencionada, el área prescrita y los valores emitidos por catastros se realizó el cálculo: </w:t>
      </w:r>
    </w:p>
    <w:p w14:paraId="5CDE90FB" w14:textId="77777777" w:rsidR="00FD7609" w:rsidRPr="006975CB" w:rsidRDefault="00FD7609" w:rsidP="00FD7609">
      <w:pPr>
        <w:autoSpaceDE w:val="0"/>
        <w:autoSpaceDN w:val="0"/>
        <w:adjustRightInd w:val="0"/>
        <w:ind w:left="1777"/>
        <w:jc w:val="both"/>
        <w:rPr>
          <w:rFonts w:ascii="Palatino Linotype" w:hAnsi="Palatino Linotype"/>
          <w:b/>
          <w:bCs/>
          <w:i/>
          <w:iCs/>
          <w:sz w:val="22"/>
          <w:szCs w:val="22"/>
          <w:lang w:val="es-ES_tradnl" w:eastAsia="es-EC"/>
        </w:rPr>
      </w:pPr>
      <w:r w:rsidRPr="006975CB">
        <w:rPr>
          <w:rFonts w:ascii="Palatino Linotype" w:hAnsi="Palatino Linotype" w:cs="Calibri"/>
          <w:i/>
          <w:color w:val="212121"/>
          <w:sz w:val="22"/>
          <w:szCs w:val="22"/>
          <w:lang w:eastAsia="es-EC"/>
        </w:rPr>
        <w:t xml:space="preserve">(132.383,86 usd / 2392,71 m2 ) * (193.81 m2) * (0,15) = 1.608,47 usd </w:t>
      </w:r>
    </w:p>
    <w:p w14:paraId="616CD063"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268352B0" w14:textId="78E49DE0"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r w:rsidRPr="006975CB">
        <w:rPr>
          <w:rFonts w:ascii="Palatino Linotype" w:hAnsi="Palatino Linotype"/>
          <w:b/>
          <w:i/>
          <w:noProof/>
          <w:sz w:val="22"/>
          <w:szCs w:val="22"/>
          <w:lang w:eastAsia="es-EC"/>
        </w:rPr>
        <w:drawing>
          <wp:inline distT="0" distB="0" distL="0" distR="0" wp14:anchorId="7480D6D1" wp14:editId="2CCE1411">
            <wp:extent cx="540067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923925"/>
                    </a:xfrm>
                    <a:prstGeom prst="rect">
                      <a:avLst/>
                    </a:prstGeom>
                    <a:noFill/>
                    <a:ln>
                      <a:noFill/>
                    </a:ln>
                  </pic:spPr>
                </pic:pic>
              </a:graphicData>
            </a:graphic>
          </wp:inline>
        </w:drawing>
      </w:r>
    </w:p>
    <w:p w14:paraId="1707F2EC"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26FEF811"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r w:rsidRPr="006975CB">
        <w:rPr>
          <w:rFonts w:ascii="Palatino Linotype" w:hAnsi="Palatino Linotype"/>
          <w:b/>
          <w:bCs/>
          <w:i/>
          <w:iCs/>
          <w:sz w:val="22"/>
          <w:szCs w:val="22"/>
          <w:lang w:val="es-ES_tradnl" w:eastAsia="es-EC"/>
        </w:rPr>
        <w:t xml:space="preserve">5. CONCLUSIONES </w:t>
      </w:r>
    </w:p>
    <w:p w14:paraId="1E7F5DB9" w14:textId="77777777" w:rsidR="00FD7609" w:rsidRPr="006975CB" w:rsidRDefault="00FD7609" w:rsidP="00FD7609">
      <w:pPr>
        <w:autoSpaceDE w:val="0"/>
        <w:autoSpaceDN w:val="0"/>
        <w:adjustRightInd w:val="0"/>
        <w:ind w:left="1069"/>
        <w:jc w:val="both"/>
        <w:rPr>
          <w:rFonts w:ascii="Palatino Linotype" w:hAnsi="Palatino Linotype"/>
          <w:b/>
          <w:bCs/>
          <w:i/>
          <w:iCs/>
          <w:sz w:val="22"/>
          <w:szCs w:val="22"/>
          <w:lang w:val="es-ES_tradnl" w:eastAsia="es-EC"/>
        </w:rPr>
      </w:pPr>
    </w:p>
    <w:p w14:paraId="173B48DE" w14:textId="77777777" w:rsidR="00FD7609" w:rsidRPr="006975CB" w:rsidRDefault="00FD7609" w:rsidP="00FD7609">
      <w:pPr>
        <w:autoSpaceDE w:val="0"/>
        <w:autoSpaceDN w:val="0"/>
        <w:adjustRightInd w:val="0"/>
        <w:ind w:left="708"/>
        <w:jc w:val="both"/>
        <w:rPr>
          <w:rFonts w:ascii="Palatino Linotype" w:hAnsi="Palatino Linotype" w:cs="Calibri"/>
          <w:i/>
          <w:color w:val="000000"/>
          <w:sz w:val="22"/>
          <w:szCs w:val="22"/>
          <w:lang w:eastAsia="es-EC"/>
        </w:rPr>
      </w:pPr>
      <w:r w:rsidRPr="006975CB">
        <w:rPr>
          <w:rFonts w:ascii="Palatino Linotype" w:hAnsi="Palatino Linotype" w:cs="Calibri"/>
          <w:i/>
          <w:color w:val="212121"/>
          <w:sz w:val="22"/>
          <w:szCs w:val="22"/>
          <w:lang w:eastAsia="es-EC"/>
        </w:rPr>
        <w:t xml:space="preserve">Del análisis técnico se desprende que el predio Nro. 528385 sobre el cual los Sra. </w:t>
      </w:r>
      <w:r w:rsidRPr="006975CB">
        <w:rPr>
          <w:rFonts w:ascii="Palatino Linotype" w:hAnsi="Palatino Linotype" w:cs="Calibri"/>
          <w:b/>
          <w:i/>
          <w:color w:val="212121"/>
          <w:sz w:val="22"/>
          <w:szCs w:val="22"/>
          <w:lang w:eastAsia="es-EC"/>
        </w:rPr>
        <w:t>QUICHIMBO SARAGURO JANE DE LOURDES</w:t>
      </w:r>
      <w:r w:rsidRPr="006975CB">
        <w:rPr>
          <w:rFonts w:ascii="Palatino Linotype" w:hAnsi="Palatino Linotype" w:cs="Calibri"/>
          <w:i/>
          <w:color w:val="212121"/>
          <w:sz w:val="22"/>
          <w:szCs w:val="22"/>
          <w:lang w:eastAsia="es-EC"/>
        </w:rPr>
        <w:t xml:space="preserve"> adquieren un área de terreno mediante sentencia de Prescripción Adquisitiva de Dominio, </w:t>
      </w:r>
      <w:r w:rsidRPr="006975CB">
        <w:rPr>
          <w:rFonts w:ascii="Palatino Linotype" w:hAnsi="Palatino Linotype" w:cs="Calibri"/>
          <w:b/>
          <w:i/>
          <w:color w:val="212121"/>
          <w:sz w:val="22"/>
          <w:szCs w:val="22"/>
          <w:lang w:eastAsia="es-EC"/>
        </w:rPr>
        <w:t>NO CUMPLE</w:t>
      </w:r>
      <w:r w:rsidRPr="006975CB">
        <w:rPr>
          <w:rFonts w:ascii="Palatino Linotype" w:hAnsi="Palatino Linotype" w:cs="Calibri"/>
          <w:i/>
          <w:color w:val="212121"/>
          <w:sz w:val="22"/>
          <w:szCs w:val="22"/>
          <w:lang w:eastAsia="es-EC"/>
        </w:rPr>
        <w:t xml:space="preserve"> con la zonificación asignada por la normativa metropolitana vigente, ya que el área prescrita, es inferior al lote mínimo establecido en la zonificación vigente y no tiene frente hacia una vía pública aprobada, razón por la que esta Dirección emite Informe </w:t>
      </w:r>
      <w:r w:rsidRPr="006975CB">
        <w:rPr>
          <w:rFonts w:ascii="Palatino Linotype" w:hAnsi="Palatino Linotype" w:cs="Calibri"/>
          <w:b/>
          <w:i/>
          <w:color w:val="212121"/>
          <w:sz w:val="22"/>
          <w:szCs w:val="22"/>
          <w:lang w:eastAsia="es-EC"/>
        </w:rPr>
        <w:t>Técnico Desfavorable.</w:t>
      </w:r>
      <w:r w:rsidRPr="006975CB">
        <w:rPr>
          <w:rFonts w:ascii="Palatino Linotype" w:hAnsi="Palatino Linotype" w:cs="Calibri"/>
          <w:i/>
          <w:color w:val="212121"/>
          <w:sz w:val="22"/>
          <w:szCs w:val="22"/>
          <w:lang w:eastAsia="es-EC"/>
        </w:rPr>
        <w:t xml:space="preserve"> </w:t>
      </w:r>
    </w:p>
    <w:p w14:paraId="4C016211"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r w:rsidRPr="006975CB">
        <w:rPr>
          <w:rFonts w:ascii="Palatino Linotype" w:hAnsi="Palatino Linotype" w:cs="Calibri"/>
          <w:i/>
          <w:color w:val="212121"/>
          <w:sz w:val="22"/>
          <w:szCs w:val="22"/>
          <w:lang w:eastAsia="es-EC"/>
        </w:rPr>
        <w:t> Con relación al valor a cancelar por compensación de área verde, se procede a ingresar el registro de los datos correspondientes en el Sistema SLUM, a fin de que la Unidad Zonal de Catastro, conforme las actividades asignadas en el Manual de Procedimiento de Prescripción Adquisitiva de Dominio, proceda a emitir el valor a cancelar”</w:t>
      </w:r>
      <w:r w:rsidRPr="006975CB">
        <w:rPr>
          <w:rFonts w:ascii="Palatino Linotype" w:hAnsi="Palatino Linotype" w:cs="Calibri"/>
          <w:i/>
          <w:color w:val="212121"/>
          <w:sz w:val="22"/>
          <w:szCs w:val="22"/>
          <w:lang w:eastAsia="es-EC"/>
        </w:rPr>
        <w:t>;</w:t>
      </w:r>
    </w:p>
    <w:p w14:paraId="171D9237" w14:textId="77777777" w:rsidR="00FD7609" w:rsidRPr="006975CB" w:rsidRDefault="00FD7609" w:rsidP="00FD7609">
      <w:pPr>
        <w:autoSpaceDE w:val="0"/>
        <w:autoSpaceDN w:val="0"/>
        <w:adjustRightInd w:val="0"/>
        <w:ind w:left="708"/>
        <w:jc w:val="both"/>
        <w:rPr>
          <w:rFonts w:ascii="Palatino Linotype" w:hAnsi="Palatino Linotype" w:cs="Calibri"/>
          <w:i/>
          <w:color w:val="212121"/>
          <w:sz w:val="22"/>
          <w:szCs w:val="22"/>
          <w:lang w:eastAsia="es-EC"/>
        </w:rPr>
      </w:pPr>
    </w:p>
    <w:p w14:paraId="120FDC4F" w14:textId="7E6F2583" w:rsidR="009D746D" w:rsidRPr="006975CB" w:rsidRDefault="00EF446A" w:rsidP="009D746D">
      <w:pPr>
        <w:autoSpaceDE w:val="0"/>
        <w:autoSpaceDN w:val="0"/>
        <w:adjustRightInd w:val="0"/>
        <w:ind w:left="708" w:hanging="708"/>
        <w:jc w:val="both"/>
        <w:rPr>
          <w:rFonts w:ascii="Palatino Linotype" w:hAnsi="Palatino Linotype"/>
          <w:i/>
          <w:sz w:val="22"/>
          <w:szCs w:val="22"/>
          <w:lang w:val="es-ES_tradnl"/>
        </w:rPr>
      </w:pPr>
      <w:r w:rsidRPr="006975CB">
        <w:rPr>
          <w:rFonts w:ascii="Palatino Linotype" w:hAnsi="Palatino Linotype"/>
          <w:b/>
          <w:sz w:val="22"/>
          <w:szCs w:val="22"/>
        </w:rPr>
        <w:t xml:space="preserve">Que </w:t>
      </w:r>
      <w:r w:rsidR="003200EF" w:rsidRPr="006975CB">
        <w:rPr>
          <w:rFonts w:ascii="Palatino Linotype" w:hAnsi="Palatino Linotype"/>
          <w:sz w:val="22"/>
          <w:szCs w:val="22"/>
          <w:lang w:val="es-ES_tradnl"/>
        </w:rPr>
        <w:t>m</w:t>
      </w:r>
      <w:r w:rsidR="003200EF" w:rsidRPr="006975CB">
        <w:rPr>
          <w:rFonts w:ascii="Palatino Linotype" w:hAnsi="Palatino Linotype"/>
          <w:sz w:val="22"/>
          <w:szCs w:val="22"/>
          <w:lang w:val="es-ES_tradnl"/>
        </w:rPr>
        <w:t xml:space="preserve">ediante memorando Nro. GADDMQ-AZEE-DAJ-2023-0305-M, de 10 de abril del 2023, el Dr. Cristian Chimbo Muriel, Director de Asesoría Jurídica de la Administración Zonal Eugenio Espejo, señala: </w:t>
      </w:r>
      <w:r w:rsidR="003200EF" w:rsidRPr="006975CB">
        <w:rPr>
          <w:rFonts w:ascii="Palatino Linotype" w:hAnsi="Palatino Linotype"/>
          <w:i/>
          <w:sz w:val="22"/>
          <w:szCs w:val="22"/>
          <w:lang w:val="es-ES_tradnl"/>
        </w:rPr>
        <w:t xml:space="preserve">“(…) Una vez que se ha presentado la </w:t>
      </w:r>
      <w:r w:rsidR="003200EF" w:rsidRPr="006975CB">
        <w:rPr>
          <w:rFonts w:ascii="Palatino Linotype" w:hAnsi="Palatino Linotype"/>
          <w:i/>
          <w:sz w:val="22"/>
          <w:szCs w:val="22"/>
          <w:lang w:val="es-ES_tradnl"/>
        </w:rPr>
        <w:lastRenderedPageBreak/>
        <w:t>sentencia protocolizada; a fin de garantizar derechos constitucionales y legales del administrado, esta dirección Jurídica considera que se continúe con el proceso de ejecución y cumplimiento de la sentencia expedida; sólo así, se evitará el inicio de posibles acciones constitucionales y legales por incumplimiento de sentencia por parte del administrado</w:t>
      </w:r>
      <w:r w:rsidR="003200EF" w:rsidRPr="006975CB">
        <w:rPr>
          <w:rFonts w:ascii="Palatino Linotype" w:hAnsi="Palatino Linotype"/>
          <w:i/>
          <w:sz w:val="22"/>
          <w:szCs w:val="22"/>
          <w:lang w:val="es-ES_tradnl"/>
        </w:rPr>
        <w:t>”;</w:t>
      </w:r>
    </w:p>
    <w:p w14:paraId="3BF79156" w14:textId="77777777" w:rsidR="00D278E6" w:rsidRPr="006975CB" w:rsidRDefault="00D278E6" w:rsidP="00327A8D">
      <w:pPr>
        <w:pStyle w:val="Default"/>
        <w:ind w:left="708" w:hanging="708"/>
        <w:jc w:val="both"/>
        <w:rPr>
          <w:b/>
          <w:sz w:val="22"/>
          <w:szCs w:val="22"/>
        </w:rPr>
      </w:pPr>
    </w:p>
    <w:p w14:paraId="7FAF9666" w14:textId="612430A6" w:rsidR="00FE1203" w:rsidRPr="006975CB" w:rsidRDefault="00FE1203" w:rsidP="00327A8D">
      <w:pPr>
        <w:pStyle w:val="Default"/>
        <w:ind w:left="708" w:hanging="708"/>
        <w:jc w:val="both"/>
        <w:rPr>
          <w:sz w:val="22"/>
          <w:szCs w:val="22"/>
        </w:rPr>
      </w:pPr>
      <w:r w:rsidRPr="006975CB">
        <w:rPr>
          <w:b/>
          <w:sz w:val="22"/>
          <w:szCs w:val="22"/>
        </w:rPr>
        <w:t xml:space="preserve">Que </w:t>
      </w:r>
      <w:r w:rsidRPr="006975CB">
        <w:rPr>
          <w:b/>
          <w:sz w:val="22"/>
          <w:szCs w:val="22"/>
        </w:rPr>
        <w:tab/>
      </w:r>
      <w:r w:rsidRPr="006975CB">
        <w:rPr>
          <w:sz w:val="22"/>
          <w:szCs w:val="22"/>
        </w:rPr>
        <w:t>la Comisión de Uso de Su</w:t>
      </w:r>
      <w:r w:rsidR="005C1D48" w:rsidRPr="006975CB">
        <w:rPr>
          <w:sz w:val="22"/>
          <w:szCs w:val="22"/>
        </w:rPr>
        <w:t xml:space="preserve">elo en ordinaria Nro. </w:t>
      </w:r>
      <w:r w:rsidR="00764F2A" w:rsidRPr="006975CB">
        <w:rPr>
          <w:sz w:val="22"/>
          <w:szCs w:val="22"/>
        </w:rPr>
        <w:t>002 - Ordinaria</w:t>
      </w:r>
      <w:r w:rsidRPr="006975CB">
        <w:rPr>
          <w:sz w:val="22"/>
          <w:szCs w:val="22"/>
        </w:rPr>
        <w:t xml:space="preserve">, de </w:t>
      </w:r>
      <w:r w:rsidR="00764F2A" w:rsidRPr="006975CB">
        <w:rPr>
          <w:sz w:val="22"/>
          <w:szCs w:val="22"/>
        </w:rPr>
        <w:t xml:space="preserve">08 </w:t>
      </w:r>
      <w:r w:rsidRPr="006975CB">
        <w:rPr>
          <w:sz w:val="22"/>
          <w:szCs w:val="22"/>
        </w:rPr>
        <w:t xml:space="preserve">de </w:t>
      </w:r>
      <w:r w:rsidR="00764F2A" w:rsidRPr="006975CB">
        <w:rPr>
          <w:sz w:val="22"/>
          <w:szCs w:val="22"/>
        </w:rPr>
        <w:t xml:space="preserve">junio </w:t>
      </w:r>
      <w:r w:rsidRPr="006975CB">
        <w:rPr>
          <w:sz w:val="22"/>
          <w:szCs w:val="22"/>
        </w:rPr>
        <w:t>de 202</w:t>
      </w:r>
      <w:r w:rsidR="0088782F" w:rsidRPr="006975CB">
        <w:rPr>
          <w:sz w:val="22"/>
          <w:szCs w:val="22"/>
        </w:rPr>
        <w:t>3</w:t>
      </w:r>
      <w:r w:rsidRPr="006975CB">
        <w:rPr>
          <w:sz w:val="22"/>
          <w:szCs w:val="22"/>
        </w:rPr>
        <w:t>, analizó los informes técnicos y legale</w:t>
      </w:r>
      <w:r w:rsidR="004553DB" w:rsidRPr="006975CB">
        <w:rPr>
          <w:sz w:val="22"/>
          <w:szCs w:val="22"/>
        </w:rPr>
        <w:t>s, que reposan en el expediente</w:t>
      </w:r>
      <w:r w:rsidRPr="006975CB">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6975CB">
        <w:rPr>
          <w:sz w:val="22"/>
          <w:szCs w:val="22"/>
        </w:rPr>
        <w:t>ón a las condiciones generales;</w:t>
      </w:r>
    </w:p>
    <w:p w14:paraId="0E29D413" w14:textId="622E4D23" w:rsidR="00035E6C" w:rsidRPr="006975CB"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746ECE21" w:rsidR="00C926A0" w:rsidRPr="006975CB"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 xml:space="preserve">Que </w:t>
      </w:r>
      <w:r w:rsidRPr="006975CB">
        <w:rPr>
          <w:rFonts w:ascii="Palatino Linotype" w:eastAsiaTheme="minorHAnsi" w:hAnsi="Palatino Linotype"/>
          <w:b/>
          <w:sz w:val="22"/>
          <w:szCs w:val="22"/>
          <w:lang w:eastAsia="en-US"/>
        </w:rPr>
        <w:tab/>
      </w:r>
      <w:r w:rsidRPr="006975CB">
        <w:rPr>
          <w:rFonts w:ascii="Palatino Linotype" w:eastAsiaTheme="minorHAnsi" w:hAnsi="Palatino Linotype"/>
          <w:sz w:val="22"/>
          <w:szCs w:val="22"/>
          <w:lang w:eastAsia="en-US"/>
        </w:rPr>
        <w:t>el Concejo Metropolitano de Quito, en sesión pública ordinaria r</w:t>
      </w:r>
      <w:r w:rsidR="00327A8D" w:rsidRPr="006975CB">
        <w:rPr>
          <w:rFonts w:ascii="Palatino Linotype" w:eastAsiaTheme="minorHAnsi" w:hAnsi="Palatino Linotype"/>
          <w:sz w:val="22"/>
          <w:szCs w:val="22"/>
          <w:lang w:eastAsia="en-US"/>
        </w:rPr>
        <w:t xml:space="preserve">ealizada el </w:t>
      </w:r>
      <w:r w:rsidR="00764F2A" w:rsidRPr="006975CB">
        <w:rPr>
          <w:rFonts w:ascii="Palatino Linotype" w:eastAsiaTheme="minorHAnsi" w:hAnsi="Palatino Linotype"/>
          <w:sz w:val="22"/>
          <w:szCs w:val="22"/>
          <w:lang w:eastAsia="en-US"/>
        </w:rPr>
        <w:t xml:space="preserve">xx </w:t>
      </w:r>
      <w:r w:rsidR="00327A8D" w:rsidRPr="006975CB">
        <w:rPr>
          <w:rFonts w:ascii="Palatino Linotype" w:eastAsiaTheme="minorHAnsi" w:hAnsi="Palatino Linotype"/>
          <w:sz w:val="22"/>
          <w:szCs w:val="22"/>
          <w:lang w:eastAsia="en-US"/>
        </w:rPr>
        <w:t xml:space="preserve">de </w:t>
      </w:r>
      <w:r w:rsidR="00764F2A" w:rsidRPr="006975CB">
        <w:rPr>
          <w:rFonts w:ascii="Palatino Linotype" w:eastAsiaTheme="minorHAnsi" w:hAnsi="Palatino Linotype"/>
          <w:sz w:val="22"/>
          <w:szCs w:val="22"/>
          <w:lang w:eastAsia="en-US"/>
        </w:rPr>
        <w:t xml:space="preserve">xxxx </w:t>
      </w:r>
      <w:r w:rsidR="00327A8D" w:rsidRPr="006975CB">
        <w:rPr>
          <w:rFonts w:ascii="Palatino Linotype" w:eastAsiaTheme="minorHAnsi" w:hAnsi="Palatino Linotype"/>
          <w:sz w:val="22"/>
          <w:szCs w:val="22"/>
          <w:lang w:eastAsia="en-US"/>
        </w:rPr>
        <w:t xml:space="preserve"> </w:t>
      </w:r>
      <w:r w:rsidR="00764F2A" w:rsidRPr="006975CB">
        <w:rPr>
          <w:rFonts w:ascii="Palatino Linotype" w:eastAsiaTheme="minorHAnsi" w:hAnsi="Palatino Linotype"/>
          <w:sz w:val="22"/>
          <w:szCs w:val="22"/>
          <w:lang w:eastAsia="en-US"/>
        </w:rPr>
        <w:t>de 2023</w:t>
      </w:r>
      <w:r w:rsidRPr="006975CB">
        <w:rPr>
          <w:rFonts w:ascii="Palatino Linotype" w:eastAsiaTheme="minorHAnsi" w:hAnsi="Palatino Linotype"/>
          <w:sz w:val="22"/>
          <w:szCs w:val="22"/>
          <w:lang w:eastAsia="en-US"/>
        </w:rPr>
        <w:t>, ana</w:t>
      </w:r>
      <w:r w:rsidR="00144F8A" w:rsidRPr="006975CB">
        <w:rPr>
          <w:rFonts w:ascii="Palatino Linotype" w:eastAsiaTheme="minorHAnsi" w:hAnsi="Palatino Linotype"/>
          <w:sz w:val="22"/>
          <w:szCs w:val="22"/>
          <w:lang w:eastAsia="en-US"/>
        </w:rPr>
        <w:t>lizó el informe Nro. IC-CUS-202</w:t>
      </w:r>
      <w:r w:rsidR="0088782F" w:rsidRPr="006975CB">
        <w:rPr>
          <w:rFonts w:ascii="Palatino Linotype" w:eastAsiaTheme="minorHAnsi" w:hAnsi="Palatino Linotype"/>
          <w:sz w:val="22"/>
          <w:szCs w:val="22"/>
          <w:lang w:eastAsia="en-US"/>
        </w:rPr>
        <w:t>3</w:t>
      </w:r>
      <w:r w:rsidR="00745751" w:rsidRPr="006975CB">
        <w:rPr>
          <w:rFonts w:ascii="Palatino Linotype" w:eastAsiaTheme="minorHAnsi" w:hAnsi="Palatino Linotype"/>
          <w:sz w:val="22"/>
          <w:szCs w:val="22"/>
          <w:lang w:eastAsia="en-US"/>
        </w:rPr>
        <w:t>-</w:t>
      </w:r>
      <w:r w:rsidR="001248DE" w:rsidRPr="006975CB">
        <w:rPr>
          <w:rFonts w:ascii="Palatino Linotype" w:eastAsiaTheme="minorHAnsi" w:hAnsi="Palatino Linotype"/>
          <w:sz w:val="22"/>
          <w:szCs w:val="22"/>
          <w:lang w:eastAsia="en-US"/>
        </w:rPr>
        <w:t>032</w:t>
      </w:r>
      <w:r w:rsidR="00DB552C" w:rsidRPr="006975CB">
        <w:rPr>
          <w:rFonts w:ascii="Palatino Linotype" w:eastAsiaTheme="minorHAnsi" w:hAnsi="Palatino Linotype"/>
          <w:sz w:val="22"/>
          <w:szCs w:val="22"/>
          <w:lang w:eastAsia="en-US"/>
        </w:rPr>
        <w:t>,</w:t>
      </w:r>
      <w:r w:rsidRPr="006975CB">
        <w:rPr>
          <w:rFonts w:ascii="Palatino Linotype" w:eastAsiaTheme="minorHAnsi" w:hAnsi="Palatino Linotype"/>
          <w:sz w:val="22"/>
          <w:szCs w:val="22"/>
          <w:lang w:eastAsia="en-US"/>
        </w:rPr>
        <w:t xml:space="preserve"> emitido p</w:t>
      </w:r>
      <w:r w:rsidR="00327A8D" w:rsidRPr="006975CB">
        <w:rPr>
          <w:rFonts w:ascii="Palatino Linotype" w:eastAsiaTheme="minorHAnsi" w:hAnsi="Palatino Linotype"/>
          <w:sz w:val="22"/>
          <w:szCs w:val="22"/>
          <w:lang w:eastAsia="en-US"/>
        </w:rPr>
        <w:t>or la Comisión de Uso de Suelo; y,</w:t>
      </w:r>
    </w:p>
    <w:p w14:paraId="6A0A34BD" w14:textId="77777777" w:rsidR="00C926A0" w:rsidRPr="006975CB"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6975CB" w:rsidRDefault="00C926A0" w:rsidP="00327A8D">
      <w:pPr>
        <w:autoSpaceDE w:val="0"/>
        <w:autoSpaceDN w:val="0"/>
        <w:adjustRightInd w:val="0"/>
        <w:jc w:val="both"/>
        <w:rPr>
          <w:rFonts w:ascii="Palatino Linotype" w:eastAsiaTheme="minorHAnsi" w:hAnsi="Palatino Linotype"/>
          <w:b/>
          <w:bCs/>
          <w:sz w:val="22"/>
          <w:szCs w:val="22"/>
          <w:lang w:eastAsia="en-US"/>
        </w:rPr>
      </w:pPr>
      <w:r w:rsidRPr="006975CB">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6975CB"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6975CB"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6975CB" w:rsidRDefault="00C926A0" w:rsidP="00327A8D">
      <w:pPr>
        <w:autoSpaceDE w:val="0"/>
        <w:autoSpaceDN w:val="0"/>
        <w:adjustRightInd w:val="0"/>
        <w:jc w:val="center"/>
        <w:rPr>
          <w:rFonts w:ascii="Palatino Linotype" w:eastAsiaTheme="minorHAnsi" w:hAnsi="Palatino Linotype"/>
          <w:b/>
          <w:bCs/>
          <w:sz w:val="22"/>
          <w:szCs w:val="22"/>
          <w:lang w:eastAsia="en-US"/>
        </w:rPr>
      </w:pPr>
      <w:r w:rsidRPr="006975CB">
        <w:rPr>
          <w:rFonts w:ascii="Palatino Linotype" w:eastAsiaTheme="minorHAnsi" w:hAnsi="Palatino Linotype"/>
          <w:b/>
          <w:bCs/>
          <w:sz w:val="22"/>
          <w:szCs w:val="22"/>
          <w:lang w:eastAsia="en-US"/>
        </w:rPr>
        <w:t>RESUELVE:</w:t>
      </w:r>
    </w:p>
    <w:p w14:paraId="6B589E52" w14:textId="77777777" w:rsidR="00755448" w:rsidRPr="006975CB"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10C31F08" w:rsidR="00283EDC" w:rsidRPr="006975CB" w:rsidRDefault="00AA6D13" w:rsidP="00283EDC">
      <w:pPr>
        <w:autoSpaceDE w:val="0"/>
        <w:autoSpaceDN w:val="0"/>
        <w:adjustRightInd w:val="0"/>
        <w:jc w:val="both"/>
        <w:rPr>
          <w:rFonts w:ascii="Palatino Linotype" w:hAnsi="Palatino Linotype" w:cs="Arial"/>
          <w:sz w:val="22"/>
          <w:szCs w:val="22"/>
        </w:rPr>
      </w:pPr>
      <w:r w:rsidRPr="006975CB">
        <w:rPr>
          <w:rFonts w:ascii="Palatino Linotype" w:hAnsi="Palatino Linotype" w:cs="Arial"/>
          <w:b/>
          <w:sz w:val="22"/>
          <w:szCs w:val="22"/>
        </w:rPr>
        <w:t>Artículo único</w:t>
      </w:r>
      <w:r w:rsidR="005F36E3" w:rsidRPr="006975CB">
        <w:rPr>
          <w:rFonts w:ascii="Palatino Linotype" w:hAnsi="Palatino Linotype" w:cs="Arial"/>
          <w:b/>
          <w:sz w:val="22"/>
          <w:szCs w:val="22"/>
        </w:rPr>
        <w:t>.-</w:t>
      </w:r>
      <w:r w:rsidR="005F36E3" w:rsidRPr="006975CB">
        <w:rPr>
          <w:rFonts w:ascii="Palatino Linotype" w:hAnsi="Palatino Linotype" w:cs="Arial"/>
          <w:sz w:val="22"/>
          <w:szCs w:val="22"/>
        </w:rPr>
        <w:t xml:space="preserve"> </w:t>
      </w:r>
      <w:r w:rsidR="00CD51C7" w:rsidRPr="006975CB">
        <w:rPr>
          <w:rFonts w:ascii="Palatino Linotype" w:hAnsi="Palatino Linotype" w:cs="Arial"/>
          <w:sz w:val="22"/>
          <w:szCs w:val="22"/>
        </w:rPr>
        <w:t xml:space="preserve">Autorizar la subdivisión del </w:t>
      </w:r>
      <w:r w:rsidR="004F4472" w:rsidRPr="006975CB">
        <w:rPr>
          <w:rFonts w:ascii="Palatino Linotype" w:hAnsi="Palatino Linotype"/>
          <w:color w:val="000000"/>
          <w:sz w:val="22"/>
          <w:szCs w:val="22"/>
          <w:lang w:val="es-ES_tradnl"/>
        </w:rPr>
        <w:t>predio Nro. 528385, clave catastral No. 1191101005000000000, ubicado en la parroquia San Isidro del Inca</w:t>
      </w:r>
      <w:r w:rsidR="00CD51C7" w:rsidRPr="006975CB">
        <w:rPr>
          <w:rFonts w:ascii="Palatino Linotype" w:hAnsi="Palatino Linotype" w:cs="Arial"/>
          <w:sz w:val="22"/>
          <w:szCs w:val="22"/>
        </w:rPr>
        <w:t xml:space="preserve">, cambiando las condiciones de ese inmueble en particular y generando una excepción a las condiciones generales, de conformidad con la sentencia emitida dentro del proceso judicial No. </w:t>
      </w:r>
      <w:r w:rsidR="004F4472" w:rsidRPr="006975CB">
        <w:rPr>
          <w:rFonts w:ascii="Palatino Linotype" w:hAnsi="Palatino Linotype"/>
          <w:sz w:val="22"/>
          <w:szCs w:val="22"/>
          <w:lang w:val="es-ES_tradnl"/>
        </w:rPr>
        <w:t>17230-2019-07410</w:t>
      </w:r>
      <w:r w:rsidR="00CD51C7" w:rsidRPr="006975CB">
        <w:rPr>
          <w:rFonts w:ascii="Palatino Linotype" w:hAnsi="Palatino Linotype" w:cs="Arial"/>
          <w:sz w:val="22"/>
          <w:szCs w:val="22"/>
        </w:rPr>
        <w:t xml:space="preserve">, mediante la cual la </w:t>
      </w:r>
      <w:r w:rsidR="001E3CB1" w:rsidRPr="006975CB">
        <w:rPr>
          <w:rFonts w:ascii="Palatino Linotype" w:hAnsi="Palatino Linotype" w:cs="Arial"/>
          <w:sz w:val="22"/>
          <w:szCs w:val="22"/>
        </w:rPr>
        <w:t xml:space="preserve">Unidad </w:t>
      </w:r>
      <w:r w:rsidR="00CD51C7" w:rsidRPr="006975CB">
        <w:rPr>
          <w:rFonts w:ascii="Palatino Linotype" w:hAnsi="Palatino Linotype" w:cs="Arial"/>
          <w:sz w:val="22"/>
          <w:szCs w:val="22"/>
        </w:rPr>
        <w:t xml:space="preserve">Judicial Civil con sede en la parroquia </w:t>
      </w:r>
      <w:r w:rsidR="001E3CB1" w:rsidRPr="006975CB">
        <w:rPr>
          <w:rFonts w:ascii="Palatino Linotype" w:hAnsi="Palatino Linotype" w:cs="Arial"/>
          <w:sz w:val="22"/>
          <w:szCs w:val="22"/>
        </w:rPr>
        <w:t xml:space="preserve">Iñaquito </w:t>
      </w:r>
      <w:r w:rsidR="00CD51C7" w:rsidRPr="006975CB">
        <w:rPr>
          <w:rFonts w:ascii="Palatino Linotype" w:hAnsi="Palatino Linotype" w:cs="Arial"/>
          <w:sz w:val="22"/>
          <w:szCs w:val="22"/>
        </w:rPr>
        <w:t xml:space="preserve">del Distrito Metropolitano de Quito, acepta la demanda y declara la Prescripción Extraordinaria Adquisitiva de Dominio que ha operado a favor </w:t>
      </w:r>
      <w:r w:rsidR="00E91CB5" w:rsidRPr="006975CB">
        <w:rPr>
          <w:rFonts w:ascii="Palatino Linotype" w:hAnsi="Palatino Linotype"/>
          <w:sz w:val="22"/>
          <w:szCs w:val="22"/>
          <w:lang w:val="es-ES_tradnl"/>
        </w:rPr>
        <w:t>de</w:t>
      </w:r>
      <w:r w:rsidR="00C2458B" w:rsidRPr="006975CB">
        <w:rPr>
          <w:rFonts w:ascii="Palatino Linotype" w:hAnsi="Palatino Linotype"/>
          <w:sz w:val="22"/>
          <w:szCs w:val="22"/>
          <w:lang w:val="es-ES_tradnl"/>
        </w:rPr>
        <w:t xml:space="preserve"> la señora </w:t>
      </w:r>
      <w:r w:rsidR="00D24681" w:rsidRPr="006975CB">
        <w:rPr>
          <w:rFonts w:ascii="Palatino Linotype" w:hAnsi="Palatino Linotype"/>
          <w:sz w:val="22"/>
          <w:szCs w:val="22"/>
          <w:lang w:val="es-ES_tradnl"/>
        </w:rPr>
        <w:t>Jane de Lourdes Quichimbo Saraguro</w:t>
      </w:r>
      <w:r w:rsidR="00D24681" w:rsidRPr="006975CB">
        <w:rPr>
          <w:rFonts w:ascii="Palatino Linotype" w:hAnsi="Palatino Linotype"/>
          <w:sz w:val="22"/>
          <w:szCs w:val="22"/>
          <w:lang w:val="es-ES_tradnl"/>
        </w:rPr>
        <w:t>,</w:t>
      </w:r>
      <w:r w:rsidR="00CD51C7" w:rsidRPr="006975CB">
        <w:rPr>
          <w:rFonts w:ascii="Palatino Linotype" w:hAnsi="Palatino Linotype" w:cs="Arial"/>
          <w:sz w:val="22"/>
          <w:szCs w:val="22"/>
        </w:rPr>
        <w:t xml:space="preserve"> por una superficie de </w:t>
      </w:r>
      <w:r w:rsidR="005971BE" w:rsidRPr="006975CB">
        <w:rPr>
          <w:rFonts w:ascii="Palatino Linotype" w:hAnsi="Palatino Linotype"/>
          <w:sz w:val="22"/>
          <w:szCs w:val="22"/>
          <w:lang w:val="es-ES_tradnl"/>
        </w:rPr>
        <w:t xml:space="preserve">193,81 </w:t>
      </w:r>
      <w:r w:rsidR="00CD51C7" w:rsidRPr="006975CB">
        <w:rPr>
          <w:rFonts w:ascii="Palatino Linotype" w:hAnsi="Palatino Linotype"/>
          <w:sz w:val="22"/>
          <w:szCs w:val="22"/>
        </w:rPr>
        <w:t>m2</w:t>
      </w:r>
      <w:r w:rsidR="00283EDC" w:rsidRPr="006975CB">
        <w:rPr>
          <w:rFonts w:ascii="Palatino Linotype" w:hAnsi="Palatino Linotype" w:cs="Arial"/>
          <w:sz w:val="22"/>
          <w:szCs w:val="22"/>
        </w:rPr>
        <w:t xml:space="preserve">. </w:t>
      </w:r>
    </w:p>
    <w:p w14:paraId="475C2418" w14:textId="67E8D1F8" w:rsidR="005F36E3" w:rsidRPr="006975CB" w:rsidRDefault="005F36E3" w:rsidP="00327A8D">
      <w:pPr>
        <w:autoSpaceDE w:val="0"/>
        <w:autoSpaceDN w:val="0"/>
        <w:adjustRightInd w:val="0"/>
        <w:jc w:val="both"/>
        <w:rPr>
          <w:rFonts w:ascii="Palatino Linotype" w:hAnsi="Palatino Linotype" w:cs="Arial"/>
          <w:sz w:val="22"/>
          <w:szCs w:val="22"/>
        </w:rPr>
      </w:pPr>
    </w:p>
    <w:p w14:paraId="34E190F9" w14:textId="0BC9AE59" w:rsidR="005F36E3" w:rsidRPr="006975CB" w:rsidRDefault="005F36E3" w:rsidP="00327A8D">
      <w:pPr>
        <w:autoSpaceDE w:val="0"/>
        <w:autoSpaceDN w:val="0"/>
        <w:adjustRightInd w:val="0"/>
        <w:jc w:val="both"/>
        <w:rPr>
          <w:rFonts w:ascii="Palatino Linotype" w:hAnsi="Palatino Linotype" w:cs="Arial"/>
          <w:sz w:val="22"/>
          <w:szCs w:val="22"/>
        </w:rPr>
      </w:pPr>
      <w:r w:rsidRPr="006975CB">
        <w:rPr>
          <w:rFonts w:ascii="Palatino Linotype" w:hAnsi="Palatino Linotype" w:cs="Arial"/>
          <w:sz w:val="22"/>
          <w:szCs w:val="22"/>
        </w:rPr>
        <w:t xml:space="preserve">De conformidad con lo dispuesto en el artículo </w:t>
      </w:r>
      <w:r w:rsidR="00FE4F27" w:rsidRPr="006975CB">
        <w:rPr>
          <w:rFonts w:ascii="Palatino Linotype" w:hAnsi="Palatino Linotype" w:cs="Arial"/>
          <w:sz w:val="22"/>
          <w:szCs w:val="22"/>
        </w:rPr>
        <w:t>2567</w:t>
      </w:r>
      <w:r w:rsidRPr="006975CB">
        <w:rPr>
          <w:rFonts w:ascii="Palatino Linotype" w:hAnsi="Palatino Linotype" w:cs="Arial"/>
          <w:sz w:val="22"/>
          <w:szCs w:val="22"/>
        </w:rPr>
        <w:t xml:space="preserve"> del Código Municipal para el Distrito Metropolitano de Quito, </w:t>
      </w:r>
      <w:r w:rsidR="005971BE" w:rsidRPr="006975CB">
        <w:rPr>
          <w:rFonts w:ascii="Palatino Linotype" w:hAnsi="Palatino Linotype" w:cs="Arial"/>
          <w:sz w:val="22"/>
          <w:szCs w:val="22"/>
        </w:rPr>
        <w:t xml:space="preserve">la señora </w:t>
      </w:r>
      <w:r w:rsidR="005971BE" w:rsidRPr="006975CB">
        <w:rPr>
          <w:rFonts w:ascii="Palatino Linotype" w:hAnsi="Palatino Linotype"/>
          <w:sz w:val="22"/>
          <w:szCs w:val="22"/>
          <w:lang w:val="es-ES_tradnl"/>
        </w:rPr>
        <w:t>Jane de Lourdes Quichimbo Saraguro</w:t>
      </w:r>
      <w:r w:rsidR="00CD51C7" w:rsidRPr="006975CB">
        <w:rPr>
          <w:rFonts w:ascii="Palatino Linotype" w:hAnsi="Palatino Linotype" w:cs="Arial"/>
          <w:sz w:val="22"/>
          <w:szCs w:val="22"/>
        </w:rPr>
        <w:t>, deberá compensar en valor monetario, la contribución del 15% del área útil adjudicada</w:t>
      </w:r>
      <w:r w:rsidRPr="006975CB">
        <w:rPr>
          <w:rFonts w:ascii="Palatino Linotype" w:hAnsi="Palatino Linotype" w:cs="Arial"/>
          <w:sz w:val="22"/>
          <w:szCs w:val="22"/>
        </w:rPr>
        <w:t xml:space="preserve">, de acuerdo con el cálculo que realice la </w:t>
      </w:r>
      <w:r w:rsidR="00FE4F27" w:rsidRPr="006975CB">
        <w:rPr>
          <w:rFonts w:ascii="Palatino Linotype" w:hAnsi="Palatino Linotype" w:cs="Arial"/>
          <w:sz w:val="22"/>
          <w:szCs w:val="22"/>
        </w:rPr>
        <w:t>Administración Zonal competente con base a la normativa vigente.</w:t>
      </w:r>
    </w:p>
    <w:p w14:paraId="4C837BA5" w14:textId="77777777" w:rsidR="005F36E3" w:rsidRPr="006975CB"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6975CB"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6975CB" w:rsidRDefault="00327A8D" w:rsidP="00327A8D">
      <w:pPr>
        <w:autoSpaceDE w:val="0"/>
        <w:autoSpaceDN w:val="0"/>
        <w:adjustRightInd w:val="0"/>
        <w:jc w:val="center"/>
        <w:rPr>
          <w:rFonts w:ascii="Palatino Linotype" w:eastAsiaTheme="minorHAnsi" w:hAnsi="Palatino Linotype"/>
          <w:b/>
          <w:sz w:val="22"/>
          <w:szCs w:val="22"/>
          <w:lang w:eastAsia="en-US"/>
        </w:rPr>
      </w:pPr>
      <w:r w:rsidRPr="006975CB">
        <w:rPr>
          <w:rFonts w:ascii="Palatino Linotype" w:eastAsiaTheme="minorHAnsi" w:hAnsi="Palatino Linotype"/>
          <w:b/>
          <w:sz w:val="22"/>
          <w:szCs w:val="22"/>
          <w:lang w:eastAsia="en-US"/>
        </w:rPr>
        <w:t>DISPOSICIONES GENERALES:</w:t>
      </w:r>
    </w:p>
    <w:p w14:paraId="76012093" w14:textId="3B98FA11" w:rsidR="00755448" w:rsidRPr="006975CB"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6975CB" w:rsidRDefault="0078423B" w:rsidP="00327A8D">
      <w:pPr>
        <w:autoSpaceDE w:val="0"/>
        <w:autoSpaceDN w:val="0"/>
        <w:adjustRightInd w:val="0"/>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Primera. -</w:t>
      </w:r>
      <w:r w:rsidR="00755448" w:rsidRPr="006975CB">
        <w:rPr>
          <w:rFonts w:ascii="Palatino Linotype" w:eastAsiaTheme="minorHAnsi" w:hAnsi="Palatino Linotype"/>
          <w:b/>
          <w:sz w:val="22"/>
          <w:szCs w:val="22"/>
          <w:lang w:eastAsia="en-US"/>
        </w:rPr>
        <w:t xml:space="preserve"> </w:t>
      </w:r>
      <w:r w:rsidR="00755448" w:rsidRPr="006975CB">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58AA5338" w:rsidR="00755448" w:rsidRPr="006975CB"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6975CB" w:rsidRDefault="0078423B" w:rsidP="00327A8D">
      <w:pPr>
        <w:autoSpaceDE w:val="0"/>
        <w:autoSpaceDN w:val="0"/>
        <w:adjustRightInd w:val="0"/>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Segunda. -</w:t>
      </w:r>
      <w:r w:rsidR="00755448" w:rsidRPr="006975CB">
        <w:rPr>
          <w:rFonts w:ascii="Palatino Linotype" w:eastAsiaTheme="minorHAnsi" w:hAnsi="Palatino Linotype"/>
          <w:sz w:val="22"/>
          <w:szCs w:val="22"/>
          <w:lang w:eastAsia="en-US"/>
        </w:rPr>
        <w:t xml:space="preserve"> La p</w:t>
      </w:r>
      <w:r w:rsidR="00FE4F27" w:rsidRPr="006975CB">
        <w:rPr>
          <w:rFonts w:ascii="Palatino Linotype" w:eastAsiaTheme="minorHAnsi" w:hAnsi="Palatino Linotype"/>
          <w:sz w:val="22"/>
          <w:szCs w:val="22"/>
          <w:lang w:eastAsia="en-US"/>
        </w:rPr>
        <w:t>resente resolución se aprueba con</w:t>
      </w:r>
      <w:r w:rsidR="00755448" w:rsidRPr="006975CB">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6975CB"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6975CB" w:rsidRDefault="00327A8D" w:rsidP="00327A8D">
      <w:pPr>
        <w:autoSpaceDE w:val="0"/>
        <w:autoSpaceDN w:val="0"/>
        <w:adjustRightInd w:val="0"/>
        <w:jc w:val="both"/>
        <w:rPr>
          <w:rFonts w:ascii="Palatino Linotype" w:eastAsiaTheme="minorHAnsi" w:hAnsi="Palatino Linotype"/>
          <w:sz w:val="22"/>
          <w:szCs w:val="22"/>
          <w:lang w:eastAsia="en-US"/>
        </w:rPr>
      </w:pPr>
      <w:r w:rsidRPr="006975CB">
        <w:rPr>
          <w:rFonts w:ascii="Palatino Linotype" w:eastAsiaTheme="minorHAnsi" w:hAnsi="Palatino Linotype"/>
          <w:b/>
          <w:sz w:val="22"/>
          <w:szCs w:val="22"/>
          <w:lang w:eastAsia="en-US"/>
        </w:rPr>
        <w:t xml:space="preserve">Disposición </w:t>
      </w:r>
      <w:r w:rsidR="0078423B" w:rsidRPr="006975CB">
        <w:rPr>
          <w:rFonts w:ascii="Palatino Linotype" w:eastAsiaTheme="minorHAnsi" w:hAnsi="Palatino Linotype"/>
          <w:b/>
          <w:sz w:val="22"/>
          <w:szCs w:val="22"/>
          <w:lang w:eastAsia="en-US"/>
        </w:rPr>
        <w:t>Final. -</w:t>
      </w:r>
      <w:r w:rsidRPr="006975CB">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6975CB" w:rsidRDefault="0078423B" w:rsidP="00327A8D">
      <w:pPr>
        <w:jc w:val="both"/>
        <w:rPr>
          <w:rFonts w:ascii="Palatino Linotype" w:hAnsi="Palatino Linotype"/>
          <w:sz w:val="22"/>
          <w:szCs w:val="22"/>
        </w:rPr>
      </w:pPr>
    </w:p>
    <w:p w14:paraId="39E610DC" w14:textId="6DA0D728" w:rsidR="00327A8D" w:rsidRPr="006975CB" w:rsidRDefault="00327A8D" w:rsidP="00327A8D">
      <w:pPr>
        <w:jc w:val="both"/>
        <w:rPr>
          <w:rFonts w:ascii="Palatino Linotype" w:hAnsi="Palatino Linotype"/>
          <w:sz w:val="22"/>
          <w:szCs w:val="22"/>
        </w:rPr>
      </w:pPr>
      <w:r w:rsidRPr="006975CB">
        <w:rPr>
          <w:rFonts w:ascii="Palatino Linotype" w:hAnsi="Palatino Linotype"/>
          <w:sz w:val="22"/>
          <w:szCs w:val="22"/>
        </w:rPr>
        <w:t xml:space="preserve">Dada en el Distrito Metropolitano de Quito, a los </w:t>
      </w:r>
      <w:r w:rsidR="00764F2A" w:rsidRPr="006975CB">
        <w:rPr>
          <w:rFonts w:ascii="Palatino Linotype" w:hAnsi="Palatino Linotype"/>
          <w:sz w:val="22"/>
          <w:szCs w:val="22"/>
        </w:rPr>
        <w:t xml:space="preserve">xxxx </w:t>
      </w:r>
      <w:r w:rsidRPr="006975CB">
        <w:rPr>
          <w:rFonts w:ascii="Palatino Linotype" w:hAnsi="Palatino Linotype"/>
          <w:sz w:val="22"/>
          <w:szCs w:val="22"/>
        </w:rPr>
        <w:t xml:space="preserve">días del mes de </w:t>
      </w:r>
      <w:r w:rsidR="00764F2A" w:rsidRPr="006975CB">
        <w:rPr>
          <w:rFonts w:ascii="Palatino Linotype" w:hAnsi="Palatino Linotype"/>
          <w:sz w:val="22"/>
          <w:szCs w:val="22"/>
        </w:rPr>
        <w:t xml:space="preserve">xxxx </w:t>
      </w:r>
      <w:r w:rsidRPr="006975CB">
        <w:rPr>
          <w:rFonts w:ascii="Palatino Linotype" w:hAnsi="Palatino Linotype"/>
          <w:sz w:val="22"/>
          <w:szCs w:val="22"/>
        </w:rPr>
        <w:t>del año dos mil veintitrés.</w:t>
      </w:r>
    </w:p>
    <w:p w14:paraId="4A218F67" w14:textId="77777777" w:rsidR="00327A8D" w:rsidRPr="006975CB" w:rsidRDefault="00327A8D" w:rsidP="00327A8D">
      <w:pPr>
        <w:jc w:val="both"/>
        <w:rPr>
          <w:rFonts w:ascii="Palatino Linotype" w:hAnsi="Palatino Linotype"/>
          <w:sz w:val="22"/>
          <w:szCs w:val="22"/>
        </w:rPr>
      </w:pPr>
    </w:p>
    <w:p w14:paraId="295D555B" w14:textId="77777777" w:rsidR="000D4771" w:rsidRPr="006975CB" w:rsidRDefault="000D4771" w:rsidP="00327A8D">
      <w:pPr>
        <w:jc w:val="both"/>
        <w:rPr>
          <w:rFonts w:ascii="Palatino Linotype" w:hAnsi="Palatino Linotype"/>
          <w:b/>
          <w:sz w:val="22"/>
          <w:szCs w:val="22"/>
        </w:rPr>
      </w:pPr>
    </w:p>
    <w:p w14:paraId="2E369E20" w14:textId="77777777" w:rsidR="000D4771" w:rsidRPr="006975CB" w:rsidRDefault="000D4771" w:rsidP="00327A8D">
      <w:pPr>
        <w:jc w:val="both"/>
        <w:rPr>
          <w:rFonts w:ascii="Palatino Linotype" w:hAnsi="Palatino Linotype"/>
          <w:b/>
          <w:sz w:val="22"/>
          <w:szCs w:val="22"/>
        </w:rPr>
      </w:pPr>
    </w:p>
    <w:p w14:paraId="04874733" w14:textId="66875DC1" w:rsidR="00327A8D" w:rsidRPr="006975CB" w:rsidRDefault="00327A8D" w:rsidP="00327A8D">
      <w:pPr>
        <w:jc w:val="both"/>
        <w:rPr>
          <w:rFonts w:ascii="Palatino Linotype" w:hAnsi="Palatino Linotype"/>
          <w:sz w:val="22"/>
          <w:szCs w:val="22"/>
        </w:rPr>
      </w:pPr>
      <w:r w:rsidRPr="006975CB">
        <w:rPr>
          <w:rFonts w:ascii="Palatino Linotype" w:hAnsi="Palatino Linotype"/>
          <w:b/>
          <w:sz w:val="22"/>
          <w:szCs w:val="22"/>
        </w:rPr>
        <w:t xml:space="preserve">Alcaldía del Distrito Metropolitano. - </w:t>
      </w:r>
      <w:r w:rsidRPr="006975CB">
        <w:rPr>
          <w:rFonts w:ascii="Palatino Linotype" w:hAnsi="Palatino Linotype"/>
          <w:sz w:val="22"/>
          <w:szCs w:val="22"/>
        </w:rPr>
        <w:t xml:space="preserve">Distrito Metropolitano de Quito, </w:t>
      </w:r>
      <w:r w:rsidR="00764F2A" w:rsidRPr="006975CB">
        <w:rPr>
          <w:rFonts w:ascii="Palatino Linotype" w:hAnsi="Palatino Linotype"/>
          <w:sz w:val="22"/>
          <w:szCs w:val="22"/>
        </w:rPr>
        <w:t xml:space="preserve">xx </w:t>
      </w:r>
      <w:r w:rsidRPr="006975CB">
        <w:rPr>
          <w:rFonts w:ascii="Palatino Linotype" w:hAnsi="Palatino Linotype"/>
          <w:sz w:val="22"/>
          <w:szCs w:val="22"/>
        </w:rPr>
        <w:t xml:space="preserve">de </w:t>
      </w:r>
      <w:r w:rsidR="00764F2A" w:rsidRPr="006975CB">
        <w:rPr>
          <w:rFonts w:ascii="Palatino Linotype" w:hAnsi="Palatino Linotype"/>
          <w:sz w:val="22"/>
          <w:szCs w:val="22"/>
        </w:rPr>
        <w:t xml:space="preserve">xxxx </w:t>
      </w:r>
      <w:r w:rsidRPr="006975CB">
        <w:rPr>
          <w:rFonts w:ascii="Palatino Linotype" w:hAnsi="Palatino Linotype"/>
          <w:sz w:val="22"/>
          <w:szCs w:val="22"/>
        </w:rPr>
        <w:t>de 2023.</w:t>
      </w:r>
    </w:p>
    <w:p w14:paraId="54C32EC4" w14:textId="77777777" w:rsidR="00327A8D" w:rsidRPr="006975CB" w:rsidRDefault="00327A8D" w:rsidP="00327A8D">
      <w:pPr>
        <w:jc w:val="center"/>
        <w:rPr>
          <w:rFonts w:ascii="Palatino Linotype" w:hAnsi="Palatino Linotype"/>
          <w:b/>
          <w:sz w:val="22"/>
          <w:szCs w:val="22"/>
        </w:rPr>
      </w:pPr>
    </w:p>
    <w:p w14:paraId="5EE5FABB" w14:textId="77777777" w:rsidR="00327A8D" w:rsidRPr="006975CB" w:rsidRDefault="00327A8D" w:rsidP="00327A8D">
      <w:pPr>
        <w:ind w:left="51"/>
        <w:jc w:val="center"/>
        <w:rPr>
          <w:rFonts w:ascii="Palatino Linotype" w:hAnsi="Palatino Linotype"/>
          <w:sz w:val="22"/>
          <w:szCs w:val="22"/>
        </w:rPr>
      </w:pPr>
    </w:p>
    <w:p w14:paraId="37D0B67E" w14:textId="77777777" w:rsidR="00327A8D" w:rsidRPr="006975CB" w:rsidRDefault="00327A8D" w:rsidP="00327A8D">
      <w:pPr>
        <w:rPr>
          <w:rFonts w:ascii="Palatino Linotype" w:hAnsi="Palatino Linotype"/>
          <w:sz w:val="22"/>
          <w:szCs w:val="22"/>
        </w:rPr>
      </w:pPr>
    </w:p>
    <w:p w14:paraId="0BD5AE2F" w14:textId="77777777" w:rsidR="000D4771" w:rsidRPr="006975CB" w:rsidRDefault="000D4771" w:rsidP="00327A8D">
      <w:pPr>
        <w:rPr>
          <w:rFonts w:ascii="Palatino Linotype" w:hAnsi="Palatino Linotype"/>
          <w:sz w:val="22"/>
          <w:szCs w:val="22"/>
        </w:rPr>
      </w:pPr>
    </w:p>
    <w:p w14:paraId="5CF5E274" w14:textId="77777777" w:rsidR="00327A8D" w:rsidRPr="006975CB" w:rsidRDefault="00327A8D" w:rsidP="00327A8D">
      <w:pPr>
        <w:ind w:left="51"/>
        <w:jc w:val="center"/>
        <w:rPr>
          <w:rFonts w:ascii="Palatino Linotype" w:hAnsi="Palatino Linotype"/>
          <w:sz w:val="22"/>
          <w:szCs w:val="22"/>
        </w:rPr>
      </w:pPr>
      <w:r w:rsidRPr="006975CB">
        <w:rPr>
          <w:rFonts w:ascii="Palatino Linotype" w:hAnsi="Palatino Linotype"/>
          <w:sz w:val="22"/>
          <w:szCs w:val="22"/>
        </w:rPr>
        <w:t>Pabel Muñoz López</w:t>
      </w:r>
    </w:p>
    <w:p w14:paraId="5FFD5E72" w14:textId="77777777" w:rsidR="00327A8D" w:rsidRPr="006975CB"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6975CB">
        <w:rPr>
          <w:rFonts w:ascii="Palatino Linotype" w:hAnsi="Palatino Linotype" w:cs="Palatino Linotype"/>
          <w:b/>
          <w:color w:val="000000"/>
          <w:sz w:val="22"/>
          <w:szCs w:val="22"/>
          <w:lang w:eastAsia="es-EC"/>
        </w:rPr>
        <w:t>ALCALDE DEL DISTRITO METROPOLITANO DE QUITO</w:t>
      </w:r>
    </w:p>
    <w:p w14:paraId="161D213F" w14:textId="77777777" w:rsidR="00327A8D" w:rsidRPr="006975CB" w:rsidRDefault="00327A8D" w:rsidP="00327A8D">
      <w:pPr>
        <w:jc w:val="both"/>
        <w:rPr>
          <w:rFonts w:ascii="Palatino Linotype" w:hAnsi="Palatino Linotype"/>
          <w:b/>
          <w:sz w:val="22"/>
          <w:szCs w:val="22"/>
        </w:rPr>
      </w:pPr>
    </w:p>
    <w:p w14:paraId="76911B97" w14:textId="0C260D1B" w:rsidR="00327A8D" w:rsidRPr="006975CB" w:rsidRDefault="00327A8D" w:rsidP="00327A8D">
      <w:pPr>
        <w:jc w:val="both"/>
        <w:rPr>
          <w:rFonts w:ascii="Palatino Linotype" w:hAnsi="Palatino Linotype"/>
          <w:sz w:val="22"/>
          <w:szCs w:val="22"/>
        </w:rPr>
      </w:pPr>
      <w:r w:rsidRPr="006975CB">
        <w:rPr>
          <w:rFonts w:ascii="Palatino Linotype" w:hAnsi="Palatino Linotype"/>
          <w:b/>
          <w:sz w:val="22"/>
          <w:szCs w:val="22"/>
        </w:rPr>
        <w:t>CERTIFICO,</w:t>
      </w:r>
      <w:r w:rsidRPr="006975CB">
        <w:rPr>
          <w:rFonts w:ascii="Palatino Linotype" w:hAnsi="Palatino Linotype"/>
          <w:sz w:val="22"/>
          <w:szCs w:val="22"/>
        </w:rPr>
        <w:t xml:space="preserve"> que la presente resolución fue discutida y aprobada en la sesión pública No. </w:t>
      </w:r>
      <w:r w:rsidR="00B6485C" w:rsidRPr="006975CB">
        <w:rPr>
          <w:rFonts w:ascii="Palatino Linotype" w:hAnsi="Palatino Linotype"/>
          <w:sz w:val="22"/>
          <w:szCs w:val="22"/>
        </w:rPr>
        <w:t xml:space="preserve">xxx </w:t>
      </w:r>
      <w:r w:rsidRPr="006975CB">
        <w:rPr>
          <w:rFonts w:ascii="Palatino Linotype" w:hAnsi="Palatino Linotype"/>
          <w:sz w:val="22"/>
          <w:szCs w:val="22"/>
        </w:rPr>
        <w:t xml:space="preserve">Ordinaria del Concejo Metropolitano de Quito, el </w:t>
      </w:r>
      <w:r w:rsidR="00B6485C" w:rsidRPr="006975CB">
        <w:rPr>
          <w:rFonts w:ascii="Palatino Linotype" w:hAnsi="Palatino Linotype"/>
          <w:sz w:val="22"/>
          <w:szCs w:val="22"/>
        </w:rPr>
        <w:t xml:space="preserve">xx </w:t>
      </w:r>
      <w:r w:rsidRPr="006975CB">
        <w:rPr>
          <w:rFonts w:ascii="Palatino Linotype" w:hAnsi="Palatino Linotype"/>
          <w:sz w:val="22"/>
          <w:szCs w:val="22"/>
        </w:rPr>
        <w:t xml:space="preserve">de </w:t>
      </w:r>
      <w:r w:rsidR="00B6485C" w:rsidRPr="006975CB">
        <w:rPr>
          <w:rFonts w:ascii="Palatino Linotype" w:hAnsi="Palatino Linotype"/>
          <w:sz w:val="22"/>
          <w:szCs w:val="22"/>
        </w:rPr>
        <w:t xml:space="preserve">xxxx </w:t>
      </w:r>
      <w:r w:rsidRPr="006975CB">
        <w:rPr>
          <w:rFonts w:ascii="Palatino Linotype" w:hAnsi="Palatino Linotype"/>
          <w:sz w:val="22"/>
          <w:szCs w:val="22"/>
        </w:rPr>
        <w:t xml:space="preserve">de 2023; y, suscrita por el señor Pabel Muñoz López, Alcalde del Distrito Metropolitano de Quito, el </w:t>
      </w:r>
      <w:r w:rsidR="00B6485C" w:rsidRPr="006975CB">
        <w:rPr>
          <w:rFonts w:ascii="Palatino Linotype" w:hAnsi="Palatino Linotype"/>
          <w:sz w:val="22"/>
          <w:szCs w:val="22"/>
        </w:rPr>
        <w:t xml:space="preserve">xx </w:t>
      </w:r>
      <w:r w:rsidRPr="006975CB">
        <w:rPr>
          <w:rFonts w:ascii="Palatino Linotype" w:hAnsi="Palatino Linotype"/>
          <w:sz w:val="22"/>
          <w:szCs w:val="22"/>
        </w:rPr>
        <w:t xml:space="preserve">de </w:t>
      </w:r>
      <w:r w:rsidR="00B6485C" w:rsidRPr="006975CB">
        <w:rPr>
          <w:rFonts w:ascii="Palatino Linotype" w:hAnsi="Palatino Linotype"/>
          <w:sz w:val="22"/>
          <w:szCs w:val="22"/>
        </w:rPr>
        <w:t xml:space="preserve">xxxx </w:t>
      </w:r>
      <w:r w:rsidRPr="006975CB">
        <w:rPr>
          <w:rFonts w:ascii="Palatino Linotype" w:hAnsi="Palatino Linotype"/>
          <w:sz w:val="22"/>
          <w:szCs w:val="22"/>
        </w:rPr>
        <w:t>de 2023.</w:t>
      </w:r>
    </w:p>
    <w:p w14:paraId="37DC686A" w14:textId="77777777" w:rsidR="00327A8D" w:rsidRPr="006975CB" w:rsidRDefault="00327A8D" w:rsidP="00327A8D">
      <w:pPr>
        <w:jc w:val="both"/>
        <w:rPr>
          <w:rFonts w:ascii="Palatino Linotype" w:hAnsi="Palatino Linotype"/>
          <w:b/>
          <w:sz w:val="22"/>
          <w:szCs w:val="22"/>
        </w:rPr>
      </w:pPr>
      <w:r w:rsidRPr="006975CB">
        <w:rPr>
          <w:rFonts w:ascii="Palatino Linotype" w:hAnsi="Palatino Linotype"/>
          <w:b/>
          <w:sz w:val="22"/>
          <w:szCs w:val="22"/>
        </w:rPr>
        <w:t xml:space="preserve"> </w:t>
      </w:r>
    </w:p>
    <w:p w14:paraId="1D9E8E64" w14:textId="4800A689" w:rsidR="00327A8D" w:rsidRPr="006975CB" w:rsidRDefault="00327A8D" w:rsidP="00327A8D">
      <w:pPr>
        <w:ind w:right="-39"/>
        <w:jc w:val="both"/>
        <w:rPr>
          <w:rFonts w:ascii="Palatino Linotype" w:eastAsia="SimSun" w:hAnsi="Palatino Linotype"/>
          <w:sz w:val="22"/>
          <w:szCs w:val="22"/>
          <w:lang w:eastAsia="en-US"/>
        </w:rPr>
      </w:pPr>
      <w:r w:rsidRPr="006975CB">
        <w:rPr>
          <w:rFonts w:ascii="Palatino Linotype" w:eastAsia="SimSun" w:hAnsi="Palatino Linotype"/>
          <w:b/>
          <w:sz w:val="22"/>
          <w:szCs w:val="22"/>
          <w:lang w:eastAsia="en-US"/>
        </w:rPr>
        <w:t>Lo</w:t>
      </w:r>
      <w:r w:rsidRPr="006975CB">
        <w:rPr>
          <w:rFonts w:ascii="Palatino Linotype" w:eastAsia="SimSun" w:hAnsi="Palatino Linotype"/>
          <w:b/>
          <w:spacing w:val="-2"/>
          <w:sz w:val="22"/>
          <w:szCs w:val="22"/>
          <w:lang w:eastAsia="en-US"/>
        </w:rPr>
        <w:t xml:space="preserve"> </w:t>
      </w:r>
      <w:r w:rsidRPr="006975CB">
        <w:rPr>
          <w:rFonts w:ascii="Palatino Linotype" w:eastAsia="SimSun" w:hAnsi="Palatino Linotype"/>
          <w:b/>
          <w:sz w:val="22"/>
          <w:szCs w:val="22"/>
          <w:lang w:eastAsia="en-US"/>
        </w:rPr>
        <w:t>certifico.</w:t>
      </w:r>
      <w:r w:rsidRPr="006975CB">
        <w:rPr>
          <w:rFonts w:ascii="Palatino Linotype" w:eastAsia="SimSun" w:hAnsi="Palatino Linotype"/>
          <w:b/>
          <w:spacing w:val="-6"/>
          <w:sz w:val="22"/>
          <w:szCs w:val="22"/>
          <w:lang w:eastAsia="en-US"/>
        </w:rPr>
        <w:t xml:space="preserve"> </w:t>
      </w:r>
      <w:r w:rsidRPr="006975CB">
        <w:rPr>
          <w:rFonts w:ascii="Palatino Linotype" w:eastAsia="SimSun" w:hAnsi="Palatino Linotype"/>
          <w:b/>
          <w:sz w:val="22"/>
          <w:szCs w:val="22"/>
          <w:lang w:eastAsia="en-US"/>
        </w:rPr>
        <w:t xml:space="preserve">- </w:t>
      </w:r>
      <w:r w:rsidRPr="006975CB">
        <w:rPr>
          <w:rFonts w:ascii="Palatino Linotype" w:eastAsia="SimSun" w:hAnsi="Palatino Linotype"/>
          <w:sz w:val="22"/>
          <w:szCs w:val="22"/>
          <w:lang w:eastAsia="en-US"/>
        </w:rPr>
        <w:t>Distrito</w:t>
      </w:r>
      <w:r w:rsidRPr="006975CB">
        <w:rPr>
          <w:rFonts w:ascii="Palatino Linotype" w:eastAsia="SimSun" w:hAnsi="Palatino Linotype"/>
          <w:spacing w:val="-1"/>
          <w:sz w:val="22"/>
          <w:szCs w:val="22"/>
          <w:lang w:eastAsia="en-US"/>
        </w:rPr>
        <w:t xml:space="preserve"> </w:t>
      </w:r>
      <w:r w:rsidRPr="006975CB">
        <w:rPr>
          <w:rFonts w:ascii="Palatino Linotype" w:eastAsia="SimSun" w:hAnsi="Palatino Linotype"/>
          <w:sz w:val="22"/>
          <w:szCs w:val="22"/>
          <w:lang w:eastAsia="en-US"/>
        </w:rPr>
        <w:t>Metropolitano</w:t>
      </w:r>
      <w:r w:rsidRPr="006975CB">
        <w:rPr>
          <w:rFonts w:ascii="Palatino Linotype" w:eastAsia="SimSun" w:hAnsi="Palatino Linotype"/>
          <w:spacing w:val="-1"/>
          <w:sz w:val="22"/>
          <w:szCs w:val="22"/>
          <w:lang w:eastAsia="en-US"/>
        </w:rPr>
        <w:t xml:space="preserve"> </w:t>
      </w:r>
      <w:r w:rsidRPr="006975CB">
        <w:rPr>
          <w:rFonts w:ascii="Palatino Linotype" w:eastAsia="SimSun" w:hAnsi="Palatino Linotype"/>
          <w:sz w:val="22"/>
          <w:szCs w:val="22"/>
          <w:lang w:eastAsia="en-US"/>
        </w:rPr>
        <w:t>de</w:t>
      </w:r>
      <w:r w:rsidRPr="006975CB">
        <w:rPr>
          <w:rFonts w:ascii="Palatino Linotype" w:eastAsia="SimSun" w:hAnsi="Palatino Linotype"/>
          <w:spacing w:val="-3"/>
          <w:sz w:val="22"/>
          <w:szCs w:val="22"/>
          <w:lang w:eastAsia="en-US"/>
        </w:rPr>
        <w:t xml:space="preserve"> </w:t>
      </w:r>
      <w:r w:rsidRPr="006975CB">
        <w:rPr>
          <w:rFonts w:ascii="Palatino Linotype" w:eastAsia="SimSun" w:hAnsi="Palatino Linotype"/>
          <w:sz w:val="22"/>
          <w:szCs w:val="22"/>
          <w:lang w:eastAsia="en-US"/>
        </w:rPr>
        <w:t xml:space="preserve">Quito, </w:t>
      </w:r>
      <w:r w:rsidR="00B6485C" w:rsidRPr="006975CB">
        <w:rPr>
          <w:rFonts w:ascii="Palatino Linotype" w:hAnsi="Palatino Linotype"/>
          <w:sz w:val="22"/>
          <w:szCs w:val="22"/>
        </w:rPr>
        <w:t xml:space="preserve">xx </w:t>
      </w:r>
      <w:r w:rsidRPr="006975CB">
        <w:rPr>
          <w:rFonts w:ascii="Palatino Linotype" w:hAnsi="Palatino Linotype"/>
          <w:sz w:val="22"/>
          <w:szCs w:val="22"/>
        </w:rPr>
        <w:t xml:space="preserve">de </w:t>
      </w:r>
      <w:r w:rsidR="00B6485C" w:rsidRPr="006975CB">
        <w:rPr>
          <w:rFonts w:ascii="Palatino Linotype" w:hAnsi="Palatino Linotype"/>
          <w:sz w:val="22"/>
          <w:szCs w:val="22"/>
        </w:rPr>
        <w:t xml:space="preserve">xxxx </w:t>
      </w:r>
      <w:r w:rsidRPr="006975CB">
        <w:rPr>
          <w:rFonts w:ascii="Palatino Linotype" w:hAnsi="Palatino Linotype"/>
          <w:sz w:val="22"/>
          <w:szCs w:val="22"/>
        </w:rPr>
        <w:t>de 2023.</w:t>
      </w:r>
    </w:p>
    <w:p w14:paraId="66C94AAC" w14:textId="77777777" w:rsidR="00327A8D" w:rsidRPr="006975CB" w:rsidRDefault="00327A8D" w:rsidP="00327A8D">
      <w:pPr>
        <w:jc w:val="both"/>
        <w:rPr>
          <w:rFonts w:ascii="Palatino Linotype" w:hAnsi="Palatino Linotype"/>
          <w:sz w:val="22"/>
          <w:szCs w:val="22"/>
          <w:highlight w:val="yellow"/>
        </w:rPr>
      </w:pPr>
      <w:r w:rsidRPr="006975CB">
        <w:rPr>
          <w:rFonts w:ascii="Palatino Linotype" w:hAnsi="Palatino Linotype"/>
          <w:sz w:val="22"/>
          <w:szCs w:val="22"/>
          <w:highlight w:val="yellow"/>
        </w:rPr>
        <w:t xml:space="preserve"> </w:t>
      </w:r>
    </w:p>
    <w:p w14:paraId="5342991A" w14:textId="77777777" w:rsidR="00327A8D" w:rsidRPr="006975CB" w:rsidRDefault="00327A8D" w:rsidP="00327A8D">
      <w:pPr>
        <w:jc w:val="both"/>
        <w:rPr>
          <w:rFonts w:ascii="Palatino Linotype" w:hAnsi="Palatino Linotype"/>
          <w:sz w:val="22"/>
          <w:szCs w:val="22"/>
          <w:highlight w:val="yellow"/>
        </w:rPr>
      </w:pPr>
    </w:p>
    <w:p w14:paraId="3CF85482" w14:textId="77777777" w:rsidR="00327A8D" w:rsidRPr="006975CB" w:rsidRDefault="00327A8D" w:rsidP="00327A8D">
      <w:pPr>
        <w:jc w:val="both"/>
        <w:rPr>
          <w:rFonts w:ascii="Palatino Linotype" w:hAnsi="Palatino Linotype"/>
          <w:sz w:val="22"/>
          <w:szCs w:val="22"/>
          <w:highlight w:val="yellow"/>
        </w:rPr>
      </w:pPr>
      <w:r w:rsidRPr="006975CB">
        <w:rPr>
          <w:rFonts w:ascii="Palatino Linotype" w:hAnsi="Palatino Linotype"/>
          <w:sz w:val="22"/>
          <w:szCs w:val="22"/>
          <w:highlight w:val="yellow"/>
        </w:rPr>
        <w:t xml:space="preserve"> </w:t>
      </w:r>
    </w:p>
    <w:p w14:paraId="1DCEE5CE" w14:textId="77777777" w:rsidR="00327A8D" w:rsidRPr="006975CB" w:rsidRDefault="00327A8D" w:rsidP="00327A8D">
      <w:pPr>
        <w:jc w:val="center"/>
        <w:rPr>
          <w:rFonts w:ascii="Palatino Linotype" w:hAnsi="Palatino Linotype"/>
          <w:sz w:val="22"/>
          <w:szCs w:val="22"/>
        </w:rPr>
      </w:pPr>
      <w:r w:rsidRPr="006975CB">
        <w:rPr>
          <w:rFonts w:ascii="Palatino Linotype" w:hAnsi="Palatino Linotype"/>
          <w:sz w:val="22"/>
          <w:szCs w:val="22"/>
        </w:rPr>
        <w:t xml:space="preserve">Dra. </w:t>
      </w:r>
      <w:r w:rsidRPr="006975CB">
        <w:rPr>
          <w:rFonts w:ascii="Palatino Linotype" w:hAnsi="Palatino Linotype" w:cs="Arial"/>
          <w:color w:val="000000"/>
          <w:sz w:val="22"/>
          <w:szCs w:val="22"/>
          <w:shd w:val="clear" w:color="auto" w:fill="FFFFFF"/>
        </w:rPr>
        <w:t>Libia Rivas Ordóñez</w:t>
      </w:r>
    </w:p>
    <w:p w14:paraId="2552DCDD" w14:textId="77777777" w:rsidR="00327A8D" w:rsidRPr="006975CB" w:rsidRDefault="00327A8D" w:rsidP="00327A8D">
      <w:pPr>
        <w:ind w:left="5"/>
        <w:jc w:val="center"/>
        <w:rPr>
          <w:rFonts w:ascii="Palatino Linotype" w:hAnsi="Palatino Linotype" w:cs="Arial"/>
          <w:bCs/>
          <w:sz w:val="22"/>
          <w:szCs w:val="22"/>
        </w:rPr>
      </w:pPr>
      <w:r w:rsidRPr="006975CB">
        <w:rPr>
          <w:rFonts w:ascii="Palatino Linotype" w:hAnsi="Palatino Linotype"/>
          <w:b/>
          <w:sz w:val="22"/>
          <w:szCs w:val="22"/>
          <w:lang w:eastAsia="en-US"/>
        </w:rPr>
        <w:t>SECRETARIA GENERAL DEL CONCEJO METROPOLITANO</w:t>
      </w:r>
    </w:p>
    <w:p w14:paraId="76EFD9A2" w14:textId="77777777" w:rsidR="00327A8D" w:rsidRPr="006975CB" w:rsidRDefault="00327A8D" w:rsidP="00327A8D">
      <w:pPr>
        <w:ind w:left="-5"/>
        <w:jc w:val="both"/>
        <w:rPr>
          <w:rFonts w:ascii="Palatino Linotype" w:eastAsia="Calibri" w:hAnsi="Palatino Linotype"/>
          <w:b/>
          <w:sz w:val="22"/>
          <w:szCs w:val="22"/>
          <w:lang w:eastAsia="en-US"/>
        </w:rPr>
      </w:pPr>
    </w:p>
    <w:p w14:paraId="6A7D0366" w14:textId="77777777" w:rsidR="00751D1C" w:rsidRPr="006975CB"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6975CB" w:rsidSect="005D2467">
      <w:headerReference w:type="default" r:id="rId12"/>
      <w:footerReference w:type="default" r:id="rId13"/>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C4D9" w14:textId="77777777" w:rsidR="00741118" w:rsidRDefault="00741118">
      <w:r>
        <w:separator/>
      </w:r>
    </w:p>
  </w:endnote>
  <w:endnote w:type="continuationSeparator" w:id="0">
    <w:p w14:paraId="7DE0C334" w14:textId="77777777" w:rsidR="00741118" w:rsidRDefault="007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3ACA2710"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6975CB">
              <w:rPr>
                <w:rFonts w:ascii="Palatino Linotype" w:hAnsi="Palatino Linotype"/>
                <w:b/>
                <w:bCs/>
                <w:noProof/>
                <w:sz w:val="20"/>
                <w:szCs w:val="20"/>
              </w:rPr>
              <w:t>1</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6975CB">
              <w:rPr>
                <w:rFonts w:ascii="Palatino Linotype" w:hAnsi="Palatino Linotype"/>
                <w:b/>
                <w:bCs/>
                <w:noProof/>
                <w:sz w:val="20"/>
                <w:szCs w:val="20"/>
              </w:rPr>
              <w:t>8</w:t>
            </w:r>
            <w:r w:rsidRPr="00707DE5">
              <w:rPr>
                <w:rFonts w:ascii="Palatino Linotype" w:hAnsi="Palatino Linotype"/>
                <w:b/>
                <w:bCs/>
                <w:sz w:val="20"/>
                <w:szCs w:val="20"/>
              </w:rPr>
              <w:fldChar w:fldCharType="end"/>
            </w:r>
          </w:p>
          <w:p w14:paraId="560E604C" w14:textId="77777777" w:rsidR="005D2467" w:rsidRPr="008479FB" w:rsidRDefault="00741118">
            <w:pPr>
              <w:pStyle w:val="Piedepgina"/>
              <w:jc w:val="right"/>
              <w:rPr>
                <w:rFonts w:ascii="Palatino Linotype" w:hAnsi="Palatino Linotype"/>
                <w:sz w:val="20"/>
                <w:szCs w:val="20"/>
              </w:rPr>
            </w:pPr>
          </w:p>
        </w:sdtContent>
      </w:sdt>
    </w:sdtContent>
  </w:sdt>
  <w:p w14:paraId="00912911" w14:textId="77777777" w:rsidR="005D2467" w:rsidRPr="008479FB" w:rsidRDefault="00741118">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5A95" w14:textId="77777777" w:rsidR="00741118" w:rsidRDefault="00741118">
      <w:r>
        <w:separator/>
      </w:r>
    </w:p>
  </w:footnote>
  <w:footnote w:type="continuationSeparator" w:id="0">
    <w:p w14:paraId="4AA8B3F6" w14:textId="77777777" w:rsidR="00741118" w:rsidRDefault="00741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575ADF93"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7D1576">
      <w:rPr>
        <w:rFonts w:ascii="Palatino Linotype" w:hAnsi="Palatino Linotype"/>
        <w:b/>
        <w:bCs/>
        <w:sz w:val="22"/>
        <w:szCs w:val="22"/>
      </w:rPr>
      <w:t>00</w:t>
    </w:r>
    <w:r w:rsidRPr="00327A8D">
      <w:rPr>
        <w:rFonts w:ascii="Palatino Linotype" w:hAnsi="Palatino Linotype"/>
        <w:b/>
        <w:bCs/>
        <w:sz w:val="22"/>
        <w:szCs w:val="22"/>
      </w:rPr>
      <w:t>-2023</w:t>
    </w:r>
  </w:p>
  <w:p w14:paraId="34098D3C" w14:textId="77777777" w:rsidR="005D2467" w:rsidRPr="00327A8D" w:rsidRDefault="00741118">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4AA"/>
    <w:multiLevelType w:val="hybridMultilevel"/>
    <w:tmpl w:val="ECA0461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1BED"/>
    <w:rsid w:val="000251CF"/>
    <w:rsid w:val="000264CB"/>
    <w:rsid w:val="00027D50"/>
    <w:rsid w:val="00030386"/>
    <w:rsid w:val="00035E6C"/>
    <w:rsid w:val="0004203F"/>
    <w:rsid w:val="00063B82"/>
    <w:rsid w:val="00063D30"/>
    <w:rsid w:val="00067AEE"/>
    <w:rsid w:val="0007147D"/>
    <w:rsid w:val="00073462"/>
    <w:rsid w:val="000762A9"/>
    <w:rsid w:val="0008033C"/>
    <w:rsid w:val="0008254A"/>
    <w:rsid w:val="0008418A"/>
    <w:rsid w:val="00090E26"/>
    <w:rsid w:val="000944D7"/>
    <w:rsid w:val="00097C9B"/>
    <w:rsid w:val="000A17A7"/>
    <w:rsid w:val="000A2290"/>
    <w:rsid w:val="000A6FF4"/>
    <w:rsid w:val="000A70A0"/>
    <w:rsid w:val="000A7B91"/>
    <w:rsid w:val="000B3000"/>
    <w:rsid w:val="000B4CF2"/>
    <w:rsid w:val="000C0C8A"/>
    <w:rsid w:val="000D4771"/>
    <w:rsid w:val="000D77BB"/>
    <w:rsid w:val="000E08D9"/>
    <w:rsid w:val="000E121C"/>
    <w:rsid w:val="000E205E"/>
    <w:rsid w:val="000E4614"/>
    <w:rsid w:val="000F6E07"/>
    <w:rsid w:val="00115787"/>
    <w:rsid w:val="001248DE"/>
    <w:rsid w:val="00125C4B"/>
    <w:rsid w:val="001300F4"/>
    <w:rsid w:val="0013405F"/>
    <w:rsid w:val="0013624A"/>
    <w:rsid w:val="001439C8"/>
    <w:rsid w:val="00144F8A"/>
    <w:rsid w:val="001502C4"/>
    <w:rsid w:val="0017481B"/>
    <w:rsid w:val="00191766"/>
    <w:rsid w:val="001A01E2"/>
    <w:rsid w:val="001A17A7"/>
    <w:rsid w:val="001A2E60"/>
    <w:rsid w:val="001A5724"/>
    <w:rsid w:val="001A704E"/>
    <w:rsid w:val="001A7D4B"/>
    <w:rsid w:val="001B2FFD"/>
    <w:rsid w:val="001C1FC7"/>
    <w:rsid w:val="001C2C13"/>
    <w:rsid w:val="001C7456"/>
    <w:rsid w:val="001E2F60"/>
    <w:rsid w:val="001E3CB1"/>
    <w:rsid w:val="001F679D"/>
    <w:rsid w:val="001F733D"/>
    <w:rsid w:val="002034FE"/>
    <w:rsid w:val="00207479"/>
    <w:rsid w:val="00224DF1"/>
    <w:rsid w:val="00230B3E"/>
    <w:rsid w:val="00232816"/>
    <w:rsid w:val="00236DB4"/>
    <w:rsid w:val="0024026A"/>
    <w:rsid w:val="002412BD"/>
    <w:rsid w:val="0024403E"/>
    <w:rsid w:val="0024449F"/>
    <w:rsid w:val="00245D20"/>
    <w:rsid w:val="00252078"/>
    <w:rsid w:val="00253AA5"/>
    <w:rsid w:val="00255BE4"/>
    <w:rsid w:val="002612AA"/>
    <w:rsid w:val="0026215F"/>
    <w:rsid w:val="00264155"/>
    <w:rsid w:val="00283EDC"/>
    <w:rsid w:val="00286021"/>
    <w:rsid w:val="00290050"/>
    <w:rsid w:val="00291646"/>
    <w:rsid w:val="00291FC5"/>
    <w:rsid w:val="00296140"/>
    <w:rsid w:val="00296D2E"/>
    <w:rsid w:val="00297B92"/>
    <w:rsid w:val="002C44A1"/>
    <w:rsid w:val="002D4C5C"/>
    <w:rsid w:val="002E4C52"/>
    <w:rsid w:val="002F2CCA"/>
    <w:rsid w:val="002F39EB"/>
    <w:rsid w:val="002F7AF5"/>
    <w:rsid w:val="00306191"/>
    <w:rsid w:val="00313677"/>
    <w:rsid w:val="003200EF"/>
    <w:rsid w:val="003210C2"/>
    <w:rsid w:val="003241D3"/>
    <w:rsid w:val="00327A8D"/>
    <w:rsid w:val="00327BEE"/>
    <w:rsid w:val="00336073"/>
    <w:rsid w:val="00343222"/>
    <w:rsid w:val="00345885"/>
    <w:rsid w:val="00351C0A"/>
    <w:rsid w:val="00360B0F"/>
    <w:rsid w:val="00396117"/>
    <w:rsid w:val="003A3AD1"/>
    <w:rsid w:val="003C03E4"/>
    <w:rsid w:val="003D1181"/>
    <w:rsid w:val="003E3AB8"/>
    <w:rsid w:val="003E3BAD"/>
    <w:rsid w:val="003F657C"/>
    <w:rsid w:val="004014CA"/>
    <w:rsid w:val="00401F50"/>
    <w:rsid w:val="00406F51"/>
    <w:rsid w:val="0041682B"/>
    <w:rsid w:val="0042799B"/>
    <w:rsid w:val="004306D0"/>
    <w:rsid w:val="00432DA0"/>
    <w:rsid w:val="004336C0"/>
    <w:rsid w:val="00442F4F"/>
    <w:rsid w:val="00445381"/>
    <w:rsid w:val="00446E28"/>
    <w:rsid w:val="004553DB"/>
    <w:rsid w:val="00463C0B"/>
    <w:rsid w:val="0046585A"/>
    <w:rsid w:val="004664B2"/>
    <w:rsid w:val="00470AD9"/>
    <w:rsid w:val="0048035B"/>
    <w:rsid w:val="00481F59"/>
    <w:rsid w:val="00483541"/>
    <w:rsid w:val="00491F63"/>
    <w:rsid w:val="00495B8D"/>
    <w:rsid w:val="004A628F"/>
    <w:rsid w:val="004B008D"/>
    <w:rsid w:val="004B2063"/>
    <w:rsid w:val="004C1D72"/>
    <w:rsid w:val="004C3A0F"/>
    <w:rsid w:val="004C50EC"/>
    <w:rsid w:val="004E2C3F"/>
    <w:rsid w:val="004E76E0"/>
    <w:rsid w:val="004F4472"/>
    <w:rsid w:val="004F5036"/>
    <w:rsid w:val="00511047"/>
    <w:rsid w:val="00525A48"/>
    <w:rsid w:val="005275CC"/>
    <w:rsid w:val="00532857"/>
    <w:rsid w:val="005403B2"/>
    <w:rsid w:val="0054446B"/>
    <w:rsid w:val="00552CDD"/>
    <w:rsid w:val="0055682F"/>
    <w:rsid w:val="0056686B"/>
    <w:rsid w:val="005720AF"/>
    <w:rsid w:val="00587223"/>
    <w:rsid w:val="00587A5A"/>
    <w:rsid w:val="00594AD6"/>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5F46AE"/>
    <w:rsid w:val="005F75EE"/>
    <w:rsid w:val="00606C06"/>
    <w:rsid w:val="0061618E"/>
    <w:rsid w:val="00617C1E"/>
    <w:rsid w:val="00633AF6"/>
    <w:rsid w:val="00633ECE"/>
    <w:rsid w:val="00636664"/>
    <w:rsid w:val="00637D5D"/>
    <w:rsid w:val="006475DF"/>
    <w:rsid w:val="00647A4B"/>
    <w:rsid w:val="00657934"/>
    <w:rsid w:val="00662D01"/>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6DA4"/>
    <w:rsid w:val="006A705F"/>
    <w:rsid w:val="006B2A7F"/>
    <w:rsid w:val="006B3C18"/>
    <w:rsid w:val="006C4379"/>
    <w:rsid w:val="006C76D0"/>
    <w:rsid w:val="006E179D"/>
    <w:rsid w:val="006E34DC"/>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5751"/>
    <w:rsid w:val="007500BA"/>
    <w:rsid w:val="00751D1C"/>
    <w:rsid w:val="00755448"/>
    <w:rsid w:val="00757091"/>
    <w:rsid w:val="0076091E"/>
    <w:rsid w:val="00764F2A"/>
    <w:rsid w:val="00782943"/>
    <w:rsid w:val="0078423B"/>
    <w:rsid w:val="00785C49"/>
    <w:rsid w:val="007A10D7"/>
    <w:rsid w:val="007B4D6C"/>
    <w:rsid w:val="007C3147"/>
    <w:rsid w:val="007D1576"/>
    <w:rsid w:val="007D2680"/>
    <w:rsid w:val="007D2D4F"/>
    <w:rsid w:val="007D3E15"/>
    <w:rsid w:val="007E108B"/>
    <w:rsid w:val="007E179C"/>
    <w:rsid w:val="007E60E9"/>
    <w:rsid w:val="007F4625"/>
    <w:rsid w:val="008044F7"/>
    <w:rsid w:val="00805221"/>
    <w:rsid w:val="0081380B"/>
    <w:rsid w:val="008169B2"/>
    <w:rsid w:val="00823CFE"/>
    <w:rsid w:val="0082482D"/>
    <w:rsid w:val="00826061"/>
    <w:rsid w:val="00832D35"/>
    <w:rsid w:val="00846624"/>
    <w:rsid w:val="00852461"/>
    <w:rsid w:val="00854CBC"/>
    <w:rsid w:val="00855B0B"/>
    <w:rsid w:val="00862F11"/>
    <w:rsid w:val="00864890"/>
    <w:rsid w:val="0087756E"/>
    <w:rsid w:val="008824CB"/>
    <w:rsid w:val="008834D1"/>
    <w:rsid w:val="008835E2"/>
    <w:rsid w:val="0088782F"/>
    <w:rsid w:val="00890369"/>
    <w:rsid w:val="00893065"/>
    <w:rsid w:val="00893F13"/>
    <w:rsid w:val="008A3F72"/>
    <w:rsid w:val="008A55FB"/>
    <w:rsid w:val="008B4153"/>
    <w:rsid w:val="008B4C9A"/>
    <w:rsid w:val="008C5C1D"/>
    <w:rsid w:val="008D6AA3"/>
    <w:rsid w:val="008E05AA"/>
    <w:rsid w:val="009023EB"/>
    <w:rsid w:val="00904949"/>
    <w:rsid w:val="00907185"/>
    <w:rsid w:val="009213B4"/>
    <w:rsid w:val="00934F4D"/>
    <w:rsid w:val="00935283"/>
    <w:rsid w:val="009364B0"/>
    <w:rsid w:val="0093701E"/>
    <w:rsid w:val="009401D2"/>
    <w:rsid w:val="00942032"/>
    <w:rsid w:val="00944EC9"/>
    <w:rsid w:val="00947284"/>
    <w:rsid w:val="00947A00"/>
    <w:rsid w:val="00953717"/>
    <w:rsid w:val="009551FC"/>
    <w:rsid w:val="0096109F"/>
    <w:rsid w:val="00962351"/>
    <w:rsid w:val="00963B37"/>
    <w:rsid w:val="0097359A"/>
    <w:rsid w:val="00983736"/>
    <w:rsid w:val="009859A6"/>
    <w:rsid w:val="0098647F"/>
    <w:rsid w:val="00992458"/>
    <w:rsid w:val="00993181"/>
    <w:rsid w:val="0099372E"/>
    <w:rsid w:val="0099702E"/>
    <w:rsid w:val="009A0658"/>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D01"/>
    <w:rsid w:val="00A23206"/>
    <w:rsid w:val="00A300F6"/>
    <w:rsid w:val="00A35D24"/>
    <w:rsid w:val="00A42FBD"/>
    <w:rsid w:val="00A45C33"/>
    <w:rsid w:val="00A46D4C"/>
    <w:rsid w:val="00A47D5C"/>
    <w:rsid w:val="00A53902"/>
    <w:rsid w:val="00A53B09"/>
    <w:rsid w:val="00A55032"/>
    <w:rsid w:val="00A56888"/>
    <w:rsid w:val="00A60EBB"/>
    <w:rsid w:val="00A654D7"/>
    <w:rsid w:val="00A66C89"/>
    <w:rsid w:val="00A67A0A"/>
    <w:rsid w:val="00A76A16"/>
    <w:rsid w:val="00A77C7C"/>
    <w:rsid w:val="00A873C9"/>
    <w:rsid w:val="00AA23EE"/>
    <w:rsid w:val="00AA2620"/>
    <w:rsid w:val="00AA61B2"/>
    <w:rsid w:val="00AA6D13"/>
    <w:rsid w:val="00AC0982"/>
    <w:rsid w:val="00AC4B2C"/>
    <w:rsid w:val="00AD0CAC"/>
    <w:rsid w:val="00AD1557"/>
    <w:rsid w:val="00AD1ADA"/>
    <w:rsid w:val="00AD48A4"/>
    <w:rsid w:val="00AD767B"/>
    <w:rsid w:val="00AE18B4"/>
    <w:rsid w:val="00AE1F80"/>
    <w:rsid w:val="00AE320F"/>
    <w:rsid w:val="00AE5A20"/>
    <w:rsid w:val="00AE5F25"/>
    <w:rsid w:val="00B007F0"/>
    <w:rsid w:val="00B0169E"/>
    <w:rsid w:val="00B10E7C"/>
    <w:rsid w:val="00B27543"/>
    <w:rsid w:val="00B35D39"/>
    <w:rsid w:val="00B418BF"/>
    <w:rsid w:val="00B46254"/>
    <w:rsid w:val="00B5446C"/>
    <w:rsid w:val="00B61D8A"/>
    <w:rsid w:val="00B6485C"/>
    <w:rsid w:val="00B706B2"/>
    <w:rsid w:val="00B748ED"/>
    <w:rsid w:val="00B8460B"/>
    <w:rsid w:val="00B84C96"/>
    <w:rsid w:val="00B94D66"/>
    <w:rsid w:val="00B9672E"/>
    <w:rsid w:val="00BA3CE3"/>
    <w:rsid w:val="00BA63E5"/>
    <w:rsid w:val="00BC2F6F"/>
    <w:rsid w:val="00BD292F"/>
    <w:rsid w:val="00BD7EFF"/>
    <w:rsid w:val="00BF4249"/>
    <w:rsid w:val="00BF45B3"/>
    <w:rsid w:val="00C2458B"/>
    <w:rsid w:val="00C2568C"/>
    <w:rsid w:val="00C261A8"/>
    <w:rsid w:val="00C2794C"/>
    <w:rsid w:val="00C31C0C"/>
    <w:rsid w:val="00C469C4"/>
    <w:rsid w:val="00C4735F"/>
    <w:rsid w:val="00C52B90"/>
    <w:rsid w:val="00C600A8"/>
    <w:rsid w:val="00C62E1F"/>
    <w:rsid w:val="00C7771D"/>
    <w:rsid w:val="00C77EE7"/>
    <w:rsid w:val="00C82C59"/>
    <w:rsid w:val="00C926A0"/>
    <w:rsid w:val="00C9395C"/>
    <w:rsid w:val="00C9642F"/>
    <w:rsid w:val="00CB1FAE"/>
    <w:rsid w:val="00CB5779"/>
    <w:rsid w:val="00CB60CC"/>
    <w:rsid w:val="00CD51C7"/>
    <w:rsid w:val="00CF05C8"/>
    <w:rsid w:val="00CF748D"/>
    <w:rsid w:val="00D150A2"/>
    <w:rsid w:val="00D1552F"/>
    <w:rsid w:val="00D23C29"/>
    <w:rsid w:val="00D24681"/>
    <w:rsid w:val="00D278E6"/>
    <w:rsid w:val="00D4445E"/>
    <w:rsid w:val="00D46415"/>
    <w:rsid w:val="00D5311D"/>
    <w:rsid w:val="00D57722"/>
    <w:rsid w:val="00D64A4C"/>
    <w:rsid w:val="00D73E42"/>
    <w:rsid w:val="00D825A5"/>
    <w:rsid w:val="00D85433"/>
    <w:rsid w:val="00D86EE7"/>
    <w:rsid w:val="00DA0C61"/>
    <w:rsid w:val="00DA4995"/>
    <w:rsid w:val="00DB0141"/>
    <w:rsid w:val="00DB07F4"/>
    <w:rsid w:val="00DB1F1A"/>
    <w:rsid w:val="00DB29DB"/>
    <w:rsid w:val="00DB392E"/>
    <w:rsid w:val="00DB552C"/>
    <w:rsid w:val="00DC5625"/>
    <w:rsid w:val="00DD0991"/>
    <w:rsid w:val="00DD4AFF"/>
    <w:rsid w:val="00DD5FF2"/>
    <w:rsid w:val="00DE0B90"/>
    <w:rsid w:val="00DE3119"/>
    <w:rsid w:val="00DF0B4F"/>
    <w:rsid w:val="00E02AE3"/>
    <w:rsid w:val="00E06ECD"/>
    <w:rsid w:val="00E22628"/>
    <w:rsid w:val="00E2458D"/>
    <w:rsid w:val="00E332EA"/>
    <w:rsid w:val="00E41B4B"/>
    <w:rsid w:val="00E46A96"/>
    <w:rsid w:val="00E5406F"/>
    <w:rsid w:val="00E64E46"/>
    <w:rsid w:val="00E65833"/>
    <w:rsid w:val="00E659BF"/>
    <w:rsid w:val="00E81779"/>
    <w:rsid w:val="00E81E6B"/>
    <w:rsid w:val="00E81F93"/>
    <w:rsid w:val="00E84326"/>
    <w:rsid w:val="00E86112"/>
    <w:rsid w:val="00E91CB5"/>
    <w:rsid w:val="00E97A2B"/>
    <w:rsid w:val="00EA0933"/>
    <w:rsid w:val="00EA20CF"/>
    <w:rsid w:val="00EA337F"/>
    <w:rsid w:val="00EA5D12"/>
    <w:rsid w:val="00EB7956"/>
    <w:rsid w:val="00EC6091"/>
    <w:rsid w:val="00EE4C7B"/>
    <w:rsid w:val="00EF446A"/>
    <w:rsid w:val="00EF6F62"/>
    <w:rsid w:val="00F012FB"/>
    <w:rsid w:val="00F073C7"/>
    <w:rsid w:val="00F238B5"/>
    <w:rsid w:val="00F27EBD"/>
    <w:rsid w:val="00F33C5B"/>
    <w:rsid w:val="00F4393A"/>
    <w:rsid w:val="00F44FE1"/>
    <w:rsid w:val="00F5205A"/>
    <w:rsid w:val="00F552A7"/>
    <w:rsid w:val="00F6236F"/>
    <w:rsid w:val="00F64624"/>
    <w:rsid w:val="00F7526B"/>
    <w:rsid w:val="00F90944"/>
    <w:rsid w:val="00F92DB4"/>
    <w:rsid w:val="00F950D9"/>
    <w:rsid w:val="00FA0FCA"/>
    <w:rsid w:val="00FA1896"/>
    <w:rsid w:val="00FA7F92"/>
    <w:rsid w:val="00FB22AA"/>
    <w:rsid w:val="00FB2C86"/>
    <w:rsid w:val="00FB4809"/>
    <w:rsid w:val="00FC0ED3"/>
    <w:rsid w:val="00FC3E6E"/>
    <w:rsid w:val="00FD0A6F"/>
    <w:rsid w:val="00FD6DE9"/>
    <w:rsid w:val="00FD6ECF"/>
    <w:rsid w:val="00FD7609"/>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209</cp:revision>
  <dcterms:created xsi:type="dcterms:W3CDTF">2023-06-05T23:05:00Z</dcterms:created>
  <dcterms:modified xsi:type="dcterms:W3CDTF">2023-09-08T22:03:00Z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