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BF97B" w14:textId="77777777" w:rsidR="00486B4A" w:rsidRPr="00B35F6D" w:rsidRDefault="00486B4A" w:rsidP="00B42ADE">
      <w:pPr>
        <w:numPr>
          <w:ilvl w:val="0"/>
          <w:numId w:val="26"/>
        </w:numPr>
        <w:pBdr>
          <w:top w:val="single" w:sz="4" w:space="1" w:color="auto"/>
          <w:left w:val="single" w:sz="4" w:space="4" w:color="auto"/>
          <w:bottom w:val="single" w:sz="4" w:space="1" w:color="auto"/>
          <w:right w:val="single" w:sz="4" w:space="4" w:color="auto"/>
        </w:pBdr>
        <w:shd w:val="clear" w:color="auto" w:fill="A6A6A6"/>
        <w:ind w:left="284" w:right="161" w:hanging="284"/>
        <w:rPr>
          <w:b/>
          <w:bCs/>
          <w:smallCaps/>
          <w:color w:val="000000"/>
          <w:sz w:val="20"/>
          <w:szCs w:val="20"/>
        </w:rPr>
      </w:pPr>
      <w:r w:rsidRPr="00B35F6D">
        <w:rPr>
          <w:b/>
          <w:bCs/>
          <w:smallCaps/>
          <w:color w:val="000000"/>
          <w:sz w:val="20"/>
          <w:szCs w:val="20"/>
        </w:rPr>
        <w:t>DATOS DEL TRÁMITE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4969"/>
      </w:tblGrid>
      <w:tr w:rsidR="00486B4A" w:rsidRPr="00B35F6D" w14:paraId="60D6C5A7" w14:textId="77777777" w:rsidTr="00050D54">
        <w:trPr>
          <w:trHeight w:val="280"/>
        </w:trPr>
        <w:tc>
          <w:tcPr>
            <w:tcW w:w="3962" w:type="dxa"/>
            <w:shd w:val="clear" w:color="auto" w:fill="DBDBDB"/>
          </w:tcPr>
          <w:p w14:paraId="4A6EAB51" w14:textId="77777777" w:rsidR="00486B4A" w:rsidRPr="00B35F6D" w:rsidRDefault="00486B4A" w:rsidP="00B37CA5">
            <w:pPr>
              <w:rPr>
                <w:b/>
                <w:smallCaps/>
                <w:color w:val="000000"/>
                <w:sz w:val="20"/>
                <w:szCs w:val="20"/>
              </w:rPr>
            </w:pPr>
            <w:r w:rsidRPr="00B35F6D">
              <w:rPr>
                <w:b/>
                <w:smallCaps/>
                <w:color w:val="000000"/>
                <w:sz w:val="20"/>
                <w:szCs w:val="20"/>
              </w:rPr>
              <w:t>No. TRÁMITE SITRA:</w:t>
            </w:r>
          </w:p>
        </w:tc>
        <w:tc>
          <w:tcPr>
            <w:tcW w:w="4969" w:type="dxa"/>
            <w:shd w:val="clear" w:color="auto" w:fill="auto"/>
          </w:tcPr>
          <w:p w14:paraId="12AF0EC8" w14:textId="1E69070A" w:rsidR="00486B4A" w:rsidRPr="00B35F6D" w:rsidRDefault="00BE5D00" w:rsidP="00CD5DFE">
            <w:pPr>
              <w:rPr>
                <w:sz w:val="20"/>
                <w:szCs w:val="20"/>
              </w:rPr>
            </w:pPr>
            <w:r w:rsidRPr="00BE5D00">
              <w:rPr>
                <w:sz w:val="20"/>
                <w:szCs w:val="20"/>
              </w:rPr>
              <w:t>GADDMQ-SGCM-2022-1527-O</w:t>
            </w:r>
          </w:p>
        </w:tc>
      </w:tr>
      <w:tr w:rsidR="00486B4A" w:rsidRPr="00B35F6D" w14:paraId="37124FCC" w14:textId="77777777" w:rsidTr="00050D54">
        <w:trPr>
          <w:trHeight w:val="280"/>
        </w:trPr>
        <w:tc>
          <w:tcPr>
            <w:tcW w:w="3962" w:type="dxa"/>
            <w:shd w:val="clear" w:color="auto" w:fill="DBDBDB"/>
          </w:tcPr>
          <w:p w14:paraId="2A697DF2" w14:textId="77777777" w:rsidR="00486B4A" w:rsidRPr="00B35F6D" w:rsidRDefault="00486B4A" w:rsidP="00E5536B">
            <w:pPr>
              <w:rPr>
                <w:b/>
                <w:smallCaps/>
                <w:color w:val="000000"/>
                <w:sz w:val="20"/>
                <w:szCs w:val="20"/>
              </w:rPr>
            </w:pPr>
            <w:r w:rsidRPr="00B35F6D">
              <w:rPr>
                <w:b/>
                <w:smallCaps/>
                <w:color w:val="000000"/>
                <w:sz w:val="20"/>
                <w:szCs w:val="20"/>
              </w:rPr>
              <w:t>SOLICITANTE:</w:t>
            </w:r>
          </w:p>
        </w:tc>
        <w:tc>
          <w:tcPr>
            <w:tcW w:w="4969" w:type="dxa"/>
            <w:shd w:val="clear" w:color="auto" w:fill="auto"/>
          </w:tcPr>
          <w:p w14:paraId="2C11846F" w14:textId="3DA7B9ED" w:rsidR="00486B4A" w:rsidRPr="00B35F6D" w:rsidRDefault="00592A67" w:rsidP="007968A1">
            <w:pPr>
              <w:rPr>
                <w:sz w:val="20"/>
                <w:szCs w:val="20"/>
              </w:rPr>
            </w:pPr>
            <w:r>
              <w:rPr>
                <w:sz w:val="20"/>
                <w:szCs w:val="20"/>
              </w:rPr>
              <w:t>Presidente de la Comisión de Comercialización</w:t>
            </w:r>
          </w:p>
        </w:tc>
      </w:tr>
      <w:tr w:rsidR="00486B4A" w:rsidRPr="00B35F6D" w14:paraId="2B00E4D4" w14:textId="77777777" w:rsidTr="00050D54">
        <w:trPr>
          <w:trHeight w:val="280"/>
        </w:trPr>
        <w:tc>
          <w:tcPr>
            <w:tcW w:w="3962" w:type="dxa"/>
            <w:shd w:val="clear" w:color="auto" w:fill="DBDBDB"/>
          </w:tcPr>
          <w:p w14:paraId="548C04CC" w14:textId="77777777" w:rsidR="00486B4A" w:rsidRPr="00B35F6D" w:rsidRDefault="00486B4A" w:rsidP="00E5536B">
            <w:pPr>
              <w:rPr>
                <w:b/>
                <w:smallCaps/>
                <w:color w:val="000000"/>
                <w:sz w:val="20"/>
                <w:szCs w:val="20"/>
              </w:rPr>
            </w:pPr>
            <w:r w:rsidRPr="00B35F6D">
              <w:rPr>
                <w:b/>
                <w:smallCaps/>
                <w:color w:val="000000"/>
                <w:sz w:val="20"/>
                <w:szCs w:val="20"/>
              </w:rPr>
              <w:t>TIPO DE TRÁMITE:</w:t>
            </w:r>
          </w:p>
        </w:tc>
        <w:tc>
          <w:tcPr>
            <w:tcW w:w="4969" w:type="dxa"/>
            <w:shd w:val="clear" w:color="auto" w:fill="auto"/>
          </w:tcPr>
          <w:p w14:paraId="1AA0EF16" w14:textId="65DAAC9D" w:rsidR="00486B4A" w:rsidRPr="00B35F6D" w:rsidRDefault="005F6FAB" w:rsidP="006C7B22">
            <w:pPr>
              <w:rPr>
                <w:sz w:val="20"/>
                <w:szCs w:val="20"/>
              </w:rPr>
            </w:pPr>
            <w:r>
              <w:rPr>
                <w:sz w:val="20"/>
                <w:szCs w:val="20"/>
              </w:rPr>
              <w:t>Informe de estado</w:t>
            </w:r>
          </w:p>
        </w:tc>
      </w:tr>
      <w:tr w:rsidR="00486B4A" w:rsidRPr="00B35F6D" w14:paraId="128FD9A0" w14:textId="77777777" w:rsidTr="00050D54">
        <w:trPr>
          <w:trHeight w:val="280"/>
        </w:trPr>
        <w:tc>
          <w:tcPr>
            <w:tcW w:w="3962" w:type="dxa"/>
            <w:shd w:val="clear" w:color="auto" w:fill="DBDBDB"/>
          </w:tcPr>
          <w:p w14:paraId="5C575794" w14:textId="77777777" w:rsidR="00486B4A" w:rsidRPr="00B35F6D" w:rsidRDefault="00486B4A" w:rsidP="00B37CA5">
            <w:pPr>
              <w:rPr>
                <w:b/>
                <w:smallCaps/>
                <w:color w:val="000000"/>
                <w:sz w:val="20"/>
                <w:szCs w:val="20"/>
              </w:rPr>
            </w:pPr>
            <w:r w:rsidRPr="00B35F6D">
              <w:rPr>
                <w:b/>
                <w:smallCaps/>
                <w:color w:val="000000"/>
                <w:sz w:val="20"/>
                <w:szCs w:val="20"/>
              </w:rPr>
              <w:t>ASUNTO:</w:t>
            </w:r>
          </w:p>
        </w:tc>
        <w:tc>
          <w:tcPr>
            <w:tcW w:w="4969" w:type="dxa"/>
            <w:shd w:val="clear" w:color="auto" w:fill="auto"/>
          </w:tcPr>
          <w:p w14:paraId="1DC7BC4F" w14:textId="5F20F284" w:rsidR="00486B4A" w:rsidRPr="00B35F6D" w:rsidRDefault="005F6FAB" w:rsidP="006C7B22">
            <w:pPr>
              <w:rPr>
                <w:sz w:val="20"/>
                <w:szCs w:val="20"/>
              </w:rPr>
            </w:pPr>
            <w:r>
              <w:rPr>
                <w:sz w:val="20"/>
                <w:szCs w:val="20"/>
              </w:rPr>
              <w:t>Diagnóstico sobre bienes en los centros comerciales populares</w:t>
            </w:r>
          </w:p>
        </w:tc>
      </w:tr>
    </w:tbl>
    <w:p w14:paraId="339C8812" w14:textId="77777777" w:rsidR="00486B4A" w:rsidRPr="00B35F6D" w:rsidRDefault="00486B4A" w:rsidP="00B42ADE">
      <w:pPr>
        <w:numPr>
          <w:ilvl w:val="0"/>
          <w:numId w:val="26"/>
        </w:numPr>
        <w:pBdr>
          <w:top w:val="single" w:sz="4" w:space="1" w:color="auto"/>
          <w:left w:val="single" w:sz="4" w:space="4" w:color="auto"/>
          <w:bottom w:val="single" w:sz="4" w:space="1" w:color="auto"/>
          <w:right w:val="single" w:sz="4" w:space="4" w:color="auto"/>
        </w:pBdr>
        <w:shd w:val="clear" w:color="auto" w:fill="A6A6A6"/>
        <w:ind w:left="284" w:right="161" w:hanging="284"/>
        <w:rPr>
          <w:b/>
          <w:bCs/>
          <w:smallCaps/>
          <w:color w:val="000000"/>
          <w:sz w:val="20"/>
          <w:szCs w:val="20"/>
        </w:rPr>
      </w:pPr>
      <w:r w:rsidRPr="00B35F6D">
        <w:rPr>
          <w:b/>
          <w:bCs/>
          <w:smallCaps/>
          <w:color w:val="000000"/>
          <w:sz w:val="20"/>
          <w:szCs w:val="20"/>
        </w:rPr>
        <w:t>antecedentes</w:t>
      </w:r>
    </w:p>
    <w:p w14:paraId="602FC1B4" w14:textId="7D2DA617" w:rsidR="00326BE9" w:rsidRDefault="006C7B22" w:rsidP="00841B6C">
      <w:pPr>
        <w:pStyle w:val="Textoindependiente"/>
        <w:widowControl w:val="0"/>
        <w:tabs>
          <w:tab w:val="left" w:pos="725"/>
        </w:tabs>
        <w:suppressAutoHyphens/>
        <w:ind w:right="175"/>
        <w:jc w:val="both"/>
        <w:rPr>
          <w:rFonts w:ascii="Times New Roman" w:hAnsi="Times New Roman"/>
          <w:b w:val="0"/>
          <w:sz w:val="20"/>
          <w:szCs w:val="20"/>
          <w:u w:val="none"/>
          <w:lang w:val="es-ES_tradnl" w:eastAsia="es-ES_tradnl"/>
        </w:rPr>
      </w:pPr>
      <w:r w:rsidRPr="006C7B22">
        <w:rPr>
          <w:rFonts w:ascii="Times New Roman" w:hAnsi="Times New Roman"/>
          <w:b w:val="0"/>
          <w:sz w:val="20"/>
          <w:szCs w:val="20"/>
          <w:u w:val="none"/>
          <w:lang w:val="es-ES_tradnl" w:eastAsia="es-ES_tradnl"/>
        </w:rPr>
        <w:t xml:space="preserve">Con Resolución No. </w:t>
      </w:r>
      <w:r w:rsidR="007B3AA7" w:rsidRPr="007B3AA7">
        <w:rPr>
          <w:rFonts w:ascii="Times New Roman" w:hAnsi="Times New Roman"/>
          <w:b w:val="0"/>
          <w:sz w:val="20"/>
          <w:szCs w:val="20"/>
          <w:u w:val="none"/>
          <w:lang w:val="es-ES_tradnl" w:eastAsia="es-ES_tradnl"/>
        </w:rPr>
        <w:t>006-CCM-2022</w:t>
      </w:r>
      <w:r w:rsidR="007B3AA7">
        <w:rPr>
          <w:rFonts w:ascii="Times New Roman" w:hAnsi="Times New Roman"/>
          <w:b w:val="0"/>
          <w:sz w:val="20"/>
          <w:szCs w:val="20"/>
          <w:u w:val="none"/>
          <w:lang w:val="es-ES_tradnl" w:eastAsia="es-ES_tradnl"/>
        </w:rPr>
        <w:t xml:space="preserve">, </w:t>
      </w:r>
      <w:r w:rsidR="00841B6C">
        <w:rPr>
          <w:rFonts w:ascii="Times New Roman" w:hAnsi="Times New Roman"/>
          <w:b w:val="0"/>
          <w:sz w:val="20"/>
          <w:szCs w:val="20"/>
          <w:u w:val="none"/>
          <w:lang w:val="es-ES_tradnl" w:eastAsia="es-ES_tradnl"/>
        </w:rPr>
        <w:t>de 14 de marzo de 2022, la Comisión de Comercialización resuelve lo siguiente:</w:t>
      </w:r>
    </w:p>
    <w:p w14:paraId="7E3D0C26" w14:textId="0F19A192" w:rsidR="007B3AA7" w:rsidRDefault="007B3AA7" w:rsidP="00050D54">
      <w:pPr>
        <w:pStyle w:val="Textoindependiente"/>
        <w:widowControl w:val="0"/>
        <w:tabs>
          <w:tab w:val="left" w:pos="725"/>
        </w:tabs>
        <w:suppressAutoHyphens/>
        <w:ind w:right="175"/>
        <w:jc w:val="both"/>
        <w:rPr>
          <w:rFonts w:ascii="Times New Roman" w:hAnsi="Times New Roman"/>
          <w:b w:val="0"/>
          <w:sz w:val="20"/>
          <w:szCs w:val="20"/>
          <w:u w:val="none"/>
          <w:lang w:val="es-ES_tradnl" w:eastAsia="es-ES_tradnl"/>
        </w:rPr>
      </w:pPr>
    </w:p>
    <w:p w14:paraId="65580E37" w14:textId="03CDAF77" w:rsidR="007B3AA7" w:rsidRPr="007B3AA7" w:rsidRDefault="007B3AA7" w:rsidP="007B3AA7">
      <w:pPr>
        <w:pStyle w:val="Textoindependiente"/>
        <w:widowControl w:val="0"/>
        <w:tabs>
          <w:tab w:val="left" w:pos="725"/>
        </w:tabs>
        <w:suppressAutoHyphens/>
        <w:ind w:right="175"/>
        <w:jc w:val="both"/>
        <w:rPr>
          <w:rFonts w:ascii="Times New Roman" w:hAnsi="Times New Roman"/>
          <w:b w:val="0"/>
          <w:i/>
          <w:sz w:val="20"/>
          <w:szCs w:val="20"/>
          <w:u w:val="none"/>
          <w:lang w:val="es-ES_tradnl" w:eastAsia="es-ES_tradnl"/>
        </w:rPr>
      </w:pPr>
      <w:r w:rsidRPr="007B3AA7">
        <w:rPr>
          <w:rFonts w:ascii="Times New Roman" w:hAnsi="Times New Roman"/>
          <w:b w:val="0"/>
          <w:i/>
          <w:sz w:val="20"/>
          <w:szCs w:val="20"/>
          <w:u w:val="none"/>
          <w:lang w:val="es-ES_tradnl" w:eastAsia="es-ES_tradnl"/>
        </w:rPr>
        <w:t>"(...) resolvió: Solicitar a la Dirección Metropolitana de Gestión de Bienes Inmuebles que en coordinación con la Agencia de Coordinación Distrital del Comercio remitan en el término de 8 días, un diagnóstico detallado sobre los bienes inmuebles que el Municipio tiene en los centros comerciales populares del Distrito Metropolitano de Quito, sean estos: locales comerciales, locales ancla. islas, bodegas, terrazas o cubiertas garajes, estacionamiento o explanadas y, en general cualquier otro bien vinculado con dichos centros comerciales. Este diagnóstico deberá incluir detalles sobre: escrituras, inscripciones en el Registro de la Propiedad, alícuotas para cada bien individualizadas, situación actual del bien y de ser el caso, estado de su p</w:t>
      </w:r>
      <w:r>
        <w:rPr>
          <w:rFonts w:ascii="Times New Roman" w:hAnsi="Times New Roman"/>
          <w:b w:val="0"/>
          <w:i/>
          <w:sz w:val="20"/>
          <w:szCs w:val="20"/>
          <w:u w:val="none"/>
          <w:lang w:val="es-ES_tradnl" w:eastAsia="es-ES_tradnl"/>
        </w:rPr>
        <w:t>roceso de adjudicación. (...)".</w:t>
      </w:r>
    </w:p>
    <w:p w14:paraId="488D0836" w14:textId="77777777" w:rsidR="006C7B22" w:rsidRPr="00B35F6D" w:rsidRDefault="006C7B22" w:rsidP="00050D54">
      <w:pPr>
        <w:pStyle w:val="Textoindependiente"/>
        <w:widowControl w:val="0"/>
        <w:tabs>
          <w:tab w:val="left" w:pos="725"/>
        </w:tabs>
        <w:suppressAutoHyphens/>
        <w:ind w:right="175"/>
        <w:jc w:val="both"/>
        <w:rPr>
          <w:rFonts w:ascii="Times New Roman" w:hAnsi="Times New Roman"/>
          <w:b w:val="0"/>
          <w:sz w:val="20"/>
          <w:szCs w:val="20"/>
          <w:u w:val="none"/>
          <w:lang w:val="es-ES_tradnl" w:eastAsia="es-ES_tradnl"/>
        </w:rPr>
      </w:pPr>
    </w:p>
    <w:p w14:paraId="620551E0" w14:textId="77777777" w:rsidR="00486B4A" w:rsidRPr="00B35F6D" w:rsidRDefault="00486B4A" w:rsidP="00B42ADE">
      <w:pPr>
        <w:numPr>
          <w:ilvl w:val="0"/>
          <w:numId w:val="26"/>
        </w:numPr>
        <w:pBdr>
          <w:top w:val="single" w:sz="4" w:space="1" w:color="auto"/>
          <w:left w:val="single" w:sz="4" w:space="4" w:color="auto"/>
          <w:bottom w:val="single" w:sz="4" w:space="1" w:color="auto"/>
          <w:right w:val="single" w:sz="4" w:space="4" w:color="auto"/>
        </w:pBdr>
        <w:shd w:val="clear" w:color="auto" w:fill="A6A6A6"/>
        <w:ind w:left="284" w:right="161" w:hanging="284"/>
        <w:rPr>
          <w:b/>
          <w:bCs/>
          <w:smallCaps/>
          <w:color w:val="000000"/>
          <w:sz w:val="20"/>
          <w:szCs w:val="20"/>
        </w:rPr>
      </w:pPr>
      <w:r w:rsidRPr="00B35F6D">
        <w:rPr>
          <w:b/>
          <w:bCs/>
          <w:smallCaps/>
          <w:color w:val="000000"/>
          <w:sz w:val="20"/>
          <w:szCs w:val="20"/>
        </w:rPr>
        <w:t>DESARROLLO DEL INFORME</w:t>
      </w:r>
    </w:p>
    <w:p w14:paraId="0122DB5D" w14:textId="77777777" w:rsidR="00486B4A" w:rsidRPr="00B35F6D" w:rsidRDefault="00486B4A" w:rsidP="00060A39">
      <w:pPr>
        <w:rPr>
          <w:b/>
          <w:bCs/>
          <w:smallCaps/>
          <w:color w:val="000000"/>
          <w:sz w:val="20"/>
          <w:szCs w:val="20"/>
          <w:lang w:val="es-EC"/>
        </w:rPr>
      </w:pPr>
    </w:p>
    <w:p w14:paraId="6346A82C" w14:textId="1A6A0D5C" w:rsidR="00486B4A" w:rsidRDefault="00027F7F" w:rsidP="004B32E1">
      <w:pPr>
        <w:jc w:val="both"/>
        <w:rPr>
          <w:b/>
          <w:sz w:val="20"/>
          <w:szCs w:val="20"/>
          <w:lang w:val="es-MX"/>
        </w:rPr>
      </w:pPr>
      <w:r>
        <w:rPr>
          <w:b/>
          <w:sz w:val="20"/>
          <w:szCs w:val="20"/>
          <w:lang w:val="es-MX"/>
        </w:rPr>
        <w:t>3.1</w:t>
      </w:r>
      <w:r w:rsidR="00486B4A" w:rsidRPr="00B35F6D">
        <w:rPr>
          <w:b/>
          <w:sz w:val="20"/>
          <w:szCs w:val="20"/>
          <w:lang w:val="es-MX"/>
        </w:rPr>
        <w:t xml:space="preserve"> .- </w:t>
      </w:r>
      <w:r>
        <w:rPr>
          <w:b/>
          <w:sz w:val="20"/>
          <w:szCs w:val="20"/>
          <w:lang w:val="es-MX"/>
        </w:rPr>
        <w:t>TITULARIDAD DE DOMINIO:</w:t>
      </w:r>
    </w:p>
    <w:p w14:paraId="718F3718" w14:textId="4BC6889E" w:rsidR="00027F7F" w:rsidRPr="00A621FA" w:rsidRDefault="00A621FA" w:rsidP="004B32E1">
      <w:pPr>
        <w:jc w:val="both"/>
        <w:rPr>
          <w:sz w:val="20"/>
          <w:szCs w:val="20"/>
          <w:lang w:val="es-MX"/>
        </w:rPr>
      </w:pPr>
      <w:r w:rsidRPr="00A621FA">
        <w:rPr>
          <w:sz w:val="20"/>
          <w:szCs w:val="20"/>
          <w:lang w:val="es-MX"/>
        </w:rPr>
        <w:t>Los</w:t>
      </w:r>
      <w:r>
        <w:rPr>
          <w:sz w:val="20"/>
          <w:szCs w:val="20"/>
          <w:lang w:val="es-MX"/>
        </w:rPr>
        <w:t xml:space="preserve"> bienes en donde se implantan los Centros Comerciales Populares fueron declarados por el Municipio del Distrito Metropolitano en Régimen de Propiedad Horizontal, a excepción del C.C. Ipiales del Norte, detalle a continuación:</w:t>
      </w:r>
    </w:p>
    <w:p w14:paraId="597C287A" w14:textId="77777777" w:rsidR="00A621FA" w:rsidRDefault="00A621FA" w:rsidP="004B32E1">
      <w:pPr>
        <w:jc w:val="both"/>
        <w:rPr>
          <w:b/>
          <w:sz w:val="20"/>
          <w:szCs w:val="20"/>
          <w:lang w:val="es-MX"/>
        </w:rPr>
      </w:pPr>
    </w:p>
    <w:p w14:paraId="2F57A2CC" w14:textId="77777777" w:rsidR="00027F7F" w:rsidRPr="00027F7F" w:rsidRDefault="00027F7F" w:rsidP="00027F7F">
      <w:pPr>
        <w:jc w:val="both"/>
        <w:rPr>
          <w:b/>
          <w:sz w:val="20"/>
          <w:szCs w:val="20"/>
          <w:u w:val="single"/>
          <w:lang w:val="es-MX"/>
        </w:rPr>
      </w:pPr>
      <w:r w:rsidRPr="00027F7F">
        <w:rPr>
          <w:b/>
          <w:sz w:val="20"/>
          <w:szCs w:val="20"/>
          <w:u w:val="single"/>
          <w:lang w:val="es-MX"/>
        </w:rPr>
        <w:t xml:space="preserve">CENTRO COMERCIAL GRANADA </w:t>
      </w:r>
    </w:p>
    <w:p w14:paraId="19F4D23B" w14:textId="4FD91A1B" w:rsidR="00027F7F" w:rsidRPr="00027F7F" w:rsidRDefault="00027F7F" w:rsidP="00027F7F">
      <w:pPr>
        <w:jc w:val="both"/>
        <w:rPr>
          <w:sz w:val="20"/>
          <w:szCs w:val="20"/>
          <w:lang w:val="es-MX"/>
        </w:rPr>
      </w:pPr>
      <w:r w:rsidRPr="00027F7F">
        <w:rPr>
          <w:sz w:val="20"/>
          <w:szCs w:val="20"/>
          <w:lang w:val="es-MX"/>
        </w:rPr>
        <w:t>•</w:t>
      </w:r>
      <w:r w:rsidRPr="00027F7F">
        <w:rPr>
          <w:sz w:val="20"/>
          <w:szCs w:val="20"/>
          <w:lang w:val="es-MX"/>
        </w:rPr>
        <w:tab/>
        <w:t>El Municipio del Distrito Metropolitano de Quito, adquirió mediante expropiación</w:t>
      </w:r>
      <w:r>
        <w:rPr>
          <w:sz w:val="20"/>
          <w:szCs w:val="20"/>
          <w:lang w:val="es-MX"/>
        </w:rPr>
        <w:t xml:space="preserve"> </w:t>
      </w:r>
      <w:r w:rsidRPr="00027F7F">
        <w:rPr>
          <w:sz w:val="20"/>
          <w:szCs w:val="20"/>
          <w:lang w:val="es-MX"/>
        </w:rPr>
        <w:t>hecha al Sr. Manuel Oswaldo Montiel Rojas, un inmueble ubicado en la calle</w:t>
      </w:r>
      <w:r>
        <w:rPr>
          <w:sz w:val="20"/>
          <w:szCs w:val="20"/>
          <w:lang w:val="es-MX"/>
        </w:rPr>
        <w:t xml:space="preserve"> </w:t>
      </w:r>
      <w:r w:rsidRPr="00027F7F">
        <w:rPr>
          <w:sz w:val="20"/>
          <w:szCs w:val="20"/>
          <w:lang w:val="es-MX"/>
        </w:rPr>
        <w:t xml:space="preserve">Chile y Pasaje </w:t>
      </w:r>
      <w:proofErr w:type="spellStart"/>
      <w:r w:rsidRPr="00027F7F">
        <w:rPr>
          <w:sz w:val="20"/>
          <w:szCs w:val="20"/>
          <w:lang w:val="es-MX"/>
        </w:rPr>
        <w:t>Sanguña</w:t>
      </w:r>
      <w:proofErr w:type="spellEnd"/>
      <w:r w:rsidRPr="00027F7F">
        <w:rPr>
          <w:sz w:val="20"/>
          <w:szCs w:val="20"/>
          <w:lang w:val="es-MX"/>
        </w:rPr>
        <w:t>, parroquia el Salvador, con un área de seiscientos</w:t>
      </w:r>
      <w:r>
        <w:rPr>
          <w:sz w:val="20"/>
          <w:szCs w:val="20"/>
          <w:lang w:val="es-MX"/>
        </w:rPr>
        <w:t xml:space="preserve"> </w:t>
      </w:r>
      <w:r w:rsidRPr="00027F7F">
        <w:rPr>
          <w:sz w:val="20"/>
          <w:szCs w:val="20"/>
          <w:lang w:val="es-MX"/>
        </w:rPr>
        <w:t>sesenta metros cuadrados (660 m2), acto que fue legalizado ante el Notario</w:t>
      </w:r>
      <w:r>
        <w:rPr>
          <w:sz w:val="20"/>
          <w:szCs w:val="20"/>
          <w:lang w:val="es-MX"/>
        </w:rPr>
        <w:t xml:space="preserve"> </w:t>
      </w:r>
      <w:r w:rsidRPr="00027F7F">
        <w:rPr>
          <w:sz w:val="20"/>
          <w:szCs w:val="20"/>
          <w:lang w:val="es-MX"/>
        </w:rPr>
        <w:t>Trigésimo Noveno del Cantón Quito, doctor Fernando Arregui Aguirre, el 23 de</w:t>
      </w:r>
      <w:r>
        <w:rPr>
          <w:sz w:val="20"/>
          <w:szCs w:val="20"/>
          <w:lang w:val="es-MX"/>
        </w:rPr>
        <w:t xml:space="preserve"> </w:t>
      </w:r>
      <w:r w:rsidRPr="00027F7F">
        <w:rPr>
          <w:sz w:val="20"/>
          <w:szCs w:val="20"/>
          <w:lang w:val="es-MX"/>
        </w:rPr>
        <w:t>noviembre de 1989, y se inscribió en el Registro de la Propiedad del Cantón</w:t>
      </w:r>
      <w:r>
        <w:rPr>
          <w:sz w:val="20"/>
          <w:szCs w:val="20"/>
          <w:lang w:val="es-MX"/>
        </w:rPr>
        <w:t xml:space="preserve"> </w:t>
      </w:r>
      <w:r w:rsidRPr="00027F7F">
        <w:rPr>
          <w:sz w:val="20"/>
          <w:szCs w:val="20"/>
          <w:lang w:val="es-MX"/>
        </w:rPr>
        <w:t>Quito, el 06 de enero de 2000.</w:t>
      </w:r>
    </w:p>
    <w:p w14:paraId="6031DEB9" w14:textId="77777777" w:rsidR="00027F7F" w:rsidRPr="00027F7F" w:rsidRDefault="00027F7F" w:rsidP="00027F7F">
      <w:pPr>
        <w:jc w:val="both"/>
        <w:rPr>
          <w:sz w:val="20"/>
          <w:szCs w:val="20"/>
          <w:lang w:val="es-MX"/>
        </w:rPr>
      </w:pPr>
    </w:p>
    <w:p w14:paraId="409FE120" w14:textId="3071E280" w:rsidR="00027F7F" w:rsidRPr="00027F7F" w:rsidRDefault="00027F7F" w:rsidP="00027F7F">
      <w:pPr>
        <w:jc w:val="both"/>
        <w:rPr>
          <w:sz w:val="20"/>
          <w:szCs w:val="20"/>
          <w:lang w:val="es-MX"/>
        </w:rPr>
      </w:pPr>
      <w:r w:rsidRPr="00027F7F">
        <w:rPr>
          <w:sz w:val="20"/>
          <w:szCs w:val="20"/>
          <w:lang w:val="es-MX"/>
        </w:rPr>
        <w:t>•</w:t>
      </w:r>
      <w:r w:rsidRPr="00027F7F">
        <w:rPr>
          <w:sz w:val="20"/>
          <w:szCs w:val="20"/>
          <w:lang w:val="es-MX"/>
        </w:rPr>
        <w:tab/>
        <w:t>Mediante expropiación según sentencia dictada por el Juez Tercero de lo Civil</w:t>
      </w:r>
      <w:r>
        <w:rPr>
          <w:sz w:val="20"/>
          <w:szCs w:val="20"/>
          <w:lang w:val="es-MX"/>
        </w:rPr>
        <w:t xml:space="preserve"> </w:t>
      </w:r>
      <w:r w:rsidRPr="00027F7F">
        <w:rPr>
          <w:sz w:val="20"/>
          <w:szCs w:val="20"/>
          <w:lang w:val="es-MX"/>
        </w:rPr>
        <w:t>de Pichincha el 09 de enero de 2002, protocolizada el 25 de febrero de 2004,</w:t>
      </w:r>
      <w:r>
        <w:rPr>
          <w:sz w:val="20"/>
          <w:szCs w:val="20"/>
          <w:lang w:val="es-MX"/>
        </w:rPr>
        <w:t xml:space="preserve"> </w:t>
      </w:r>
      <w:r w:rsidRPr="00027F7F">
        <w:rPr>
          <w:sz w:val="20"/>
          <w:szCs w:val="20"/>
          <w:lang w:val="es-MX"/>
        </w:rPr>
        <w:t>ante el Notario doctor Sebastián Valdivieso, legalmente inscrita el 10 de marzo</w:t>
      </w:r>
      <w:r>
        <w:rPr>
          <w:sz w:val="20"/>
          <w:szCs w:val="20"/>
          <w:lang w:val="es-MX"/>
        </w:rPr>
        <w:t xml:space="preserve"> </w:t>
      </w:r>
      <w:r w:rsidRPr="00027F7F">
        <w:rPr>
          <w:sz w:val="20"/>
          <w:szCs w:val="20"/>
          <w:lang w:val="es-MX"/>
        </w:rPr>
        <w:t>de 2004, el Municipio del Distrito Metropolitano de Quito adquirió el inmueble</w:t>
      </w:r>
      <w:r>
        <w:rPr>
          <w:sz w:val="20"/>
          <w:szCs w:val="20"/>
          <w:lang w:val="es-MX"/>
        </w:rPr>
        <w:t xml:space="preserve"> </w:t>
      </w:r>
      <w:r w:rsidRPr="00027F7F">
        <w:rPr>
          <w:sz w:val="20"/>
          <w:szCs w:val="20"/>
          <w:lang w:val="es-MX"/>
        </w:rPr>
        <w:t>continuo al anterior con una superficie de doscientos ochenta y cuatro metros</w:t>
      </w:r>
      <w:r>
        <w:rPr>
          <w:sz w:val="20"/>
          <w:szCs w:val="20"/>
          <w:lang w:val="es-MX"/>
        </w:rPr>
        <w:t xml:space="preserve"> </w:t>
      </w:r>
      <w:r w:rsidRPr="00027F7F">
        <w:rPr>
          <w:sz w:val="20"/>
          <w:szCs w:val="20"/>
          <w:lang w:val="es-MX"/>
        </w:rPr>
        <w:t>treinta y dos centímetros (284,32 m2)</w:t>
      </w:r>
    </w:p>
    <w:p w14:paraId="508C58B9" w14:textId="77777777" w:rsidR="00027F7F" w:rsidRPr="00027F7F" w:rsidRDefault="00027F7F" w:rsidP="00027F7F">
      <w:pPr>
        <w:jc w:val="both"/>
        <w:rPr>
          <w:sz w:val="20"/>
          <w:szCs w:val="20"/>
          <w:lang w:val="es-MX"/>
        </w:rPr>
      </w:pPr>
    </w:p>
    <w:p w14:paraId="32D22699" w14:textId="7816B1B3" w:rsidR="00027F7F" w:rsidRPr="00027F7F" w:rsidRDefault="00027F7F" w:rsidP="00027F7F">
      <w:pPr>
        <w:jc w:val="both"/>
        <w:rPr>
          <w:sz w:val="20"/>
          <w:szCs w:val="20"/>
          <w:lang w:val="es-MX"/>
        </w:rPr>
      </w:pPr>
      <w:r w:rsidRPr="00027F7F">
        <w:rPr>
          <w:sz w:val="20"/>
          <w:szCs w:val="20"/>
          <w:lang w:val="es-MX"/>
        </w:rPr>
        <w:t>•</w:t>
      </w:r>
      <w:r w:rsidRPr="00027F7F">
        <w:rPr>
          <w:sz w:val="20"/>
          <w:szCs w:val="20"/>
          <w:lang w:val="es-MX"/>
        </w:rPr>
        <w:tab/>
        <w:t>Mediante permuta celebrada el 22 de mayo de 2006, ante el Notario Noveno del</w:t>
      </w:r>
      <w:r>
        <w:rPr>
          <w:sz w:val="20"/>
          <w:szCs w:val="20"/>
          <w:lang w:val="es-MX"/>
        </w:rPr>
        <w:t xml:space="preserve"> </w:t>
      </w:r>
      <w:r w:rsidRPr="00027F7F">
        <w:rPr>
          <w:sz w:val="20"/>
          <w:szCs w:val="20"/>
          <w:lang w:val="es-MX"/>
        </w:rPr>
        <w:t xml:space="preserve">Cantón Quito, Doctor Juan </w:t>
      </w:r>
      <w:proofErr w:type="spellStart"/>
      <w:r w:rsidRPr="00027F7F">
        <w:rPr>
          <w:sz w:val="20"/>
          <w:szCs w:val="20"/>
          <w:lang w:val="es-MX"/>
        </w:rPr>
        <w:t>Villacís</w:t>
      </w:r>
      <w:proofErr w:type="spellEnd"/>
      <w:r w:rsidRPr="00027F7F">
        <w:rPr>
          <w:sz w:val="20"/>
          <w:szCs w:val="20"/>
          <w:lang w:val="es-MX"/>
        </w:rPr>
        <w:t xml:space="preserve"> Medina, legalmente inscrita en el Registro de</w:t>
      </w:r>
      <w:r>
        <w:rPr>
          <w:sz w:val="20"/>
          <w:szCs w:val="20"/>
          <w:lang w:val="es-MX"/>
        </w:rPr>
        <w:t xml:space="preserve"> </w:t>
      </w:r>
      <w:r w:rsidRPr="00027F7F">
        <w:rPr>
          <w:sz w:val="20"/>
          <w:szCs w:val="20"/>
          <w:lang w:val="es-MX"/>
        </w:rPr>
        <w:t>la Propiedad del Cantón Quito, el 11 de julio de 2006, el Municipio del Distrito</w:t>
      </w:r>
      <w:r>
        <w:rPr>
          <w:sz w:val="20"/>
          <w:szCs w:val="20"/>
          <w:lang w:val="es-MX"/>
        </w:rPr>
        <w:t xml:space="preserve"> </w:t>
      </w:r>
      <w:r w:rsidRPr="00027F7F">
        <w:rPr>
          <w:sz w:val="20"/>
          <w:szCs w:val="20"/>
          <w:lang w:val="es-MX"/>
        </w:rPr>
        <w:t>Metropolitano de Quito, adquirió, mediante permuta hecha a su favor con la</w:t>
      </w:r>
      <w:r>
        <w:rPr>
          <w:sz w:val="20"/>
          <w:szCs w:val="20"/>
          <w:lang w:val="es-MX"/>
        </w:rPr>
        <w:t xml:space="preserve"> </w:t>
      </w:r>
      <w:r w:rsidRPr="00027F7F">
        <w:rPr>
          <w:sz w:val="20"/>
          <w:szCs w:val="20"/>
          <w:lang w:val="es-MX"/>
        </w:rPr>
        <w:t>Empresa de Desarrollo Urbano de Quito, otro inmueble contiguo a los anteriores</w:t>
      </w:r>
      <w:r>
        <w:rPr>
          <w:sz w:val="20"/>
          <w:szCs w:val="20"/>
          <w:lang w:val="es-MX"/>
        </w:rPr>
        <w:t xml:space="preserve"> </w:t>
      </w:r>
      <w:r w:rsidRPr="00027F7F">
        <w:rPr>
          <w:sz w:val="20"/>
          <w:szCs w:val="20"/>
          <w:lang w:val="es-MX"/>
        </w:rPr>
        <w:t>ubicado en la calle chile 1417 de la plaza de la Merced, parroquia El Salvador,</w:t>
      </w:r>
      <w:r>
        <w:rPr>
          <w:sz w:val="20"/>
          <w:szCs w:val="20"/>
          <w:lang w:val="es-MX"/>
        </w:rPr>
        <w:t xml:space="preserve"> </w:t>
      </w:r>
      <w:r w:rsidRPr="00027F7F">
        <w:rPr>
          <w:sz w:val="20"/>
          <w:szCs w:val="20"/>
          <w:lang w:val="es-MX"/>
        </w:rPr>
        <w:t>con una superficie de ciento treinta y seis metros cuadrados (136 m2).</w:t>
      </w:r>
    </w:p>
    <w:p w14:paraId="431F95CC" w14:textId="77777777" w:rsidR="00027F7F" w:rsidRPr="00027F7F" w:rsidRDefault="00027F7F" w:rsidP="00027F7F">
      <w:pPr>
        <w:jc w:val="both"/>
        <w:rPr>
          <w:sz w:val="20"/>
          <w:szCs w:val="20"/>
          <w:lang w:val="es-MX"/>
        </w:rPr>
      </w:pPr>
    </w:p>
    <w:p w14:paraId="2DC28143" w14:textId="77777777" w:rsidR="00027F7F" w:rsidRPr="00027F7F" w:rsidRDefault="00027F7F" w:rsidP="00027F7F">
      <w:pPr>
        <w:jc w:val="both"/>
        <w:rPr>
          <w:sz w:val="20"/>
          <w:szCs w:val="20"/>
          <w:lang w:val="es-MX"/>
        </w:rPr>
      </w:pPr>
      <w:r w:rsidRPr="00027F7F">
        <w:rPr>
          <w:sz w:val="20"/>
          <w:szCs w:val="20"/>
          <w:lang w:val="es-MX"/>
        </w:rPr>
        <w:t>•</w:t>
      </w:r>
      <w:r w:rsidRPr="00027F7F">
        <w:rPr>
          <w:sz w:val="20"/>
          <w:szCs w:val="20"/>
          <w:lang w:val="es-MX"/>
        </w:rPr>
        <w:tab/>
        <w:t>La superficie total de los tres cuerpos es de mil ochenta metros cuadrados treinta y dos centímetros cuadrados (1080,32 m2).</w:t>
      </w:r>
    </w:p>
    <w:p w14:paraId="19E5AC20" w14:textId="77777777" w:rsidR="00027F7F" w:rsidRPr="00027F7F" w:rsidRDefault="00027F7F" w:rsidP="00027F7F">
      <w:pPr>
        <w:jc w:val="both"/>
        <w:rPr>
          <w:sz w:val="20"/>
          <w:szCs w:val="20"/>
          <w:lang w:val="es-MX"/>
        </w:rPr>
      </w:pPr>
    </w:p>
    <w:p w14:paraId="713448A8" w14:textId="784F9006" w:rsidR="00027F7F" w:rsidRDefault="00027F7F" w:rsidP="00027F7F">
      <w:pPr>
        <w:jc w:val="both"/>
        <w:rPr>
          <w:sz w:val="20"/>
          <w:szCs w:val="20"/>
          <w:lang w:val="es-MX"/>
        </w:rPr>
      </w:pPr>
      <w:r w:rsidRPr="00027F7F">
        <w:rPr>
          <w:sz w:val="20"/>
          <w:szCs w:val="20"/>
          <w:lang w:val="es-MX"/>
        </w:rPr>
        <w:t>•</w:t>
      </w:r>
      <w:r w:rsidRPr="00027F7F">
        <w:rPr>
          <w:sz w:val="20"/>
          <w:szCs w:val="20"/>
          <w:lang w:val="es-MX"/>
        </w:rPr>
        <w:tab/>
        <w:t>El Municipio del Distrito Metropolitano de Quito, representado por la Arquitecta Inés</w:t>
      </w:r>
      <w:r>
        <w:rPr>
          <w:sz w:val="20"/>
          <w:szCs w:val="20"/>
          <w:lang w:val="es-MX"/>
        </w:rPr>
        <w:t xml:space="preserve"> </w:t>
      </w:r>
      <w:r w:rsidRPr="00027F7F">
        <w:rPr>
          <w:sz w:val="20"/>
          <w:szCs w:val="20"/>
          <w:lang w:val="es-MX"/>
        </w:rPr>
        <w:t>Pazmiño Gavilanes, en su calidad de Administradora de la Zona Centro, declara en</w:t>
      </w:r>
      <w:r>
        <w:rPr>
          <w:sz w:val="20"/>
          <w:szCs w:val="20"/>
          <w:lang w:val="es-MX"/>
        </w:rPr>
        <w:t xml:space="preserve"> </w:t>
      </w:r>
      <w:r w:rsidRPr="00027F7F">
        <w:rPr>
          <w:sz w:val="20"/>
          <w:szCs w:val="20"/>
          <w:lang w:val="es-MX"/>
        </w:rPr>
        <w:t>propiedad horizontal los tres inmuebles mencionados anteriormente, denominado</w:t>
      </w:r>
      <w:r>
        <w:rPr>
          <w:sz w:val="20"/>
          <w:szCs w:val="20"/>
          <w:lang w:val="es-MX"/>
        </w:rPr>
        <w:t xml:space="preserve"> </w:t>
      </w:r>
      <w:r w:rsidRPr="00027F7F">
        <w:rPr>
          <w:sz w:val="20"/>
          <w:szCs w:val="20"/>
          <w:lang w:val="es-MX"/>
        </w:rPr>
        <w:t>Centro Comercial Popular Granada, la mencionada declaratoria se protocoliza el día</w:t>
      </w:r>
      <w:r>
        <w:rPr>
          <w:sz w:val="20"/>
          <w:szCs w:val="20"/>
          <w:lang w:val="es-MX"/>
        </w:rPr>
        <w:t xml:space="preserve"> </w:t>
      </w:r>
      <w:r w:rsidRPr="00027F7F">
        <w:rPr>
          <w:sz w:val="20"/>
          <w:szCs w:val="20"/>
          <w:lang w:val="es-MX"/>
        </w:rPr>
        <w:t xml:space="preserve">17 de julio de 2006, ante el Dr. Juan </w:t>
      </w:r>
      <w:proofErr w:type="spellStart"/>
      <w:r w:rsidRPr="00027F7F">
        <w:rPr>
          <w:sz w:val="20"/>
          <w:szCs w:val="20"/>
          <w:lang w:val="es-MX"/>
        </w:rPr>
        <w:t>Villacís</w:t>
      </w:r>
      <w:proofErr w:type="spellEnd"/>
      <w:r w:rsidRPr="00027F7F">
        <w:rPr>
          <w:sz w:val="20"/>
          <w:szCs w:val="20"/>
          <w:lang w:val="es-MX"/>
        </w:rPr>
        <w:t xml:space="preserve"> Medina, Notario Noveno Encargado del</w:t>
      </w:r>
      <w:r>
        <w:rPr>
          <w:sz w:val="20"/>
          <w:szCs w:val="20"/>
          <w:lang w:val="es-MX"/>
        </w:rPr>
        <w:t xml:space="preserve"> </w:t>
      </w:r>
      <w:r w:rsidRPr="00027F7F">
        <w:rPr>
          <w:sz w:val="20"/>
          <w:szCs w:val="20"/>
          <w:lang w:val="es-MX"/>
        </w:rPr>
        <w:t>Cantón Quito, y se inscribe en el Registro de la Propiedad el día 20 de septiembre de</w:t>
      </w:r>
      <w:r>
        <w:rPr>
          <w:sz w:val="20"/>
          <w:szCs w:val="20"/>
          <w:lang w:val="es-MX"/>
        </w:rPr>
        <w:t xml:space="preserve"> </w:t>
      </w:r>
      <w:r w:rsidRPr="00027F7F">
        <w:rPr>
          <w:sz w:val="20"/>
          <w:szCs w:val="20"/>
          <w:lang w:val="es-MX"/>
        </w:rPr>
        <w:t>2007.</w:t>
      </w:r>
    </w:p>
    <w:p w14:paraId="1F551BDC" w14:textId="77777777" w:rsidR="00027F7F" w:rsidRPr="00027F7F" w:rsidRDefault="00027F7F" w:rsidP="00027F7F">
      <w:pPr>
        <w:jc w:val="both"/>
        <w:rPr>
          <w:sz w:val="20"/>
          <w:szCs w:val="20"/>
          <w:lang w:val="es-MX"/>
        </w:rPr>
      </w:pPr>
    </w:p>
    <w:p w14:paraId="7DD43F0D" w14:textId="77777777" w:rsidR="00027F7F" w:rsidRPr="00027F7F" w:rsidRDefault="00027F7F" w:rsidP="00027F7F">
      <w:pPr>
        <w:jc w:val="both"/>
        <w:rPr>
          <w:b/>
          <w:sz w:val="20"/>
          <w:szCs w:val="20"/>
          <w:u w:val="single"/>
          <w:lang w:val="es-MX"/>
        </w:rPr>
      </w:pPr>
      <w:r w:rsidRPr="00027F7F">
        <w:rPr>
          <w:b/>
          <w:sz w:val="20"/>
          <w:szCs w:val="20"/>
          <w:u w:val="single"/>
          <w:lang w:val="es-MX"/>
        </w:rPr>
        <w:t xml:space="preserve">CENTRO COMERCIAL POPULAR IPIALES DEL SUR </w:t>
      </w:r>
    </w:p>
    <w:p w14:paraId="5283D6D3" w14:textId="77777777" w:rsidR="00027F7F" w:rsidRPr="00027F7F" w:rsidRDefault="00027F7F" w:rsidP="00027F7F">
      <w:pPr>
        <w:jc w:val="both"/>
        <w:rPr>
          <w:sz w:val="20"/>
          <w:szCs w:val="20"/>
          <w:lang w:val="es-MX"/>
        </w:rPr>
      </w:pPr>
      <w:r w:rsidRPr="00027F7F">
        <w:rPr>
          <w:sz w:val="20"/>
          <w:szCs w:val="20"/>
          <w:lang w:val="es-MX"/>
        </w:rPr>
        <w:t>•</w:t>
      </w:r>
      <w:r w:rsidRPr="00027F7F">
        <w:rPr>
          <w:sz w:val="20"/>
          <w:szCs w:val="20"/>
          <w:lang w:val="es-MX"/>
        </w:rPr>
        <w:tab/>
        <w:t xml:space="preserve">De conformidad con el artículo doscientos sesenta y cuatro, literal c de la Ley de Régimen Municipal, el Municipio del Distrito Metropolitano de Quito, es propietario del inmueble situado en el Barrio Las Cuadras, Parroquia </w:t>
      </w:r>
      <w:proofErr w:type="spellStart"/>
      <w:r w:rsidRPr="00027F7F">
        <w:rPr>
          <w:sz w:val="20"/>
          <w:szCs w:val="20"/>
          <w:lang w:val="es-MX"/>
        </w:rPr>
        <w:t>Quitumbe</w:t>
      </w:r>
      <w:proofErr w:type="spellEnd"/>
      <w:r w:rsidRPr="00027F7F">
        <w:rPr>
          <w:sz w:val="20"/>
          <w:szCs w:val="20"/>
          <w:lang w:val="es-MX"/>
        </w:rPr>
        <w:t>, Avenida Moran Valverde, intersección Avenida Mariscal Sucre, de dominio público. Superficie de cinco mil ochocientos diez metros cuadrados (5810 m2).</w:t>
      </w:r>
    </w:p>
    <w:p w14:paraId="26D5354B" w14:textId="77777777" w:rsidR="00027F7F" w:rsidRPr="00027F7F" w:rsidRDefault="00027F7F" w:rsidP="00027F7F">
      <w:pPr>
        <w:jc w:val="both"/>
        <w:rPr>
          <w:sz w:val="20"/>
          <w:szCs w:val="20"/>
          <w:lang w:val="es-MX"/>
        </w:rPr>
      </w:pPr>
    </w:p>
    <w:p w14:paraId="5C6A5383" w14:textId="77777777" w:rsidR="00027F7F" w:rsidRPr="00027F7F" w:rsidRDefault="00027F7F" w:rsidP="00027F7F">
      <w:pPr>
        <w:jc w:val="both"/>
        <w:rPr>
          <w:sz w:val="20"/>
          <w:szCs w:val="20"/>
          <w:lang w:val="es-MX"/>
        </w:rPr>
      </w:pPr>
      <w:r w:rsidRPr="00027F7F">
        <w:rPr>
          <w:sz w:val="20"/>
          <w:szCs w:val="20"/>
          <w:lang w:val="es-MX"/>
        </w:rPr>
        <w:t>•</w:t>
      </w:r>
      <w:r w:rsidRPr="00027F7F">
        <w:rPr>
          <w:sz w:val="20"/>
          <w:szCs w:val="20"/>
          <w:lang w:val="es-MX"/>
        </w:rPr>
        <w:tab/>
        <w:t>Mediante escritura pública celebrada ante el Doctor Gonzalo Román Chacón, Notario Décimo Sexto del Cantón Quito, con fecha 26 de agosto del 2004, el Municipio del Distrito Metropolitano de Quito, declaró bajo el Régimen de Propiedad Horizontal al inmueble de su propiedad denominado Centro Comercial Ipiales del Sur, debidamente inscrito en el Registro de la Propiedad con fecha 29 de noviembre del 2004.</w:t>
      </w:r>
    </w:p>
    <w:p w14:paraId="7612BD8D" w14:textId="77777777" w:rsidR="00027F7F" w:rsidRPr="00027F7F" w:rsidRDefault="00027F7F" w:rsidP="00027F7F">
      <w:pPr>
        <w:jc w:val="both"/>
        <w:rPr>
          <w:sz w:val="20"/>
          <w:szCs w:val="20"/>
          <w:lang w:val="es-MX"/>
        </w:rPr>
      </w:pPr>
    </w:p>
    <w:p w14:paraId="47FEB8D1" w14:textId="66342654" w:rsidR="00027F7F" w:rsidRDefault="00027F7F" w:rsidP="00027F7F">
      <w:pPr>
        <w:jc w:val="both"/>
        <w:rPr>
          <w:sz w:val="20"/>
          <w:szCs w:val="20"/>
          <w:lang w:val="es-MX"/>
        </w:rPr>
      </w:pPr>
      <w:r w:rsidRPr="00027F7F">
        <w:rPr>
          <w:sz w:val="20"/>
          <w:szCs w:val="20"/>
          <w:lang w:val="es-MX"/>
        </w:rPr>
        <w:t>•</w:t>
      </w:r>
      <w:r w:rsidRPr="00027F7F">
        <w:rPr>
          <w:sz w:val="20"/>
          <w:szCs w:val="20"/>
          <w:lang w:val="es-MX"/>
        </w:rPr>
        <w:tab/>
        <w:t xml:space="preserve">Mediante escritura pública celebrada ante el Doctor Líder </w:t>
      </w:r>
      <w:proofErr w:type="spellStart"/>
      <w:r w:rsidRPr="00027F7F">
        <w:rPr>
          <w:sz w:val="20"/>
          <w:szCs w:val="20"/>
          <w:lang w:val="es-MX"/>
        </w:rPr>
        <w:t>Moreta</w:t>
      </w:r>
      <w:proofErr w:type="spellEnd"/>
      <w:r w:rsidRPr="00027F7F">
        <w:rPr>
          <w:sz w:val="20"/>
          <w:szCs w:val="20"/>
          <w:lang w:val="es-MX"/>
        </w:rPr>
        <w:t xml:space="preserve"> Gavilanes, Notario Público Cuarto Suplente del Cantón Quito, con fecha 25 de abril de 2006, el Municipio del Distrito Metropolitano de Quito, autorizó la Modificatoria de Propiedad Horizontal del inmueble denominado Centro Comercial Ipiales del Sur, fecha de inscripción 10 de mayo de 2006.</w:t>
      </w:r>
    </w:p>
    <w:p w14:paraId="79AF6191" w14:textId="77777777" w:rsidR="00027F7F" w:rsidRPr="00027F7F" w:rsidRDefault="00027F7F" w:rsidP="00027F7F">
      <w:pPr>
        <w:jc w:val="both"/>
        <w:rPr>
          <w:sz w:val="20"/>
          <w:szCs w:val="20"/>
          <w:lang w:val="es-MX"/>
        </w:rPr>
      </w:pPr>
    </w:p>
    <w:p w14:paraId="120507AA" w14:textId="77777777" w:rsidR="00027F7F" w:rsidRPr="00027F7F" w:rsidRDefault="00027F7F" w:rsidP="00027F7F">
      <w:pPr>
        <w:jc w:val="both"/>
        <w:rPr>
          <w:b/>
          <w:sz w:val="20"/>
          <w:szCs w:val="20"/>
          <w:u w:val="single"/>
          <w:lang w:val="es-MX"/>
        </w:rPr>
      </w:pPr>
      <w:r w:rsidRPr="00027F7F">
        <w:rPr>
          <w:b/>
          <w:sz w:val="20"/>
          <w:szCs w:val="20"/>
          <w:u w:val="single"/>
          <w:lang w:val="es-MX"/>
        </w:rPr>
        <w:t xml:space="preserve">CENTRO COMERCIAL CHIRIYACU </w:t>
      </w:r>
    </w:p>
    <w:p w14:paraId="3915B814" w14:textId="371DBF22" w:rsidR="00027F7F" w:rsidRPr="00027F7F" w:rsidRDefault="00027F7F" w:rsidP="00027F7F">
      <w:pPr>
        <w:jc w:val="both"/>
        <w:rPr>
          <w:sz w:val="20"/>
          <w:szCs w:val="20"/>
          <w:lang w:val="es-MX"/>
        </w:rPr>
      </w:pPr>
      <w:r w:rsidRPr="00027F7F">
        <w:rPr>
          <w:sz w:val="20"/>
          <w:szCs w:val="20"/>
          <w:lang w:val="es-MX"/>
        </w:rPr>
        <w:t>•</w:t>
      </w:r>
      <w:r w:rsidRPr="00027F7F">
        <w:rPr>
          <w:sz w:val="20"/>
          <w:szCs w:val="20"/>
          <w:lang w:val="es-MX"/>
        </w:rPr>
        <w:tab/>
        <w:t>De conformidad con el artículo doscientos sesenta y cuatro, literal c de la Ley de</w:t>
      </w:r>
      <w:r>
        <w:rPr>
          <w:sz w:val="20"/>
          <w:szCs w:val="20"/>
          <w:lang w:val="es-MX"/>
        </w:rPr>
        <w:t xml:space="preserve"> </w:t>
      </w:r>
      <w:r w:rsidRPr="00027F7F">
        <w:rPr>
          <w:sz w:val="20"/>
          <w:szCs w:val="20"/>
          <w:lang w:val="es-MX"/>
        </w:rPr>
        <w:t xml:space="preserve">Régimen Municipal, el Municipio del Distrito Metropolitano de Quito, es propietario del inmueble situado en la Parroquia Eloy Alfaro, sector El Camal, calle López de </w:t>
      </w:r>
      <w:proofErr w:type="spellStart"/>
      <w:r w:rsidRPr="00027F7F">
        <w:rPr>
          <w:sz w:val="20"/>
          <w:szCs w:val="20"/>
          <w:lang w:val="es-MX"/>
        </w:rPr>
        <w:t>Gomarra</w:t>
      </w:r>
      <w:proofErr w:type="spellEnd"/>
      <w:r w:rsidRPr="00027F7F">
        <w:rPr>
          <w:sz w:val="20"/>
          <w:szCs w:val="20"/>
          <w:lang w:val="es-MX"/>
        </w:rPr>
        <w:t>, intersección Gualberto Pérez, en el que anteriormente funcionaba el Ex Camal Municipal, de dominio público. Superficie treinta mil seiscientos metros cuadrados (30.600m2).</w:t>
      </w:r>
    </w:p>
    <w:p w14:paraId="1143B8FA" w14:textId="77777777" w:rsidR="00027F7F" w:rsidRPr="00027F7F" w:rsidRDefault="00027F7F" w:rsidP="00027F7F">
      <w:pPr>
        <w:jc w:val="both"/>
        <w:rPr>
          <w:sz w:val="20"/>
          <w:szCs w:val="20"/>
          <w:lang w:val="es-MX"/>
        </w:rPr>
      </w:pPr>
    </w:p>
    <w:p w14:paraId="65B7D83A" w14:textId="2251D444" w:rsidR="00027F7F" w:rsidRDefault="00027F7F" w:rsidP="00027F7F">
      <w:pPr>
        <w:jc w:val="both"/>
        <w:rPr>
          <w:sz w:val="20"/>
          <w:szCs w:val="20"/>
          <w:lang w:val="es-MX"/>
        </w:rPr>
      </w:pPr>
      <w:r w:rsidRPr="00027F7F">
        <w:rPr>
          <w:sz w:val="20"/>
          <w:szCs w:val="20"/>
          <w:lang w:val="es-MX"/>
        </w:rPr>
        <w:t>•</w:t>
      </w:r>
      <w:r w:rsidRPr="00027F7F">
        <w:rPr>
          <w:sz w:val="20"/>
          <w:szCs w:val="20"/>
          <w:lang w:val="es-MX"/>
        </w:rPr>
        <w:tab/>
        <w:t>Mediante escritura pública celebrada ante el Doctor Gonzalo Román Chacón, Notario</w:t>
      </w:r>
      <w:r>
        <w:rPr>
          <w:sz w:val="20"/>
          <w:szCs w:val="20"/>
          <w:lang w:val="es-MX"/>
        </w:rPr>
        <w:t xml:space="preserve"> </w:t>
      </w:r>
      <w:r w:rsidRPr="00027F7F">
        <w:rPr>
          <w:sz w:val="20"/>
          <w:szCs w:val="20"/>
          <w:lang w:val="es-MX"/>
        </w:rPr>
        <w:t>Décimo Sexto del Cantón Quito, con fecha dos de julio de dos mil cuatro, el Municipio</w:t>
      </w:r>
      <w:r>
        <w:rPr>
          <w:sz w:val="20"/>
          <w:szCs w:val="20"/>
          <w:lang w:val="es-MX"/>
        </w:rPr>
        <w:t xml:space="preserve"> </w:t>
      </w:r>
      <w:r w:rsidRPr="00027F7F">
        <w:rPr>
          <w:sz w:val="20"/>
          <w:szCs w:val="20"/>
          <w:lang w:val="es-MX"/>
        </w:rPr>
        <w:t xml:space="preserve">del Distrito Metropolitano de Quito, declaró bajo el Régimen de Propiedad Horizontal al inmueble de su propiedad denominado “Centro Comercial </w:t>
      </w:r>
      <w:proofErr w:type="spellStart"/>
      <w:r w:rsidRPr="00027F7F">
        <w:rPr>
          <w:sz w:val="20"/>
          <w:szCs w:val="20"/>
          <w:lang w:val="es-MX"/>
        </w:rPr>
        <w:t>Chiriacu</w:t>
      </w:r>
      <w:proofErr w:type="spellEnd"/>
      <w:r w:rsidRPr="00027F7F">
        <w:rPr>
          <w:sz w:val="20"/>
          <w:szCs w:val="20"/>
          <w:lang w:val="es-MX"/>
        </w:rPr>
        <w:t>”, debidamente</w:t>
      </w:r>
      <w:r>
        <w:rPr>
          <w:sz w:val="20"/>
          <w:szCs w:val="20"/>
          <w:lang w:val="es-MX"/>
        </w:rPr>
        <w:t xml:space="preserve"> </w:t>
      </w:r>
      <w:r w:rsidRPr="00027F7F">
        <w:rPr>
          <w:sz w:val="20"/>
          <w:szCs w:val="20"/>
          <w:lang w:val="es-MX"/>
        </w:rPr>
        <w:t>inscrito en el Registro de la Propiedad con fecha 06 de octubre de 2004.</w:t>
      </w:r>
    </w:p>
    <w:p w14:paraId="3848EB8D" w14:textId="77777777" w:rsidR="00027F7F" w:rsidRPr="00027F7F" w:rsidRDefault="00027F7F" w:rsidP="00027F7F">
      <w:pPr>
        <w:jc w:val="both"/>
        <w:rPr>
          <w:sz w:val="20"/>
          <w:szCs w:val="20"/>
          <w:lang w:val="es-MX"/>
        </w:rPr>
      </w:pPr>
    </w:p>
    <w:p w14:paraId="58EF03F5" w14:textId="77777777" w:rsidR="00027F7F" w:rsidRPr="00027F7F" w:rsidRDefault="00027F7F" w:rsidP="00027F7F">
      <w:pPr>
        <w:jc w:val="both"/>
        <w:rPr>
          <w:b/>
          <w:sz w:val="20"/>
          <w:szCs w:val="20"/>
          <w:u w:val="single"/>
          <w:lang w:val="es-MX"/>
        </w:rPr>
      </w:pPr>
      <w:r w:rsidRPr="00027F7F">
        <w:rPr>
          <w:b/>
          <w:sz w:val="20"/>
          <w:szCs w:val="20"/>
          <w:u w:val="single"/>
          <w:lang w:val="es-MX"/>
        </w:rPr>
        <w:t>CENTRO COMERCIAL LA MERCED</w:t>
      </w:r>
    </w:p>
    <w:p w14:paraId="6C0D3516" w14:textId="55274EED" w:rsidR="00027F7F" w:rsidRPr="00027F7F" w:rsidRDefault="00027F7F" w:rsidP="00027F7F">
      <w:pPr>
        <w:jc w:val="both"/>
        <w:rPr>
          <w:sz w:val="20"/>
          <w:szCs w:val="20"/>
          <w:lang w:val="es-MX"/>
        </w:rPr>
      </w:pPr>
      <w:r w:rsidRPr="00027F7F">
        <w:rPr>
          <w:sz w:val="20"/>
          <w:szCs w:val="20"/>
          <w:lang w:val="es-MX"/>
        </w:rPr>
        <w:t>•</w:t>
      </w:r>
      <w:r w:rsidRPr="00027F7F">
        <w:rPr>
          <w:sz w:val="20"/>
          <w:szCs w:val="20"/>
          <w:lang w:val="es-MX"/>
        </w:rPr>
        <w:tab/>
        <w:t>El Municipio del Distrito Metropolitano de Quito es propietario del inmueble ubicado en la parroquia El Salvador, el cual fue adquirido por sentencia de expropiación del</w:t>
      </w:r>
      <w:r>
        <w:rPr>
          <w:sz w:val="20"/>
          <w:szCs w:val="20"/>
          <w:lang w:val="es-MX"/>
        </w:rPr>
        <w:t xml:space="preserve"> </w:t>
      </w:r>
      <w:r w:rsidRPr="00027F7F">
        <w:rPr>
          <w:sz w:val="20"/>
          <w:szCs w:val="20"/>
          <w:lang w:val="es-MX"/>
        </w:rPr>
        <w:t>inmueble que fue de la compañía anónima de Estacionamiento de vehículos y ventas</w:t>
      </w:r>
      <w:r>
        <w:rPr>
          <w:sz w:val="20"/>
          <w:szCs w:val="20"/>
          <w:lang w:val="es-MX"/>
        </w:rPr>
        <w:t xml:space="preserve"> </w:t>
      </w:r>
      <w:r w:rsidRPr="00027F7F">
        <w:rPr>
          <w:sz w:val="20"/>
          <w:szCs w:val="20"/>
          <w:lang w:val="es-MX"/>
        </w:rPr>
        <w:t>de artículos folclóricos, dictada por el señor Juez Undécimo de lo civil de Pichincha, el</w:t>
      </w:r>
      <w:r>
        <w:rPr>
          <w:sz w:val="20"/>
          <w:szCs w:val="20"/>
          <w:lang w:val="es-MX"/>
        </w:rPr>
        <w:t xml:space="preserve"> </w:t>
      </w:r>
      <w:r w:rsidRPr="00027F7F">
        <w:rPr>
          <w:sz w:val="20"/>
          <w:szCs w:val="20"/>
          <w:lang w:val="es-MX"/>
        </w:rPr>
        <w:t>07 de febrero de 1984, y ratificada por la Sala de la Honorable Corte Superior de Quito, el dieciséis de agosto de mil novecientos ochenta y cuatro, debidamente protocolizada el veintisiete de mayo de mil novecientos noventa y nueve, ante el Notario doctor Nelson Prado, y legalmente inscrita el ocho de julio del mismo año.</w:t>
      </w:r>
    </w:p>
    <w:p w14:paraId="51BA6B67" w14:textId="77777777" w:rsidR="00027F7F" w:rsidRPr="00027F7F" w:rsidRDefault="00027F7F" w:rsidP="00027F7F">
      <w:pPr>
        <w:jc w:val="both"/>
        <w:rPr>
          <w:sz w:val="20"/>
          <w:szCs w:val="20"/>
          <w:lang w:val="es-MX"/>
        </w:rPr>
      </w:pPr>
    </w:p>
    <w:p w14:paraId="47CCC671" w14:textId="0D5B7E47" w:rsidR="00027F7F" w:rsidRDefault="00027F7F" w:rsidP="00027F7F">
      <w:pPr>
        <w:jc w:val="both"/>
        <w:rPr>
          <w:sz w:val="20"/>
          <w:szCs w:val="20"/>
          <w:lang w:val="es-MX"/>
        </w:rPr>
      </w:pPr>
      <w:r w:rsidRPr="00027F7F">
        <w:rPr>
          <w:sz w:val="20"/>
          <w:szCs w:val="20"/>
          <w:lang w:val="es-MX"/>
        </w:rPr>
        <w:t>•</w:t>
      </w:r>
      <w:r w:rsidRPr="00027F7F">
        <w:rPr>
          <w:sz w:val="20"/>
          <w:szCs w:val="20"/>
          <w:lang w:val="es-MX"/>
        </w:rPr>
        <w:tab/>
        <w:t xml:space="preserve">Mediante escritura pública celebrada ante el Doctor Fernando Arregui Aguirre, </w:t>
      </w:r>
      <w:proofErr w:type="gramStart"/>
      <w:r w:rsidRPr="00027F7F">
        <w:rPr>
          <w:sz w:val="20"/>
          <w:szCs w:val="20"/>
          <w:lang w:val="es-MX"/>
        </w:rPr>
        <w:t>Notario</w:t>
      </w:r>
      <w:r>
        <w:rPr>
          <w:sz w:val="20"/>
          <w:szCs w:val="20"/>
          <w:lang w:val="es-MX"/>
        </w:rPr>
        <w:t xml:space="preserve">  </w:t>
      </w:r>
      <w:r w:rsidRPr="00027F7F">
        <w:rPr>
          <w:sz w:val="20"/>
          <w:szCs w:val="20"/>
          <w:lang w:val="es-MX"/>
        </w:rPr>
        <w:t>Trigésimo</w:t>
      </w:r>
      <w:proofErr w:type="gramEnd"/>
      <w:r w:rsidRPr="00027F7F">
        <w:rPr>
          <w:sz w:val="20"/>
          <w:szCs w:val="20"/>
          <w:lang w:val="es-MX"/>
        </w:rPr>
        <w:t xml:space="preserve"> Noveno del Cantón Quito, con fecha 20 de marzo de 2002, el Municipio del Distrito Metropolitano de Quito, declaró bajo el Régimen de Propiedad Horizontal al inmueble de su propiedad denominado “Centro La Merced”, debidamente inscrito en el Registro de la Propiedad con fecha 10 de mayo de 2006.</w:t>
      </w:r>
    </w:p>
    <w:p w14:paraId="0A082D75" w14:textId="77777777" w:rsidR="00027F7F" w:rsidRPr="00027F7F" w:rsidRDefault="00027F7F" w:rsidP="00027F7F">
      <w:pPr>
        <w:jc w:val="both"/>
        <w:rPr>
          <w:sz w:val="20"/>
          <w:szCs w:val="20"/>
          <w:lang w:val="es-MX"/>
        </w:rPr>
      </w:pPr>
    </w:p>
    <w:p w14:paraId="15E5C248" w14:textId="77777777" w:rsidR="00027F7F" w:rsidRPr="00027F7F" w:rsidRDefault="00027F7F" w:rsidP="00027F7F">
      <w:pPr>
        <w:jc w:val="both"/>
        <w:rPr>
          <w:b/>
          <w:sz w:val="20"/>
          <w:szCs w:val="20"/>
          <w:u w:val="single"/>
          <w:lang w:val="es-MX"/>
        </w:rPr>
      </w:pPr>
      <w:r w:rsidRPr="00027F7F">
        <w:rPr>
          <w:b/>
          <w:sz w:val="20"/>
          <w:szCs w:val="20"/>
          <w:u w:val="single"/>
          <w:lang w:val="es-MX"/>
        </w:rPr>
        <w:t>CENTRO COMERCIAL IPIALES MIRES</w:t>
      </w:r>
    </w:p>
    <w:p w14:paraId="2A5B06D8" w14:textId="77777777" w:rsidR="00027F7F" w:rsidRPr="00027F7F" w:rsidRDefault="00027F7F" w:rsidP="00027F7F">
      <w:pPr>
        <w:jc w:val="both"/>
        <w:rPr>
          <w:sz w:val="20"/>
          <w:szCs w:val="20"/>
          <w:lang w:val="es-MX"/>
        </w:rPr>
      </w:pPr>
      <w:r w:rsidRPr="00027F7F">
        <w:rPr>
          <w:sz w:val="20"/>
          <w:szCs w:val="20"/>
          <w:lang w:val="es-MX"/>
        </w:rPr>
        <w:t>•</w:t>
      </w:r>
      <w:r w:rsidRPr="00027F7F">
        <w:rPr>
          <w:sz w:val="20"/>
          <w:szCs w:val="20"/>
          <w:lang w:val="es-MX"/>
        </w:rPr>
        <w:tab/>
        <w:t>El Municipio del Distrito Metropolitano de Quito es propietario del inmueble conforme escritura pública de 12 de julio de 2002 se protocolizó la sentencia de expropiación efectuada a la Fundación Mariana de Jesús, dictada por el Juez Undécimo de lo Civil de Pichincha, inscrita el 15 de julio de 2002.</w:t>
      </w:r>
    </w:p>
    <w:p w14:paraId="01225946" w14:textId="77777777" w:rsidR="00027F7F" w:rsidRPr="00027F7F" w:rsidRDefault="00027F7F" w:rsidP="00027F7F">
      <w:pPr>
        <w:jc w:val="both"/>
        <w:rPr>
          <w:sz w:val="20"/>
          <w:szCs w:val="20"/>
          <w:lang w:val="es-MX"/>
        </w:rPr>
      </w:pPr>
    </w:p>
    <w:p w14:paraId="1DC78CE0" w14:textId="77777777" w:rsidR="00027F7F" w:rsidRPr="00027F7F" w:rsidRDefault="00027F7F" w:rsidP="00027F7F">
      <w:pPr>
        <w:jc w:val="both"/>
        <w:rPr>
          <w:sz w:val="20"/>
          <w:szCs w:val="20"/>
          <w:lang w:val="es-MX"/>
        </w:rPr>
      </w:pPr>
      <w:r w:rsidRPr="00027F7F">
        <w:rPr>
          <w:sz w:val="20"/>
          <w:szCs w:val="20"/>
          <w:lang w:val="es-MX"/>
        </w:rPr>
        <w:t>•</w:t>
      </w:r>
      <w:r w:rsidRPr="00027F7F">
        <w:rPr>
          <w:sz w:val="20"/>
          <w:szCs w:val="20"/>
          <w:lang w:val="es-MX"/>
        </w:rPr>
        <w:tab/>
        <w:t>Mediante escritura pública de 20 de febrero de 2003, ante el Dr. Fernando Arregui Aguirre, Notario Trigésimo Noveno del Cantón Quito, el Municipio del Distrito Metropolitano de Quito, declaró bajo el Régimen de Propiedad Horizontal al inmueble de su propiedad denominado “Centro Comercial Ipiales Mires”, debidamente</w:t>
      </w:r>
    </w:p>
    <w:p w14:paraId="0B743AEE" w14:textId="48400692" w:rsidR="00027F7F" w:rsidRDefault="00027F7F" w:rsidP="00027F7F">
      <w:pPr>
        <w:jc w:val="both"/>
        <w:rPr>
          <w:sz w:val="20"/>
          <w:szCs w:val="20"/>
          <w:lang w:val="es-MX"/>
        </w:rPr>
      </w:pPr>
      <w:r w:rsidRPr="00027F7F">
        <w:rPr>
          <w:sz w:val="20"/>
          <w:szCs w:val="20"/>
          <w:lang w:val="es-MX"/>
        </w:rPr>
        <w:t>inscrito en el Registro de la Propiedad con fecha 19 de junio de 2003.</w:t>
      </w:r>
    </w:p>
    <w:p w14:paraId="5B48E6A1" w14:textId="77777777" w:rsidR="00027F7F" w:rsidRPr="00027F7F" w:rsidRDefault="00027F7F" w:rsidP="00027F7F">
      <w:pPr>
        <w:jc w:val="both"/>
        <w:rPr>
          <w:sz w:val="20"/>
          <w:szCs w:val="20"/>
          <w:lang w:val="es-MX"/>
        </w:rPr>
      </w:pPr>
    </w:p>
    <w:p w14:paraId="05057B5E" w14:textId="77777777" w:rsidR="00027F7F" w:rsidRPr="00027F7F" w:rsidRDefault="00027F7F" w:rsidP="00027F7F">
      <w:pPr>
        <w:jc w:val="both"/>
        <w:rPr>
          <w:b/>
          <w:sz w:val="20"/>
          <w:szCs w:val="20"/>
          <w:u w:val="single"/>
          <w:lang w:val="es-MX"/>
        </w:rPr>
      </w:pPr>
      <w:r w:rsidRPr="00027F7F">
        <w:rPr>
          <w:b/>
          <w:sz w:val="20"/>
          <w:szCs w:val="20"/>
          <w:u w:val="single"/>
          <w:lang w:val="es-MX"/>
        </w:rPr>
        <w:t>CENTRO COMERCIAL SANGUÑA</w:t>
      </w:r>
    </w:p>
    <w:p w14:paraId="3E5A7823" w14:textId="77777777" w:rsidR="00027F7F" w:rsidRPr="00027F7F" w:rsidRDefault="00027F7F" w:rsidP="00027F7F">
      <w:pPr>
        <w:jc w:val="both"/>
        <w:rPr>
          <w:sz w:val="20"/>
          <w:szCs w:val="20"/>
          <w:lang w:val="es-MX"/>
        </w:rPr>
      </w:pPr>
      <w:r w:rsidRPr="00027F7F">
        <w:rPr>
          <w:sz w:val="20"/>
          <w:szCs w:val="20"/>
          <w:lang w:val="es-MX"/>
        </w:rPr>
        <w:t>•</w:t>
      </w:r>
      <w:r w:rsidRPr="00027F7F">
        <w:rPr>
          <w:sz w:val="20"/>
          <w:szCs w:val="20"/>
          <w:lang w:val="es-MX"/>
        </w:rPr>
        <w:tab/>
        <w:t xml:space="preserve">El Concejo Metropolitano de Quito, en sesión pública ordinaria realizada el 17 de junio de 199, resolvió: Autorizar el cambio de categoría de uso de suelo, de dominio público a dominio privado, entre otros, del inmueble denominado “Pasaje </w:t>
      </w:r>
      <w:proofErr w:type="spellStart"/>
      <w:r w:rsidRPr="00027F7F">
        <w:rPr>
          <w:sz w:val="20"/>
          <w:szCs w:val="20"/>
          <w:lang w:val="es-MX"/>
        </w:rPr>
        <w:t>Sanguña</w:t>
      </w:r>
      <w:proofErr w:type="spellEnd"/>
      <w:r w:rsidRPr="00027F7F">
        <w:rPr>
          <w:sz w:val="20"/>
          <w:szCs w:val="20"/>
          <w:lang w:val="es-MX"/>
        </w:rPr>
        <w:t>”, con el fin de que sea destinado a la ejecución del Plan de Modernización y Ordenamiento del Comercio Popular de Quito.</w:t>
      </w:r>
    </w:p>
    <w:p w14:paraId="2FBFB4A4" w14:textId="77777777" w:rsidR="00027F7F" w:rsidRPr="00027F7F" w:rsidRDefault="00027F7F" w:rsidP="00027F7F">
      <w:pPr>
        <w:jc w:val="both"/>
        <w:rPr>
          <w:sz w:val="20"/>
          <w:szCs w:val="20"/>
          <w:lang w:val="es-MX"/>
        </w:rPr>
      </w:pPr>
    </w:p>
    <w:p w14:paraId="6881B22B" w14:textId="117B1075" w:rsidR="00027F7F" w:rsidRDefault="00027F7F" w:rsidP="00027F7F">
      <w:pPr>
        <w:jc w:val="both"/>
        <w:rPr>
          <w:sz w:val="20"/>
          <w:szCs w:val="20"/>
          <w:lang w:val="es-MX"/>
        </w:rPr>
      </w:pPr>
      <w:r w:rsidRPr="00027F7F">
        <w:rPr>
          <w:sz w:val="20"/>
          <w:szCs w:val="20"/>
          <w:lang w:val="es-MX"/>
        </w:rPr>
        <w:t>•</w:t>
      </w:r>
      <w:r w:rsidRPr="00027F7F">
        <w:rPr>
          <w:sz w:val="20"/>
          <w:szCs w:val="20"/>
          <w:lang w:val="es-MX"/>
        </w:rPr>
        <w:tab/>
        <w:t>Mediante escritura celebrada el 22 de febrero de 2019 ante la Notaria Décima Octava del Cantón Quito, e inscrita en el Registro de la Propiedad el 01 de marzo de 2019, se declaró el referido inmueble bajo el régimen de propiedad horizontal.</w:t>
      </w:r>
    </w:p>
    <w:p w14:paraId="39331426" w14:textId="77777777" w:rsidR="00027F7F" w:rsidRPr="00027F7F" w:rsidRDefault="00027F7F" w:rsidP="00027F7F">
      <w:pPr>
        <w:jc w:val="both"/>
        <w:rPr>
          <w:sz w:val="20"/>
          <w:szCs w:val="20"/>
          <w:lang w:val="es-MX"/>
        </w:rPr>
      </w:pPr>
    </w:p>
    <w:p w14:paraId="529D1D79" w14:textId="77777777" w:rsidR="00027F7F" w:rsidRPr="00027F7F" w:rsidRDefault="00027F7F" w:rsidP="00027F7F">
      <w:pPr>
        <w:jc w:val="both"/>
        <w:rPr>
          <w:b/>
          <w:sz w:val="20"/>
          <w:szCs w:val="20"/>
          <w:u w:val="single"/>
          <w:lang w:val="es-MX"/>
        </w:rPr>
      </w:pPr>
      <w:r w:rsidRPr="00027F7F">
        <w:rPr>
          <w:b/>
          <w:sz w:val="20"/>
          <w:szCs w:val="20"/>
          <w:u w:val="single"/>
          <w:lang w:val="es-MX"/>
        </w:rPr>
        <w:t xml:space="preserve">CENTRO COMERCIAL EL TEJAR </w:t>
      </w:r>
    </w:p>
    <w:p w14:paraId="70807C7A" w14:textId="77777777" w:rsidR="00027F7F" w:rsidRPr="00027F7F" w:rsidRDefault="00027F7F" w:rsidP="00027F7F">
      <w:pPr>
        <w:jc w:val="both"/>
        <w:rPr>
          <w:sz w:val="20"/>
          <w:szCs w:val="20"/>
          <w:lang w:val="es-MX"/>
        </w:rPr>
      </w:pPr>
      <w:r w:rsidRPr="00027F7F">
        <w:rPr>
          <w:sz w:val="20"/>
          <w:szCs w:val="20"/>
          <w:lang w:val="es-MX"/>
        </w:rPr>
        <w:t>•</w:t>
      </w:r>
      <w:r w:rsidRPr="00027F7F">
        <w:rPr>
          <w:sz w:val="20"/>
          <w:szCs w:val="20"/>
          <w:lang w:val="es-MX"/>
        </w:rPr>
        <w:tab/>
        <w:t xml:space="preserve">Mediante escritura pública celebrada en 30 de agosto de 1995, ante el Notario Dr. Fabián Solano Pazmiño, legalmente inscrita el 21 de mayo de 1998 la Empresa Municipal de Servicios de Transporte Terrestre y </w:t>
      </w:r>
      <w:r w:rsidRPr="00027F7F">
        <w:rPr>
          <w:sz w:val="20"/>
          <w:szCs w:val="20"/>
          <w:lang w:val="es-MX"/>
        </w:rPr>
        <w:lastRenderedPageBreak/>
        <w:t>Terminales, adquirió por transferencia hecha a su favor por el Concejo Metropolitano de Quito, el parqueadero El Tejar, ubicado en la calle Mejía y Hermano Miguel de la Parroquia San Sebastián Cantón Quito.</w:t>
      </w:r>
    </w:p>
    <w:p w14:paraId="0C344624" w14:textId="77777777" w:rsidR="00027F7F" w:rsidRPr="00027F7F" w:rsidRDefault="00027F7F" w:rsidP="00027F7F">
      <w:pPr>
        <w:jc w:val="both"/>
        <w:rPr>
          <w:sz w:val="20"/>
          <w:szCs w:val="20"/>
          <w:lang w:val="es-MX"/>
        </w:rPr>
      </w:pPr>
    </w:p>
    <w:p w14:paraId="4C738342" w14:textId="60A6B634" w:rsidR="00027F7F" w:rsidRDefault="00027F7F" w:rsidP="00027F7F">
      <w:pPr>
        <w:jc w:val="both"/>
        <w:rPr>
          <w:sz w:val="20"/>
          <w:szCs w:val="20"/>
          <w:lang w:val="es-MX"/>
        </w:rPr>
      </w:pPr>
      <w:r w:rsidRPr="00027F7F">
        <w:rPr>
          <w:sz w:val="20"/>
          <w:szCs w:val="20"/>
          <w:lang w:val="es-MX"/>
        </w:rPr>
        <w:t>•</w:t>
      </w:r>
      <w:r w:rsidRPr="00027F7F">
        <w:rPr>
          <w:sz w:val="20"/>
          <w:szCs w:val="20"/>
          <w:lang w:val="es-MX"/>
        </w:rPr>
        <w:tab/>
        <w:t>En la Notaría Trigésima Novena del Cantón Quito, se celebra el 25 de abril del 2006, la Escritura Modificatoria de la Declaratoria de la Propiedad Horizontal, inscrita en el Registro de la Propiedad el 8 de mayo de 2006.</w:t>
      </w:r>
    </w:p>
    <w:p w14:paraId="76A8D024" w14:textId="77777777" w:rsidR="00027F7F" w:rsidRPr="00027F7F" w:rsidRDefault="00027F7F" w:rsidP="00027F7F">
      <w:pPr>
        <w:jc w:val="both"/>
        <w:rPr>
          <w:sz w:val="20"/>
          <w:szCs w:val="20"/>
          <w:lang w:val="es-MX"/>
        </w:rPr>
      </w:pPr>
    </w:p>
    <w:p w14:paraId="067F4CF4" w14:textId="77777777" w:rsidR="00027F7F" w:rsidRPr="00027F7F" w:rsidRDefault="00027F7F" w:rsidP="00027F7F">
      <w:pPr>
        <w:jc w:val="both"/>
        <w:rPr>
          <w:b/>
          <w:sz w:val="20"/>
          <w:szCs w:val="20"/>
          <w:u w:val="single"/>
          <w:lang w:val="es-MX"/>
        </w:rPr>
      </w:pPr>
      <w:r w:rsidRPr="00027F7F">
        <w:rPr>
          <w:b/>
          <w:sz w:val="20"/>
          <w:szCs w:val="20"/>
          <w:u w:val="single"/>
          <w:lang w:val="es-MX"/>
        </w:rPr>
        <w:t>CENTRO COMERCIAL IPIALES DEL NORTE</w:t>
      </w:r>
    </w:p>
    <w:p w14:paraId="5CB7D52D" w14:textId="77777777" w:rsidR="00027F7F" w:rsidRPr="00027F7F" w:rsidRDefault="00027F7F" w:rsidP="00027F7F">
      <w:pPr>
        <w:jc w:val="both"/>
        <w:rPr>
          <w:sz w:val="20"/>
          <w:szCs w:val="20"/>
          <w:lang w:val="es-MX"/>
        </w:rPr>
      </w:pPr>
      <w:r w:rsidRPr="00027F7F">
        <w:rPr>
          <w:sz w:val="20"/>
          <w:szCs w:val="20"/>
          <w:lang w:val="es-MX"/>
        </w:rPr>
        <w:t>•</w:t>
      </w:r>
      <w:r w:rsidRPr="00027F7F">
        <w:rPr>
          <w:sz w:val="20"/>
          <w:szCs w:val="20"/>
          <w:lang w:val="es-MX"/>
        </w:rPr>
        <w:tab/>
        <w:t>El Concejo Metropolitano de Quito, en sesión pública ordinaria realizada el jueves 28 de julio de 2016, luego de analizar el Informe No. IC-2016-112, emitido por la Comisión de Propiedad y Espacio Público, resolvió declarar como Bien Mostrenco el predio No. 94807, clave catastral No. 12202-13-001, ubicado en las calles Gonzalo Gallo y Mariscal Antonio José de Sucre, Sector Félix Rivadeneira, parroquia La Concepción y con una superficie de 12.836,95 m2.</w:t>
      </w:r>
    </w:p>
    <w:p w14:paraId="137A0374" w14:textId="77777777" w:rsidR="00027F7F" w:rsidRPr="00027F7F" w:rsidRDefault="00027F7F" w:rsidP="00027F7F">
      <w:pPr>
        <w:jc w:val="both"/>
        <w:rPr>
          <w:sz w:val="20"/>
          <w:szCs w:val="20"/>
          <w:lang w:val="es-MX"/>
        </w:rPr>
      </w:pPr>
    </w:p>
    <w:p w14:paraId="4AE34664" w14:textId="77777777" w:rsidR="00027F7F" w:rsidRPr="00027F7F" w:rsidRDefault="00027F7F" w:rsidP="00027F7F">
      <w:pPr>
        <w:jc w:val="both"/>
        <w:rPr>
          <w:sz w:val="20"/>
          <w:szCs w:val="20"/>
          <w:lang w:val="es-MX"/>
        </w:rPr>
      </w:pPr>
      <w:r w:rsidRPr="00027F7F">
        <w:rPr>
          <w:sz w:val="20"/>
          <w:szCs w:val="20"/>
          <w:lang w:val="es-MX"/>
        </w:rPr>
        <w:t>•</w:t>
      </w:r>
      <w:r w:rsidRPr="00027F7F">
        <w:rPr>
          <w:sz w:val="20"/>
          <w:szCs w:val="20"/>
          <w:lang w:val="es-MX"/>
        </w:rPr>
        <w:tab/>
        <w:t>Con fecha 05 de julio de 2017 se protocolizó en el registro de escrituras públicas, el Bien Mostrenco, ante el Notario Quincuagésimo Octavo del Cantón Quito, Dr. Miguel Lenin Vaca Muñoz y con fecha 20 de noviembre del 2017 se inscribió en el Registro de la Propiedad para que pase a formar parte del Patrimonio del Municipio del Distrito Metropolitano de Quito.</w:t>
      </w:r>
    </w:p>
    <w:p w14:paraId="0C104E96" w14:textId="77777777" w:rsidR="00027F7F" w:rsidRPr="00027F7F" w:rsidRDefault="00027F7F" w:rsidP="00027F7F">
      <w:pPr>
        <w:jc w:val="both"/>
        <w:rPr>
          <w:sz w:val="20"/>
          <w:szCs w:val="20"/>
          <w:lang w:val="es-MX"/>
        </w:rPr>
      </w:pPr>
    </w:p>
    <w:p w14:paraId="68A38551" w14:textId="2662DD33" w:rsidR="00027F7F" w:rsidRDefault="00027F7F" w:rsidP="00027F7F">
      <w:pPr>
        <w:jc w:val="both"/>
        <w:rPr>
          <w:sz w:val="20"/>
          <w:szCs w:val="20"/>
          <w:lang w:val="es-MX"/>
        </w:rPr>
      </w:pPr>
      <w:r w:rsidRPr="00027F7F">
        <w:rPr>
          <w:sz w:val="20"/>
          <w:szCs w:val="20"/>
          <w:lang w:val="es-MX"/>
        </w:rPr>
        <w:t>•</w:t>
      </w:r>
      <w:r w:rsidRPr="00027F7F">
        <w:rPr>
          <w:sz w:val="20"/>
          <w:szCs w:val="20"/>
          <w:lang w:val="es-MX"/>
        </w:rPr>
        <w:tab/>
        <w:t>No existe declaratoria de propiedad horizontal.</w:t>
      </w:r>
    </w:p>
    <w:p w14:paraId="39CCAC18" w14:textId="77777777" w:rsidR="00027F7F" w:rsidRPr="00027F7F" w:rsidRDefault="00027F7F" w:rsidP="00027F7F">
      <w:pPr>
        <w:jc w:val="both"/>
        <w:rPr>
          <w:sz w:val="20"/>
          <w:szCs w:val="20"/>
          <w:lang w:val="es-MX"/>
        </w:rPr>
      </w:pPr>
    </w:p>
    <w:p w14:paraId="643E5070" w14:textId="77777777" w:rsidR="00027F7F" w:rsidRPr="00027F7F" w:rsidRDefault="00027F7F" w:rsidP="00027F7F">
      <w:pPr>
        <w:jc w:val="both"/>
        <w:rPr>
          <w:b/>
          <w:sz w:val="20"/>
          <w:szCs w:val="20"/>
          <w:u w:val="single"/>
          <w:lang w:val="es-MX"/>
        </w:rPr>
      </w:pPr>
      <w:r w:rsidRPr="00027F7F">
        <w:rPr>
          <w:b/>
          <w:sz w:val="20"/>
          <w:szCs w:val="20"/>
          <w:u w:val="single"/>
          <w:lang w:val="es-MX"/>
        </w:rPr>
        <w:t>CENTRO COMERCIAL HERMANO MIGUEL</w:t>
      </w:r>
    </w:p>
    <w:p w14:paraId="45A0B4A0" w14:textId="77777777" w:rsidR="00027F7F" w:rsidRPr="00027F7F" w:rsidRDefault="00027F7F" w:rsidP="00027F7F">
      <w:pPr>
        <w:jc w:val="both"/>
        <w:rPr>
          <w:sz w:val="20"/>
          <w:szCs w:val="20"/>
          <w:lang w:val="es-MX"/>
        </w:rPr>
      </w:pPr>
      <w:r w:rsidRPr="00027F7F">
        <w:rPr>
          <w:sz w:val="20"/>
          <w:szCs w:val="20"/>
          <w:lang w:val="es-MX"/>
        </w:rPr>
        <w:t>•</w:t>
      </w:r>
      <w:r w:rsidRPr="00027F7F">
        <w:rPr>
          <w:sz w:val="20"/>
          <w:szCs w:val="20"/>
          <w:lang w:val="es-MX"/>
        </w:rPr>
        <w:tab/>
        <w:t>De conformidad con el Artículo doscientos sesenta y tres, literal b de la Ley de Régimen Municipal, El Ilustre Municipio de Quito, es propietario del inmueble situado en el a Parroquia San Roque, barrio El Tejar, calle Mejía, intersección Hermano Miguel e Imbabura que anteriormente conformaba la Plazoleta de dominio público Hermano Miguel.</w:t>
      </w:r>
    </w:p>
    <w:p w14:paraId="413E3318" w14:textId="77777777" w:rsidR="00027F7F" w:rsidRPr="00027F7F" w:rsidRDefault="00027F7F" w:rsidP="00027F7F">
      <w:pPr>
        <w:jc w:val="both"/>
        <w:rPr>
          <w:sz w:val="20"/>
          <w:szCs w:val="20"/>
          <w:lang w:val="es-MX"/>
        </w:rPr>
      </w:pPr>
    </w:p>
    <w:p w14:paraId="0A3AF8D0" w14:textId="6F0FD3A0" w:rsidR="00027F7F" w:rsidRDefault="00027F7F" w:rsidP="00027F7F">
      <w:pPr>
        <w:jc w:val="both"/>
        <w:rPr>
          <w:sz w:val="20"/>
          <w:szCs w:val="20"/>
          <w:lang w:val="es-MX"/>
        </w:rPr>
      </w:pPr>
      <w:r w:rsidRPr="00027F7F">
        <w:rPr>
          <w:sz w:val="20"/>
          <w:szCs w:val="20"/>
          <w:lang w:val="es-MX"/>
        </w:rPr>
        <w:t>•</w:t>
      </w:r>
      <w:r w:rsidRPr="00027F7F">
        <w:rPr>
          <w:sz w:val="20"/>
          <w:szCs w:val="20"/>
          <w:lang w:val="es-MX"/>
        </w:rPr>
        <w:tab/>
        <w:t>Mediante escritura pública de 13 de enero de 2004, ante el Dr. Gonzalo Román Chacón, Notario Décimo Sexto del Cantón Quito, el Municipio del Distrito Metropolitano de Quito, declaró bajo el Régimen de Propiedad Horizontal al inmueble de su propiedad denominado “Centro Comercial Hermano Miguel”, debidamente inscrito en el Registro de la Propiedad con fecha 16 de marzo de 2004.</w:t>
      </w:r>
    </w:p>
    <w:p w14:paraId="4D36A047" w14:textId="77777777" w:rsidR="00027F7F" w:rsidRPr="00027F7F" w:rsidRDefault="00027F7F" w:rsidP="00027F7F">
      <w:pPr>
        <w:jc w:val="both"/>
        <w:rPr>
          <w:sz w:val="20"/>
          <w:szCs w:val="20"/>
          <w:lang w:val="es-MX"/>
        </w:rPr>
      </w:pPr>
    </w:p>
    <w:p w14:paraId="1367F5EB" w14:textId="77777777" w:rsidR="00027F7F" w:rsidRPr="00027F7F" w:rsidRDefault="00027F7F" w:rsidP="00027F7F">
      <w:pPr>
        <w:jc w:val="both"/>
        <w:rPr>
          <w:b/>
          <w:sz w:val="20"/>
          <w:szCs w:val="20"/>
          <w:u w:val="single"/>
          <w:lang w:val="es-MX"/>
        </w:rPr>
      </w:pPr>
      <w:r w:rsidRPr="00027F7F">
        <w:rPr>
          <w:b/>
          <w:sz w:val="20"/>
          <w:szCs w:val="20"/>
          <w:u w:val="single"/>
          <w:lang w:val="es-MX"/>
        </w:rPr>
        <w:t>CENTRO COMERCIAL MONTUFAR</w:t>
      </w:r>
    </w:p>
    <w:p w14:paraId="1651EE3F" w14:textId="77777777" w:rsidR="00027F7F" w:rsidRPr="00027F7F" w:rsidRDefault="00027F7F" w:rsidP="00027F7F">
      <w:pPr>
        <w:jc w:val="both"/>
        <w:rPr>
          <w:sz w:val="20"/>
          <w:szCs w:val="20"/>
          <w:lang w:val="es-MX"/>
        </w:rPr>
      </w:pPr>
      <w:r w:rsidRPr="00027F7F">
        <w:rPr>
          <w:sz w:val="20"/>
          <w:szCs w:val="20"/>
          <w:lang w:val="es-MX"/>
        </w:rPr>
        <w:t>•</w:t>
      </w:r>
      <w:r w:rsidRPr="00027F7F">
        <w:rPr>
          <w:sz w:val="20"/>
          <w:szCs w:val="20"/>
          <w:lang w:val="es-MX"/>
        </w:rPr>
        <w:tab/>
        <w:t xml:space="preserve">Mediante escritura pública otorgada el 13 de agosto de1990, ante el notario Dr. Miguel Ángel Altamirano Arellano, de la cual consta que la Compañía COIMESA S.A. representada por el Sr. </w:t>
      </w:r>
      <w:proofErr w:type="spellStart"/>
      <w:r w:rsidRPr="00027F7F">
        <w:rPr>
          <w:sz w:val="20"/>
          <w:szCs w:val="20"/>
          <w:lang w:val="es-MX"/>
        </w:rPr>
        <w:t>Chung</w:t>
      </w:r>
      <w:proofErr w:type="spellEnd"/>
      <w:r w:rsidRPr="00027F7F">
        <w:rPr>
          <w:sz w:val="20"/>
          <w:szCs w:val="20"/>
          <w:lang w:val="es-MX"/>
        </w:rPr>
        <w:t xml:space="preserve"> </w:t>
      </w:r>
      <w:proofErr w:type="spellStart"/>
      <w:r w:rsidRPr="00027F7F">
        <w:rPr>
          <w:sz w:val="20"/>
          <w:szCs w:val="20"/>
          <w:lang w:val="es-MX"/>
        </w:rPr>
        <w:t>Ung</w:t>
      </w:r>
      <w:proofErr w:type="spellEnd"/>
      <w:r w:rsidRPr="00027F7F">
        <w:rPr>
          <w:sz w:val="20"/>
          <w:szCs w:val="20"/>
          <w:lang w:val="es-MX"/>
        </w:rPr>
        <w:t xml:space="preserve"> Lee </w:t>
      </w:r>
      <w:proofErr w:type="spellStart"/>
      <w:r w:rsidRPr="00027F7F">
        <w:rPr>
          <w:sz w:val="20"/>
          <w:szCs w:val="20"/>
          <w:lang w:val="es-MX"/>
        </w:rPr>
        <w:t>Lee</w:t>
      </w:r>
      <w:proofErr w:type="spellEnd"/>
      <w:r w:rsidRPr="00027F7F">
        <w:rPr>
          <w:sz w:val="20"/>
          <w:szCs w:val="20"/>
          <w:lang w:val="es-MX"/>
        </w:rPr>
        <w:t>, en su calidad de Gerente General, transfiere mediante permuta en favor del Ilustre Municipio de Quito, la totalidad del inmueble de su propiedad situado en calle Montufar entre Mejía y Olmedo, con una superficie de 2.150 metros cuadrados. Fecha de inscripción 15 de octubre de 1990.</w:t>
      </w:r>
    </w:p>
    <w:p w14:paraId="602DB15D" w14:textId="77777777" w:rsidR="00027F7F" w:rsidRPr="00027F7F" w:rsidRDefault="00027F7F" w:rsidP="00027F7F">
      <w:pPr>
        <w:jc w:val="both"/>
        <w:rPr>
          <w:sz w:val="20"/>
          <w:szCs w:val="20"/>
          <w:lang w:val="es-MX"/>
        </w:rPr>
      </w:pPr>
    </w:p>
    <w:p w14:paraId="53FA2BC1" w14:textId="5E8D9AD4" w:rsidR="00027F7F" w:rsidRDefault="00027F7F" w:rsidP="00027F7F">
      <w:pPr>
        <w:jc w:val="both"/>
        <w:rPr>
          <w:sz w:val="20"/>
          <w:szCs w:val="20"/>
          <w:lang w:val="es-MX"/>
        </w:rPr>
      </w:pPr>
      <w:r w:rsidRPr="00027F7F">
        <w:rPr>
          <w:sz w:val="20"/>
          <w:szCs w:val="20"/>
          <w:lang w:val="es-MX"/>
        </w:rPr>
        <w:t>•</w:t>
      </w:r>
      <w:r w:rsidRPr="00027F7F">
        <w:rPr>
          <w:sz w:val="20"/>
          <w:szCs w:val="20"/>
          <w:lang w:val="es-MX"/>
        </w:rPr>
        <w:tab/>
        <w:t>Mediante escritura pública de 13 de enero de 2004, ante el Dr. Gonzalo Román Chacón, Notario Décimo Sexto del Cantón Quito, el Municipio del Distrito Metropolitano de Quito, declaró bajo el Régimen de Propiedad Horizontal al inmueble de su propiedad denominado “Centro Comercial Montufar”, debidamente inscrito en el Registro de la Propiedad con fecha 05 de abril de 2004.</w:t>
      </w:r>
    </w:p>
    <w:p w14:paraId="7979ADB3" w14:textId="77777777" w:rsidR="00027F7F" w:rsidRPr="00027F7F" w:rsidRDefault="00027F7F" w:rsidP="00027F7F">
      <w:pPr>
        <w:jc w:val="both"/>
        <w:rPr>
          <w:sz w:val="20"/>
          <w:szCs w:val="20"/>
          <w:lang w:val="es-MX"/>
        </w:rPr>
      </w:pPr>
    </w:p>
    <w:p w14:paraId="3F6D6554" w14:textId="77777777" w:rsidR="00027F7F" w:rsidRPr="00027F7F" w:rsidRDefault="00027F7F" w:rsidP="00027F7F">
      <w:pPr>
        <w:jc w:val="both"/>
        <w:rPr>
          <w:b/>
          <w:sz w:val="20"/>
          <w:szCs w:val="20"/>
          <w:u w:val="single"/>
          <w:lang w:val="es-MX"/>
        </w:rPr>
      </w:pPr>
      <w:r w:rsidRPr="00027F7F">
        <w:rPr>
          <w:b/>
          <w:sz w:val="20"/>
          <w:szCs w:val="20"/>
          <w:u w:val="single"/>
          <w:lang w:val="es-MX"/>
        </w:rPr>
        <w:t>CENTRO COMERCIAL SAN MARTIN</w:t>
      </w:r>
    </w:p>
    <w:p w14:paraId="62D515AA" w14:textId="77777777" w:rsidR="00027F7F" w:rsidRPr="00027F7F" w:rsidRDefault="00027F7F" w:rsidP="00027F7F">
      <w:pPr>
        <w:jc w:val="both"/>
        <w:rPr>
          <w:sz w:val="20"/>
          <w:szCs w:val="20"/>
          <w:lang w:val="es-MX"/>
        </w:rPr>
      </w:pPr>
      <w:r w:rsidRPr="00027F7F">
        <w:rPr>
          <w:sz w:val="20"/>
          <w:szCs w:val="20"/>
          <w:lang w:val="es-MX"/>
        </w:rPr>
        <w:t>•</w:t>
      </w:r>
      <w:r w:rsidRPr="00027F7F">
        <w:rPr>
          <w:sz w:val="20"/>
          <w:szCs w:val="20"/>
          <w:lang w:val="es-MX"/>
        </w:rPr>
        <w:tab/>
        <w:t xml:space="preserve">El Municipio del Distrito Metropolitano de Quito, adquirió mediante compra al Instituto Ecuatoriano de Seguridad Social, un lote de terreno ubicado en las calles </w:t>
      </w:r>
      <w:proofErr w:type="spellStart"/>
      <w:r w:rsidRPr="00027F7F">
        <w:rPr>
          <w:sz w:val="20"/>
          <w:szCs w:val="20"/>
          <w:lang w:val="es-MX"/>
        </w:rPr>
        <w:t>Inclana</w:t>
      </w:r>
      <w:proofErr w:type="spellEnd"/>
      <w:r w:rsidRPr="00027F7F">
        <w:rPr>
          <w:sz w:val="20"/>
          <w:szCs w:val="20"/>
          <w:lang w:val="es-MX"/>
        </w:rPr>
        <w:t xml:space="preserve"> número cuatrocientos cuarenta y ocho y Avenida Pichincha, parroquia San Marcos, con un área de novecientos dieciocho metros cuadrados, acto que fue legalizado ante el Notario Trigésimo Noveno del Cantón Quito, doctor Fernando Arregui Aguirre, el 15 de junio de 2005, y se inscribió en el Registro de la Propiedad del Cantón Quito, el 23 de febrero de 2006.</w:t>
      </w:r>
    </w:p>
    <w:p w14:paraId="23AD05E8" w14:textId="77777777" w:rsidR="00027F7F" w:rsidRPr="00027F7F" w:rsidRDefault="00027F7F" w:rsidP="00027F7F">
      <w:pPr>
        <w:jc w:val="both"/>
        <w:rPr>
          <w:sz w:val="20"/>
          <w:szCs w:val="20"/>
          <w:lang w:val="es-MX"/>
        </w:rPr>
      </w:pPr>
    </w:p>
    <w:p w14:paraId="221D239D" w14:textId="402BF143" w:rsidR="00666431" w:rsidRDefault="00027F7F" w:rsidP="00027F7F">
      <w:pPr>
        <w:jc w:val="both"/>
        <w:rPr>
          <w:sz w:val="20"/>
          <w:szCs w:val="20"/>
          <w:lang w:val="es-MX"/>
        </w:rPr>
      </w:pPr>
      <w:r w:rsidRPr="00027F7F">
        <w:rPr>
          <w:sz w:val="20"/>
          <w:szCs w:val="20"/>
          <w:lang w:val="es-MX"/>
        </w:rPr>
        <w:t>•</w:t>
      </w:r>
      <w:r w:rsidRPr="00027F7F">
        <w:rPr>
          <w:sz w:val="20"/>
          <w:szCs w:val="20"/>
          <w:lang w:val="es-MX"/>
        </w:rPr>
        <w:tab/>
        <w:t xml:space="preserve">El Municipio del Distrito Metropolitano de Quito, representado por la Arquitecta Inés Pazmiño Gavilanes, en su calidad de Administradora de la Zona Centro, en aquel entonces, declara en propiedad horizontal el inmueble mencionado en el párrafo anterior, denominado Centro Comercial San Martín, la mencionada declaratoria se protocoliza el día 22 de agosto de 2007, ante el Dr. Juan </w:t>
      </w:r>
      <w:proofErr w:type="spellStart"/>
      <w:r w:rsidRPr="00027F7F">
        <w:rPr>
          <w:sz w:val="20"/>
          <w:szCs w:val="20"/>
          <w:lang w:val="es-MX"/>
        </w:rPr>
        <w:t>Villacís</w:t>
      </w:r>
      <w:proofErr w:type="spellEnd"/>
      <w:r w:rsidRPr="00027F7F">
        <w:rPr>
          <w:sz w:val="20"/>
          <w:szCs w:val="20"/>
          <w:lang w:val="es-MX"/>
        </w:rPr>
        <w:t xml:space="preserve"> Medina, Notario Noveno del Cantón Quito, y se inscribe en el Registro de la Propiedad el día 20 de septiembre de 2007.</w:t>
      </w:r>
    </w:p>
    <w:p w14:paraId="70D3676F" w14:textId="54DBECBA" w:rsidR="001E64A2" w:rsidRDefault="001E64A2" w:rsidP="00027F7F">
      <w:pPr>
        <w:jc w:val="both"/>
        <w:rPr>
          <w:sz w:val="20"/>
          <w:szCs w:val="20"/>
          <w:lang w:val="es-MX"/>
        </w:rPr>
      </w:pPr>
    </w:p>
    <w:p w14:paraId="389354BC" w14:textId="6AC19AD2" w:rsidR="001E64A2" w:rsidRDefault="001E64A2" w:rsidP="001E64A2">
      <w:pPr>
        <w:jc w:val="both"/>
        <w:rPr>
          <w:b/>
          <w:sz w:val="20"/>
          <w:szCs w:val="20"/>
          <w:lang w:val="es-MX"/>
        </w:rPr>
      </w:pPr>
      <w:proofErr w:type="gramStart"/>
      <w:r>
        <w:rPr>
          <w:b/>
          <w:sz w:val="20"/>
          <w:szCs w:val="20"/>
          <w:lang w:val="es-MX"/>
        </w:rPr>
        <w:t>3.2</w:t>
      </w:r>
      <w:r w:rsidRPr="00B35F6D">
        <w:rPr>
          <w:b/>
          <w:sz w:val="20"/>
          <w:szCs w:val="20"/>
          <w:lang w:val="es-MX"/>
        </w:rPr>
        <w:t xml:space="preserve"> .</w:t>
      </w:r>
      <w:proofErr w:type="gramEnd"/>
      <w:r w:rsidRPr="00B35F6D">
        <w:rPr>
          <w:b/>
          <w:sz w:val="20"/>
          <w:szCs w:val="20"/>
          <w:lang w:val="es-MX"/>
        </w:rPr>
        <w:t xml:space="preserve">- </w:t>
      </w:r>
      <w:r>
        <w:rPr>
          <w:b/>
          <w:sz w:val="20"/>
          <w:szCs w:val="20"/>
          <w:lang w:val="es-MX"/>
        </w:rPr>
        <w:t>ALÍCUOTAS:</w:t>
      </w:r>
    </w:p>
    <w:p w14:paraId="1DCD39EA" w14:textId="77777777" w:rsidR="00732116" w:rsidRPr="00732116" w:rsidRDefault="00732116" w:rsidP="00732116">
      <w:pPr>
        <w:jc w:val="both"/>
        <w:rPr>
          <w:sz w:val="20"/>
          <w:szCs w:val="20"/>
          <w:lang w:val="es-MX"/>
        </w:rPr>
      </w:pPr>
      <w:r w:rsidRPr="00732116">
        <w:rPr>
          <w:sz w:val="20"/>
          <w:szCs w:val="20"/>
          <w:lang w:val="es-MX"/>
        </w:rPr>
        <w:lastRenderedPageBreak/>
        <w:t>En mesa de trabajo realizada el día 03 de junio de 2021 entre la Agencia de Coordinación</w:t>
      </w:r>
      <w:r w:rsidRPr="00732116">
        <w:rPr>
          <w:sz w:val="20"/>
          <w:szCs w:val="20"/>
          <w:lang w:val="es-MX"/>
        </w:rPr>
        <w:br/>
        <w:t>Distrital de Comercio (ACDC) y la Dirección Metropolitana de Gestión de Bienes</w:t>
      </w:r>
      <w:r w:rsidRPr="00732116">
        <w:rPr>
          <w:sz w:val="20"/>
          <w:szCs w:val="20"/>
          <w:lang w:val="es-MX"/>
        </w:rPr>
        <w:br/>
        <w:t>Inmuebles (DMGBI), se llegó al acuerdo de articular un trabajo en conjunto entre las dos</w:t>
      </w:r>
      <w:r w:rsidRPr="00732116">
        <w:rPr>
          <w:sz w:val="20"/>
          <w:szCs w:val="20"/>
          <w:lang w:val="es-MX"/>
        </w:rPr>
        <w:br/>
        <w:t>instancias municipales para la verificación del estado de ocupación de los locales de</w:t>
      </w:r>
      <w:r w:rsidRPr="00732116">
        <w:rPr>
          <w:sz w:val="20"/>
          <w:szCs w:val="20"/>
          <w:lang w:val="es-MX"/>
        </w:rPr>
        <w:br/>
        <w:t xml:space="preserve">propiedad municipal en los centros comerciales populares, </w:t>
      </w:r>
      <w:r w:rsidRPr="00732116">
        <w:rPr>
          <w:sz w:val="20"/>
          <w:szCs w:val="20"/>
          <w:lang w:val="es-MX"/>
        </w:rPr>
        <w:t xml:space="preserve">considerando como punto de partida aquellos bienes cuyo propietario se registra a nombre del MDMQ en el </w:t>
      </w:r>
      <w:r>
        <w:rPr>
          <w:sz w:val="20"/>
          <w:szCs w:val="20"/>
          <w:lang w:val="es-MX"/>
        </w:rPr>
        <w:t>Sistema Catastral SIREC-</w:t>
      </w:r>
      <w:r>
        <w:rPr>
          <w:sz w:val="20"/>
          <w:szCs w:val="20"/>
          <w:lang w:val="es-MX"/>
        </w:rPr>
        <w:t xml:space="preserve">Q, </w:t>
      </w:r>
      <w:r w:rsidRPr="00732116">
        <w:rPr>
          <w:sz w:val="20"/>
          <w:szCs w:val="20"/>
          <w:lang w:val="es-MX"/>
        </w:rPr>
        <w:t xml:space="preserve">como resultado </w:t>
      </w:r>
      <w:r w:rsidRPr="00732116">
        <w:rPr>
          <w:sz w:val="20"/>
          <w:szCs w:val="20"/>
          <w:lang w:val="es-MX"/>
        </w:rPr>
        <w:t xml:space="preserve">de la verificación </w:t>
      </w:r>
      <w:r w:rsidRPr="00732116">
        <w:rPr>
          <w:sz w:val="20"/>
          <w:szCs w:val="20"/>
          <w:lang w:val="es-MX"/>
        </w:rPr>
        <w:t>se presentaron informes técnicos a fecha 19 de enero de 2022</w:t>
      </w:r>
      <w:r w:rsidRPr="00732116">
        <w:rPr>
          <w:sz w:val="20"/>
          <w:szCs w:val="20"/>
          <w:lang w:val="es-MX"/>
        </w:rPr>
        <w:t>.</w:t>
      </w:r>
    </w:p>
    <w:p w14:paraId="241C8B0C" w14:textId="77777777" w:rsidR="00732116" w:rsidRPr="00732116" w:rsidRDefault="00732116" w:rsidP="00732116">
      <w:pPr>
        <w:jc w:val="both"/>
        <w:rPr>
          <w:sz w:val="20"/>
          <w:szCs w:val="20"/>
          <w:lang w:val="es-MX"/>
        </w:rPr>
      </w:pPr>
    </w:p>
    <w:p w14:paraId="2DF996F8" w14:textId="537F922A" w:rsidR="00732116" w:rsidRDefault="00732116" w:rsidP="001E64A2">
      <w:pPr>
        <w:jc w:val="both"/>
        <w:rPr>
          <w:sz w:val="20"/>
          <w:szCs w:val="20"/>
          <w:lang w:val="es-MX"/>
        </w:rPr>
      </w:pPr>
      <w:r w:rsidRPr="00732116">
        <w:rPr>
          <w:sz w:val="20"/>
          <w:szCs w:val="20"/>
          <w:lang w:val="es-MX"/>
        </w:rPr>
        <w:t>Posteriormente se efectúa una revisión</w:t>
      </w:r>
      <w:r w:rsidRPr="00732116">
        <w:rPr>
          <w:sz w:val="20"/>
          <w:szCs w:val="20"/>
          <w:lang w:val="es-MX"/>
        </w:rPr>
        <w:t xml:space="preserve"> en conjunto,</w:t>
      </w:r>
      <w:r w:rsidRPr="00732116">
        <w:rPr>
          <w:sz w:val="20"/>
          <w:szCs w:val="20"/>
          <w:lang w:val="es-MX"/>
        </w:rPr>
        <w:t xml:space="preserve"> </w:t>
      </w:r>
      <w:r w:rsidRPr="00732116">
        <w:rPr>
          <w:sz w:val="20"/>
          <w:szCs w:val="20"/>
          <w:lang w:val="es-MX"/>
        </w:rPr>
        <w:t xml:space="preserve">con técnicos de la ACDC, </w:t>
      </w:r>
      <w:r w:rsidRPr="00732116">
        <w:rPr>
          <w:sz w:val="20"/>
          <w:szCs w:val="20"/>
          <w:lang w:val="es-MX"/>
        </w:rPr>
        <w:t xml:space="preserve">a los informes </w:t>
      </w:r>
      <w:r w:rsidRPr="00732116">
        <w:rPr>
          <w:sz w:val="20"/>
          <w:szCs w:val="20"/>
          <w:lang w:val="es-MX"/>
        </w:rPr>
        <w:t xml:space="preserve">presentados </w:t>
      </w:r>
      <w:r w:rsidRPr="00732116">
        <w:rPr>
          <w:sz w:val="20"/>
          <w:szCs w:val="20"/>
          <w:lang w:val="es-MX"/>
        </w:rPr>
        <w:t xml:space="preserve">y </w:t>
      </w:r>
      <w:r w:rsidRPr="00732116">
        <w:rPr>
          <w:sz w:val="20"/>
          <w:szCs w:val="20"/>
          <w:lang w:val="es-MX"/>
        </w:rPr>
        <w:t xml:space="preserve">se procede a una </w:t>
      </w:r>
      <w:r w:rsidRPr="00732116">
        <w:rPr>
          <w:sz w:val="20"/>
          <w:szCs w:val="20"/>
          <w:lang w:val="es-MX"/>
        </w:rPr>
        <w:t xml:space="preserve">actualización </w:t>
      </w:r>
      <w:r w:rsidRPr="00732116">
        <w:rPr>
          <w:sz w:val="20"/>
          <w:szCs w:val="20"/>
          <w:lang w:val="es-MX"/>
        </w:rPr>
        <w:t xml:space="preserve">a fecha 28 de enero de 2022. En virtud de lo expuesto, </w:t>
      </w:r>
      <w:r w:rsidR="00DB3646">
        <w:rPr>
          <w:sz w:val="20"/>
          <w:szCs w:val="20"/>
          <w:lang w:val="es-MX"/>
        </w:rPr>
        <w:t>se presenta el resumen consolidado de las alícuotas por cada Centro Comercial Popular,</w:t>
      </w:r>
      <w:r>
        <w:rPr>
          <w:sz w:val="20"/>
          <w:szCs w:val="20"/>
          <w:lang w:val="es-MX"/>
        </w:rPr>
        <w:t xml:space="preserve"> para lo cual, se contabilizan los bienes que se detallan en los informes técnicos adjuntos:</w:t>
      </w:r>
    </w:p>
    <w:p w14:paraId="1F207662" w14:textId="77777777" w:rsidR="00732116" w:rsidRDefault="00732116" w:rsidP="001E64A2">
      <w:pPr>
        <w:jc w:val="both"/>
        <w:rPr>
          <w:sz w:val="20"/>
          <w:szCs w:val="20"/>
          <w:lang w:val="es-MX"/>
        </w:rPr>
      </w:pPr>
    </w:p>
    <w:p w14:paraId="40BDD4AB" w14:textId="2E7E6F45" w:rsidR="00D20370" w:rsidRPr="00027F7F" w:rsidRDefault="00D20370" w:rsidP="00D20370">
      <w:pPr>
        <w:jc w:val="both"/>
        <w:rPr>
          <w:b/>
          <w:sz w:val="20"/>
          <w:szCs w:val="20"/>
          <w:u w:val="single"/>
          <w:lang w:val="es-MX"/>
        </w:rPr>
      </w:pPr>
      <w:r w:rsidRPr="00027F7F">
        <w:rPr>
          <w:b/>
          <w:sz w:val="20"/>
          <w:szCs w:val="20"/>
          <w:u w:val="single"/>
          <w:lang w:val="es-MX"/>
        </w:rPr>
        <w:t xml:space="preserve">CENTRO COMERCIAL </w:t>
      </w:r>
      <w:r>
        <w:rPr>
          <w:b/>
          <w:sz w:val="20"/>
          <w:szCs w:val="20"/>
          <w:u w:val="single"/>
          <w:lang w:val="es-MX"/>
        </w:rPr>
        <w:t>GRANADA</w:t>
      </w:r>
    </w:p>
    <w:p w14:paraId="4CF91A75" w14:textId="0705F241" w:rsidR="00DE30EB" w:rsidRDefault="00DE30EB" w:rsidP="001E64A2">
      <w:pPr>
        <w:jc w:val="both"/>
        <w:rPr>
          <w:sz w:val="20"/>
          <w:szCs w:val="20"/>
          <w:lang w:val="es-MX"/>
        </w:rPr>
      </w:pPr>
      <w:r>
        <w:rPr>
          <w:sz w:val="20"/>
          <w:szCs w:val="20"/>
          <w:lang w:val="es-MX"/>
        </w:rPr>
        <w:t>Inmuebles a nombre del MDMQ: 34</w:t>
      </w:r>
    </w:p>
    <w:p w14:paraId="7D449715" w14:textId="525F2884" w:rsidR="00DE30EB" w:rsidRDefault="00DE30EB" w:rsidP="001E64A2">
      <w:pPr>
        <w:jc w:val="both"/>
        <w:rPr>
          <w:sz w:val="20"/>
          <w:szCs w:val="20"/>
          <w:lang w:val="es-MX"/>
        </w:rPr>
      </w:pPr>
      <w:r>
        <w:rPr>
          <w:sz w:val="20"/>
          <w:szCs w:val="20"/>
          <w:lang w:val="es-MX"/>
        </w:rPr>
        <w:t>Porcentaje total de Alícuotas: 7,71%</w:t>
      </w:r>
    </w:p>
    <w:p w14:paraId="7026A285" w14:textId="4291DFFE" w:rsidR="00DE30EB" w:rsidRDefault="00DE30EB" w:rsidP="001E64A2">
      <w:pPr>
        <w:jc w:val="both"/>
        <w:rPr>
          <w:sz w:val="20"/>
          <w:szCs w:val="20"/>
          <w:lang w:val="es-MX"/>
        </w:rPr>
      </w:pPr>
    </w:p>
    <w:p w14:paraId="58F9C2D5" w14:textId="41BE25C0" w:rsidR="00DE30EB" w:rsidRPr="00027F7F" w:rsidRDefault="00DE30EB" w:rsidP="00DE30EB">
      <w:pPr>
        <w:jc w:val="both"/>
        <w:rPr>
          <w:b/>
          <w:sz w:val="20"/>
          <w:szCs w:val="20"/>
          <w:u w:val="single"/>
          <w:lang w:val="es-MX"/>
        </w:rPr>
      </w:pPr>
      <w:r w:rsidRPr="00027F7F">
        <w:rPr>
          <w:b/>
          <w:sz w:val="20"/>
          <w:szCs w:val="20"/>
          <w:u w:val="single"/>
          <w:lang w:val="es-MX"/>
        </w:rPr>
        <w:t xml:space="preserve">CENTRO COMERCIAL </w:t>
      </w:r>
      <w:r>
        <w:rPr>
          <w:b/>
          <w:sz w:val="20"/>
          <w:szCs w:val="20"/>
          <w:u w:val="single"/>
          <w:lang w:val="es-MX"/>
        </w:rPr>
        <w:t>CHIRIACU</w:t>
      </w:r>
    </w:p>
    <w:p w14:paraId="00B444D7" w14:textId="77777777" w:rsidR="00DE30EB" w:rsidRDefault="00DE30EB" w:rsidP="00DE30EB">
      <w:pPr>
        <w:jc w:val="both"/>
        <w:rPr>
          <w:sz w:val="20"/>
          <w:szCs w:val="20"/>
          <w:lang w:val="es-MX"/>
        </w:rPr>
      </w:pPr>
      <w:r>
        <w:rPr>
          <w:sz w:val="20"/>
          <w:szCs w:val="20"/>
          <w:lang w:val="es-MX"/>
        </w:rPr>
        <w:t>Inmuebles a nombre del MDMQ: 76</w:t>
      </w:r>
    </w:p>
    <w:p w14:paraId="1EC1AF52" w14:textId="77777777" w:rsidR="00DE30EB" w:rsidRDefault="00DE30EB" w:rsidP="00DE30EB">
      <w:pPr>
        <w:jc w:val="both"/>
        <w:rPr>
          <w:sz w:val="20"/>
          <w:szCs w:val="20"/>
          <w:lang w:val="es-MX"/>
        </w:rPr>
      </w:pPr>
      <w:r>
        <w:rPr>
          <w:sz w:val="20"/>
          <w:szCs w:val="20"/>
          <w:lang w:val="es-MX"/>
        </w:rPr>
        <w:t>Porcentaje total de Alícuotas: 58,76%</w:t>
      </w:r>
    </w:p>
    <w:p w14:paraId="714AFE1E" w14:textId="6D22BE48" w:rsidR="00DE30EB" w:rsidRDefault="00DE30EB" w:rsidP="001E64A2">
      <w:pPr>
        <w:jc w:val="both"/>
        <w:rPr>
          <w:sz w:val="20"/>
          <w:szCs w:val="20"/>
          <w:lang w:val="es-MX"/>
        </w:rPr>
      </w:pPr>
    </w:p>
    <w:p w14:paraId="3823DDE6" w14:textId="1673BF89" w:rsidR="00AF68AB" w:rsidRPr="00027F7F" w:rsidRDefault="00AF68AB" w:rsidP="00AF68AB">
      <w:pPr>
        <w:jc w:val="both"/>
        <w:rPr>
          <w:b/>
          <w:sz w:val="20"/>
          <w:szCs w:val="20"/>
          <w:u w:val="single"/>
          <w:lang w:val="es-MX"/>
        </w:rPr>
      </w:pPr>
      <w:r w:rsidRPr="00027F7F">
        <w:rPr>
          <w:b/>
          <w:sz w:val="20"/>
          <w:szCs w:val="20"/>
          <w:u w:val="single"/>
          <w:lang w:val="es-MX"/>
        </w:rPr>
        <w:t xml:space="preserve">CENTRO COMERCIAL </w:t>
      </w:r>
      <w:r>
        <w:rPr>
          <w:b/>
          <w:sz w:val="20"/>
          <w:szCs w:val="20"/>
          <w:u w:val="single"/>
          <w:lang w:val="es-MX"/>
        </w:rPr>
        <w:t>IPIALES DEL SUR</w:t>
      </w:r>
    </w:p>
    <w:p w14:paraId="53049F57" w14:textId="65296D6B" w:rsidR="00AF68AB" w:rsidRDefault="00AF68AB" w:rsidP="00AF68AB">
      <w:pPr>
        <w:jc w:val="both"/>
        <w:rPr>
          <w:sz w:val="20"/>
          <w:szCs w:val="20"/>
          <w:lang w:val="es-MX"/>
        </w:rPr>
      </w:pPr>
      <w:r>
        <w:rPr>
          <w:sz w:val="20"/>
          <w:szCs w:val="20"/>
          <w:lang w:val="es-MX"/>
        </w:rPr>
        <w:t>Inmuebles a nombre del MDMQ: 67</w:t>
      </w:r>
    </w:p>
    <w:p w14:paraId="73619DD3" w14:textId="04683851" w:rsidR="00AF68AB" w:rsidRDefault="00AF68AB" w:rsidP="00AF68AB">
      <w:pPr>
        <w:jc w:val="both"/>
        <w:rPr>
          <w:sz w:val="20"/>
          <w:szCs w:val="20"/>
          <w:lang w:val="es-MX"/>
        </w:rPr>
      </w:pPr>
      <w:r>
        <w:rPr>
          <w:sz w:val="20"/>
          <w:szCs w:val="20"/>
          <w:lang w:val="es-MX"/>
        </w:rPr>
        <w:t>Porcentaje total de Alícuotas: 19,85%</w:t>
      </w:r>
    </w:p>
    <w:p w14:paraId="68EABEC0" w14:textId="0478C6BD" w:rsidR="00AF68AB" w:rsidRDefault="00AF68AB" w:rsidP="001E64A2">
      <w:pPr>
        <w:jc w:val="both"/>
        <w:rPr>
          <w:sz w:val="20"/>
          <w:szCs w:val="20"/>
          <w:lang w:val="es-MX"/>
        </w:rPr>
      </w:pPr>
    </w:p>
    <w:p w14:paraId="7345AC60" w14:textId="3DD256C8" w:rsidR="00016475" w:rsidRPr="00027F7F" w:rsidRDefault="00016475" w:rsidP="00016475">
      <w:pPr>
        <w:jc w:val="both"/>
        <w:rPr>
          <w:b/>
          <w:sz w:val="20"/>
          <w:szCs w:val="20"/>
          <w:u w:val="single"/>
          <w:lang w:val="es-MX"/>
        </w:rPr>
      </w:pPr>
      <w:r w:rsidRPr="00027F7F">
        <w:rPr>
          <w:b/>
          <w:sz w:val="20"/>
          <w:szCs w:val="20"/>
          <w:u w:val="single"/>
          <w:lang w:val="es-MX"/>
        </w:rPr>
        <w:t xml:space="preserve">CENTRO COMERCIAL </w:t>
      </w:r>
      <w:r>
        <w:rPr>
          <w:b/>
          <w:sz w:val="20"/>
          <w:szCs w:val="20"/>
          <w:u w:val="single"/>
          <w:lang w:val="es-MX"/>
        </w:rPr>
        <w:t>LA MERCED</w:t>
      </w:r>
    </w:p>
    <w:p w14:paraId="52F2DDCD" w14:textId="67F9169C" w:rsidR="00016475" w:rsidRDefault="00016475" w:rsidP="00016475">
      <w:pPr>
        <w:jc w:val="both"/>
        <w:rPr>
          <w:sz w:val="20"/>
          <w:szCs w:val="20"/>
          <w:lang w:val="es-MX"/>
        </w:rPr>
      </w:pPr>
      <w:r>
        <w:rPr>
          <w:sz w:val="20"/>
          <w:szCs w:val="20"/>
          <w:lang w:val="es-MX"/>
        </w:rPr>
        <w:t>Inmuebles a nombre del MDMQ: 129</w:t>
      </w:r>
    </w:p>
    <w:p w14:paraId="4A33F649" w14:textId="64AB6113" w:rsidR="00016475" w:rsidRDefault="00016475" w:rsidP="00016475">
      <w:pPr>
        <w:jc w:val="both"/>
        <w:rPr>
          <w:sz w:val="20"/>
          <w:szCs w:val="20"/>
          <w:lang w:val="es-MX"/>
        </w:rPr>
      </w:pPr>
      <w:r>
        <w:rPr>
          <w:sz w:val="20"/>
          <w:szCs w:val="20"/>
          <w:lang w:val="es-MX"/>
        </w:rPr>
        <w:t>Porcentaje total de Alícuotas: 57,05%</w:t>
      </w:r>
    </w:p>
    <w:p w14:paraId="286D037F" w14:textId="6D92DEB8" w:rsidR="00016475" w:rsidRDefault="00016475" w:rsidP="001E64A2">
      <w:pPr>
        <w:jc w:val="both"/>
        <w:rPr>
          <w:sz w:val="20"/>
          <w:szCs w:val="20"/>
          <w:lang w:val="es-MX"/>
        </w:rPr>
      </w:pPr>
    </w:p>
    <w:p w14:paraId="2C1A2773" w14:textId="6DE1F719" w:rsidR="00016475" w:rsidRPr="00027F7F" w:rsidRDefault="00016475" w:rsidP="00016475">
      <w:pPr>
        <w:jc w:val="both"/>
        <w:rPr>
          <w:b/>
          <w:sz w:val="20"/>
          <w:szCs w:val="20"/>
          <w:u w:val="single"/>
          <w:lang w:val="es-MX"/>
        </w:rPr>
      </w:pPr>
      <w:r w:rsidRPr="00027F7F">
        <w:rPr>
          <w:b/>
          <w:sz w:val="20"/>
          <w:szCs w:val="20"/>
          <w:u w:val="single"/>
          <w:lang w:val="es-MX"/>
        </w:rPr>
        <w:t xml:space="preserve">CENTRO COMERCIAL </w:t>
      </w:r>
      <w:r>
        <w:rPr>
          <w:b/>
          <w:sz w:val="20"/>
          <w:szCs w:val="20"/>
          <w:u w:val="single"/>
          <w:lang w:val="es-MX"/>
        </w:rPr>
        <w:t>IPIALES MIRES</w:t>
      </w:r>
    </w:p>
    <w:p w14:paraId="026836E1" w14:textId="6D6B8941" w:rsidR="00016475" w:rsidRDefault="00016475" w:rsidP="00016475">
      <w:pPr>
        <w:jc w:val="both"/>
        <w:rPr>
          <w:sz w:val="20"/>
          <w:szCs w:val="20"/>
          <w:lang w:val="es-MX"/>
        </w:rPr>
      </w:pPr>
      <w:r>
        <w:rPr>
          <w:sz w:val="20"/>
          <w:szCs w:val="20"/>
          <w:lang w:val="es-MX"/>
        </w:rPr>
        <w:t>Inmuebles a nombre del MDMQ: 80</w:t>
      </w:r>
    </w:p>
    <w:p w14:paraId="730E0FE1" w14:textId="5AD0291E" w:rsidR="00016475" w:rsidRDefault="00016475" w:rsidP="00016475">
      <w:pPr>
        <w:jc w:val="both"/>
        <w:rPr>
          <w:sz w:val="20"/>
          <w:szCs w:val="20"/>
          <w:lang w:val="es-MX"/>
        </w:rPr>
      </w:pPr>
      <w:r>
        <w:rPr>
          <w:sz w:val="20"/>
          <w:szCs w:val="20"/>
          <w:lang w:val="es-MX"/>
        </w:rPr>
        <w:t>Porcentaje total de Alícuotas: 24,98%</w:t>
      </w:r>
    </w:p>
    <w:p w14:paraId="367721D2" w14:textId="401665DB" w:rsidR="00016475" w:rsidRDefault="00016475" w:rsidP="001E64A2">
      <w:pPr>
        <w:jc w:val="both"/>
        <w:rPr>
          <w:sz w:val="20"/>
          <w:szCs w:val="20"/>
          <w:lang w:val="es-MX"/>
        </w:rPr>
      </w:pPr>
    </w:p>
    <w:p w14:paraId="08465997" w14:textId="21CB2A19" w:rsidR="00DC1325" w:rsidRPr="00027F7F" w:rsidRDefault="00DC1325" w:rsidP="00DC1325">
      <w:pPr>
        <w:jc w:val="both"/>
        <w:rPr>
          <w:b/>
          <w:sz w:val="20"/>
          <w:szCs w:val="20"/>
          <w:u w:val="single"/>
          <w:lang w:val="es-MX"/>
        </w:rPr>
      </w:pPr>
      <w:r w:rsidRPr="00027F7F">
        <w:rPr>
          <w:b/>
          <w:sz w:val="20"/>
          <w:szCs w:val="20"/>
          <w:u w:val="single"/>
          <w:lang w:val="es-MX"/>
        </w:rPr>
        <w:t xml:space="preserve">CENTRO COMERCIAL </w:t>
      </w:r>
      <w:r>
        <w:rPr>
          <w:b/>
          <w:sz w:val="20"/>
          <w:szCs w:val="20"/>
          <w:u w:val="single"/>
          <w:lang w:val="es-MX"/>
        </w:rPr>
        <w:t>EL TEJAR</w:t>
      </w:r>
    </w:p>
    <w:p w14:paraId="0DE7B672" w14:textId="642A3B10" w:rsidR="00DC1325" w:rsidRDefault="00DC1325" w:rsidP="00DC1325">
      <w:pPr>
        <w:jc w:val="both"/>
        <w:rPr>
          <w:sz w:val="20"/>
          <w:szCs w:val="20"/>
          <w:lang w:val="es-MX"/>
        </w:rPr>
      </w:pPr>
      <w:r>
        <w:rPr>
          <w:sz w:val="20"/>
          <w:szCs w:val="20"/>
          <w:lang w:val="es-MX"/>
        </w:rPr>
        <w:t>Inmuebles a nombre del MDMQ: 223</w:t>
      </w:r>
    </w:p>
    <w:p w14:paraId="0D4EFCEC" w14:textId="1BCD0E2D" w:rsidR="00DC1325" w:rsidRDefault="00DC1325" w:rsidP="00DC1325">
      <w:pPr>
        <w:jc w:val="both"/>
        <w:rPr>
          <w:sz w:val="20"/>
          <w:szCs w:val="20"/>
          <w:lang w:val="es-MX"/>
        </w:rPr>
      </w:pPr>
      <w:r>
        <w:rPr>
          <w:sz w:val="20"/>
          <w:szCs w:val="20"/>
          <w:lang w:val="es-MX"/>
        </w:rPr>
        <w:t>Porcentaje total de Alícuotas: 6,15%</w:t>
      </w:r>
    </w:p>
    <w:p w14:paraId="364E68C3" w14:textId="77777777" w:rsidR="00016475" w:rsidRPr="00DB3646" w:rsidRDefault="00016475" w:rsidP="001E64A2">
      <w:pPr>
        <w:jc w:val="both"/>
        <w:rPr>
          <w:sz w:val="20"/>
          <w:szCs w:val="20"/>
          <w:lang w:val="es-MX"/>
        </w:rPr>
      </w:pPr>
    </w:p>
    <w:p w14:paraId="17E54FB4" w14:textId="75C1105F" w:rsidR="00414886" w:rsidRPr="00027F7F" w:rsidRDefault="00414886" w:rsidP="00414886">
      <w:pPr>
        <w:jc w:val="both"/>
        <w:rPr>
          <w:b/>
          <w:sz w:val="20"/>
          <w:szCs w:val="20"/>
          <w:u w:val="single"/>
          <w:lang w:val="es-MX"/>
        </w:rPr>
      </w:pPr>
      <w:r w:rsidRPr="00027F7F">
        <w:rPr>
          <w:b/>
          <w:sz w:val="20"/>
          <w:szCs w:val="20"/>
          <w:u w:val="single"/>
          <w:lang w:val="es-MX"/>
        </w:rPr>
        <w:t xml:space="preserve">CENTRO COMERCIAL </w:t>
      </w:r>
      <w:r>
        <w:rPr>
          <w:b/>
          <w:sz w:val="20"/>
          <w:szCs w:val="20"/>
          <w:u w:val="single"/>
          <w:lang w:val="es-MX"/>
        </w:rPr>
        <w:t>MONTUFAR</w:t>
      </w:r>
    </w:p>
    <w:p w14:paraId="532F5E38" w14:textId="595CBD16" w:rsidR="00414886" w:rsidRDefault="00414886" w:rsidP="00414886">
      <w:pPr>
        <w:jc w:val="both"/>
        <w:rPr>
          <w:sz w:val="20"/>
          <w:szCs w:val="20"/>
          <w:lang w:val="es-MX"/>
        </w:rPr>
      </w:pPr>
      <w:r>
        <w:rPr>
          <w:sz w:val="20"/>
          <w:szCs w:val="20"/>
          <w:lang w:val="es-MX"/>
        </w:rPr>
        <w:t>Inmuebles a nombre del MDMQ: 69</w:t>
      </w:r>
    </w:p>
    <w:p w14:paraId="5B3E5C2A" w14:textId="0FA2E9C5" w:rsidR="00414886" w:rsidRDefault="00414886" w:rsidP="00414886">
      <w:pPr>
        <w:jc w:val="both"/>
        <w:rPr>
          <w:sz w:val="20"/>
          <w:szCs w:val="20"/>
          <w:lang w:val="es-MX"/>
        </w:rPr>
      </w:pPr>
      <w:r>
        <w:rPr>
          <w:sz w:val="20"/>
          <w:szCs w:val="20"/>
          <w:lang w:val="es-MX"/>
        </w:rPr>
        <w:t>Porcentaje total de Alícuotas: 70,02%</w:t>
      </w:r>
    </w:p>
    <w:p w14:paraId="5EEE3E36" w14:textId="1273D3FD" w:rsidR="001E64A2" w:rsidRDefault="001E64A2" w:rsidP="001E64A2">
      <w:pPr>
        <w:jc w:val="both"/>
        <w:rPr>
          <w:b/>
          <w:sz w:val="20"/>
          <w:szCs w:val="20"/>
          <w:lang w:val="es-MX"/>
        </w:rPr>
      </w:pPr>
    </w:p>
    <w:p w14:paraId="5295A759" w14:textId="04510C1D" w:rsidR="00414886" w:rsidRPr="00027F7F" w:rsidRDefault="00414886" w:rsidP="00414886">
      <w:pPr>
        <w:jc w:val="both"/>
        <w:rPr>
          <w:b/>
          <w:sz w:val="20"/>
          <w:szCs w:val="20"/>
          <w:u w:val="single"/>
          <w:lang w:val="es-MX"/>
        </w:rPr>
      </w:pPr>
      <w:r w:rsidRPr="00027F7F">
        <w:rPr>
          <w:b/>
          <w:sz w:val="20"/>
          <w:szCs w:val="20"/>
          <w:u w:val="single"/>
          <w:lang w:val="es-MX"/>
        </w:rPr>
        <w:t xml:space="preserve">CENTRO COMERCIAL </w:t>
      </w:r>
      <w:r>
        <w:rPr>
          <w:b/>
          <w:sz w:val="20"/>
          <w:szCs w:val="20"/>
          <w:u w:val="single"/>
          <w:lang w:val="es-MX"/>
        </w:rPr>
        <w:t>SAN MARTÍN</w:t>
      </w:r>
    </w:p>
    <w:p w14:paraId="5241E3B6" w14:textId="2C9A9566" w:rsidR="00414886" w:rsidRDefault="00414886" w:rsidP="00414886">
      <w:pPr>
        <w:jc w:val="both"/>
        <w:rPr>
          <w:sz w:val="20"/>
          <w:szCs w:val="20"/>
          <w:lang w:val="es-MX"/>
        </w:rPr>
      </w:pPr>
      <w:r>
        <w:rPr>
          <w:sz w:val="20"/>
          <w:szCs w:val="20"/>
          <w:lang w:val="es-MX"/>
        </w:rPr>
        <w:t>Inmuebles a nombre del MDMQ: 82</w:t>
      </w:r>
    </w:p>
    <w:p w14:paraId="44C9A9EA" w14:textId="16FF5886" w:rsidR="00414886" w:rsidRDefault="00414886" w:rsidP="00414886">
      <w:pPr>
        <w:jc w:val="both"/>
        <w:rPr>
          <w:sz w:val="20"/>
          <w:szCs w:val="20"/>
          <w:lang w:val="es-MX"/>
        </w:rPr>
      </w:pPr>
      <w:r>
        <w:rPr>
          <w:sz w:val="20"/>
          <w:szCs w:val="20"/>
          <w:lang w:val="es-MX"/>
        </w:rPr>
        <w:t>Porcentaje total de Alícuotas: 56,57%</w:t>
      </w:r>
    </w:p>
    <w:p w14:paraId="00985C5E" w14:textId="16DA29A6" w:rsidR="00562A1E" w:rsidRDefault="00562A1E" w:rsidP="001E64A2">
      <w:pPr>
        <w:jc w:val="both"/>
        <w:rPr>
          <w:b/>
          <w:sz w:val="20"/>
          <w:szCs w:val="20"/>
          <w:lang w:val="es-MX"/>
        </w:rPr>
      </w:pPr>
    </w:p>
    <w:p w14:paraId="15A38B83" w14:textId="50785D19" w:rsidR="0088087D" w:rsidRPr="00027F7F" w:rsidRDefault="0088087D" w:rsidP="0088087D">
      <w:pPr>
        <w:jc w:val="both"/>
        <w:rPr>
          <w:b/>
          <w:sz w:val="20"/>
          <w:szCs w:val="20"/>
          <w:u w:val="single"/>
          <w:lang w:val="es-MX"/>
        </w:rPr>
      </w:pPr>
      <w:r w:rsidRPr="00027F7F">
        <w:rPr>
          <w:b/>
          <w:sz w:val="20"/>
          <w:szCs w:val="20"/>
          <w:u w:val="single"/>
          <w:lang w:val="es-MX"/>
        </w:rPr>
        <w:t xml:space="preserve">CENTRO COMERCIAL </w:t>
      </w:r>
      <w:r>
        <w:rPr>
          <w:b/>
          <w:sz w:val="20"/>
          <w:szCs w:val="20"/>
          <w:u w:val="single"/>
          <w:lang w:val="es-MX"/>
        </w:rPr>
        <w:t>HERMANO MIGUEL</w:t>
      </w:r>
    </w:p>
    <w:p w14:paraId="3E2BE36D" w14:textId="6827E49B" w:rsidR="0088087D" w:rsidRDefault="0088087D" w:rsidP="0088087D">
      <w:pPr>
        <w:jc w:val="both"/>
        <w:rPr>
          <w:sz w:val="20"/>
          <w:szCs w:val="20"/>
          <w:lang w:val="es-MX"/>
        </w:rPr>
      </w:pPr>
      <w:r>
        <w:rPr>
          <w:sz w:val="20"/>
          <w:szCs w:val="20"/>
          <w:lang w:val="es-MX"/>
        </w:rPr>
        <w:t>Inmuebles a nombre del MDMQ: 270</w:t>
      </w:r>
    </w:p>
    <w:p w14:paraId="34C0A756" w14:textId="48C50490" w:rsidR="0088087D" w:rsidRDefault="0088087D" w:rsidP="0088087D">
      <w:pPr>
        <w:jc w:val="both"/>
        <w:rPr>
          <w:sz w:val="20"/>
          <w:szCs w:val="20"/>
          <w:lang w:val="es-MX"/>
        </w:rPr>
      </w:pPr>
      <w:r>
        <w:rPr>
          <w:sz w:val="20"/>
          <w:szCs w:val="20"/>
          <w:lang w:val="es-MX"/>
        </w:rPr>
        <w:t>Porcentaje total de Alícuotas: 14,55%</w:t>
      </w:r>
    </w:p>
    <w:p w14:paraId="494CF08A" w14:textId="5E4A977B" w:rsidR="0088087D" w:rsidRDefault="0088087D" w:rsidP="0088087D">
      <w:pPr>
        <w:jc w:val="both"/>
        <w:rPr>
          <w:sz w:val="20"/>
          <w:szCs w:val="20"/>
          <w:lang w:val="es-MX"/>
        </w:rPr>
      </w:pPr>
    </w:p>
    <w:p w14:paraId="78868F28" w14:textId="6B6A14D3" w:rsidR="0088087D" w:rsidRPr="00027F7F" w:rsidRDefault="0088087D" w:rsidP="0088087D">
      <w:pPr>
        <w:jc w:val="both"/>
        <w:rPr>
          <w:b/>
          <w:sz w:val="20"/>
          <w:szCs w:val="20"/>
          <w:u w:val="single"/>
          <w:lang w:val="es-MX"/>
        </w:rPr>
      </w:pPr>
      <w:r w:rsidRPr="00027F7F">
        <w:rPr>
          <w:b/>
          <w:sz w:val="20"/>
          <w:szCs w:val="20"/>
          <w:u w:val="single"/>
          <w:lang w:val="es-MX"/>
        </w:rPr>
        <w:t xml:space="preserve">CENTRO COMERCIAL </w:t>
      </w:r>
      <w:r>
        <w:rPr>
          <w:b/>
          <w:sz w:val="20"/>
          <w:szCs w:val="20"/>
          <w:u w:val="single"/>
          <w:lang w:val="es-MX"/>
        </w:rPr>
        <w:t>PASAJE SANGUÑA</w:t>
      </w:r>
    </w:p>
    <w:p w14:paraId="5D2EE4C5" w14:textId="457AC7C9" w:rsidR="0088087D" w:rsidRDefault="0088087D" w:rsidP="0088087D">
      <w:pPr>
        <w:jc w:val="both"/>
        <w:rPr>
          <w:sz w:val="20"/>
          <w:szCs w:val="20"/>
          <w:lang w:val="es-MX"/>
        </w:rPr>
      </w:pPr>
      <w:r>
        <w:rPr>
          <w:sz w:val="20"/>
          <w:szCs w:val="20"/>
          <w:lang w:val="es-MX"/>
        </w:rPr>
        <w:t>Inmuebles a nombre del MDMQ: 66</w:t>
      </w:r>
    </w:p>
    <w:p w14:paraId="6B0B417D" w14:textId="56BE1C1D" w:rsidR="0088087D" w:rsidRDefault="0088087D" w:rsidP="0088087D">
      <w:pPr>
        <w:jc w:val="both"/>
        <w:rPr>
          <w:sz w:val="20"/>
          <w:szCs w:val="20"/>
          <w:lang w:val="es-MX"/>
        </w:rPr>
      </w:pPr>
      <w:r>
        <w:rPr>
          <w:sz w:val="20"/>
          <w:szCs w:val="20"/>
          <w:lang w:val="es-MX"/>
        </w:rPr>
        <w:t>Porcentaje total de Alícuotas: 14,94%</w:t>
      </w:r>
    </w:p>
    <w:p w14:paraId="4A7C7422" w14:textId="77777777" w:rsidR="0088087D" w:rsidRDefault="0088087D" w:rsidP="001E64A2">
      <w:pPr>
        <w:jc w:val="both"/>
        <w:rPr>
          <w:b/>
          <w:sz w:val="20"/>
          <w:szCs w:val="20"/>
          <w:lang w:val="es-MX"/>
        </w:rPr>
      </w:pPr>
    </w:p>
    <w:p w14:paraId="58012F66" w14:textId="6D595B19" w:rsidR="00562A1E" w:rsidRDefault="00562A1E" w:rsidP="00562A1E">
      <w:pPr>
        <w:jc w:val="both"/>
        <w:rPr>
          <w:b/>
          <w:sz w:val="20"/>
          <w:szCs w:val="20"/>
          <w:lang w:val="es-MX"/>
        </w:rPr>
      </w:pPr>
      <w:proofErr w:type="gramStart"/>
      <w:r>
        <w:rPr>
          <w:b/>
          <w:sz w:val="20"/>
          <w:szCs w:val="20"/>
          <w:lang w:val="es-MX"/>
        </w:rPr>
        <w:t>3.3</w:t>
      </w:r>
      <w:r w:rsidRPr="00B35F6D">
        <w:rPr>
          <w:b/>
          <w:sz w:val="20"/>
          <w:szCs w:val="20"/>
          <w:lang w:val="es-MX"/>
        </w:rPr>
        <w:t xml:space="preserve"> .</w:t>
      </w:r>
      <w:proofErr w:type="gramEnd"/>
      <w:r w:rsidRPr="00B35F6D">
        <w:rPr>
          <w:b/>
          <w:sz w:val="20"/>
          <w:szCs w:val="20"/>
          <w:lang w:val="es-MX"/>
        </w:rPr>
        <w:t xml:space="preserve">- </w:t>
      </w:r>
      <w:r w:rsidR="00853E02">
        <w:rPr>
          <w:b/>
          <w:sz w:val="20"/>
          <w:szCs w:val="20"/>
          <w:lang w:val="es-MX"/>
        </w:rPr>
        <w:t>SITUACIÓN ACTUAL</w:t>
      </w:r>
      <w:r>
        <w:rPr>
          <w:b/>
          <w:sz w:val="20"/>
          <w:szCs w:val="20"/>
          <w:lang w:val="es-MX"/>
        </w:rPr>
        <w:t>:</w:t>
      </w:r>
    </w:p>
    <w:p w14:paraId="1808C2E6" w14:textId="12FD6826" w:rsidR="00853E02" w:rsidRDefault="00A33EEC" w:rsidP="00562A1E">
      <w:pPr>
        <w:jc w:val="both"/>
        <w:rPr>
          <w:rFonts w:ascii="Times-Roman" w:hAnsi="Times-Roman"/>
          <w:color w:val="000000"/>
          <w:sz w:val="22"/>
          <w:szCs w:val="22"/>
        </w:rPr>
      </w:pPr>
      <w:r>
        <w:rPr>
          <w:rFonts w:ascii="Times-Roman" w:hAnsi="Times-Roman"/>
          <w:color w:val="000000"/>
          <w:sz w:val="22"/>
          <w:szCs w:val="22"/>
        </w:rPr>
        <w:t>Producto del trab</w:t>
      </w:r>
      <w:r w:rsidR="00295879">
        <w:rPr>
          <w:rFonts w:ascii="Times-Roman" w:hAnsi="Times-Roman"/>
          <w:color w:val="000000"/>
          <w:sz w:val="22"/>
          <w:szCs w:val="22"/>
        </w:rPr>
        <w:t>a</w:t>
      </w:r>
      <w:r>
        <w:rPr>
          <w:rFonts w:ascii="Times-Roman" w:hAnsi="Times-Roman"/>
          <w:color w:val="000000"/>
          <w:sz w:val="22"/>
          <w:szCs w:val="22"/>
        </w:rPr>
        <w:t xml:space="preserve">jo </w:t>
      </w:r>
      <w:r w:rsidR="00295879">
        <w:rPr>
          <w:rFonts w:ascii="Times-Roman" w:hAnsi="Times-Roman"/>
          <w:color w:val="000000"/>
          <w:sz w:val="22"/>
          <w:szCs w:val="22"/>
        </w:rPr>
        <w:t>de verificación conjunta con la ACDC, se procedió a presentar 1</w:t>
      </w:r>
      <w:r w:rsidR="00DA169C">
        <w:rPr>
          <w:rFonts w:ascii="Times-Roman" w:hAnsi="Times-Roman"/>
          <w:color w:val="000000"/>
          <w:sz w:val="22"/>
          <w:szCs w:val="22"/>
        </w:rPr>
        <w:t xml:space="preserve"> informe técnico por cada centro comercial popular, dando como resultado 11 informes presentados (documentos anexos), en los que se detalla la situación de cada bien inmueble. Como particularidades generales se describen las siguientes:</w:t>
      </w:r>
    </w:p>
    <w:p w14:paraId="1E913680" w14:textId="50D81563" w:rsidR="00DA169C" w:rsidRDefault="00DA169C" w:rsidP="00562A1E">
      <w:pPr>
        <w:jc w:val="both"/>
        <w:rPr>
          <w:rFonts w:ascii="Times-Roman" w:hAnsi="Times-Roman"/>
          <w:color w:val="000000"/>
          <w:sz w:val="22"/>
          <w:szCs w:val="22"/>
        </w:rPr>
      </w:pPr>
    </w:p>
    <w:p w14:paraId="036EB6C5" w14:textId="77777777" w:rsidR="00DA169C" w:rsidRPr="00DA169C" w:rsidRDefault="00DA169C" w:rsidP="00DA169C">
      <w:pPr>
        <w:pStyle w:val="Prrafodelista"/>
        <w:numPr>
          <w:ilvl w:val="0"/>
          <w:numId w:val="36"/>
        </w:numPr>
        <w:jc w:val="both"/>
        <w:rPr>
          <w:b/>
          <w:sz w:val="20"/>
          <w:szCs w:val="20"/>
          <w:lang w:val="es-MX"/>
        </w:rPr>
      </w:pPr>
      <w:r>
        <w:rPr>
          <w:rFonts w:ascii="Times-Roman" w:hAnsi="Times-Roman"/>
          <w:color w:val="000000"/>
          <w:sz w:val="22"/>
          <w:szCs w:val="22"/>
        </w:rPr>
        <w:lastRenderedPageBreak/>
        <w:t>B</w:t>
      </w:r>
      <w:r w:rsidRPr="00DA169C">
        <w:rPr>
          <w:rFonts w:ascii="Times-Roman" w:hAnsi="Times-Roman"/>
          <w:color w:val="000000"/>
          <w:sz w:val="22"/>
          <w:szCs w:val="22"/>
        </w:rPr>
        <w:t>ienes inmuebles que se encuentran en proceso de adjudicación, conforme inform</w:t>
      </w:r>
      <w:r>
        <w:rPr>
          <w:rFonts w:ascii="Times-Roman" w:hAnsi="Times-Roman"/>
          <w:color w:val="000000"/>
          <w:sz w:val="22"/>
          <w:szCs w:val="22"/>
        </w:rPr>
        <w:t>ó la ACDC.</w:t>
      </w:r>
    </w:p>
    <w:p w14:paraId="75624A6E" w14:textId="77777777" w:rsidR="001B7D61" w:rsidRPr="001B7D61" w:rsidRDefault="00DA169C" w:rsidP="00DA169C">
      <w:pPr>
        <w:pStyle w:val="Prrafodelista"/>
        <w:numPr>
          <w:ilvl w:val="0"/>
          <w:numId w:val="36"/>
        </w:numPr>
        <w:jc w:val="both"/>
        <w:rPr>
          <w:b/>
          <w:sz w:val="20"/>
          <w:szCs w:val="20"/>
          <w:lang w:val="es-MX"/>
        </w:rPr>
      </w:pPr>
      <w:r>
        <w:rPr>
          <w:rFonts w:ascii="Times-Roman" w:hAnsi="Times-Roman"/>
          <w:color w:val="000000"/>
          <w:sz w:val="22"/>
          <w:szCs w:val="22"/>
        </w:rPr>
        <w:t>L</w:t>
      </w:r>
      <w:r w:rsidRPr="00DA169C">
        <w:rPr>
          <w:rFonts w:ascii="Times-Roman" w:hAnsi="Times-Roman"/>
          <w:color w:val="000000"/>
          <w:sz w:val="22"/>
          <w:szCs w:val="22"/>
        </w:rPr>
        <w:t>ocales con ocupación de hecho</w:t>
      </w:r>
      <w:r w:rsidR="001B7D61">
        <w:rPr>
          <w:rFonts w:ascii="Times-Roman" w:hAnsi="Times-Roman"/>
          <w:color w:val="000000"/>
          <w:sz w:val="22"/>
          <w:szCs w:val="22"/>
        </w:rPr>
        <w:t>,</w:t>
      </w:r>
      <w:r w:rsidRPr="00DA169C">
        <w:rPr>
          <w:rFonts w:ascii="Times-Roman" w:hAnsi="Times-Roman"/>
          <w:color w:val="000000"/>
          <w:sz w:val="22"/>
          <w:szCs w:val="22"/>
        </w:rPr>
        <w:t xml:space="preserve"> sin que los usuarios de los mismos cuenten con documentaci</w:t>
      </w:r>
      <w:r w:rsidR="001B7D61">
        <w:rPr>
          <w:rFonts w:ascii="Times-Roman" w:hAnsi="Times-Roman"/>
          <w:color w:val="000000"/>
          <w:sz w:val="22"/>
          <w:szCs w:val="22"/>
        </w:rPr>
        <w:t>ón que justifique su uso.</w:t>
      </w:r>
    </w:p>
    <w:p w14:paraId="63229249" w14:textId="77777777" w:rsidR="001B7D61" w:rsidRPr="001B7D61" w:rsidRDefault="001B7D61" w:rsidP="00DA169C">
      <w:pPr>
        <w:pStyle w:val="Prrafodelista"/>
        <w:numPr>
          <w:ilvl w:val="0"/>
          <w:numId w:val="36"/>
        </w:numPr>
        <w:jc w:val="both"/>
        <w:rPr>
          <w:b/>
          <w:sz w:val="20"/>
          <w:szCs w:val="20"/>
          <w:lang w:val="es-MX"/>
        </w:rPr>
      </w:pPr>
      <w:r>
        <w:rPr>
          <w:rFonts w:ascii="Times-Roman" w:hAnsi="Times-Roman"/>
          <w:color w:val="000000"/>
          <w:sz w:val="22"/>
          <w:szCs w:val="22"/>
        </w:rPr>
        <w:t>B</w:t>
      </w:r>
      <w:r w:rsidR="00DA169C" w:rsidRPr="00DA169C">
        <w:rPr>
          <w:rFonts w:ascii="Times-Roman" w:hAnsi="Times-Roman"/>
          <w:color w:val="000000"/>
          <w:sz w:val="22"/>
          <w:szCs w:val="22"/>
        </w:rPr>
        <w:t>ienes en proceso de escrituración</w:t>
      </w:r>
      <w:r>
        <w:rPr>
          <w:rFonts w:ascii="Times-Roman" w:hAnsi="Times-Roman"/>
          <w:color w:val="000000"/>
          <w:sz w:val="22"/>
          <w:szCs w:val="22"/>
        </w:rPr>
        <w:t xml:space="preserve"> de minuta.</w:t>
      </w:r>
    </w:p>
    <w:p w14:paraId="400D7C6A" w14:textId="5511005E" w:rsidR="00DA169C" w:rsidRPr="001B7D61" w:rsidRDefault="001B7D61" w:rsidP="00DA169C">
      <w:pPr>
        <w:pStyle w:val="Prrafodelista"/>
        <w:numPr>
          <w:ilvl w:val="0"/>
          <w:numId w:val="36"/>
        </w:numPr>
        <w:jc w:val="both"/>
        <w:rPr>
          <w:b/>
          <w:sz w:val="20"/>
          <w:szCs w:val="20"/>
          <w:lang w:val="es-MX"/>
        </w:rPr>
      </w:pPr>
      <w:r>
        <w:rPr>
          <w:rFonts w:ascii="Times-Roman" w:hAnsi="Times-Roman"/>
          <w:color w:val="000000"/>
          <w:sz w:val="22"/>
          <w:szCs w:val="22"/>
        </w:rPr>
        <w:t>B</w:t>
      </w:r>
      <w:r w:rsidR="00DA169C" w:rsidRPr="00DA169C">
        <w:rPr>
          <w:rFonts w:ascii="Times-Roman" w:hAnsi="Times-Roman"/>
          <w:color w:val="000000"/>
          <w:sz w:val="22"/>
          <w:szCs w:val="22"/>
        </w:rPr>
        <w:t xml:space="preserve">ienes que continúan registrados a nombre del </w:t>
      </w:r>
      <w:r>
        <w:rPr>
          <w:rFonts w:ascii="Times-Roman" w:hAnsi="Times-Roman"/>
          <w:color w:val="000000"/>
          <w:sz w:val="22"/>
          <w:szCs w:val="22"/>
        </w:rPr>
        <w:t>MDMQ pero que ya cuentan con escrituras a terceros.</w:t>
      </w:r>
    </w:p>
    <w:p w14:paraId="08480A5E" w14:textId="26638DBF" w:rsidR="001B7D61" w:rsidRPr="001B7D61" w:rsidRDefault="001B7D61" w:rsidP="00DA169C">
      <w:pPr>
        <w:pStyle w:val="Prrafodelista"/>
        <w:numPr>
          <w:ilvl w:val="0"/>
          <w:numId w:val="36"/>
        </w:numPr>
        <w:jc w:val="both"/>
        <w:rPr>
          <w:b/>
          <w:sz w:val="20"/>
          <w:szCs w:val="20"/>
          <w:lang w:val="es-MX"/>
        </w:rPr>
      </w:pPr>
      <w:r>
        <w:rPr>
          <w:rFonts w:ascii="Times-Roman" w:hAnsi="Times-Roman"/>
          <w:color w:val="000000"/>
          <w:sz w:val="22"/>
          <w:szCs w:val="22"/>
        </w:rPr>
        <w:t>Bienes en uso de la administración o directiva de los centros comerciales.</w:t>
      </w:r>
    </w:p>
    <w:p w14:paraId="5441A184" w14:textId="1BE29565" w:rsidR="001B7D61" w:rsidRPr="00DA169C" w:rsidRDefault="001B7D61" w:rsidP="00DA169C">
      <w:pPr>
        <w:pStyle w:val="Prrafodelista"/>
        <w:numPr>
          <w:ilvl w:val="0"/>
          <w:numId w:val="36"/>
        </w:numPr>
        <w:jc w:val="both"/>
        <w:rPr>
          <w:b/>
          <w:sz w:val="20"/>
          <w:szCs w:val="20"/>
          <w:lang w:val="es-MX"/>
        </w:rPr>
      </w:pPr>
      <w:r>
        <w:rPr>
          <w:rFonts w:ascii="Times-Roman" w:hAnsi="Times-Roman"/>
          <w:color w:val="000000"/>
          <w:sz w:val="22"/>
          <w:szCs w:val="22"/>
        </w:rPr>
        <w:t>Bienes cerrados, considerados como vacantes.</w:t>
      </w:r>
    </w:p>
    <w:p w14:paraId="1F39FFED" w14:textId="77777777" w:rsidR="00295879" w:rsidRDefault="00295879" w:rsidP="00562A1E">
      <w:pPr>
        <w:jc w:val="both"/>
        <w:rPr>
          <w:b/>
          <w:sz w:val="20"/>
          <w:szCs w:val="20"/>
          <w:lang w:val="es-MX"/>
        </w:rPr>
      </w:pPr>
    </w:p>
    <w:p w14:paraId="2117A848" w14:textId="4ED83179" w:rsidR="00853E02" w:rsidRDefault="00853E02" w:rsidP="00853E02">
      <w:pPr>
        <w:jc w:val="both"/>
        <w:rPr>
          <w:b/>
          <w:sz w:val="20"/>
          <w:szCs w:val="20"/>
          <w:lang w:val="es-MX"/>
        </w:rPr>
      </w:pPr>
      <w:proofErr w:type="gramStart"/>
      <w:r>
        <w:rPr>
          <w:b/>
          <w:sz w:val="20"/>
          <w:szCs w:val="20"/>
          <w:lang w:val="es-MX"/>
        </w:rPr>
        <w:t>3.4</w:t>
      </w:r>
      <w:r w:rsidRPr="00B35F6D">
        <w:rPr>
          <w:b/>
          <w:sz w:val="20"/>
          <w:szCs w:val="20"/>
          <w:lang w:val="es-MX"/>
        </w:rPr>
        <w:t xml:space="preserve"> .</w:t>
      </w:r>
      <w:proofErr w:type="gramEnd"/>
      <w:r w:rsidRPr="00B35F6D">
        <w:rPr>
          <w:b/>
          <w:sz w:val="20"/>
          <w:szCs w:val="20"/>
          <w:lang w:val="es-MX"/>
        </w:rPr>
        <w:t xml:space="preserve">- </w:t>
      </w:r>
      <w:r>
        <w:rPr>
          <w:b/>
          <w:sz w:val="20"/>
          <w:szCs w:val="20"/>
          <w:lang w:val="es-MX"/>
        </w:rPr>
        <w:t>ESTADO DE PROCESO DE ADJUDICACIÓN:</w:t>
      </w:r>
    </w:p>
    <w:p w14:paraId="56EEC439" w14:textId="6D8BC0DF" w:rsidR="00C45964" w:rsidRPr="00C45964" w:rsidRDefault="00C45964" w:rsidP="00853E02">
      <w:pPr>
        <w:jc w:val="both"/>
        <w:rPr>
          <w:sz w:val="20"/>
          <w:szCs w:val="20"/>
          <w:lang w:val="es-MX"/>
        </w:rPr>
      </w:pPr>
      <w:r>
        <w:rPr>
          <w:sz w:val="20"/>
          <w:szCs w:val="20"/>
          <w:lang w:val="es-MX"/>
        </w:rPr>
        <w:t xml:space="preserve">El proceso </w:t>
      </w:r>
      <w:r w:rsidR="001B7D61">
        <w:rPr>
          <w:sz w:val="20"/>
          <w:szCs w:val="20"/>
          <w:lang w:val="es-MX"/>
        </w:rPr>
        <w:t>de adjudicación es liderado por la Agencia de Coordinación Distrital de Comercio, entidad que maneja su propio registro de procesos, situación por la cual, esta Dirección Metropolitana no puede informar el estado de los mismos.</w:t>
      </w:r>
    </w:p>
    <w:p w14:paraId="1415756A" w14:textId="77777777" w:rsidR="001E64A2" w:rsidRPr="00666431" w:rsidRDefault="001E64A2" w:rsidP="00027F7F">
      <w:pPr>
        <w:jc w:val="both"/>
        <w:rPr>
          <w:sz w:val="20"/>
          <w:szCs w:val="20"/>
          <w:lang w:val="es-MX"/>
        </w:rPr>
      </w:pPr>
    </w:p>
    <w:p w14:paraId="09FBA8A2" w14:textId="77777777" w:rsidR="00486B4A" w:rsidRPr="00B35F6D" w:rsidRDefault="00486B4A" w:rsidP="00B42ADE">
      <w:pPr>
        <w:numPr>
          <w:ilvl w:val="0"/>
          <w:numId w:val="26"/>
        </w:numPr>
        <w:pBdr>
          <w:top w:val="single" w:sz="4" w:space="1" w:color="auto"/>
          <w:left w:val="single" w:sz="4" w:space="4" w:color="auto"/>
          <w:bottom w:val="single" w:sz="4" w:space="1" w:color="auto"/>
          <w:right w:val="single" w:sz="4" w:space="4" w:color="auto"/>
        </w:pBdr>
        <w:shd w:val="clear" w:color="auto" w:fill="A6A6A6"/>
        <w:ind w:left="284" w:right="161" w:hanging="284"/>
        <w:rPr>
          <w:b/>
          <w:bCs/>
          <w:smallCaps/>
          <w:color w:val="000000"/>
          <w:sz w:val="20"/>
          <w:szCs w:val="20"/>
        </w:rPr>
      </w:pPr>
      <w:r w:rsidRPr="00B35F6D">
        <w:rPr>
          <w:b/>
          <w:bCs/>
          <w:smallCaps/>
          <w:color w:val="000000"/>
          <w:sz w:val="20"/>
          <w:szCs w:val="20"/>
        </w:rPr>
        <w:t>CONCLUSIONES Y RECOMENDACIONES</w:t>
      </w:r>
    </w:p>
    <w:p w14:paraId="1681076D" w14:textId="110BB353" w:rsidR="00486B4A" w:rsidRPr="00B35F6D" w:rsidRDefault="00582A95" w:rsidP="00271C20">
      <w:pPr>
        <w:ind w:left="360"/>
        <w:rPr>
          <w:b/>
          <w:bCs/>
          <w:smallCaps/>
          <w:color w:val="000000"/>
          <w:sz w:val="20"/>
          <w:szCs w:val="20"/>
          <w:lang w:val="es-EC"/>
        </w:rPr>
      </w:pPr>
      <w:r>
        <w:rPr>
          <w:b/>
          <w:bCs/>
          <w:smallCaps/>
          <w:color w:val="000000"/>
          <w:sz w:val="20"/>
          <w:szCs w:val="20"/>
          <w:lang w:val="es-EC"/>
        </w:rPr>
        <w:t>Conclusiones</w:t>
      </w:r>
    </w:p>
    <w:p w14:paraId="21764E97" w14:textId="1EE6F855" w:rsidR="00D65095" w:rsidRPr="00582A95" w:rsidRDefault="00A621FA" w:rsidP="005670CE">
      <w:pPr>
        <w:pStyle w:val="Prrafodelista"/>
        <w:numPr>
          <w:ilvl w:val="0"/>
          <w:numId w:val="35"/>
        </w:numPr>
        <w:jc w:val="both"/>
        <w:rPr>
          <w:sz w:val="20"/>
          <w:szCs w:val="20"/>
          <w:lang w:val="es-EC"/>
        </w:rPr>
      </w:pPr>
      <w:r>
        <w:rPr>
          <w:sz w:val="20"/>
          <w:szCs w:val="20"/>
          <w:lang w:val="es-MX"/>
        </w:rPr>
        <w:t xml:space="preserve">Se contabilizan 11 Centros Comerciales Populares, de los cuales el C.C. Ipiales del Norte no cuenta con declaratoria de propiedad horizontal, ello implica que se configura como </w:t>
      </w:r>
      <w:proofErr w:type="spellStart"/>
      <w:r>
        <w:rPr>
          <w:sz w:val="20"/>
          <w:szCs w:val="20"/>
          <w:lang w:val="es-MX"/>
        </w:rPr>
        <w:t>unipropiedad</w:t>
      </w:r>
      <w:proofErr w:type="spellEnd"/>
      <w:r>
        <w:rPr>
          <w:sz w:val="20"/>
          <w:szCs w:val="20"/>
          <w:lang w:val="es-MX"/>
        </w:rPr>
        <w:t>, por lo tanto, no se han generado alícuotas.</w:t>
      </w:r>
    </w:p>
    <w:p w14:paraId="1DD186C9" w14:textId="1ED1E01E" w:rsidR="00582A95" w:rsidRPr="00612BCC" w:rsidRDefault="00582A95" w:rsidP="005670CE">
      <w:pPr>
        <w:pStyle w:val="Prrafodelista"/>
        <w:numPr>
          <w:ilvl w:val="0"/>
          <w:numId w:val="35"/>
        </w:numPr>
        <w:jc w:val="both"/>
        <w:rPr>
          <w:sz w:val="20"/>
          <w:szCs w:val="20"/>
          <w:lang w:val="es-EC"/>
        </w:rPr>
      </w:pPr>
      <w:r>
        <w:rPr>
          <w:sz w:val="20"/>
          <w:szCs w:val="20"/>
          <w:lang w:val="es-MX"/>
        </w:rPr>
        <w:t xml:space="preserve">El MDMQ tiene participación mayoritaria, más del 50%, por concepto de alícuotas en los Centros Comerciales </w:t>
      </w:r>
      <w:proofErr w:type="spellStart"/>
      <w:r>
        <w:rPr>
          <w:sz w:val="20"/>
          <w:szCs w:val="20"/>
          <w:lang w:val="es-MX"/>
        </w:rPr>
        <w:t>Chiriacu</w:t>
      </w:r>
      <w:proofErr w:type="spellEnd"/>
      <w:r>
        <w:rPr>
          <w:sz w:val="20"/>
          <w:szCs w:val="20"/>
          <w:lang w:val="es-MX"/>
        </w:rPr>
        <w:t>, La Merced, Montufar y San Martin.</w:t>
      </w:r>
    </w:p>
    <w:p w14:paraId="748FB30A" w14:textId="6DB91458" w:rsidR="00612BCC" w:rsidRPr="00612BCC" w:rsidRDefault="00612BCC" w:rsidP="005670CE">
      <w:pPr>
        <w:pStyle w:val="Prrafodelista"/>
        <w:numPr>
          <w:ilvl w:val="0"/>
          <w:numId w:val="35"/>
        </w:numPr>
        <w:jc w:val="both"/>
        <w:rPr>
          <w:sz w:val="20"/>
          <w:szCs w:val="20"/>
          <w:lang w:val="es-EC"/>
        </w:rPr>
      </w:pPr>
      <w:r>
        <w:rPr>
          <w:sz w:val="20"/>
          <w:szCs w:val="20"/>
          <w:lang w:val="es-MX"/>
        </w:rPr>
        <w:t>Los datos expuestos de titularidad de dominio y alícuotas reflejan los registros documentales de la Dirección Metropolitana de Gestión de Bienes Inmuebles y la Agencia de Coordinación Distrital de Comercio, sin embargo, la situación física actual contrasta en relación a los posesionarios o meros tenedores que están en uso de locales comerciales u otros bienes dentro de la propiedad horizontal.</w:t>
      </w:r>
    </w:p>
    <w:p w14:paraId="704E536D" w14:textId="562F4BC7" w:rsidR="00612BCC" w:rsidRPr="003E4F9B" w:rsidRDefault="00612BCC" w:rsidP="005670CE">
      <w:pPr>
        <w:pStyle w:val="Prrafodelista"/>
        <w:numPr>
          <w:ilvl w:val="0"/>
          <w:numId w:val="35"/>
        </w:numPr>
        <w:jc w:val="both"/>
        <w:rPr>
          <w:sz w:val="20"/>
          <w:szCs w:val="20"/>
          <w:lang w:val="es-EC"/>
        </w:rPr>
      </w:pPr>
      <w:r>
        <w:rPr>
          <w:sz w:val="20"/>
          <w:szCs w:val="20"/>
          <w:lang w:val="es-MX"/>
        </w:rPr>
        <w:t>La estructuración espacial y de uso de los Centros Comerciales Populares como se estableció en las declaratorias de propiedad horizontal no corresponde en su totalidad con lo observable en la actualidad, existiendo modificaciones de infraestructura, locales no construidos</w:t>
      </w:r>
      <w:r w:rsidR="003E4F9B">
        <w:rPr>
          <w:sz w:val="20"/>
          <w:szCs w:val="20"/>
          <w:lang w:val="es-MX"/>
        </w:rPr>
        <w:t>, locales destinados a servicios comunales, locales usados para fines de administración de los propios centros.</w:t>
      </w:r>
    </w:p>
    <w:p w14:paraId="6F7B001C" w14:textId="0B452030" w:rsidR="003E4F9B" w:rsidRPr="00582A95" w:rsidRDefault="003733C7" w:rsidP="005670CE">
      <w:pPr>
        <w:pStyle w:val="Prrafodelista"/>
        <w:numPr>
          <w:ilvl w:val="0"/>
          <w:numId w:val="35"/>
        </w:numPr>
        <w:jc w:val="both"/>
        <w:rPr>
          <w:sz w:val="20"/>
          <w:szCs w:val="20"/>
          <w:lang w:val="es-EC"/>
        </w:rPr>
      </w:pPr>
      <w:r>
        <w:rPr>
          <w:sz w:val="20"/>
          <w:szCs w:val="20"/>
          <w:lang w:val="es-MX"/>
        </w:rPr>
        <w:t>Existen alícuotas asignadas a plazas de estacionamiento y bodegas, sin embargo, la base normativa expedida solo enmarco la adjudicación de locales comerciales, sin considerar lineamientos para estos otros tipos de bienes.</w:t>
      </w:r>
    </w:p>
    <w:p w14:paraId="50E5722C" w14:textId="77777777" w:rsidR="00582A95" w:rsidRPr="00E73659" w:rsidRDefault="00582A95" w:rsidP="00582A95">
      <w:pPr>
        <w:pStyle w:val="Prrafodelista"/>
        <w:ind w:left="720"/>
        <w:jc w:val="both"/>
        <w:rPr>
          <w:sz w:val="20"/>
          <w:szCs w:val="20"/>
          <w:lang w:val="es-EC"/>
        </w:rPr>
      </w:pPr>
    </w:p>
    <w:p w14:paraId="4B615561" w14:textId="78D8F922" w:rsidR="00582A95" w:rsidRPr="00582A95" w:rsidRDefault="00582A95" w:rsidP="00582A95">
      <w:pPr>
        <w:ind w:left="360"/>
        <w:rPr>
          <w:b/>
          <w:bCs/>
          <w:smallCaps/>
          <w:color w:val="000000"/>
          <w:sz w:val="20"/>
          <w:szCs w:val="20"/>
          <w:lang w:val="es-EC"/>
        </w:rPr>
      </w:pPr>
      <w:r>
        <w:rPr>
          <w:b/>
          <w:bCs/>
          <w:smallCaps/>
          <w:color w:val="000000"/>
          <w:sz w:val="20"/>
          <w:szCs w:val="20"/>
          <w:lang w:val="es-EC"/>
        </w:rPr>
        <w:t>Recomendacione</w:t>
      </w:r>
      <w:r w:rsidRPr="00582A95">
        <w:rPr>
          <w:b/>
          <w:bCs/>
          <w:smallCaps/>
          <w:color w:val="000000"/>
          <w:sz w:val="20"/>
          <w:szCs w:val="20"/>
          <w:lang w:val="es-EC"/>
        </w:rPr>
        <w:t>s</w:t>
      </w:r>
    </w:p>
    <w:p w14:paraId="7FE1777A" w14:textId="77777777" w:rsidR="00E73659" w:rsidRPr="00582A95" w:rsidRDefault="00E73659" w:rsidP="00582A95">
      <w:pPr>
        <w:ind w:left="360"/>
        <w:jc w:val="both"/>
        <w:rPr>
          <w:sz w:val="20"/>
          <w:szCs w:val="20"/>
          <w:lang w:val="es-EC"/>
        </w:rPr>
      </w:pPr>
    </w:p>
    <w:p w14:paraId="04DD6B70" w14:textId="3F6743B9" w:rsidR="00A621FA" w:rsidRPr="003E4F9B" w:rsidRDefault="00E73659" w:rsidP="005670CE">
      <w:pPr>
        <w:pStyle w:val="Prrafodelista"/>
        <w:numPr>
          <w:ilvl w:val="0"/>
          <w:numId w:val="35"/>
        </w:numPr>
        <w:jc w:val="both"/>
        <w:rPr>
          <w:sz w:val="20"/>
          <w:szCs w:val="20"/>
          <w:lang w:val="es-EC"/>
        </w:rPr>
      </w:pPr>
      <w:r>
        <w:rPr>
          <w:sz w:val="20"/>
          <w:szCs w:val="20"/>
          <w:lang w:val="es-MX"/>
        </w:rPr>
        <w:t>Se recomienda efectuar la declaratoria de propiedad horizontal del inmueble denominado como Centro Comercial Ipiales del Norte.</w:t>
      </w:r>
    </w:p>
    <w:p w14:paraId="779DF642" w14:textId="09515828" w:rsidR="003E4F9B" w:rsidRPr="003E4F9B" w:rsidRDefault="003E4F9B" w:rsidP="005670CE">
      <w:pPr>
        <w:pStyle w:val="Prrafodelista"/>
        <w:numPr>
          <w:ilvl w:val="0"/>
          <w:numId w:val="35"/>
        </w:numPr>
        <w:jc w:val="both"/>
        <w:rPr>
          <w:sz w:val="20"/>
          <w:szCs w:val="20"/>
          <w:lang w:val="es-EC"/>
        </w:rPr>
      </w:pPr>
      <w:r>
        <w:rPr>
          <w:sz w:val="20"/>
          <w:szCs w:val="20"/>
          <w:lang w:val="es-MX"/>
        </w:rPr>
        <w:t xml:space="preserve">Es necesario efectuar modificatorias a la propiedad horizontal con el fin de reglamentar la realidad de los centros comerciales, dar de baja aquellas alícuotas no construidas, y destinar como </w:t>
      </w:r>
      <w:proofErr w:type="gramStart"/>
      <w:r>
        <w:rPr>
          <w:sz w:val="20"/>
          <w:szCs w:val="20"/>
          <w:lang w:val="es-MX"/>
        </w:rPr>
        <w:t>área comunales</w:t>
      </w:r>
      <w:proofErr w:type="gramEnd"/>
      <w:r>
        <w:rPr>
          <w:sz w:val="20"/>
          <w:szCs w:val="20"/>
          <w:lang w:val="es-MX"/>
        </w:rPr>
        <w:t xml:space="preserve"> aquellas que están prestando algún servicio o se destinan a la administración.</w:t>
      </w:r>
    </w:p>
    <w:p w14:paraId="10AFA19E" w14:textId="11B989FD" w:rsidR="003E4F9B" w:rsidRPr="005670CE" w:rsidRDefault="00D94D91" w:rsidP="005670CE">
      <w:pPr>
        <w:pStyle w:val="Prrafodelista"/>
        <w:numPr>
          <w:ilvl w:val="0"/>
          <w:numId w:val="35"/>
        </w:numPr>
        <w:jc w:val="both"/>
        <w:rPr>
          <w:sz w:val="20"/>
          <w:szCs w:val="20"/>
          <w:lang w:val="es-EC"/>
        </w:rPr>
      </w:pPr>
      <w:r>
        <w:rPr>
          <w:sz w:val="20"/>
          <w:szCs w:val="20"/>
          <w:lang w:val="es-EC"/>
        </w:rPr>
        <w:t>Se recomienda</w:t>
      </w:r>
      <w:r w:rsidR="003733C7">
        <w:rPr>
          <w:sz w:val="20"/>
          <w:szCs w:val="20"/>
          <w:lang w:val="es-EC"/>
        </w:rPr>
        <w:t xml:space="preserve"> considerar </w:t>
      </w:r>
      <w:r>
        <w:rPr>
          <w:sz w:val="20"/>
          <w:szCs w:val="20"/>
          <w:lang w:val="es-EC"/>
        </w:rPr>
        <w:t>la</w:t>
      </w:r>
      <w:r w:rsidR="003733C7">
        <w:rPr>
          <w:sz w:val="20"/>
          <w:szCs w:val="20"/>
          <w:lang w:val="es-EC"/>
        </w:rPr>
        <w:t xml:space="preserve"> adjudicación de bodegas en los centros comerciales, o establecer que las mismas pueden ser objeto de arrendamiento</w:t>
      </w:r>
      <w:r>
        <w:rPr>
          <w:sz w:val="20"/>
          <w:szCs w:val="20"/>
          <w:lang w:val="es-EC"/>
        </w:rPr>
        <w:t>, así como, aquellos locales sobre los cuales no exista requerimiento de adjudicación. En</w:t>
      </w:r>
      <w:r w:rsidR="003733C7">
        <w:rPr>
          <w:sz w:val="20"/>
          <w:szCs w:val="20"/>
          <w:lang w:val="es-EC"/>
        </w:rPr>
        <w:t xml:space="preserve"> el caso de parqueaderos también es necesario establecer la entidad administradora de ellos o en su defecto dar de baja las alícuotas correspondientes y definirlas como áreas com</w:t>
      </w:r>
      <w:r>
        <w:rPr>
          <w:sz w:val="20"/>
          <w:szCs w:val="20"/>
          <w:lang w:val="es-EC"/>
        </w:rPr>
        <w:t>unales, acciones que disminuirán las alícuotas del MDMQ en los centros comerciales populares.</w:t>
      </w:r>
    </w:p>
    <w:p w14:paraId="6A8E46E5" w14:textId="77777777" w:rsidR="00D0132F" w:rsidRPr="00B35F6D" w:rsidRDefault="00D0132F" w:rsidP="00D0132F">
      <w:pPr>
        <w:pStyle w:val="Prrafodelista"/>
        <w:ind w:left="360" w:right="141"/>
        <w:jc w:val="both"/>
        <w:rPr>
          <w:sz w:val="20"/>
          <w:szCs w:val="20"/>
          <w:lang w:val="es-EC"/>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268"/>
        <w:gridCol w:w="2268"/>
        <w:gridCol w:w="3118"/>
      </w:tblGrid>
      <w:tr w:rsidR="00B13F1F" w:rsidRPr="00B13F1F" w14:paraId="1E6D0340" w14:textId="77777777" w:rsidTr="00B13F1F">
        <w:trPr>
          <w:cantSplit/>
          <w:trHeight w:val="183"/>
          <w:tblHeader/>
        </w:trPr>
        <w:tc>
          <w:tcPr>
            <w:tcW w:w="1418" w:type="dxa"/>
            <w:shd w:val="clear" w:color="auto" w:fill="D9D9D9"/>
            <w:vAlign w:val="center"/>
          </w:tcPr>
          <w:p w14:paraId="030BDC2C" w14:textId="77777777" w:rsidR="00B13F1F" w:rsidRPr="00B13F1F" w:rsidRDefault="00B13F1F" w:rsidP="00F32C22">
            <w:pPr>
              <w:jc w:val="center"/>
              <w:rPr>
                <w:b/>
                <w:bCs/>
                <w:sz w:val="18"/>
                <w:szCs w:val="18"/>
              </w:rPr>
            </w:pPr>
            <w:r w:rsidRPr="00B13F1F">
              <w:rPr>
                <w:b/>
                <w:bCs/>
                <w:sz w:val="18"/>
                <w:szCs w:val="18"/>
              </w:rPr>
              <w:t>Acción</w:t>
            </w:r>
          </w:p>
        </w:tc>
        <w:tc>
          <w:tcPr>
            <w:tcW w:w="2268" w:type="dxa"/>
            <w:shd w:val="clear" w:color="auto" w:fill="D9D9D9"/>
          </w:tcPr>
          <w:p w14:paraId="260C28EF" w14:textId="503891D8" w:rsidR="00B13F1F" w:rsidRPr="00B13F1F" w:rsidRDefault="00B13F1F" w:rsidP="00F32C22">
            <w:pPr>
              <w:jc w:val="center"/>
              <w:rPr>
                <w:b/>
                <w:bCs/>
                <w:sz w:val="18"/>
                <w:szCs w:val="18"/>
                <w:lang w:val="es-ES_tradnl"/>
              </w:rPr>
            </w:pPr>
            <w:r w:rsidRPr="00B13F1F">
              <w:rPr>
                <w:rFonts w:ascii="Calibri Light" w:hAnsi="Calibri Light" w:cs="Helvetica"/>
                <w:b/>
                <w:bCs/>
                <w:sz w:val="18"/>
                <w:szCs w:val="18"/>
                <w:lang w:val="es-ES_tradnl"/>
              </w:rPr>
              <w:t>Coordinación</w:t>
            </w:r>
          </w:p>
        </w:tc>
        <w:tc>
          <w:tcPr>
            <w:tcW w:w="2268" w:type="dxa"/>
            <w:shd w:val="clear" w:color="auto" w:fill="D9D9D9"/>
            <w:vAlign w:val="center"/>
          </w:tcPr>
          <w:p w14:paraId="790A470B" w14:textId="65A5D5E9" w:rsidR="00B13F1F" w:rsidRPr="00B13F1F" w:rsidRDefault="00B13F1F" w:rsidP="00F32C22">
            <w:pPr>
              <w:jc w:val="center"/>
              <w:rPr>
                <w:b/>
                <w:bCs/>
                <w:sz w:val="18"/>
                <w:szCs w:val="18"/>
                <w:lang w:val="es-ES_tradnl"/>
              </w:rPr>
            </w:pPr>
            <w:r w:rsidRPr="00B13F1F">
              <w:rPr>
                <w:b/>
                <w:bCs/>
                <w:sz w:val="18"/>
                <w:szCs w:val="18"/>
                <w:lang w:val="es-ES_tradnl"/>
              </w:rPr>
              <w:t>Responsable</w:t>
            </w:r>
          </w:p>
        </w:tc>
        <w:tc>
          <w:tcPr>
            <w:tcW w:w="3118" w:type="dxa"/>
            <w:shd w:val="clear" w:color="auto" w:fill="D9D9D9"/>
          </w:tcPr>
          <w:p w14:paraId="320C56DC" w14:textId="77777777" w:rsidR="00B13F1F" w:rsidRPr="00B13F1F" w:rsidRDefault="00B13F1F" w:rsidP="00F32C22">
            <w:pPr>
              <w:jc w:val="center"/>
              <w:rPr>
                <w:b/>
                <w:bCs/>
                <w:sz w:val="18"/>
                <w:szCs w:val="18"/>
              </w:rPr>
            </w:pPr>
            <w:r w:rsidRPr="00B13F1F">
              <w:rPr>
                <w:b/>
                <w:bCs/>
                <w:sz w:val="18"/>
                <w:szCs w:val="18"/>
              </w:rPr>
              <w:t>Firma</w:t>
            </w:r>
          </w:p>
        </w:tc>
      </w:tr>
      <w:tr w:rsidR="00B13F1F" w:rsidRPr="00B13F1F" w14:paraId="2605D73F" w14:textId="77777777" w:rsidTr="00B13F1F">
        <w:trPr>
          <w:cantSplit/>
          <w:trHeight w:val="1163"/>
        </w:trPr>
        <w:tc>
          <w:tcPr>
            <w:tcW w:w="1418" w:type="dxa"/>
            <w:shd w:val="clear" w:color="auto" w:fill="auto"/>
            <w:vAlign w:val="center"/>
          </w:tcPr>
          <w:p w14:paraId="5722731C" w14:textId="77777777" w:rsidR="00B13F1F" w:rsidRPr="00B13F1F" w:rsidRDefault="00B13F1F" w:rsidP="00B13F1F">
            <w:pPr>
              <w:pStyle w:val="Tablanormal1"/>
              <w:spacing w:before="0" w:after="0" w:line="240" w:lineRule="auto"/>
              <w:ind w:left="76"/>
              <w:jc w:val="center"/>
              <w:rPr>
                <w:rFonts w:ascii="Times New Roman" w:hAnsi="Times New Roman" w:cs="Times New Roman"/>
                <w:b/>
                <w:bCs/>
              </w:rPr>
            </w:pPr>
          </w:p>
          <w:p w14:paraId="5FA6D03D" w14:textId="77777777" w:rsidR="00B13F1F" w:rsidRPr="00B13F1F" w:rsidRDefault="00B13F1F" w:rsidP="00B13F1F">
            <w:pPr>
              <w:pStyle w:val="Tablanormal1"/>
              <w:spacing w:before="0" w:after="0" w:line="240" w:lineRule="auto"/>
              <w:ind w:left="76"/>
              <w:jc w:val="center"/>
              <w:rPr>
                <w:rFonts w:ascii="Times New Roman" w:hAnsi="Times New Roman" w:cs="Times New Roman"/>
                <w:b/>
                <w:bCs/>
              </w:rPr>
            </w:pPr>
            <w:r w:rsidRPr="00B13F1F">
              <w:rPr>
                <w:rFonts w:ascii="Times New Roman" w:hAnsi="Times New Roman" w:cs="Times New Roman"/>
                <w:b/>
                <w:bCs/>
              </w:rPr>
              <w:t>Elaborado por:</w:t>
            </w:r>
          </w:p>
          <w:p w14:paraId="1D8F908D" w14:textId="77777777" w:rsidR="00B13F1F" w:rsidRPr="00B13F1F" w:rsidRDefault="00B13F1F" w:rsidP="00B13F1F">
            <w:pPr>
              <w:pStyle w:val="Tablanormal1"/>
              <w:spacing w:before="0" w:after="0" w:line="240" w:lineRule="auto"/>
              <w:ind w:left="76"/>
              <w:jc w:val="center"/>
              <w:rPr>
                <w:rFonts w:ascii="Times New Roman" w:hAnsi="Times New Roman" w:cs="Times New Roman"/>
                <w:b/>
                <w:bCs/>
              </w:rPr>
            </w:pPr>
          </w:p>
        </w:tc>
        <w:tc>
          <w:tcPr>
            <w:tcW w:w="2268" w:type="dxa"/>
            <w:vAlign w:val="center"/>
          </w:tcPr>
          <w:p w14:paraId="61358E34" w14:textId="258D50F1" w:rsidR="00B13F1F" w:rsidRPr="00B13F1F" w:rsidRDefault="00B13F1F" w:rsidP="00B13F1F">
            <w:pPr>
              <w:pStyle w:val="Tablanormal1"/>
              <w:spacing w:before="0" w:after="0" w:line="240" w:lineRule="auto"/>
              <w:rPr>
                <w:rFonts w:ascii="Times New Roman" w:hAnsi="Times New Roman" w:cs="Times New Roman"/>
              </w:rPr>
            </w:pPr>
            <w:r w:rsidRPr="00B13F1F">
              <w:rPr>
                <w:rFonts w:ascii="Times New Roman" w:hAnsi="Times New Roman" w:cs="Times New Roman"/>
              </w:rPr>
              <w:t>Área de Gestión de Bienes Inmuebles / DMGBI</w:t>
            </w:r>
          </w:p>
        </w:tc>
        <w:tc>
          <w:tcPr>
            <w:tcW w:w="2268" w:type="dxa"/>
            <w:vAlign w:val="center"/>
          </w:tcPr>
          <w:p w14:paraId="27A92347" w14:textId="26C00121" w:rsidR="00B13F1F" w:rsidRPr="00B13F1F" w:rsidRDefault="00B13F1F" w:rsidP="00B13F1F">
            <w:pPr>
              <w:pStyle w:val="Tablanormal1"/>
              <w:spacing w:before="0" w:after="0" w:line="240" w:lineRule="auto"/>
              <w:rPr>
                <w:rFonts w:ascii="Times New Roman" w:hAnsi="Times New Roman" w:cs="Times New Roman"/>
              </w:rPr>
            </w:pPr>
            <w:proofErr w:type="spellStart"/>
            <w:r w:rsidRPr="00B13F1F">
              <w:rPr>
                <w:rFonts w:ascii="Times New Roman" w:hAnsi="Times New Roman" w:cs="Times New Roman"/>
              </w:rPr>
              <w:t>M.Arch</w:t>
            </w:r>
            <w:proofErr w:type="spellEnd"/>
            <w:r w:rsidRPr="00B13F1F">
              <w:rPr>
                <w:rFonts w:ascii="Times New Roman" w:hAnsi="Times New Roman" w:cs="Times New Roman"/>
              </w:rPr>
              <w:t xml:space="preserve">. Orlando </w:t>
            </w:r>
            <w:proofErr w:type="spellStart"/>
            <w:r w:rsidRPr="00B13F1F">
              <w:rPr>
                <w:rFonts w:ascii="Times New Roman" w:hAnsi="Times New Roman" w:cs="Times New Roman"/>
              </w:rPr>
              <w:t>Quenguán</w:t>
            </w:r>
            <w:proofErr w:type="spellEnd"/>
            <w:r w:rsidR="00EA1A31">
              <w:rPr>
                <w:rFonts w:ascii="Times New Roman" w:hAnsi="Times New Roman" w:cs="Times New Roman"/>
              </w:rPr>
              <w:t xml:space="preserve"> Díaz</w:t>
            </w:r>
          </w:p>
        </w:tc>
        <w:tc>
          <w:tcPr>
            <w:tcW w:w="3118" w:type="dxa"/>
            <w:vAlign w:val="center"/>
          </w:tcPr>
          <w:p w14:paraId="0B0DA87F" w14:textId="77777777" w:rsidR="00B13F1F" w:rsidRPr="00B13F1F" w:rsidRDefault="00B13F1F" w:rsidP="00B13F1F">
            <w:pPr>
              <w:pStyle w:val="Tablanormal1"/>
              <w:tabs>
                <w:tab w:val="left" w:pos="341"/>
              </w:tabs>
              <w:spacing w:before="0" w:after="0" w:line="240" w:lineRule="auto"/>
              <w:jc w:val="center"/>
              <w:rPr>
                <w:rFonts w:ascii="Times New Roman" w:hAnsi="Times New Roman" w:cs="Times New Roman"/>
              </w:rPr>
            </w:pPr>
          </w:p>
        </w:tc>
      </w:tr>
      <w:tr w:rsidR="00B13F1F" w:rsidRPr="00B13F1F" w14:paraId="40E442A3" w14:textId="77777777" w:rsidTr="00B13F1F">
        <w:trPr>
          <w:cantSplit/>
          <w:trHeight w:val="1513"/>
        </w:trPr>
        <w:tc>
          <w:tcPr>
            <w:tcW w:w="1418" w:type="dxa"/>
            <w:shd w:val="clear" w:color="auto" w:fill="auto"/>
            <w:vAlign w:val="center"/>
          </w:tcPr>
          <w:p w14:paraId="52F8E0E8" w14:textId="77777777" w:rsidR="00B13F1F" w:rsidRPr="00B13F1F" w:rsidRDefault="00B13F1F" w:rsidP="00B13F1F">
            <w:pPr>
              <w:pStyle w:val="Tablanormal1"/>
              <w:spacing w:before="0" w:after="0" w:line="240" w:lineRule="auto"/>
              <w:ind w:left="76"/>
              <w:jc w:val="center"/>
              <w:rPr>
                <w:rFonts w:ascii="Times New Roman" w:hAnsi="Times New Roman" w:cs="Times New Roman"/>
                <w:b/>
                <w:bCs/>
              </w:rPr>
            </w:pPr>
          </w:p>
          <w:p w14:paraId="30D9052A" w14:textId="0ADE1E98" w:rsidR="00B13F1F" w:rsidRPr="00B13F1F" w:rsidRDefault="006652E8" w:rsidP="00B13F1F">
            <w:pPr>
              <w:pStyle w:val="Tablanormal1"/>
              <w:spacing w:before="0" w:after="0" w:line="240" w:lineRule="auto"/>
              <w:ind w:left="76"/>
              <w:jc w:val="center"/>
              <w:rPr>
                <w:rFonts w:ascii="Times New Roman" w:hAnsi="Times New Roman" w:cs="Times New Roman"/>
                <w:b/>
                <w:bCs/>
              </w:rPr>
            </w:pPr>
            <w:r>
              <w:rPr>
                <w:rFonts w:ascii="Times New Roman" w:hAnsi="Times New Roman" w:cs="Times New Roman"/>
                <w:b/>
                <w:bCs/>
              </w:rPr>
              <w:t>Aprobado</w:t>
            </w:r>
            <w:r w:rsidR="00B13F1F" w:rsidRPr="00B13F1F">
              <w:rPr>
                <w:rFonts w:ascii="Times New Roman" w:hAnsi="Times New Roman" w:cs="Times New Roman"/>
                <w:b/>
                <w:bCs/>
              </w:rPr>
              <w:t xml:space="preserve"> por:</w:t>
            </w:r>
          </w:p>
          <w:p w14:paraId="07A0E349" w14:textId="77777777" w:rsidR="00B13F1F" w:rsidRPr="00B13F1F" w:rsidRDefault="00B13F1F" w:rsidP="00B13F1F">
            <w:pPr>
              <w:pStyle w:val="Tablanormal1"/>
              <w:spacing w:before="0" w:after="0" w:line="240" w:lineRule="auto"/>
              <w:ind w:left="76"/>
              <w:jc w:val="center"/>
              <w:rPr>
                <w:rFonts w:ascii="Times New Roman" w:hAnsi="Times New Roman" w:cs="Times New Roman"/>
                <w:b/>
                <w:bCs/>
              </w:rPr>
            </w:pPr>
          </w:p>
        </w:tc>
        <w:tc>
          <w:tcPr>
            <w:tcW w:w="2268" w:type="dxa"/>
            <w:vAlign w:val="center"/>
          </w:tcPr>
          <w:p w14:paraId="51BA7FE8" w14:textId="41767243" w:rsidR="00B13F1F" w:rsidRPr="00B13F1F" w:rsidRDefault="006652E8" w:rsidP="006652E8">
            <w:pPr>
              <w:pStyle w:val="Tablanormal1"/>
              <w:spacing w:before="0" w:after="0" w:line="240" w:lineRule="auto"/>
              <w:rPr>
                <w:rFonts w:ascii="Times New Roman" w:hAnsi="Times New Roman" w:cs="Times New Roman"/>
              </w:rPr>
            </w:pPr>
            <w:r>
              <w:rPr>
                <w:rFonts w:ascii="Times New Roman" w:hAnsi="Times New Roman" w:cs="Times New Roman"/>
              </w:rPr>
              <w:t>Director Metropolitano de Gestión</w:t>
            </w:r>
            <w:r w:rsidR="00B13F1F" w:rsidRPr="00B13F1F">
              <w:rPr>
                <w:rFonts w:ascii="Times New Roman" w:hAnsi="Times New Roman" w:cs="Times New Roman"/>
              </w:rPr>
              <w:t xml:space="preserve"> de Bienes Inmuebles</w:t>
            </w:r>
          </w:p>
        </w:tc>
        <w:tc>
          <w:tcPr>
            <w:tcW w:w="2268" w:type="dxa"/>
            <w:vAlign w:val="center"/>
          </w:tcPr>
          <w:p w14:paraId="423C0C3C" w14:textId="74184308" w:rsidR="00B13F1F" w:rsidRPr="00B13F1F" w:rsidRDefault="006652E8" w:rsidP="00B13F1F">
            <w:pPr>
              <w:pStyle w:val="Tablanormal1"/>
              <w:spacing w:before="0" w:after="0" w:line="240" w:lineRule="auto"/>
              <w:rPr>
                <w:rFonts w:ascii="Times New Roman" w:hAnsi="Times New Roman" w:cs="Times New Roman"/>
              </w:rPr>
            </w:pPr>
            <w:r>
              <w:rPr>
                <w:rFonts w:ascii="Times New Roman" w:hAnsi="Times New Roman" w:cs="Times New Roman"/>
              </w:rPr>
              <w:t>Ing. Carlos Yépez</w:t>
            </w:r>
            <w:r w:rsidR="00B13F1F" w:rsidRPr="00B13F1F">
              <w:rPr>
                <w:rFonts w:ascii="Times New Roman" w:hAnsi="Times New Roman" w:cs="Times New Roman"/>
              </w:rPr>
              <w:t xml:space="preserve"> </w:t>
            </w:r>
            <w:r w:rsidR="00EA1A31">
              <w:rPr>
                <w:rFonts w:ascii="Times New Roman" w:hAnsi="Times New Roman" w:cs="Times New Roman"/>
              </w:rPr>
              <w:t>Díaz</w:t>
            </w:r>
          </w:p>
        </w:tc>
        <w:tc>
          <w:tcPr>
            <w:tcW w:w="3118" w:type="dxa"/>
            <w:vAlign w:val="center"/>
          </w:tcPr>
          <w:p w14:paraId="7A0585A0" w14:textId="77777777" w:rsidR="00B13F1F" w:rsidRPr="00B13F1F" w:rsidRDefault="00B13F1F" w:rsidP="00B13F1F">
            <w:pPr>
              <w:pStyle w:val="Tablanormal1"/>
              <w:tabs>
                <w:tab w:val="left" w:pos="341"/>
              </w:tabs>
              <w:spacing w:before="0" w:after="0" w:line="240" w:lineRule="auto"/>
              <w:jc w:val="center"/>
              <w:rPr>
                <w:rFonts w:ascii="Times New Roman" w:hAnsi="Times New Roman" w:cs="Times New Roman"/>
              </w:rPr>
            </w:pPr>
          </w:p>
        </w:tc>
      </w:tr>
    </w:tbl>
    <w:p w14:paraId="491F4DD3" w14:textId="77777777" w:rsidR="00486B4A" w:rsidRPr="00B35F6D" w:rsidRDefault="00486B4A" w:rsidP="00AF41E6">
      <w:pPr>
        <w:pStyle w:val="Textoindependiente"/>
        <w:widowControl w:val="0"/>
        <w:tabs>
          <w:tab w:val="left" w:pos="725"/>
        </w:tabs>
        <w:suppressAutoHyphens/>
        <w:autoSpaceDE w:val="0"/>
        <w:autoSpaceDN w:val="0"/>
        <w:adjustRightInd w:val="0"/>
        <w:ind w:right="175"/>
        <w:jc w:val="both"/>
        <w:rPr>
          <w:rFonts w:ascii="Times New Roman" w:hAnsi="Times New Roman"/>
          <w:b w:val="0"/>
          <w:color w:val="000000"/>
          <w:sz w:val="20"/>
          <w:szCs w:val="20"/>
          <w:u w:val="none"/>
        </w:rPr>
        <w:sectPr w:rsidR="00486B4A" w:rsidRPr="00B35F6D" w:rsidSect="00050D54">
          <w:headerReference w:type="default" r:id="rId8"/>
          <w:footerReference w:type="default" r:id="rId9"/>
          <w:pgSz w:w="11907" w:h="16839" w:code="9"/>
          <w:pgMar w:top="1418" w:right="1418" w:bottom="1418" w:left="1418" w:header="448" w:footer="335" w:gutter="0"/>
          <w:pgNumType w:start="1"/>
          <w:cols w:space="720"/>
          <w:docGrid w:linePitch="326"/>
        </w:sectPr>
      </w:pPr>
      <w:bookmarkStart w:id="0" w:name="_GoBack"/>
      <w:bookmarkEnd w:id="0"/>
    </w:p>
    <w:p w14:paraId="43B01AFE" w14:textId="77777777" w:rsidR="00486B4A" w:rsidRPr="00B35F6D" w:rsidRDefault="00486B4A" w:rsidP="00AF41E6">
      <w:pPr>
        <w:pStyle w:val="Textoindependiente"/>
        <w:widowControl w:val="0"/>
        <w:tabs>
          <w:tab w:val="left" w:pos="725"/>
        </w:tabs>
        <w:suppressAutoHyphens/>
        <w:autoSpaceDE w:val="0"/>
        <w:autoSpaceDN w:val="0"/>
        <w:adjustRightInd w:val="0"/>
        <w:ind w:right="175"/>
        <w:jc w:val="both"/>
        <w:rPr>
          <w:rFonts w:ascii="Times New Roman" w:hAnsi="Times New Roman"/>
          <w:b w:val="0"/>
          <w:color w:val="000000"/>
          <w:sz w:val="20"/>
          <w:szCs w:val="20"/>
          <w:u w:val="none"/>
        </w:rPr>
      </w:pPr>
    </w:p>
    <w:sectPr w:rsidR="00486B4A" w:rsidRPr="00B35F6D" w:rsidSect="00486B4A">
      <w:headerReference w:type="default" r:id="rId10"/>
      <w:footerReference w:type="default" r:id="rId11"/>
      <w:type w:val="continuous"/>
      <w:pgSz w:w="11907" w:h="16839" w:code="9"/>
      <w:pgMar w:top="1417" w:right="1701" w:bottom="1417" w:left="1701" w:header="450" w:footer="3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BF74A" w14:textId="77777777" w:rsidR="00E9461D" w:rsidRDefault="00E9461D">
      <w:r>
        <w:separator/>
      </w:r>
    </w:p>
  </w:endnote>
  <w:endnote w:type="continuationSeparator" w:id="0">
    <w:p w14:paraId="37794B73" w14:textId="77777777" w:rsidR="00E9461D" w:rsidRDefault="00E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ZapfHumnst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Bold">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2"/>
      <w:gridCol w:w="2040"/>
      <w:gridCol w:w="1392"/>
    </w:tblGrid>
    <w:tr w:rsidR="00486B4A" w14:paraId="71E5F7A1" w14:textId="77777777" w:rsidTr="00240E09">
      <w:trPr>
        <w:jc w:val="center"/>
      </w:trPr>
      <w:tc>
        <w:tcPr>
          <w:tcW w:w="2432" w:type="dxa"/>
          <w:shd w:val="clear" w:color="auto" w:fill="D9D9D9"/>
        </w:tcPr>
        <w:p w14:paraId="03AC9794" w14:textId="77777777" w:rsidR="00486B4A" w:rsidRPr="008F48CB" w:rsidRDefault="00486B4A" w:rsidP="00240E09">
          <w:pPr>
            <w:pStyle w:val="Piedepgina"/>
            <w:jc w:val="center"/>
            <w:rPr>
              <w:rFonts w:ascii="Helvetica" w:hAnsi="Helvetica" w:cs="Helvetica"/>
              <w:sz w:val="18"/>
              <w:szCs w:val="22"/>
            </w:rPr>
          </w:pPr>
          <w:r>
            <w:rPr>
              <w:rFonts w:ascii="Helvetica" w:hAnsi="Helvetica" w:cs="Helvetica"/>
              <w:sz w:val="18"/>
              <w:szCs w:val="22"/>
            </w:rPr>
            <w:t>Fecha de elaboración</w:t>
          </w:r>
        </w:p>
      </w:tc>
      <w:tc>
        <w:tcPr>
          <w:tcW w:w="2040" w:type="dxa"/>
          <w:shd w:val="clear" w:color="auto" w:fill="D9D9D9"/>
        </w:tcPr>
        <w:p w14:paraId="0F3FC7A2" w14:textId="77777777" w:rsidR="00486B4A" w:rsidRPr="008F48CB" w:rsidRDefault="00486B4A" w:rsidP="00F32C22">
          <w:pPr>
            <w:pStyle w:val="Piedepgina"/>
            <w:jc w:val="center"/>
            <w:rPr>
              <w:rFonts w:ascii="Helvetica" w:hAnsi="Helvetica" w:cs="Helvetica"/>
              <w:sz w:val="18"/>
              <w:szCs w:val="22"/>
            </w:rPr>
          </w:pPr>
          <w:r>
            <w:rPr>
              <w:rFonts w:ascii="Helvetica" w:hAnsi="Helvetica" w:cs="Helvetica"/>
              <w:sz w:val="18"/>
              <w:szCs w:val="22"/>
            </w:rPr>
            <w:t>Versión</w:t>
          </w:r>
        </w:p>
      </w:tc>
      <w:tc>
        <w:tcPr>
          <w:tcW w:w="1392" w:type="dxa"/>
          <w:vMerge w:val="restart"/>
        </w:tcPr>
        <w:p w14:paraId="1CDA548A" w14:textId="77777777" w:rsidR="00486B4A" w:rsidRDefault="00486B4A" w:rsidP="00F32C22">
          <w:pPr>
            <w:pStyle w:val="Piedepgina"/>
            <w:jc w:val="center"/>
            <w:rPr>
              <w:rFonts w:ascii="Helvetica" w:hAnsi="Helvetica" w:cs="Helvetica"/>
              <w:sz w:val="18"/>
              <w:szCs w:val="22"/>
            </w:rPr>
          </w:pPr>
        </w:p>
        <w:p w14:paraId="7EE9FEEE" w14:textId="6A421B55" w:rsidR="00486B4A" w:rsidRPr="008F48CB" w:rsidRDefault="00486B4A" w:rsidP="00F32C22">
          <w:pPr>
            <w:pStyle w:val="Piedepgina"/>
            <w:jc w:val="center"/>
            <w:rPr>
              <w:rFonts w:ascii="Helvetica" w:hAnsi="Helvetica" w:cs="Helvetica"/>
              <w:sz w:val="18"/>
              <w:szCs w:val="22"/>
            </w:rPr>
          </w:pPr>
          <w:r w:rsidRPr="008F48CB">
            <w:rPr>
              <w:rFonts w:ascii="Helvetica" w:hAnsi="Helvetica" w:cs="Helvetica"/>
              <w:sz w:val="18"/>
              <w:szCs w:val="22"/>
            </w:rPr>
            <w:t xml:space="preserve">Página </w:t>
          </w:r>
          <w:r w:rsidRPr="008F48CB">
            <w:rPr>
              <w:rFonts w:ascii="Helvetica" w:hAnsi="Helvetica" w:cs="Helvetica"/>
              <w:b/>
              <w:sz w:val="18"/>
              <w:szCs w:val="22"/>
            </w:rPr>
            <w:fldChar w:fldCharType="begin"/>
          </w:r>
          <w:r>
            <w:rPr>
              <w:rFonts w:ascii="Helvetica" w:hAnsi="Helvetica" w:cs="Helvetica"/>
              <w:b/>
              <w:sz w:val="18"/>
              <w:szCs w:val="22"/>
            </w:rPr>
            <w:instrText>PAGE</w:instrText>
          </w:r>
          <w:r w:rsidRPr="008F48CB">
            <w:rPr>
              <w:rFonts w:ascii="Helvetica" w:hAnsi="Helvetica" w:cs="Helvetica"/>
              <w:b/>
              <w:sz w:val="18"/>
              <w:szCs w:val="22"/>
            </w:rPr>
            <w:instrText xml:space="preserve">  \* Arabic  \* MERGEFORMAT</w:instrText>
          </w:r>
          <w:r w:rsidRPr="008F48CB">
            <w:rPr>
              <w:rFonts w:ascii="Helvetica" w:hAnsi="Helvetica" w:cs="Helvetica"/>
              <w:b/>
              <w:sz w:val="18"/>
              <w:szCs w:val="22"/>
            </w:rPr>
            <w:fldChar w:fldCharType="separate"/>
          </w:r>
          <w:r w:rsidR="00BA646A">
            <w:rPr>
              <w:rFonts w:ascii="Helvetica" w:hAnsi="Helvetica" w:cs="Helvetica"/>
              <w:b/>
              <w:noProof/>
              <w:sz w:val="18"/>
              <w:szCs w:val="22"/>
            </w:rPr>
            <w:t>2</w:t>
          </w:r>
          <w:r w:rsidRPr="008F48CB">
            <w:rPr>
              <w:rFonts w:ascii="Helvetica" w:hAnsi="Helvetica" w:cs="Helvetica"/>
              <w:b/>
              <w:sz w:val="18"/>
              <w:szCs w:val="22"/>
            </w:rPr>
            <w:fldChar w:fldCharType="end"/>
          </w:r>
          <w:r w:rsidRPr="008F48CB">
            <w:rPr>
              <w:rFonts w:ascii="Helvetica" w:hAnsi="Helvetica" w:cs="Helvetica"/>
              <w:sz w:val="18"/>
              <w:szCs w:val="22"/>
            </w:rPr>
            <w:t xml:space="preserve"> de </w:t>
          </w:r>
          <w:r w:rsidRPr="008F48CB">
            <w:rPr>
              <w:rFonts w:ascii="Helvetica" w:hAnsi="Helvetica" w:cs="Helvetica"/>
              <w:b/>
              <w:sz w:val="18"/>
              <w:szCs w:val="22"/>
            </w:rPr>
            <w:fldChar w:fldCharType="begin"/>
          </w:r>
          <w:r>
            <w:rPr>
              <w:rFonts w:ascii="Helvetica" w:hAnsi="Helvetica" w:cs="Helvetica"/>
              <w:b/>
              <w:sz w:val="18"/>
              <w:szCs w:val="22"/>
            </w:rPr>
            <w:instrText>NUMPAGES</w:instrText>
          </w:r>
          <w:r w:rsidRPr="008F48CB">
            <w:rPr>
              <w:rFonts w:ascii="Helvetica" w:hAnsi="Helvetica" w:cs="Helvetica"/>
              <w:b/>
              <w:sz w:val="18"/>
              <w:szCs w:val="22"/>
            </w:rPr>
            <w:instrText xml:space="preserve">  \* Arabic  \* MERGEFORMAT</w:instrText>
          </w:r>
          <w:r w:rsidRPr="008F48CB">
            <w:rPr>
              <w:rFonts w:ascii="Helvetica" w:hAnsi="Helvetica" w:cs="Helvetica"/>
              <w:b/>
              <w:sz w:val="18"/>
              <w:szCs w:val="22"/>
            </w:rPr>
            <w:fldChar w:fldCharType="separate"/>
          </w:r>
          <w:r w:rsidR="00BA646A">
            <w:rPr>
              <w:rFonts w:ascii="Helvetica" w:hAnsi="Helvetica" w:cs="Helvetica"/>
              <w:b/>
              <w:noProof/>
              <w:sz w:val="18"/>
              <w:szCs w:val="22"/>
            </w:rPr>
            <w:t>6</w:t>
          </w:r>
          <w:r w:rsidRPr="008F48CB">
            <w:rPr>
              <w:rFonts w:ascii="Helvetica" w:hAnsi="Helvetica" w:cs="Helvetica"/>
              <w:b/>
              <w:sz w:val="18"/>
              <w:szCs w:val="22"/>
            </w:rPr>
            <w:fldChar w:fldCharType="end"/>
          </w:r>
        </w:p>
      </w:tc>
    </w:tr>
    <w:tr w:rsidR="00486B4A" w14:paraId="51D6D6D8" w14:textId="77777777" w:rsidTr="00240E09">
      <w:trPr>
        <w:jc w:val="center"/>
      </w:trPr>
      <w:tc>
        <w:tcPr>
          <w:tcW w:w="2432" w:type="dxa"/>
        </w:tcPr>
        <w:p w14:paraId="1E59CF68" w14:textId="25DF2ECC" w:rsidR="00486B4A" w:rsidRPr="008959C2" w:rsidRDefault="00486B4A" w:rsidP="00264DAC">
          <w:pPr>
            <w:pStyle w:val="Piedepgina"/>
            <w:tabs>
              <w:tab w:val="left" w:pos="585"/>
            </w:tabs>
            <w:jc w:val="center"/>
            <w:rPr>
              <w:rFonts w:ascii="Garamond" w:hAnsi="Garamond"/>
              <w:sz w:val="22"/>
              <w:szCs w:val="22"/>
            </w:rPr>
          </w:pPr>
          <w:r w:rsidRPr="008959C2">
            <w:rPr>
              <w:rFonts w:ascii="Garamond" w:hAnsi="Garamond"/>
              <w:sz w:val="22"/>
              <w:szCs w:val="22"/>
            </w:rPr>
            <w:fldChar w:fldCharType="begin"/>
          </w:r>
          <w:r w:rsidRPr="008959C2">
            <w:rPr>
              <w:rFonts w:ascii="Garamond" w:hAnsi="Garamond"/>
              <w:sz w:val="22"/>
              <w:szCs w:val="22"/>
            </w:rPr>
            <w:instrText xml:space="preserve"> </w:instrText>
          </w:r>
          <w:r>
            <w:rPr>
              <w:rFonts w:ascii="Garamond" w:hAnsi="Garamond"/>
              <w:sz w:val="22"/>
              <w:szCs w:val="22"/>
            </w:rPr>
            <w:instrText>TIME</w:instrText>
          </w:r>
          <w:r w:rsidRPr="008959C2">
            <w:rPr>
              <w:rFonts w:ascii="Garamond" w:hAnsi="Garamond"/>
              <w:sz w:val="22"/>
              <w:szCs w:val="22"/>
            </w:rPr>
            <w:instrText xml:space="preserve"> \@ "</w:instrText>
          </w:r>
          <w:r>
            <w:rPr>
              <w:rFonts w:ascii="Garamond" w:hAnsi="Garamond"/>
              <w:sz w:val="22"/>
              <w:szCs w:val="22"/>
            </w:rPr>
            <w:instrText>dd/MM/yy</w:instrText>
          </w:r>
          <w:r w:rsidRPr="008959C2">
            <w:rPr>
              <w:rFonts w:ascii="Garamond" w:hAnsi="Garamond"/>
              <w:sz w:val="22"/>
              <w:szCs w:val="22"/>
            </w:rPr>
            <w:instrText xml:space="preserve">" </w:instrText>
          </w:r>
          <w:r w:rsidRPr="008959C2">
            <w:rPr>
              <w:rFonts w:ascii="Garamond" w:hAnsi="Garamond"/>
              <w:sz w:val="22"/>
              <w:szCs w:val="22"/>
            </w:rPr>
            <w:fldChar w:fldCharType="separate"/>
          </w:r>
          <w:r w:rsidR="008F4EF6">
            <w:rPr>
              <w:rFonts w:ascii="Garamond" w:hAnsi="Garamond"/>
              <w:noProof/>
              <w:sz w:val="22"/>
              <w:szCs w:val="22"/>
            </w:rPr>
            <w:t>28/03/22</w:t>
          </w:r>
          <w:r w:rsidRPr="008959C2">
            <w:rPr>
              <w:rFonts w:ascii="Garamond" w:hAnsi="Garamond"/>
              <w:sz w:val="22"/>
              <w:szCs w:val="22"/>
            </w:rPr>
            <w:fldChar w:fldCharType="end"/>
          </w:r>
        </w:p>
      </w:tc>
      <w:tc>
        <w:tcPr>
          <w:tcW w:w="2040" w:type="dxa"/>
        </w:tcPr>
        <w:p w14:paraId="76767C41" w14:textId="77777777" w:rsidR="00486B4A" w:rsidRPr="004B601F" w:rsidRDefault="00486B4A" w:rsidP="004B601F">
          <w:pPr>
            <w:pStyle w:val="Piedepgina"/>
            <w:jc w:val="center"/>
            <w:rPr>
              <w:rFonts w:ascii="Garamond" w:hAnsi="Garamond"/>
            </w:rPr>
          </w:pPr>
          <w:r w:rsidRPr="004B601F">
            <w:rPr>
              <w:rFonts w:ascii="Garamond" w:hAnsi="Garamond"/>
            </w:rPr>
            <w:t>1.0</w:t>
          </w:r>
        </w:p>
      </w:tc>
      <w:tc>
        <w:tcPr>
          <w:tcW w:w="1392" w:type="dxa"/>
          <w:vMerge/>
        </w:tcPr>
        <w:p w14:paraId="3A89C1A6" w14:textId="77777777" w:rsidR="00486B4A" w:rsidRPr="00DC7173" w:rsidRDefault="00486B4A" w:rsidP="00F32C22">
          <w:pPr>
            <w:pStyle w:val="Piedepgina"/>
            <w:jc w:val="center"/>
            <w:rPr>
              <w:rFonts w:ascii="Garamond" w:hAnsi="Garamond"/>
              <w:sz w:val="14"/>
              <w:szCs w:val="14"/>
            </w:rPr>
          </w:pPr>
        </w:p>
      </w:tc>
    </w:tr>
  </w:tbl>
  <w:p w14:paraId="39FCF8A2" w14:textId="77777777" w:rsidR="00486B4A" w:rsidRDefault="00486B4A" w:rsidP="00D82132">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2"/>
      <w:gridCol w:w="2040"/>
      <w:gridCol w:w="1392"/>
    </w:tblGrid>
    <w:tr w:rsidR="001D7B26" w14:paraId="35AFEBDE" w14:textId="77777777" w:rsidTr="00240E09">
      <w:trPr>
        <w:jc w:val="center"/>
      </w:trPr>
      <w:tc>
        <w:tcPr>
          <w:tcW w:w="2432" w:type="dxa"/>
          <w:shd w:val="clear" w:color="auto" w:fill="D9D9D9"/>
        </w:tcPr>
        <w:p w14:paraId="4B360021" w14:textId="77777777" w:rsidR="001D7B26" w:rsidRPr="008F48CB" w:rsidRDefault="001D7B26" w:rsidP="00240E09">
          <w:pPr>
            <w:pStyle w:val="Piedepgina"/>
            <w:jc w:val="center"/>
            <w:rPr>
              <w:rFonts w:ascii="Helvetica" w:hAnsi="Helvetica" w:cs="Helvetica"/>
              <w:sz w:val="18"/>
              <w:szCs w:val="22"/>
            </w:rPr>
          </w:pPr>
          <w:r>
            <w:rPr>
              <w:rFonts w:ascii="Helvetica" w:hAnsi="Helvetica" w:cs="Helvetica"/>
              <w:sz w:val="18"/>
              <w:szCs w:val="22"/>
            </w:rPr>
            <w:t>Fecha de elaboración</w:t>
          </w:r>
        </w:p>
      </w:tc>
      <w:tc>
        <w:tcPr>
          <w:tcW w:w="2040" w:type="dxa"/>
          <w:shd w:val="clear" w:color="auto" w:fill="D9D9D9"/>
        </w:tcPr>
        <w:p w14:paraId="71AFDF75" w14:textId="77777777" w:rsidR="001D7B26" w:rsidRPr="008F48CB" w:rsidRDefault="001D7B26" w:rsidP="00F32C22">
          <w:pPr>
            <w:pStyle w:val="Piedepgina"/>
            <w:jc w:val="center"/>
            <w:rPr>
              <w:rFonts w:ascii="Helvetica" w:hAnsi="Helvetica" w:cs="Helvetica"/>
              <w:sz w:val="18"/>
              <w:szCs w:val="22"/>
            </w:rPr>
          </w:pPr>
          <w:r>
            <w:rPr>
              <w:rFonts w:ascii="Helvetica" w:hAnsi="Helvetica" w:cs="Helvetica"/>
              <w:sz w:val="18"/>
              <w:szCs w:val="22"/>
            </w:rPr>
            <w:t>Versión</w:t>
          </w:r>
        </w:p>
      </w:tc>
      <w:tc>
        <w:tcPr>
          <w:tcW w:w="1392" w:type="dxa"/>
          <w:vMerge w:val="restart"/>
        </w:tcPr>
        <w:p w14:paraId="031C73CF" w14:textId="77777777" w:rsidR="001D7B26" w:rsidRDefault="001D7B26" w:rsidP="00F32C22">
          <w:pPr>
            <w:pStyle w:val="Piedepgina"/>
            <w:jc w:val="center"/>
            <w:rPr>
              <w:rFonts w:ascii="Helvetica" w:hAnsi="Helvetica" w:cs="Helvetica"/>
              <w:sz w:val="18"/>
              <w:szCs w:val="22"/>
            </w:rPr>
          </w:pPr>
        </w:p>
        <w:p w14:paraId="759379AE" w14:textId="792E0B4B" w:rsidR="001D7B26" w:rsidRPr="008F48CB" w:rsidRDefault="001D7B26" w:rsidP="00F32C22">
          <w:pPr>
            <w:pStyle w:val="Piedepgina"/>
            <w:jc w:val="center"/>
            <w:rPr>
              <w:rFonts w:ascii="Helvetica" w:hAnsi="Helvetica" w:cs="Helvetica"/>
              <w:sz w:val="18"/>
              <w:szCs w:val="22"/>
            </w:rPr>
          </w:pPr>
          <w:r w:rsidRPr="008F48CB">
            <w:rPr>
              <w:rFonts w:ascii="Helvetica" w:hAnsi="Helvetica" w:cs="Helvetica"/>
              <w:sz w:val="18"/>
              <w:szCs w:val="22"/>
            </w:rPr>
            <w:t xml:space="preserve">Página </w:t>
          </w:r>
          <w:r w:rsidRPr="008F48CB">
            <w:rPr>
              <w:rFonts w:ascii="Helvetica" w:hAnsi="Helvetica" w:cs="Helvetica"/>
              <w:b/>
              <w:sz w:val="18"/>
              <w:szCs w:val="22"/>
            </w:rPr>
            <w:fldChar w:fldCharType="begin"/>
          </w:r>
          <w:r>
            <w:rPr>
              <w:rFonts w:ascii="Helvetica" w:hAnsi="Helvetica" w:cs="Helvetica"/>
              <w:b/>
              <w:sz w:val="18"/>
              <w:szCs w:val="22"/>
            </w:rPr>
            <w:instrText>PAGE</w:instrText>
          </w:r>
          <w:r w:rsidRPr="008F48CB">
            <w:rPr>
              <w:rFonts w:ascii="Helvetica" w:hAnsi="Helvetica" w:cs="Helvetica"/>
              <w:b/>
              <w:sz w:val="18"/>
              <w:szCs w:val="22"/>
            </w:rPr>
            <w:instrText xml:space="preserve">  \* Arabic  \* MERGEFORMAT</w:instrText>
          </w:r>
          <w:r w:rsidRPr="008F48CB">
            <w:rPr>
              <w:rFonts w:ascii="Helvetica" w:hAnsi="Helvetica" w:cs="Helvetica"/>
              <w:b/>
              <w:sz w:val="18"/>
              <w:szCs w:val="22"/>
            </w:rPr>
            <w:fldChar w:fldCharType="separate"/>
          </w:r>
          <w:r w:rsidR="00DC1325">
            <w:rPr>
              <w:rFonts w:ascii="Helvetica" w:hAnsi="Helvetica" w:cs="Helvetica"/>
              <w:b/>
              <w:noProof/>
              <w:sz w:val="18"/>
              <w:szCs w:val="22"/>
            </w:rPr>
            <w:t>1</w:t>
          </w:r>
          <w:r w:rsidRPr="008F48CB">
            <w:rPr>
              <w:rFonts w:ascii="Helvetica" w:hAnsi="Helvetica" w:cs="Helvetica"/>
              <w:b/>
              <w:sz w:val="18"/>
              <w:szCs w:val="22"/>
            </w:rPr>
            <w:fldChar w:fldCharType="end"/>
          </w:r>
          <w:r w:rsidRPr="008F48CB">
            <w:rPr>
              <w:rFonts w:ascii="Helvetica" w:hAnsi="Helvetica" w:cs="Helvetica"/>
              <w:sz w:val="18"/>
              <w:szCs w:val="22"/>
            </w:rPr>
            <w:t xml:space="preserve"> de </w:t>
          </w:r>
          <w:r w:rsidRPr="008F48CB">
            <w:rPr>
              <w:rFonts w:ascii="Helvetica" w:hAnsi="Helvetica" w:cs="Helvetica"/>
              <w:b/>
              <w:sz w:val="18"/>
              <w:szCs w:val="22"/>
            </w:rPr>
            <w:fldChar w:fldCharType="begin"/>
          </w:r>
          <w:r>
            <w:rPr>
              <w:rFonts w:ascii="Helvetica" w:hAnsi="Helvetica" w:cs="Helvetica"/>
              <w:b/>
              <w:sz w:val="18"/>
              <w:szCs w:val="22"/>
            </w:rPr>
            <w:instrText>NUMPAGES</w:instrText>
          </w:r>
          <w:r w:rsidRPr="008F48CB">
            <w:rPr>
              <w:rFonts w:ascii="Helvetica" w:hAnsi="Helvetica" w:cs="Helvetica"/>
              <w:b/>
              <w:sz w:val="18"/>
              <w:szCs w:val="22"/>
            </w:rPr>
            <w:instrText xml:space="preserve">  \* Arabic  \* MERGEFORMAT</w:instrText>
          </w:r>
          <w:r w:rsidRPr="008F48CB">
            <w:rPr>
              <w:rFonts w:ascii="Helvetica" w:hAnsi="Helvetica" w:cs="Helvetica"/>
              <w:b/>
              <w:sz w:val="18"/>
              <w:szCs w:val="22"/>
            </w:rPr>
            <w:fldChar w:fldCharType="separate"/>
          </w:r>
          <w:r w:rsidR="00DC1325">
            <w:rPr>
              <w:rFonts w:ascii="Helvetica" w:hAnsi="Helvetica" w:cs="Helvetica"/>
              <w:b/>
              <w:noProof/>
              <w:sz w:val="18"/>
              <w:szCs w:val="22"/>
            </w:rPr>
            <w:t>5</w:t>
          </w:r>
          <w:r w:rsidRPr="008F48CB">
            <w:rPr>
              <w:rFonts w:ascii="Helvetica" w:hAnsi="Helvetica" w:cs="Helvetica"/>
              <w:b/>
              <w:sz w:val="18"/>
              <w:szCs w:val="22"/>
            </w:rPr>
            <w:fldChar w:fldCharType="end"/>
          </w:r>
        </w:p>
      </w:tc>
    </w:tr>
    <w:tr w:rsidR="001D7B26" w14:paraId="151DCA1B" w14:textId="77777777" w:rsidTr="00240E09">
      <w:trPr>
        <w:jc w:val="center"/>
      </w:trPr>
      <w:tc>
        <w:tcPr>
          <w:tcW w:w="2432" w:type="dxa"/>
        </w:tcPr>
        <w:p w14:paraId="38F88488" w14:textId="26D71479" w:rsidR="001D7B26" w:rsidRPr="008959C2" w:rsidRDefault="001D7B26" w:rsidP="00264DAC">
          <w:pPr>
            <w:pStyle w:val="Piedepgina"/>
            <w:tabs>
              <w:tab w:val="left" w:pos="585"/>
            </w:tabs>
            <w:jc w:val="center"/>
            <w:rPr>
              <w:rFonts w:ascii="Garamond" w:hAnsi="Garamond"/>
              <w:sz w:val="22"/>
              <w:szCs w:val="22"/>
            </w:rPr>
          </w:pPr>
          <w:r w:rsidRPr="008959C2">
            <w:rPr>
              <w:rFonts w:ascii="Garamond" w:hAnsi="Garamond"/>
              <w:sz w:val="22"/>
              <w:szCs w:val="22"/>
            </w:rPr>
            <w:fldChar w:fldCharType="begin"/>
          </w:r>
          <w:r w:rsidRPr="008959C2">
            <w:rPr>
              <w:rFonts w:ascii="Garamond" w:hAnsi="Garamond"/>
              <w:sz w:val="22"/>
              <w:szCs w:val="22"/>
            </w:rPr>
            <w:instrText xml:space="preserve"> </w:instrText>
          </w:r>
          <w:r>
            <w:rPr>
              <w:rFonts w:ascii="Garamond" w:hAnsi="Garamond"/>
              <w:sz w:val="22"/>
              <w:szCs w:val="22"/>
            </w:rPr>
            <w:instrText>TIME</w:instrText>
          </w:r>
          <w:r w:rsidRPr="008959C2">
            <w:rPr>
              <w:rFonts w:ascii="Garamond" w:hAnsi="Garamond"/>
              <w:sz w:val="22"/>
              <w:szCs w:val="22"/>
            </w:rPr>
            <w:instrText xml:space="preserve"> \@ "</w:instrText>
          </w:r>
          <w:r>
            <w:rPr>
              <w:rFonts w:ascii="Garamond" w:hAnsi="Garamond"/>
              <w:sz w:val="22"/>
              <w:szCs w:val="22"/>
            </w:rPr>
            <w:instrText>dd/MM/yy</w:instrText>
          </w:r>
          <w:r w:rsidRPr="008959C2">
            <w:rPr>
              <w:rFonts w:ascii="Garamond" w:hAnsi="Garamond"/>
              <w:sz w:val="22"/>
              <w:szCs w:val="22"/>
            </w:rPr>
            <w:instrText xml:space="preserve">" </w:instrText>
          </w:r>
          <w:r w:rsidRPr="008959C2">
            <w:rPr>
              <w:rFonts w:ascii="Garamond" w:hAnsi="Garamond"/>
              <w:sz w:val="22"/>
              <w:szCs w:val="22"/>
            </w:rPr>
            <w:fldChar w:fldCharType="separate"/>
          </w:r>
          <w:r w:rsidR="008F4EF6">
            <w:rPr>
              <w:rFonts w:ascii="Garamond" w:hAnsi="Garamond"/>
              <w:noProof/>
              <w:sz w:val="22"/>
              <w:szCs w:val="22"/>
            </w:rPr>
            <w:t>28/03/22</w:t>
          </w:r>
          <w:r w:rsidRPr="008959C2">
            <w:rPr>
              <w:rFonts w:ascii="Garamond" w:hAnsi="Garamond"/>
              <w:sz w:val="22"/>
              <w:szCs w:val="22"/>
            </w:rPr>
            <w:fldChar w:fldCharType="end"/>
          </w:r>
        </w:p>
      </w:tc>
      <w:tc>
        <w:tcPr>
          <w:tcW w:w="2040" w:type="dxa"/>
        </w:tcPr>
        <w:p w14:paraId="310129ED" w14:textId="77777777" w:rsidR="001D7B26" w:rsidRPr="004B601F" w:rsidRDefault="001D7B26" w:rsidP="004B601F">
          <w:pPr>
            <w:pStyle w:val="Piedepgina"/>
            <w:jc w:val="center"/>
            <w:rPr>
              <w:rFonts w:ascii="Garamond" w:hAnsi="Garamond"/>
            </w:rPr>
          </w:pPr>
          <w:r w:rsidRPr="004B601F">
            <w:rPr>
              <w:rFonts w:ascii="Garamond" w:hAnsi="Garamond"/>
            </w:rPr>
            <w:t>1.0</w:t>
          </w:r>
        </w:p>
      </w:tc>
      <w:tc>
        <w:tcPr>
          <w:tcW w:w="1392" w:type="dxa"/>
          <w:vMerge/>
        </w:tcPr>
        <w:p w14:paraId="14B23EBE" w14:textId="77777777" w:rsidR="001D7B26" w:rsidRPr="00DC7173" w:rsidRDefault="001D7B26" w:rsidP="00F32C22">
          <w:pPr>
            <w:pStyle w:val="Piedepgina"/>
            <w:jc w:val="center"/>
            <w:rPr>
              <w:rFonts w:ascii="Garamond" w:hAnsi="Garamond"/>
              <w:sz w:val="14"/>
              <w:szCs w:val="14"/>
            </w:rPr>
          </w:pPr>
        </w:p>
      </w:tc>
    </w:tr>
  </w:tbl>
  <w:p w14:paraId="32DF216F" w14:textId="77777777" w:rsidR="001D7B26" w:rsidRDefault="001D7B26" w:rsidP="00D82132">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704E7" w14:textId="77777777" w:rsidR="00E9461D" w:rsidRDefault="00E9461D">
      <w:r>
        <w:separator/>
      </w:r>
    </w:p>
  </w:footnote>
  <w:footnote w:type="continuationSeparator" w:id="0">
    <w:p w14:paraId="281C8187" w14:textId="77777777" w:rsidR="00E9461D" w:rsidRDefault="00E9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8DB05" w14:textId="77777777" w:rsidR="00486B4A" w:rsidRDefault="00486B4A">
    <w:pPr>
      <w:pStyle w:val="Encabezado"/>
    </w:pPr>
    <w:r>
      <w:t xml:space="preserve">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529"/>
      <w:gridCol w:w="1842"/>
    </w:tblGrid>
    <w:tr w:rsidR="00486B4A" w:rsidRPr="00BB0EE8" w14:paraId="232B08AB" w14:textId="77777777" w:rsidTr="00730631">
      <w:trPr>
        <w:trHeight w:val="397"/>
        <w:jc w:val="center"/>
      </w:trPr>
      <w:tc>
        <w:tcPr>
          <w:tcW w:w="2410" w:type="dxa"/>
          <w:vMerge w:val="restart"/>
          <w:tcBorders>
            <w:top w:val="single" w:sz="4" w:space="0" w:color="auto"/>
            <w:left w:val="single" w:sz="4" w:space="0" w:color="auto"/>
            <w:right w:val="single" w:sz="4" w:space="0" w:color="auto"/>
          </w:tcBorders>
          <w:vAlign w:val="center"/>
        </w:tcPr>
        <w:p w14:paraId="09E718C6" w14:textId="77777777" w:rsidR="00486B4A" w:rsidRPr="00CE4DAF" w:rsidRDefault="00486B4A" w:rsidP="00CE4DAF">
          <w:pPr>
            <w:pStyle w:val="Encabezado"/>
            <w:jc w:val="center"/>
            <w:rPr>
              <w:rFonts w:ascii="Helvetica" w:hAnsi="Helvetica" w:cs="Helvetica"/>
              <w:b/>
              <w:bCs/>
              <w:color w:val="000000"/>
              <w:sz w:val="22"/>
              <w:szCs w:val="22"/>
            </w:rPr>
          </w:pPr>
          <w:r w:rsidRPr="00730631">
            <w:rPr>
              <w:noProof/>
              <w:lang w:val="es-EC" w:eastAsia="es-EC"/>
            </w:rPr>
            <w:drawing>
              <wp:inline distT="0" distB="0" distL="0" distR="0" wp14:anchorId="084D8A6F" wp14:editId="21C48909">
                <wp:extent cx="1242060" cy="407581"/>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2060" cy="407581"/>
                        </a:xfrm>
                        <a:prstGeom prst="rect">
                          <a:avLst/>
                        </a:prstGeom>
                        <a:noFill/>
                        <a:ln>
                          <a:noFill/>
                        </a:ln>
                      </pic:spPr>
                    </pic:pic>
                  </a:graphicData>
                </a:graphic>
              </wp:inline>
            </w:drawing>
          </w:r>
        </w:p>
      </w:tc>
      <w:tc>
        <w:tcPr>
          <w:tcW w:w="5529" w:type="dxa"/>
          <w:tcBorders>
            <w:left w:val="single" w:sz="4" w:space="0" w:color="auto"/>
            <w:right w:val="single" w:sz="4" w:space="0" w:color="auto"/>
          </w:tcBorders>
          <w:vAlign w:val="center"/>
        </w:tcPr>
        <w:p w14:paraId="01AE2220" w14:textId="77777777" w:rsidR="00486B4A" w:rsidRPr="00240E09" w:rsidRDefault="00486B4A" w:rsidP="00C92D35">
          <w:pPr>
            <w:pStyle w:val="Encabezado"/>
            <w:jc w:val="center"/>
            <w:rPr>
              <w:rFonts w:ascii="Helvetica" w:hAnsi="Helvetica" w:cs="Helvetica"/>
              <w:b/>
              <w:sz w:val="16"/>
              <w:szCs w:val="16"/>
            </w:rPr>
          </w:pPr>
          <w:r>
            <w:rPr>
              <w:rFonts w:ascii="Helvetica" w:hAnsi="Helvetica" w:cs="Helvetica"/>
              <w:b/>
              <w:sz w:val="16"/>
              <w:szCs w:val="16"/>
            </w:rPr>
            <w:t>DIRECCIÓN METROPOLITANA DE GESTIÓN DE BIENES INMUEBLES</w:t>
          </w:r>
        </w:p>
      </w:tc>
      <w:tc>
        <w:tcPr>
          <w:tcW w:w="1842" w:type="dxa"/>
          <w:vMerge w:val="restart"/>
          <w:tcBorders>
            <w:top w:val="single" w:sz="4" w:space="0" w:color="auto"/>
            <w:left w:val="single" w:sz="4" w:space="0" w:color="auto"/>
            <w:right w:val="single" w:sz="4" w:space="0" w:color="auto"/>
          </w:tcBorders>
          <w:vAlign w:val="center"/>
        </w:tcPr>
        <w:p w14:paraId="105FCFF6" w14:textId="77777777" w:rsidR="00486B4A" w:rsidRPr="00240E09" w:rsidRDefault="00486B4A" w:rsidP="00240E09">
          <w:pPr>
            <w:pStyle w:val="Encabezado"/>
            <w:jc w:val="center"/>
            <w:rPr>
              <w:rFonts w:ascii="Helvetica" w:hAnsi="Helvetica" w:cs="Helvetica"/>
              <w:b/>
              <w:sz w:val="16"/>
              <w:szCs w:val="16"/>
            </w:rPr>
          </w:pPr>
          <w:r w:rsidRPr="00240E09">
            <w:rPr>
              <w:rFonts w:ascii="Helvetica" w:hAnsi="Helvetica" w:cs="Helvetica"/>
              <w:b/>
              <w:sz w:val="16"/>
              <w:szCs w:val="16"/>
            </w:rPr>
            <w:t>CODIGO:</w:t>
          </w:r>
        </w:p>
        <w:p w14:paraId="46B9DBE6" w14:textId="77777777" w:rsidR="00486B4A" w:rsidRPr="00240E09" w:rsidRDefault="00486B4A" w:rsidP="00240E09">
          <w:pPr>
            <w:pStyle w:val="Encabezado"/>
            <w:jc w:val="center"/>
            <w:rPr>
              <w:rFonts w:ascii="Helvetica" w:hAnsi="Helvetica" w:cs="Helvetica"/>
              <w:b/>
              <w:sz w:val="16"/>
              <w:szCs w:val="16"/>
            </w:rPr>
          </w:pPr>
        </w:p>
        <w:p w14:paraId="6335D4A1" w14:textId="63C410E3" w:rsidR="00486B4A" w:rsidRPr="00240E09" w:rsidRDefault="00486B4A" w:rsidP="00BE5D00">
          <w:pPr>
            <w:pStyle w:val="Encabezado"/>
            <w:jc w:val="center"/>
            <w:rPr>
              <w:rFonts w:ascii="Helvetica" w:hAnsi="Helvetica" w:cs="Helvetica"/>
              <w:b/>
              <w:sz w:val="16"/>
              <w:szCs w:val="16"/>
            </w:rPr>
          </w:pPr>
          <w:r w:rsidRPr="009B7329">
            <w:rPr>
              <w:rFonts w:ascii="Helvetica" w:hAnsi="Helvetica" w:cs="Helvetica"/>
              <w:b/>
              <w:noProof/>
              <w:sz w:val="14"/>
              <w:szCs w:val="16"/>
            </w:rPr>
            <w:t>DMGBI-AT-2022-0</w:t>
          </w:r>
          <w:r w:rsidR="00F04D74">
            <w:rPr>
              <w:rFonts w:ascii="Helvetica" w:hAnsi="Helvetica" w:cs="Helvetica"/>
              <w:b/>
              <w:noProof/>
              <w:sz w:val="14"/>
              <w:szCs w:val="16"/>
            </w:rPr>
            <w:t>9</w:t>
          </w:r>
          <w:r w:rsidR="00BE5D00">
            <w:rPr>
              <w:rFonts w:ascii="Helvetica" w:hAnsi="Helvetica" w:cs="Helvetica"/>
              <w:b/>
              <w:noProof/>
              <w:sz w:val="14"/>
              <w:szCs w:val="16"/>
            </w:rPr>
            <w:t>3</w:t>
          </w:r>
        </w:p>
      </w:tc>
    </w:tr>
    <w:tr w:rsidR="00486B4A" w:rsidRPr="00BB0EE8" w14:paraId="09F5D633" w14:textId="77777777" w:rsidTr="00730631">
      <w:trPr>
        <w:trHeight w:val="349"/>
        <w:jc w:val="center"/>
      </w:trPr>
      <w:tc>
        <w:tcPr>
          <w:tcW w:w="2410" w:type="dxa"/>
          <w:vMerge/>
          <w:tcBorders>
            <w:left w:val="single" w:sz="4" w:space="0" w:color="auto"/>
            <w:bottom w:val="single" w:sz="4" w:space="0" w:color="auto"/>
            <w:right w:val="single" w:sz="4" w:space="0" w:color="auto"/>
          </w:tcBorders>
          <w:vAlign w:val="center"/>
        </w:tcPr>
        <w:p w14:paraId="44F85C57" w14:textId="77777777" w:rsidR="00486B4A" w:rsidRPr="00BB0EE8" w:rsidRDefault="00486B4A" w:rsidP="00B27315">
          <w:pPr>
            <w:pStyle w:val="Encabezado"/>
            <w:rPr>
              <w:rFonts w:ascii="Helvetica" w:hAnsi="Helvetica" w:cs="Helvetica"/>
              <w:sz w:val="16"/>
              <w:szCs w:val="16"/>
            </w:rPr>
          </w:pPr>
        </w:p>
      </w:tc>
      <w:tc>
        <w:tcPr>
          <w:tcW w:w="5529" w:type="dxa"/>
          <w:tcBorders>
            <w:left w:val="single" w:sz="4" w:space="0" w:color="auto"/>
            <w:right w:val="single" w:sz="4" w:space="0" w:color="auto"/>
          </w:tcBorders>
          <w:vAlign w:val="center"/>
        </w:tcPr>
        <w:p w14:paraId="06FB55BE" w14:textId="77777777" w:rsidR="00486B4A" w:rsidRPr="00240E09" w:rsidRDefault="00486B4A" w:rsidP="00730631">
          <w:pPr>
            <w:pStyle w:val="Encabezado"/>
            <w:jc w:val="center"/>
            <w:rPr>
              <w:rFonts w:ascii="Helvetica" w:hAnsi="Helvetica" w:cs="Helvetica"/>
              <w:b/>
              <w:smallCaps/>
              <w:sz w:val="16"/>
              <w:szCs w:val="16"/>
            </w:rPr>
          </w:pPr>
          <w:r>
            <w:rPr>
              <w:rFonts w:ascii="Helvetica" w:hAnsi="Helvetica" w:cs="Helvetica"/>
              <w:b/>
              <w:sz w:val="16"/>
              <w:szCs w:val="16"/>
            </w:rPr>
            <w:t>DOCUMENTO: INFORME TÉCNICO</w:t>
          </w:r>
        </w:p>
      </w:tc>
      <w:tc>
        <w:tcPr>
          <w:tcW w:w="1842" w:type="dxa"/>
          <w:vMerge/>
          <w:tcBorders>
            <w:left w:val="single" w:sz="4" w:space="0" w:color="auto"/>
            <w:bottom w:val="single" w:sz="4" w:space="0" w:color="auto"/>
            <w:right w:val="single" w:sz="4" w:space="0" w:color="auto"/>
          </w:tcBorders>
          <w:vAlign w:val="center"/>
        </w:tcPr>
        <w:p w14:paraId="73150F38" w14:textId="77777777" w:rsidR="00486B4A" w:rsidRPr="00BB0EE8" w:rsidRDefault="00486B4A" w:rsidP="00B27315">
          <w:pPr>
            <w:pStyle w:val="Encabezado"/>
            <w:jc w:val="center"/>
            <w:rPr>
              <w:rFonts w:ascii="Helvetica" w:hAnsi="Helvetica" w:cs="Helvetica"/>
              <w:sz w:val="16"/>
              <w:szCs w:val="16"/>
            </w:rPr>
          </w:pPr>
        </w:p>
      </w:tc>
    </w:tr>
  </w:tbl>
  <w:p w14:paraId="372729EF" w14:textId="77777777" w:rsidR="00486B4A" w:rsidRPr="00BB0EE8" w:rsidRDefault="00486B4A">
    <w:pPr>
      <w:pStyle w:val="Encabezado"/>
      <w:jc w:val="center"/>
      <w:rPr>
        <w:rFonts w:ascii="Helvetica" w:hAnsi="Helvetica" w:cs="Helvetic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56AE0" w14:textId="77777777" w:rsidR="001D7B26" w:rsidRDefault="001D7B26">
    <w:pPr>
      <w:pStyle w:val="Encabezado"/>
    </w:pPr>
    <w:r>
      <w:t xml:space="preserve">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529"/>
      <w:gridCol w:w="1842"/>
    </w:tblGrid>
    <w:tr w:rsidR="001D7B26" w:rsidRPr="00BB0EE8" w14:paraId="1B3DD0B3" w14:textId="77777777" w:rsidTr="00730631">
      <w:trPr>
        <w:trHeight w:val="397"/>
        <w:jc w:val="center"/>
      </w:trPr>
      <w:tc>
        <w:tcPr>
          <w:tcW w:w="2410" w:type="dxa"/>
          <w:vMerge w:val="restart"/>
          <w:tcBorders>
            <w:top w:val="single" w:sz="4" w:space="0" w:color="auto"/>
            <w:left w:val="single" w:sz="4" w:space="0" w:color="auto"/>
            <w:right w:val="single" w:sz="4" w:space="0" w:color="auto"/>
          </w:tcBorders>
          <w:vAlign w:val="center"/>
        </w:tcPr>
        <w:p w14:paraId="7D71CDBE" w14:textId="77777777" w:rsidR="001D7B26" w:rsidRPr="00CE4DAF" w:rsidRDefault="001D7B26" w:rsidP="00CE4DAF">
          <w:pPr>
            <w:pStyle w:val="Encabezado"/>
            <w:jc w:val="center"/>
            <w:rPr>
              <w:rFonts w:ascii="Helvetica" w:hAnsi="Helvetica" w:cs="Helvetica"/>
              <w:b/>
              <w:bCs/>
              <w:color w:val="000000"/>
              <w:sz w:val="22"/>
              <w:szCs w:val="22"/>
            </w:rPr>
          </w:pPr>
          <w:r w:rsidRPr="00730631">
            <w:rPr>
              <w:noProof/>
              <w:lang w:val="es-EC" w:eastAsia="es-EC"/>
            </w:rPr>
            <w:drawing>
              <wp:inline distT="0" distB="0" distL="0" distR="0" wp14:anchorId="52EC187B" wp14:editId="46740B03">
                <wp:extent cx="1242060" cy="407581"/>
                <wp:effectExtent l="0" t="0" r="2540" b="0"/>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2060" cy="407581"/>
                        </a:xfrm>
                        <a:prstGeom prst="rect">
                          <a:avLst/>
                        </a:prstGeom>
                        <a:noFill/>
                        <a:ln>
                          <a:noFill/>
                        </a:ln>
                      </pic:spPr>
                    </pic:pic>
                  </a:graphicData>
                </a:graphic>
              </wp:inline>
            </w:drawing>
          </w:r>
        </w:p>
      </w:tc>
      <w:tc>
        <w:tcPr>
          <w:tcW w:w="5529" w:type="dxa"/>
          <w:tcBorders>
            <w:left w:val="single" w:sz="4" w:space="0" w:color="auto"/>
            <w:right w:val="single" w:sz="4" w:space="0" w:color="auto"/>
          </w:tcBorders>
          <w:vAlign w:val="center"/>
        </w:tcPr>
        <w:p w14:paraId="11EEDEF9" w14:textId="77777777" w:rsidR="001D7B26" w:rsidRPr="00240E09" w:rsidRDefault="001D7B26" w:rsidP="00C92D35">
          <w:pPr>
            <w:pStyle w:val="Encabezado"/>
            <w:jc w:val="center"/>
            <w:rPr>
              <w:rFonts w:ascii="Helvetica" w:hAnsi="Helvetica" w:cs="Helvetica"/>
              <w:b/>
              <w:sz w:val="16"/>
              <w:szCs w:val="16"/>
            </w:rPr>
          </w:pPr>
          <w:r>
            <w:rPr>
              <w:rFonts w:ascii="Helvetica" w:hAnsi="Helvetica" w:cs="Helvetica"/>
              <w:b/>
              <w:sz w:val="16"/>
              <w:szCs w:val="16"/>
            </w:rPr>
            <w:t>DIRECCIÓN METROPOLITANA DE GESTIÓN DE BIENES INMUEBLES</w:t>
          </w:r>
        </w:p>
      </w:tc>
      <w:tc>
        <w:tcPr>
          <w:tcW w:w="1842" w:type="dxa"/>
          <w:vMerge w:val="restart"/>
          <w:tcBorders>
            <w:top w:val="single" w:sz="4" w:space="0" w:color="auto"/>
            <w:left w:val="single" w:sz="4" w:space="0" w:color="auto"/>
            <w:right w:val="single" w:sz="4" w:space="0" w:color="auto"/>
          </w:tcBorders>
          <w:vAlign w:val="center"/>
        </w:tcPr>
        <w:p w14:paraId="13ECAE22" w14:textId="77777777" w:rsidR="001D7B26" w:rsidRPr="00240E09" w:rsidRDefault="001D7B26" w:rsidP="00240E09">
          <w:pPr>
            <w:pStyle w:val="Encabezado"/>
            <w:jc w:val="center"/>
            <w:rPr>
              <w:rFonts w:ascii="Helvetica" w:hAnsi="Helvetica" w:cs="Helvetica"/>
              <w:b/>
              <w:sz w:val="16"/>
              <w:szCs w:val="16"/>
            </w:rPr>
          </w:pPr>
          <w:r w:rsidRPr="00240E09">
            <w:rPr>
              <w:rFonts w:ascii="Helvetica" w:hAnsi="Helvetica" w:cs="Helvetica"/>
              <w:b/>
              <w:sz w:val="16"/>
              <w:szCs w:val="16"/>
            </w:rPr>
            <w:t>CODIGO:</w:t>
          </w:r>
        </w:p>
        <w:p w14:paraId="79E10040" w14:textId="77777777" w:rsidR="001D7B26" w:rsidRPr="00240E09" w:rsidRDefault="001D7B26" w:rsidP="00240E09">
          <w:pPr>
            <w:pStyle w:val="Encabezado"/>
            <w:jc w:val="center"/>
            <w:rPr>
              <w:rFonts w:ascii="Helvetica" w:hAnsi="Helvetica" w:cs="Helvetica"/>
              <w:b/>
              <w:sz w:val="16"/>
              <w:szCs w:val="16"/>
            </w:rPr>
          </w:pPr>
        </w:p>
        <w:p w14:paraId="47D39667" w14:textId="77777777" w:rsidR="001D7B26" w:rsidRPr="00240E09" w:rsidRDefault="004C1B8D" w:rsidP="007968A1">
          <w:pPr>
            <w:pStyle w:val="Encabezado"/>
            <w:jc w:val="center"/>
            <w:rPr>
              <w:rFonts w:ascii="Helvetica" w:hAnsi="Helvetica" w:cs="Helvetica"/>
              <w:b/>
              <w:sz w:val="16"/>
              <w:szCs w:val="16"/>
            </w:rPr>
          </w:pPr>
          <w:r w:rsidRPr="009B7329">
            <w:rPr>
              <w:rFonts w:ascii="Helvetica" w:hAnsi="Helvetica" w:cs="Helvetica"/>
              <w:b/>
              <w:noProof/>
              <w:sz w:val="14"/>
              <w:szCs w:val="16"/>
            </w:rPr>
            <w:t>DMGBI-AT-2022-021</w:t>
          </w:r>
        </w:p>
      </w:tc>
    </w:tr>
    <w:tr w:rsidR="001D7B26" w:rsidRPr="00BB0EE8" w14:paraId="35598A13" w14:textId="77777777" w:rsidTr="00730631">
      <w:trPr>
        <w:trHeight w:val="349"/>
        <w:jc w:val="center"/>
      </w:trPr>
      <w:tc>
        <w:tcPr>
          <w:tcW w:w="2410" w:type="dxa"/>
          <w:vMerge/>
          <w:tcBorders>
            <w:left w:val="single" w:sz="4" w:space="0" w:color="auto"/>
            <w:bottom w:val="single" w:sz="4" w:space="0" w:color="auto"/>
            <w:right w:val="single" w:sz="4" w:space="0" w:color="auto"/>
          </w:tcBorders>
          <w:vAlign w:val="center"/>
        </w:tcPr>
        <w:p w14:paraId="2D7C305B" w14:textId="77777777" w:rsidR="001D7B26" w:rsidRPr="00BB0EE8" w:rsidRDefault="001D7B26" w:rsidP="00B27315">
          <w:pPr>
            <w:pStyle w:val="Encabezado"/>
            <w:rPr>
              <w:rFonts w:ascii="Helvetica" w:hAnsi="Helvetica" w:cs="Helvetica"/>
              <w:sz w:val="16"/>
              <w:szCs w:val="16"/>
            </w:rPr>
          </w:pPr>
          <w:bookmarkStart w:id="1" w:name="OLE_LINK1"/>
        </w:p>
      </w:tc>
      <w:tc>
        <w:tcPr>
          <w:tcW w:w="5529" w:type="dxa"/>
          <w:tcBorders>
            <w:left w:val="single" w:sz="4" w:space="0" w:color="auto"/>
            <w:right w:val="single" w:sz="4" w:space="0" w:color="auto"/>
          </w:tcBorders>
          <w:vAlign w:val="center"/>
        </w:tcPr>
        <w:p w14:paraId="1057D7EC" w14:textId="77777777" w:rsidR="001D7B26" w:rsidRPr="00240E09" w:rsidRDefault="001D7B26" w:rsidP="00730631">
          <w:pPr>
            <w:pStyle w:val="Encabezado"/>
            <w:jc w:val="center"/>
            <w:rPr>
              <w:rFonts w:ascii="Helvetica" w:hAnsi="Helvetica" w:cs="Helvetica"/>
              <w:b/>
              <w:smallCaps/>
              <w:sz w:val="16"/>
              <w:szCs w:val="16"/>
            </w:rPr>
          </w:pPr>
          <w:r>
            <w:rPr>
              <w:rFonts w:ascii="Helvetica" w:hAnsi="Helvetica" w:cs="Helvetica"/>
              <w:b/>
              <w:sz w:val="16"/>
              <w:szCs w:val="16"/>
            </w:rPr>
            <w:t>DOCUMENTO: INFORME TÉCNICO</w:t>
          </w:r>
        </w:p>
      </w:tc>
      <w:tc>
        <w:tcPr>
          <w:tcW w:w="1842" w:type="dxa"/>
          <w:vMerge/>
          <w:tcBorders>
            <w:left w:val="single" w:sz="4" w:space="0" w:color="auto"/>
            <w:bottom w:val="single" w:sz="4" w:space="0" w:color="auto"/>
            <w:right w:val="single" w:sz="4" w:space="0" w:color="auto"/>
          </w:tcBorders>
          <w:vAlign w:val="center"/>
        </w:tcPr>
        <w:p w14:paraId="15032971" w14:textId="77777777" w:rsidR="001D7B26" w:rsidRPr="00BB0EE8" w:rsidRDefault="001D7B26" w:rsidP="00B27315">
          <w:pPr>
            <w:pStyle w:val="Encabezado"/>
            <w:jc w:val="center"/>
            <w:rPr>
              <w:rFonts w:ascii="Helvetica" w:hAnsi="Helvetica" w:cs="Helvetica"/>
              <w:sz w:val="16"/>
              <w:szCs w:val="16"/>
            </w:rPr>
          </w:pPr>
        </w:p>
      </w:tc>
    </w:tr>
    <w:bookmarkEnd w:id="1"/>
  </w:tbl>
  <w:p w14:paraId="4712D351" w14:textId="77777777" w:rsidR="001D7B26" w:rsidRPr="00BB0EE8" w:rsidRDefault="001D7B26">
    <w:pPr>
      <w:pStyle w:val="Encabezado"/>
      <w:jc w:val="center"/>
      <w:rPr>
        <w:rFonts w:ascii="Helvetica" w:hAnsi="Helvetica" w:cs="Helvetic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upperRoman"/>
      <w:lvlText w:val="%1."/>
      <w:lvlJc w:val="left"/>
      <w:pPr>
        <w:tabs>
          <w:tab w:val="num" w:pos="1080"/>
        </w:tabs>
        <w:ind w:left="1080" w:hanging="720"/>
      </w:pPr>
      <w:rPr>
        <w:rFonts w:ascii="Symbol" w:hAnsi="Symbol"/>
        <w:color w:val="FF0000"/>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15:restartNumberingAfterBreak="0">
    <w:nsid w:val="0369039C"/>
    <w:multiLevelType w:val="hybridMultilevel"/>
    <w:tmpl w:val="B45A767E"/>
    <w:lvl w:ilvl="0" w:tplc="300A0017">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3" w15:restartNumberingAfterBreak="0">
    <w:nsid w:val="063A01F0"/>
    <w:multiLevelType w:val="hybridMultilevel"/>
    <w:tmpl w:val="D340E18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BE91A80"/>
    <w:multiLevelType w:val="hybridMultilevel"/>
    <w:tmpl w:val="8948F9A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1663130"/>
    <w:multiLevelType w:val="hybridMultilevel"/>
    <w:tmpl w:val="6DACDD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294665E"/>
    <w:multiLevelType w:val="hybridMultilevel"/>
    <w:tmpl w:val="30C44FE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2665E6F"/>
    <w:multiLevelType w:val="hybridMultilevel"/>
    <w:tmpl w:val="14B84824"/>
    <w:lvl w:ilvl="0" w:tplc="300A0005">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15:restartNumberingAfterBreak="0">
    <w:nsid w:val="26B17B85"/>
    <w:multiLevelType w:val="hybridMultilevel"/>
    <w:tmpl w:val="B838DCB4"/>
    <w:lvl w:ilvl="0" w:tplc="A16C528C">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CB72E97"/>
    <w:multiLevelType w:val="hybridMultilevel"/>
    <w:tmpl w:val="3386EC10"/>
    <w:lvl w:ilvl="0" w:tplc="A9128092">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3660174"/>
    <w:multiLevelType w:val="hybridMultilevel"/>
    <w:tmpl w:val="40EC0A2E"/>
    <w:lvl w:ilvl="0" w:tplc="CE80BAC2">
      <w:start w:val="1"/>
      <w:numFmt w:val="decimal"/>
      <w:lvlText w:val="%1."/>
      <w:lvlJc w:val="left"/>
      <w:pPr>
        <w:ind w:left="1085" w:hanging="360"/>
      </w:pPr>
      <w:rPr>
        <w:rFonts w:hint="default"/>
      </w:rPr>
    </w:lvl>
    <w:lvl w:ilvl="1" w:tplc="300A0019" w:tentative="1">
      <w:start w:val="1"/>
      <w:numFmt w:val="lowerLetter"/>
      <w:lvlText w:val="%2."/>
      <w:lvlJc w:val="left"/>
      <w:pPr>
        <w:ind w:left="1805" w:hanging="360"/>
      </w:pPr>
    </w:lvl>
    <w:lvl w:ilvl="2" w:tplc="300A001B" w:tentative="1">
      <w:start w:val="1"/>
      <w:numFmt w:val="lowerRoman"/>
      <w:lvlText w:val="%3."/>
      <w:lvlJc w:val="right"/>
      <w:pPr>
        <w:ind w:left="2525" w:hanging="180"/>
      </w:pPr>
    </w:lvl>
    <w:lvl w:ilvl="3" w:tplc="300A000F" w:tentative="1">
      <w:start w:val="1"/>
      <w:numFmt w:val="decimal"/>
      <w:lvlText w:val="%4."/>
      <w:lvlJc w:val="left"/>
      <w:pPr>
        <w:ind w:left="3245" w:hanging="360"/>
      </w:pPr>
    </w:lvl>
    <w:lvl w:ilvl="4" w:tplc="300A0019" w:tentative="1">
      <w:start w:val="1"/>
      <w:numFmt w:val="lowerLetter"/>
      <w:lvlText w:val="%5."/>
      <w:lvlJc w:val="left"/>
      <w:pPr>
        <w:ind w:left="3965" w:hanging="360"/>
      </w:pPr>
    </w:lvl>
    <w:lvl w:ilvl="5" w:tplc="300A001B" w:tentative="1">
      <w:start w:val="1"/>
      <w:numFmt w:val="lowerRoman"/>
      <w:lvlText w:val="%6."/>
      <w:lvlJc w:val="right"/>
      <w:pPr>
        <w:ind w:left="4685" w:hanging="180"/>
      </w:pPr>
    </w:lvl>
    <w:lvl w:ilvl="6" w:tplc="300A000F" w:tentative="1">
      <w:start w:val="1"/>
      <w:numFmt w:val="decimal"/>
      <w:lvlText w:val="%7."/>
      <w:lvlJc w:val="left"/>
      <w:pPr>
        <w:ind w:left="5405" w:hanging="360"/>
      </w:pPr>
    </w:lvl>
    <w:lvl w:ilvl="7" w:tplc="300A0019" w:tentative="1">
      <w:start w:val="1"/>
      <w:numFmt w:val="lowerLetter"/>
      <w:lvlText w:val="%8."/>
      <w:lvlJc w:val="left"/>
      <w:pPr>
        <w:ind w:left="6125" w:hanging="360"/>
      </w:pPr>
    </w:lvl>
    <w:lvl w:ilvl="8" w:tplc="300A001B" w:tentative="1">
      <w:start w:val="1"/>
      <w:numFmt w:val="lowerRoman"/>
      <w:lvlText w:val="%9."/>
      <w:lvlJc w:val="right"/>
      <w:pPr>
        <w:ind w:left="6845" w:hanging="180"/>
      </w:pPr>
    </w:lvl>
  </w:abstractNum>
  <w:abstractNum w:abstractNumId="11" w15:restartNumberingAfterBreak="0">
    <w:nsid w:val="3A8B181C"/>
    <w:multiLevelType w:val="hybridMultilevel"/>
    <w:tmpl w:val="07EC482A"/>
    <w:lvl w:ilvl="0" w:tplc="EB3038FA">
      <w:start w:val="1"/>
      <w:numFmt w:val="lowerLetter"/>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AAA3D05"/>
    <w:multiLevelType w:val="multilevel"/>
    <w:tmpl w:val="0F32483E"/>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heme="minorHAnsi" w:hAnsiTheme="minorHAnsi" w:hint="default"/>
        <w:b/>
        <w:i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BC9557E"/>
    <w:multiLevelType w:val="hybridMultilevel"/>
    <w:tmpl w:val="2E26D45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BCB29DA"/>
    <w:multiLevelType w:val="hybridMultilevel"/>
    <w:tmpl w:val="724404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01B07B6"/>
    <w:multiLevelType w:val="hybridMultilevel"/>
    <w:tmpl w:val="A1BAECE0"/>
    <w:lvl w:ilvl="0" w:tplc="AB10F3EE">
      <w:start w:val="1"/>
      <w:numFmt w:val="decimal"/>
      <w:lvlText w:val="%1."/>
      <w:lvlJc w:val="left"/>
      <w:pPr>
        <w:ind w:left="920" w:hanging="360"/>
      </w:pPr>
      <w:rPr>
        <w:rFonts w:hint="default"/>
      </w:rPr>
    </w:lvl>
    <w:lvl w:ilvl="1" w:tplc="040A0019" w:tentative="1">
      <w:start w:val="1"/>
      <w:numFmt w:val="lowerLetter"/>
      <w:lvlText w:val="%2."/>
      <w:lvlJc w:val="left"/>
      <w:pPr>
        <w:ind w:left="1640" w:hanging="360"/>
      </w:pPr>
    </w:lvl>
    <w:lvl w:ilvl="2" w:tplc="040A001B" w:tentative="1">
      <w:start w:val="1"/>
      <w:numFmt w:val="lowerRoman"/>
      <w:lvlText w:val="%3."/>
      <w:lvlJc w:val="right"/>
      <w:pPr>
        <w:ind w:left="2360" w:hanging="180"/>
      </w:pPr>
    </w:lvl>
    <w:lvl w:ilvl="3" w:tplc="040A000F" w:tentative="1">
      <w:start w:val="1"/>
      <w:numFmt w:val="decimal"/>
      <w:lvlText w:val="%4."/>
      <w:lvlJc w:val="left"/>
      <w:pPr>
        <w:ind w:left="3080" w:hanging="360"/>
      </w:pPr>
    </w:lvl>
    <w:lvl w:ilvl="4" w:tplc="040A0019" w:tentative="1">
      <w:start w:val="1"/>
      <w:numFmt w:val="lowerLetter"/>
      <w:lvlText w:val="%5."/>
      <w:lvlJc w:val="left"/>
      <w:pPr>
        <w:ind w:left="3800" w:hanging="360"/>
      </w:pPr>
    </w:lvl>
    <w:lvl w:ilvl="5" w:tplc="040A001B" w:tentative="1">
      <w:start w:val="1"/>
      <w:numFmt w:val="lowerRoman"/>
      <w:lvlText w:val="%6."/>
      <w:lvlJc w:val="right"/>
      <w:pPr>
        <w:ind w:left="4520" w:hanging="180"/>
      </w:pPr>
    </w:lvl>
    <w:lvl w:ilvl="6" w:tplc="040A000F" w:tentative="1">
      <w:start w:val="1"/>
      <w:numFmt w:val="decimal"/>
      <w:lvlText w:val="%7."/>
      <w:lvlJc w:val="left"/>
      <w:pPr>
        <w:ind w:left="5240" w:hanging="360"/>
      </w:pPr>
    </w:lvl>
    <w:lvl w:ilvl="7" w:tplc="040A0019" w:tentative="1">
      <w:start w:val="1"/>
      <w:numFmt w:val="lowerLetter"/>
      <w:lvlText w:val="%8."/>
      <w:lvlJc w:val="left"/>
      <w:pPr>
        <w:ind w:left="5960" w:hanging="360"/>
      </w:pPr>
    </w:lvl>
    <w:lvl w:ilvl="8" w:tplc="040A001B" w:tentative="1">
      <w:start w:val="1"/>
      <w:numFmt w:val="lowerRoman"/>
      <w:lvlText w:val="%9."/>
      <w:lvlJc w:val="right"/>
      <w:pPr>
        <w:ind w:left="6680" w:hanging="180"/>
      </w:pPr>
    </w:lvl>
  </w:abstractNum>
  <w:abstractNum w:abstractNumId="16" w15:restartNumberingAfterBreak="0">
    <w:nsid w:val="42F9097D"/>
    <w:multiLevelType w:val="hybridMultilevel"/>
    <w:tmpl w:val="CC3486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6AD1028"/>
    <w:multiLevelType w:val="hybridMultilevel"/>
    <w:tmpl w:val="E3AA7B54"/>
    <w:lvl w:ilvl="0" w:tplc="300A000D">
      <w:start w:val="1"/>
      <w:numFmt w:val="bullet"/>
      <w:lvlText w:val=""/>
      <w:lvlJc w:val="left"/>
      <w:pPr>
        <w:ind w:left="1426" w:hanging="360"/>
      </w:pPr>
      <w:rPr>
        <w:rFonts w:ascii="Wingdings" w:hAnsi="Wingdings" w:hint="default"/>
      </w:rPr>
    </w:lvl>
    <w:lvl w:ilvl="1" w:tplc="300A0003" w:tentative="1">
      <w:start w:val="1"/>
      <w:numFmt w:val="bullet"/>
      <w:lvlText w:val="o"/>
      <w:lvlJc w:val="left"/>
      <w:pPr>
        <w:ind w:left="2146" w:hanging="360"/>
      </w:pPr>
      <w:rPr>
        <w:rFonts w:ascii="Courier New" w:hAnsi="Courier New" w:cs="Courier New" w:hint="default"/>
      </w:rPr>
    </w:lvl>
    <w:lvl w:ilvl="2" w:tplc="300A0005" w:tentative="1">
      <w:start w:val="1"/>
      <w:numFmt w:val="bullet"/>
      <w:lvlText w:val=""/>
      <w:lvlJc w:val="left"/>
      <w:pPr>
        <w:ind w:left="2866" w:hanging="360"/>
      </w:pPr>
      <w:rPr>
        <w:rFonts w:ascii="Wingdings" w:hAnsi="Wingdings" w:hint="default"/>
      </w:rPr>
    </w:lvl>
    <w:lvl w:ilvl="3" w:tplc="300A0001" w:tentative="1">
      <w:start w:val="1"/>
      <w:numFmt w:val="bullet"/>
      <w:lvlText w:val=""/>
      <w:lvlJc w:val="left"/>
      <w:pPr>
        <w:ind w:left="3586" w:hanging="360"/>
      </w:pPr>
      <w:rPr>
        <w:rFonts w:ascii="Symbol" w:hAnsi="Symbol" w:hint="default"/>
      </w:rPr>
    </w:lvl>
    <w:lvl w:ilvl="4" w:tplc="300A0003" w:tentative="1">
      <w:start w:val="1"/>
      <w:numFmt w:val="bullet"/>
      <w:lvlText w:val="o"/>
      <w:lvlJc w:val="left"/>
      <w:pPr>
        <w:ind w:left="4306" w:hanging="360"/>
      </w:pPr>
      <w:rPr>
        <w:rFonts w:ascii="Courier New" w:hAnsi="Courier New" w:cs="Courier New" w:hint="default"/>
      </w:rPr>
    </w:lvl>
    <w:lvl w:ilvl="5" w:tplc="300A0005" w:tentative="1">
      <w:start w:val="1"/>
      <w:numFmt w:val="bullet"/>
      <w:lvlText w:val=""/>
      <w:lvlJc w:val="left"/>
      <w:pPr>
        <w:ind w:left="5026" w:hanging="360"/>
      </w:pPr>
      <w:rPr>
        <w:rFonts w:ascii="Wingdings" w:hAnsi="Wingdings" w:hint="default"/>
      </w:rPr>
    </w:lvl>
    <w:lvl w:ilvl="6" w:tplc="300A0001" w:tentative="1">
      <w:start w:val="1"/>
      <w:numFmt w:val="bullet"/>
      <w:lvlText w:val=""/>
      <w:lvlJc w:val="left"/>
      <w:pPr>
        <w:ind w:left="5746" w:hanging="360"/>
      </w:pPr>
      <w:rPr>
        <w:rFonts w:ascii="Symbol" w:hAnsi="Symbol" w:hint="default"/>
      </w:rPr>
    </w:lvl>
    <w:lvl w:ilvl="7" w:tplc="300A0003" w:tentative="1">
      <w:start w:val="1"/>
      <w:numFmt w:val="bullet"/>
      <w:lvlText w:val="o"/>
      <w:lvlJc w:val="left"/>
      <w:pPr>
        <w:ind w:left="6466" w:hanging="360"/>
      </w:pPr>
      <w:rPr>
        <w:rFonts w:ascii="Courier New" w:hAnsi="Courier New" w:cs="Courier New" w:hint="default"/>
      </w:rPr>
    </w:lvl>
    <w:lvl w:ilvl="8" w:tplc="300A0005" w:tentative="1">
      <w:start w:val="1"/>
      <w:numFmt w:val="bullet"/>
      <w:lvlText w:val=""/>
      <w:lvlJc w:val="left"/>
      <w:pPr>
        <w:ind w:left="7186" w:hanging="360"/>
      </w:pPr>
      <w:rPr>
        <w:rFonts w:ascii="Wingdings" w:hAnsi="Wingdings" w:hint="default"/>
      </w:rPr>
    </w:lvl>
  </w:abstractNum>
  <w:abstractNum w:abstractNumId="18" w15:restartNumberingAfterBreak="0">
    <w:nsid w:val="48E4072C"/>
    <w:multiLevelType w:val="hybridMultilevel"/>
    <w:tmpl w:val="B43CFA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B705B45"/>
    <w:multiLevelType w:val="hybridMultilevel"/>
    <w:tmpl w:val="54F8290A"/>
    <w:lvl w:ilvl="0" w:tplc="BC267EF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DE17E48"/>
    <w:multiLevelType w:val="hybridMultilevel"/>
    <w:tmpl w:val="EE3CF21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143314D"/>
    <w:multiLevelType w:val="hybridMultilevel"/>
    <w:tmpl w:val="45540D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32614C7"/>
    <w:multiLevelType w:val="hybridMultilevel"/>
    <w:tmpl w:val="F874FC9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5166C04"/>
    <w:multiLevelType w:val="hybridMultilevel"/>
    <w:tmpl w:val="0E2C2518"/>
    <w:lvl w:ilvl="0" w:tplc="0C0A0005">
      <w:start w:val="1"/>
      <w:numFmt w:val="bullet"/>
      <w:lvlText w:val=""/>
      <w:lvlJc w:val="left"/>
      <w:pPr>
        <w:tabs>
          <w:tab w:val="num" w:pos="1772"/>
        </w:tabs>
        <w:ind w:left="1772" w:hanging="360"/>
      </w:pPr>
      <w:rPr>
        <w:rFonts w:ascii="Wingdings" w:hAnsi="Wingdings" w:hint="default"/>
      </w:rPr>
    </w:lvl>
    <w:lvl w:ilvl="1" w:tplc="0C0A0003">
      <w:start w:val="1"/>
      <w:numFmt w:val="bullet"/>
      <w:lvlText w:val="o"/>
      <w:lvlJc w:val="left"/>
      <w:pPr>
        <w:tabs>
          <w:tab w:val="num" w:pos="2492"/>
        </w:tabs>
        <w:ind w:left="2492" w:hanging="360"/>
      </w:pPr>
      <w:rPr>
        <w:rFonts w:ascii="Courier New" w:hAnsi="Courier New" w:cs="Courier New" w:hint="default"/>
      </w:rPr>
    </w:lvl>
    <w:lvl w:ilvl="2" w:tplc="0C0A0005">
      <w:start w:val="1"/>
      <w:numFmt w:val="bullet"/>
      <w:lvlText w:val=""/>
      <w:lvlJc w:val="left"/>
      <w:pPr>
        <w:tabs>
          <w:tab w:val="num" w:pos="3212"/>
        </w:tabs>
        <w:ind w:left="3212" w:hanging="360"/>
      </w:pPr>
      <w:rPr>
        <w:rFonts w:ascii="Wingdings" w:hAnsi="Wingdings" w:hint="default"/>
      </w:rPr>
    </w:lvl>
    <w:lvl w:ilvl="3" w:tplc="0C0A0001" w:tentative="1">
      <w:start w:val="1"/>
      <w:numFmt w:val="bullet"/>
      <w:lvlText w:val=""/>
      <w:lvlJc w:val="left"/>
      <w:pPr>
        <w:tabs>
          <w:tab w:val="num" w:pos="3932"/>
        </w:tabs>
        <w:ind w:left="3932" w:hanging="360"/>
      </w:pPr>
      <w:rPr>
        <w:rFonts w:ascii="Symbol" w:hAnsi="Symbol" w:hint="default"/>
      </w:rPr>
    </w:lvl>
    <w:lvl w:ilvl="4" w:tplc="0C0A0003" w:tentative="1">
      <w:start w:val="1"/>
      <w:numFmt w:val="bullet"/>
      <w:lvlText w:val="o"/>
      <w:lvlJc w:val="left"/>
      <w:pPr>
        <w:tabs>
          <w:tab w:val="num" w:pos="4652"/>
        </w:tabs>
        <w:ind w:left="4652" w:hanging="360"/>
      </w:pPr>
      <w:rPr>
        <w:rFonts w:ascii="Courier New" w:hAnsi="Courier New" w:cs="Courier New" w:hint="default"/>
      </w:rPr>
    </w:lvl>
    <w:lvl w:ilvl="5" w:tplc="0C0A0005" w:tentative="1">
      <w:start w:val="1"/>
      <w:numFmt w:val="bullet"/>
      <w:lvlText w:val=""/>
      <w:lvlJc w:val="left"/>
      <w:pPr>
        <w:tabs>
          <w:tab w:val="num" w:pos="5372"/>
        </w:tabs>
        <w:ind w:left="5372" w:hanging="360"/>
      </w:pPr>
      <w:rPr>
        <w:rFonts w:ascii="Wingdings" w:hAnsi="Wingdings" w:hint="default"/>
      </w:rPr>
    </w:lvl>
    <w:lvl w:ilvl="6" w:tplc="0C0A0001" w:tentative="1">
      <w:start w:val="1"/>
      <w:numFmt w:val="bullet"/>
      <w:lvlText w:val=""/>
      <w:lvlJc w:val="left"/>
      <w:pPr>
        <w:tabs>
          <w:tab w:val="num" w:pos="6092"/>
        </w:tabs>
        <w:ind w:left="6092" w:hanging="360"/>
      </w:pPr>
      <w:rPr>
        <w:rFonts w:ascii="Symbol" w:hAnsi="Symbol" w:hint="default"/>
      </w:rPr>
    </w:lvl>
    <w:lvl w:ilvl="7" w:tplc="0C0A0003" w:tentative="1">
      <w:start w:val="1"/>
      <w:numFmt w:val="bullet"/>
      <w:lvlText w:val="o"/>
      <w:lvlJc w:val="left"/>
      <w:pPr>
        <w:tabs>
          <w:tab w:val="num" w:pos="6812"/>
        </w:tabs>
        <w:ind w:left="6812" w:hanging="360"/>
      </w:pPr>
      <w:rPr>
        <w:rFonts w:ascii="Courier New" w:hAnsi="Courier New" w:cs="Courier New" w:hint="default"/>
      </w:rPr>
    </w:lvl>
    <w:lvl w:ilvl="8" w:tplc="0C0A0005" w:tentative="1">
      <w:start w:val="1"/>
      <w:numFmt w:val="bullet"/>
      <w:lvlText w:val=""/>
      <w:lvlJc w:val="left"/>
      <w:pPr>
        <w:tabs>
          <w:tab w:val="num" w:pos="7532"/>
        </w:tabs>
        <w:ind w:left="7532" w:hanging="360"/>
      </w:pPr>
      <w:rPr>
        <w:rFonts w:ascii="Wingdings" w:hAnsi="Wingdings" w:hint="default"/>
      </w:rPr>
    </w:lvl>
  </w:abstractNum>
  <w:abstractNum w:abstractNumId="24" w15:restartNumberingAfterBreak="0">
    <w:nsid w:val="58B97176"/>
    <w:multiLevelType w:val="multilevel"/>
    <w:tmpl w:val="79564FBE"/>
    <w:lvl w:ilvl="0">
      <w:start w:val="1"/>
      <w:numFmt w:val="decimal"/>
      <w:lvlText w:val="%1."/>
      <w:lvlJc w:val="left"/>
      <w:pPr>
        <w:ind w:left="360" w:hanging="360"/>
      </w:pPr>
      <w:rPr>
        <w:rFonts w:cs="Times New Roman" w:hint="default"/>
      </w:rPr>
    </w:lvl>
    <w:lvl w:ilvl="1">
      <w:start w:val="1"/>
      <w:numFmt w:val="decimal"/>
      <w:isLgl/>
      <w:lvlText w:val="%1.%2."/>
      <w:lvlJc w:val="left"/>
      <w:pPr>
        <w:ind w:left="405" w:hanging="360"/>
      </w:pPr>
      <w:rPr>
        <w:rFonts w:cs="Times New Roman" w:hint="default"/>
      </w:rPr>
    </w:lvl>
    <w:lvl w:ilvl="2">
      <w:start w:val="1"/>
      <w:numFmt w:val="decimal"/>
      <w:isLgl/>
      <w:lvlText w:val="%1.%2.%3."/>
      <w:lvlJc w:val="left"/>
      <w:pPr>
        <w:ind w:left="810" w:hanging="720"/>
      </w:pPr>
      <w:rPr>
        <w:rFonts w:cs="Times New Roman" w:hint="default"/>
      </w:rPr>
    </w:lvl>
    <w:lvl w:ilvl="3">
      <w:start w:val="1"/>
      <w:numFmt w:val="decimal"/>
      <w:isLgl/>
      <w:lvlText w:val="%1.%2.%3.%4."/>
      <w:lvlJc w:val="left"/>
      <w:pPr>
        <w:ind w:left="855" w:hanging="720"/>
      </w:pPr>
      <w:rPr>
        <w:rFonts w:cs="Times New Roman" w:hint="default"/>
      </w:rPr>
    </w:lvl>
    <w:lvl w:ilvl="4">
      <w:start w:val="1"/>
      <w:numFmt w:val="decimal"/>
      <w:isLgl/>
      <w:lvlText w:val="%1.%2.%3.%4.%5."/>
      <w:lvlJc w:val="left"/>
      <w:pPr>
        <w:ind w:left="1260" w:hanging="1080"/>
      </w:pPr>
      <w:rPr>
        <w:rFonts w:cs="Times New Roman" w:hint="default"/>
      </w:rPr>
    </w:lvl>
    <w:lvl w:ilvl="5">
      <w:start w:val="1"/>
      <w:numFmt w:val="decimal"/>
      <w:isLgl/>
      <w:lvlText w:val="%1.%2.%3.%4.%5.%6."/>
      <w:lvlJc w:val="left"/>
      <w:pPr>
        <w:ind w:left="1305" w:hanging="1080"/>
      </w:pPr>
      <w:rPr>
        <w:rFonts w:cs="Times New Roman" w:hint="default"/>
      </w:rPr>
    </w:lvl>
    <w:lvl w:ilvl="6">
      <w:start w:val="1"/>
      <w:numFmt w:val="decimal"/>
      <w:isLgl/>
      <w:lvlText w:val="%1.%2.%3.%4.%5.%6.%7."/>
      <w:lvlJc w:val="left"/>
      <w:pPr>
        <w:ind w:left="1350" w:hanging="1080"/>
      </w:pPr>
      <w:rPr>
        <w:rFonts w:cs="Times New Roman" w:hint="default"/>
      </w:rPr>
    </w:lvl>
    <w:lvl w:ilvl="7">
      <w:start w:val="1"/>
      <w:numFmt w:val="decimal"/>
      <w:isLgl/>
      <w:lvlText w:val="%1.%2.%3.%4.%5.%6.%7.%8."/>
      <w:lvlJc w:val="left"/>
      <w:pPr>
        <w:ind w:left="1755"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15:restartNumberingAfterBreak="0">
    <w:nsid w:val="5AD30785"/>
    <w:multiLevelType w:val="hybridMultilevel"/>
    <w:tmpl w:val="569AAE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BCD2183"/>
    <w:multiLevelType w:val="hybridMultilevel"/>
    <w:tmpl w:val="0D04901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6C2A4457"/>
    <w:multiLevelType w:val="hybridMultilevel"/>
    <w:tmpl w:val="9BAEDCE4"/>
    <w:lvl w:ilvl="0" w:tplc="6916EE22">
      <w:start w:val="1"/>
      <w:numFmt w:val="decimal"/>
      <w:lvlText w:val="%1."/>
      <w:lvlJc w:val="left"/>
      <w:pPr>
        <w:ind w:left="720" w:hanging="360"/>
      </w:pPr>
      <w:rPr>
        <w:rFonts w:hint="default"/>
        <w:b/>
      </w:rPr>
    </w:lvl>
    <w:lvl w:ilvl="1" w:tplc="CAE6788A">
      <w:start w:val="1"/>
      <w:numFmt w:val="lowerLetter"/>
      <w:lvlText w:val="%2)"/>
      <w:lvlJc w:val="left"/>
      <w:pPr>
        <w:ind w:left="1440" w:hanging="360"/>
      </w:pPr>
      <w:rPr>
        <w:rFonts w:ascii="Garamond" w:eastAsia="Times New Roman" w:hAnsi="Garamond" w:cs="Times New Roman"/>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6E7D7967"/>
    <w:multiLevelType w:val="hybridMultilevel"/>
    <w:tmpl w:val="6C047624"/>
    <w:lvl w:ilvl="0" w:tplc="0C0A0005">
      <w:start w:val="1"/>
      <w:numFmt w:val="bullet"/>
      <w:lvlText w:val=""/>
      <w:lvlJc w:val="left"/>
      <w:pPr>
        <w:ind w:left="1085" w:hanging="360"/>
      </w:pPr>
      <w:rPr>
        <w:rFonts w:ascii="Wingdings" w:hAnsi="Wingdings" w:hint="default"/>
        <w:b/>
        <w:i w:val="0"/>
        <w:sz w:val="22"/>
        <w:szCs w:val="22"/>
      </w:rPr>
    </w:lvl>
    <w:lvl w:ilvl="1" w:tplc="300A0003" w:tentative="1">
      <w:start w:val="1"/>
      <w:numFmt w:val="bullet"/>
      <w:lvlText w:val="o"/>
      <w:lvlJc w:val="left"/>
      <w:pPr>
        <w:ind w:left="1805" w:hanging="360"/>
      </w:pPr>
      <w:rPr>
        <w:rFonts w:ascii="Courier New" w:hAnsi="Courier New" w:cs="Courier New" w:hint="default"/>
      </w:rPr>
    </w:lvl>
    <w:lvl w:ilvl="2" w:tplc="300A0005" w:tentative="1">
      <w:start w:val="1"/>
      <w:numFmt w:val="bullet"/>
      <w:lvlText w:val=""/>
      <w:lvlJc w:val="left"/>
      <w:pPr>
        <w:ind w:left="2525" w:hanging="360"/>
      </w:pPr>
      <w:rPr>
        <w:rFonts w:ascii="Wingdings" w:hAnsi="Wingdings" w:hint="default"/>
      </w:rPr>
    </w:lvl>
    <w:lvl w:ilvl="3" w:tplc="300A0001" w:tentative="1">
      <w:start w:val="1"/>
      <w:numFmt w:val="bullet"/>
      <w:lvlText w:val=""/>
      <w:lvlJc w:val="left"/>
      <w:pPr>
        <w:ind w:left="3245" w:hanging="360"/>
      </w:pPr>
      <w:rPr>
        <w:rFonts w:ascii="Symbol" w:hAnsi="Symbol" w:hint="default"/>
      </w:rPr>
    </w:lvl>
    <w:lvl w:ilvl="4" w:tplc="300A0003" w:tentative="1">
      <w:start w:val="1"/>
      <w:numFmt w:val="bullet"/>
      <w:lvlText w:val="o"/>
      <w:lvlJc w:val="left"/>
      <w:pPr>
        <w:ind w:left="3965" w:hanging="360"/>
      </w:pPr>
      <w:rPr>
        <w:rFonts w:ascii="Courier New" w:hAnsi="Courier New" w:cs="Courier New" w:hint="default"/>
      </w:rPr>
    </w:lvl>
    <w:lvl w:ilvl="5" w:tplc="300A0005" w:tentative="1">
      <w:start w:val="1"/>
      <w:numFmt w:val="bullet"/>
      <w:lvlText w:val=""/>
      <w:lvlJc w:val="left"/>
      <w:pPr>
        <w:ind w:left="4685" w:hanging="360"/>
      </w:pPr>
      <w:rPr>
        <w:rFonts w:ascii="Wingdings" w:hAnsi="Wingdings" w:hint="default"/>
      </w:rPr>
    </w:lvl>
    <w:lvl w:ilvl="6" w:tplc="300A0001" w:tentative="1">
      <w:start w:val="1"/>
      <w:numFmt w:val="bullet"/>
      <w:lvlText w:val=""/>
      <w:lvlJc w:val="left"/>
      <w:pPr>
        <w:ind w:left="5405" w:hanging="360"/>
      </w:pPr>
      <w:rPr>
        <w:rFonts w:ascii="Symbol" w:hAnsi="Symbol" w:hint="default"/>
      </w:rPr>
    </w:lvl>
    <w:lvl w:ilvl="7" w:tplc="300A0003" w:tentative="1">
      <w:start w:val="1"/>
      <w:numFmt w:val="bullet"/>
      <w:lvlText w:val="o"/>
      <w:lvlJc w:val="left"/>
      <w:pPr>
        <w:ind w:left="6125" w:hanging="360"/>
      </w:pPr>
      <w:rPr>
        <w:rFonts w:ascii="Courier New" w:hAnsi="Courier New" w:cs="Courier New" w:hint="default"/>
      </w:rPr>
    </w:lvl>
    <w:lvl w:ilvl="8" w:tplc="300A0005" w:tentative="1">
      <w:start w:val="1"/>
      <w:numFmt w:val="bullet"/>
      <w:lvlText w:val=""/>
      <w:lvlJc w:val="left"/>
      <w:pPr>
        <w:ind w:left="6845" w:hanging="360"/>
      </w:pPr>
      <w:rPr>
        <w:rFonts w:ascii="Wingdings" w:hAnsi="Wingdings" w:hint="default"/>
      </w:rPr>
    </w:lvl>
  </w:abstractNum>
  <w:abstractNum w:abstractNumId="29" w15:restartNumberingAfterBreak="0">
    <w:nsid w:val="6FE62079"/>
    <w:multiLevelType w:val="multilevel"/>
    <w:tmpl w:val="952C2688"/>
    <w:lvl w:ilvl="0">
      <w:start w:val="1"/>
      <w:numFmt w:val="decimal"/>
      <w:lvlText w:val="%1."/>
      <w:lvlJc w:val="left"/>
      <w:pPr>
        <w:ind w:left="928" w:hanging="360"/>
      </w:pPr>
      <w:rPr>
        <w:b/>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30" w15:restartNumberingAfterBreak="0">
    <w:nsid w:val="71970810"/>
    <w:multiLevelType w:val="hybridMultilevel"/>
    <w:tmpl w:val="E65CF788"/>
    <w:lvl w:ilvl="0" w:tplc="E24E4B18">
      <w:start w:val="1"/>
      <w:numFmt w:val="bullet"/>
      <w:lvlText w:val=""/>
      <w:lvlJc w:val="left"/>
      <w:pPr>
        <w:tabs>
          <w:tab w:val="num" w:pos="720"/>
        </w:tabs>
        <w:ind w:left="720" w:hanging="360"/>
      </w:pPr>
      <w:rPr>
        <w:rFonts w:ascii="Wingdings 2" w:hAnsi="Wingdings 2" w:hint="default"/>
      </w:rPr>
    </w:lvl>
    <w:lvl w:ilvl="1" w:tplc="486CC1C6" w:tentative="1">
      <w:start w:val="1"/>
      <w:numFmt w:val="bullet"/>
      <w:lvlText w:val=""/>
      <w:lvlJc w:val="left"/>
      <w:pPr>
        <w:tabs>
          <w:tab w:val="num" w:pos="1440"/>
        </w:tabs>
        <w:ind w:left="1440" w:hanging="360"/>
      </w:pPr>
      <w:rPr>
        <w:rFonts w:ascii="Wingdings 2" w:hAnsi="Wingdings 2" w:hint="default"/>
      </w:rPr>
    </w:lvl>
    <w:lvl w:ilvl="2" w:tplc="5E567610" w:tentative="1">
      <w:start w:val="1"/>
      <w:numFmt w:val="bullet"/>
      <w:lvlText w:val=""/>
      <w:lvlJc w:val="left"/>
      <w:pPr>
        <w:tabs>
          <w:tab w:val="num" w:pos="2160"/>
        </w:tabs>
        <w:ind w:left="2160" w:hanging="360"/>
      </w:pPr>
      <w:rPr>
        <w:rFonts w:ascii="Wingdings 2" w:hAnsi="Wingdings 2" w:hint="default"/>
      </w:rPr>
    </w:lvl>
    <w:lvl w:ilvl="3" w:tplc="D71E449A" w:tentative="1">
      <w:start w:val="1"/>
      <w:numFmt w:val="bullet"/>
      <w:lvlText w:val=""/>
      <w:lvlJc w:val="left"/>
      <w:pPr>
        <w:tabs>
          <w:tab w:val="num" w:pos="2880"/>
        </w:tabs>
        <w:ind w:left="2880" w:hanging="360"/>
      </w:pPr>
      <w:rPr>
        <w:rFonts w:ascii="Wingdings 2" w:hAnsi="Wingdings 2" w:hint="default"/>
      </w:rPr>
    </w:lvl>
    <w:lvl w:ilvl="4" w:tplc="4076393E" w:tentative="1">
      <w:start w:val="1"/>
      <w:numFmt w:val="bullet"/>
      <w:lvlText w:val=""/>
      <w:lvlJc w:val="left"/>
      <w:pPr>
        <w:tabs>
          <w:tab w:val="num" w:pos="3600"/>
        </w:tabs>
        <w:ind w:left="3600" w:hanging="360"/>
      </w:pPr>
      <w:rPr>
        <w:rFonts w:ascii="Wingdings 2" w:hAnsi="Wingdings 2" w:hint="default"/>
      </w:rPr>
    </w:lvl>
    <w:lvl w:ilvl="5" w:tplc="80140A26" w:tentative="1">
      <w:start w:val="1"/>
      <w:numFmt w:val="bullet"/>
      <w:lvlText w:val=""/>
      <w:lvlJc w:val="left"/>
      <w:pPr>
        <w:tabs>
          <w:tab w:val="num" w:pos="4320"/>
        </w:tabs>
        <w:ind w:left="4320" w:hanging="360"/>
      </w:pPr>
      <w:rPr>
        <w:rFonts w:ascii="Wingdings 2" w:hAnsi="Wingdings 2" w:hint="default"/>
      </w:rPr>
    </w:lvl>
    <w:lvl w:ilvl="6" w:tplc="9ACE3578" w:tentative="1">
      <w:start w:val="1"/>
      <w:numFmt w:val="bullet"/>
      <w:lvlText w:val=""/>
      <w:lvlJc w:val="left"/>
      <w:pPr>
        <w:tabs>
          <w:tab w:val="num" w:pos="5040"/>
        </w:tabs>
        <w:ind w:left="5040" w:hanging="360"/>
      </w:pPr>
      <w:rPr>
        <w:rFonts w:ascii="Wingdings 2" w:hAnsi="Wingdings 2" w:hint="default"/>
      </w:rPr>
    </w:lvl>
    <w:lvl w:ilvl="7" w:tplc="84F89176" w:tentative="1">
      <w:start w:val="1"/>
      <w:numFmt w:val="bullet"/>
      <w:lvlText w:val=""/>
      <w:lvlJc w:val="left"/>
      <w:pPr>
        <w:tabs>
          <w:tab w:val="num" w:pos="5760"/>
        </w:tabs>
        <w:ind w:left="5760" w:hanging="360"/>
      </w:pPr>
      <w:rPr>
        <w:rFonts w:ascii="Wingdings 2" w:hAnsi="Wingdings 2" w:hint="default"/>
      </w:rPr>
    </w:lvl>
    <w:lvl w:ilvl="8" w:tplc="D598BB3E"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57C549E"/>
    <w:multiLevelType w:val="hybridMultilevel"/>
    <w:tmpl w:val="67D6D67C"/>
    <w:lvl w:ilvl="0" w:tplc="6B08B4A4">
      <w:start w:val="1"/>
      <w:numFmt w:val="decimal"/>
      <w:lvlText w:val="%1."/>
      <w:lvlJc w:val="left"/>
      <w:pPr>
        <w:ind w:left="1085" w:hanging="360"/>
      </w:pPr>
      <w:rPr>
        <w:rFonts w:hint="default"/>
      </w:rPr>
    </w:lvl>
    <w:lvl w:ilvl="1" w:tplc="300A0019" w:tentative="1">
      <w:start w:val="1"/>
      <w:numFmt w:val="lowerLetter"/>
      <w:lvlText w:val="%2."/>
      <w:lvlJc w:val="left"/>
      <w:pPr>
        <w:ind w:left="1805" w:hanging="360"/>
      </w:pPr>
    </w:lvl>
    <w:lvl w:ilvl="2" w:tplc="300A001B" w:tentative="1">
      <w:start w:val="1"/>
      <w:numFmt w:val="lowerRoman"/>
      <w:lvlText w:val="%3."/>
      <w:lvlJc w:val="right"/>
      <w:pPr>
        <w:ind w:left="2525" w:hanging="180"/>
      </w:pPr>
    </w:lvl>
    <w:lvl w:ilvl="3" w:tplc="300A000F" w:tentative="1">
      <w:start w:val="1"/>
      <w:numFmt w:val="decimal"/>
      <w:lvlText w:val="%4."/>
      <w:lvlJc w:val="left"/>
      <w:pPr>
        <w:ind w:left="3245" w:hanging="360"/>
      </w:pPr>
    </w:lvl>
    <w:lvl w:ilvl="4" w:tplc="300A0019" w:tentative="1">
      <w:start w:val="1"/>
      <w:numFmt w:val="lowerLetter"/>
      <w:lvlText w:val="%5."/>
      <w:lvlJc w:val="left"/>
      <w:pPr>
        <w:ind w:left="3965" w:hanging="360"/>
      </w:pPr>
    </w:lvl>
    <w:lvl w:ilvl="5" w:tplc="300A001B" w:tentative="1">
      <w:start w:val="1"/>
      <w:numFmt w:val="lowerRoman"/>
      <w:lvlText w:val="%6."/>
      <w:lvlJc w:val="right"/>
      <w:pPr>
        <w:ind w:left="4685" w:hanging="180"/>
      </w:pPr>
    </w:lvl>
    <w:lvl w:ilvl="6" w:tplc="300A000F" w:tentative="1">
      <w:start w:val="1"/>
      <w:numFmt w:val="decimal"/>
      <w:lvlText w:val="%7."/>
      <w:lvlJc w:val="left"/>
      <w:pPr>
        <w:ind w:left="5405" w:hanging="360"/>
      </w:pPr>
    </w:lvl>
    <w:lvl w:ilvl="7" w:tplc="300A0019" w:tentative="1">
      <w:start w:val="1"/>
      <w:numFmt w:val="lowerLetter"/>
      <w:lvlText w:val="%8."/>
      <w:lvlJc w:val="left"/>
      <w:pPr>
        <w:ind w:left="6125" w:hanging="360"/>
      </w:pPr>
    </w:lvl>
    <w:lvl w:ilvl="8" w:tplc="300A001B" w:tentative="1">
      <w:start w:val="1"/>
      <w:numFmt w:val="lowerRoman"/>
      <w:lvlText w:val="%9."/>
      <w:lvlJc w:val="right"/>
      <w:pPr>
        <w:ind w:left="6845" w:hanging="180"/>
      </w:pPr>
    </w:lvl>
  </w:abstractNum>
  <w:abstractNum w:abstractNumId="32" w15:restartNumberingAfterBreak="0">
    <w:nsid w:val="77455A7B"/>
    <w:multiLevelType w:val="hybridMultilevel"/>
    <w:tmpl w:val="D5C0D09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3" w15:restartNumberingAfterBreak="0">
    <w:nsid w:val="77833A11"/>
    <w:multiLevelType w:val="hybridMultilevel"/>
    <w:tmpl w:val="F874FC9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78F3620B"/>
    <w:multiLevelType w:val="hybridMultilevel"/>
    <w:tmpl w:val="07EC482A"/>
    <w:lvl w:ilvl="0" w:tplc="EB3038FA">
      <w:start w:val="1"/>
      <w:numFmt w:val="lowerLetter"/>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793B312E"/>
    <w:multiLevelType w:val="hybridMultilevel"/>
    <w:tmpl w:val="C5DCFB1A"/>
    <w:lvl w:ilvl="0" w:tplc="300A0005">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1"/>
  </w:num>
  <w:num w:numId="2">
    <w:abstractNumId w:val="23"/>
  </w:num>
  <w:num w:numId="3">
    <w:abstractNumId w:val="8"/>
  </w:num>
  <w:num w:numId="4">
    <w:abstractNumId w:val="9"/>
  </w:num>
  <w:num w:numId="5">
    <w:abstractNumId w:val="19"/>
  </w:num>
  <w:num w:numId="6">
    <w:abstractNumId w:val="35"/>
  </w:num>
  <w:num w:numId="7">
    <w:abstractNumId w:val="27"/>
  </w:num>
  <w:num w:numId="8">
    <w:abstractNumId w:val="7"/>
  </w:num>
  <w:num w:numId="9">
    <w:abstractNumId w:val="20"/>
  </w:num>
  <w:num w:numId="10">
    <w:abstractNumId w:val="13"/>
  </w:num>
  <w:num w:numId="11">
    <w:abstractNumId w:val="26"/>
  </w:num>
  <w:num w:numId="12">
    <w:abstractNumId w:val="6"/>
  </w:num>
  <w:num w:numId="13">
    <w:abstractNumId w:val="3"/>
  </w:num>
  <w:num w:numId="14">
    <w:abstractNumId w:val="17"/>
  </w:num>
  <w:num w:numId="15">
    <w:abstractNumId w:val="4"/>
  </w:num>
  <w:num w:numId="16">
    <w:abstractNumId w:val="34"/>
  </w:num>
  <w:num w:numId="17">
    <w:abstractNumId w:val="11"/>
  </w:num>
  <w:num w:numId="18">
    <w:abstractNumId w:val="22"/>
  </w:num>
  <w:num w:numId="19">
    <w:abstractNumId w:val="30"/>
  </w:num>
  <w:num w:numId="20">
    <w:abstractNumId w:val="33"/>
  </w:num>
  <w:num w:numId="21">
    <w:abstractNumId w:val="2"/>
  </w:num>
  <w:num w:numId="22">
    <w:abstractNumId w:val="10"/>
  </w:num>
  <w:num w:numId="23">
    <w:abstractNumId w:val="31"/>
  </w:num>
  <w:num w:numId="24">
    <w:abstractNumId w:val="28"/>
  </w:num>
  <w:num w:numId="25">
    <w:abstractNumId w:val="32"/>
  </w:num>
  <w:num w:numId="26">
    <w:abstractNumId w:val="29"/>
  </w:num>
  <w:num w:numId="27">
    <w:abstractNumId w:val="0"/>
  </w:num>
  <w:num w:numId="28">
    <w:abstractNumId w:val="15"/>
  </w:num>
  <w:num w:numId="29">
    <w:abstractNumId w:val="24"/>
  </w:num>
  <w:num w:numId="30">
    <w:abstractNumId w:val="14"/>
  </w:num>
  <w:num w:numId="31">
    <w:abstractNumId w:val="16"/>
  </w:num>
  <w:num w:numId="32">
    <w:abstractNumId w:val="18"/>
  </w:num>
  <w:num w:numId="33">
    <w:abstractNumId w:val="25"/>
  </w:num>
  <w:num w:numId="34">
    <w:abstractNumId w:val="12"/>
  </w:num>
  <w:num w:numId="35">
    <w:abstractNumId w:val="21"/>
  </w:num>
  <w:num w:numId="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B5"/>
    <w:rsid w:val="00001283"/>
    <w:rsid w:val="0000438D"/>
    <w:rsid w:val="00006134"/>
    <w:rsid w:val="0000717B"/>
    <w:rsid w:val="00010829"/>
    <w:rsid w:val="00010FF8"/>
    <w:rsid w:val="00015B06"/>
    <w:rsid w:val="00016475"/>
    <w:rsid w:val="00023A59"/>
    <w:rsid w:val="000242A9"/>
    <w:rsid w:val="0002606B"/>
    <w:rsid w:val="00027F7F"/>
    <w:rsid w:val="0003046A"/>
    <w:rsid w:val="00030974"/>
    <w:rsid w:val="00031142"/>
    <w:rsid w:val="000408CC"/>
    <w:rsid w:val="00040C90"/>
    <w:rsid w:val="000425E1"/>
    <w:rsid w:val="0004395D"/>
    <w:rsid w:val="0004493A"/>
    <w:rsid w:val="0004660A"/>
    <w:rsid w:val="00047B03"/>
    <w:rsid w:val="00050665"/>
    <w:rsid w:val="00050D54"/>
    <w:rsid w:val="0005358B"/>
    <w:rsid w:val="00053F45"/>
    <w:rsid w:val="00054042"/>
    <w:rsid w:val="000557FB"/>
    <w:rsid w:val="0005734F"/>
    <w:rsid w:val="00057DD5"/>
    <w:rsid w:val="00060257"/>
    <w:rsid w:val="00060A39"/>
    <w:rsid w:val="00060C57"/>
    <w:rsid w:val="000624DA"/>
    <w:rsid w:val="000666F2"/>
    <w:rsid w:val="00067BFD"/>
    <w:rsid w:val="000700DE"/>
    <w:rsid w:val="00070834"/>
    <w:rsid w:val="000708B3"/>
    <w:rsid w:val="0007291D"/>
    <w:rsid w:val="00072C1E"/>
    <w:rsid w:val="000801A8"/>
    <w:rsid w:val="00080F25"/>
    <w:rsid w:val="00083596"/>
    <w:rsid w:val="00087DA1"/>
    <w:rsid w:val="00092041"/>
    <w:rsid w:val="00096220"/>
    <w:rsid w:val="00096437"/>
    <w:rsid w:val="000A01C3"/>
    <w:rsid w:val="000A25A7"/>
    <w:rsid w:val="000A4489"/>
    <w:rsid w:val="000A572C"/>
    <w:rsid w:val="000A735A"/>
    <w:rsid w:val="000B19AF"/>
    <w:rsid w:val="000B2B72"/>
    <w:rsid w:val="000B6B63"/>
    <w:rsid w:val="000C095D"/>
    <w:rsid w:val="000C2CBC"/>
    <w:rsid w:val="000C5B49"/>
    <w:rsid w:val="000C6149"/>
    <w:rsid w:val="000C63A9"/>
    <w:rsid w:val="000D32A4"/>
    <w:rsid w:val="000D391F"/>
    <w:rsid w:val="000D45A3"/>
    <w:rsid w:val="000D5B17"/>
    <w:rsid w:val="000D7E76"/>
    <w:rsid w:val="000D7EFD"/>
    <w:rsid w:val="000E0782"/>
    <w:rsid w:val="000E5EDC"/>
    <w:rsid w:val="000F1629"/>
    <w:rsid w:val="000F2E53"/>
    <w:rsid w:val="000F4987"/>
    <w:rsid w:val="000F4F06"/>
    <w:rsid w:val="000F5A4D"/>
    <w:rsid w:val="000F5E26"/>
    <w:rsid w:val="000F628D"/>
    <w:rsid w:val="000F7715"/>
    <w:rsid w:val="00100EF9"/>
    <w:rsid w:val="00104413"/>
    <w:rsid w:val="00106BEB"/>
    <w:rsid w:val="00107839"/>
    <w:rsid w:val="00110737"/>
    <w:rsid w:val="00112E8F"/>
    <w:rsid w:val="0011350C"/>
    <w:rsid w:val="00114F39"/>
    <w:rsid w:val="00116470"/>
    <w:rsid w:val="00116B18"/>
    <w:rsid w:val="0011716E"/>
    <w:rsid w:val="00122618"/>
    <w:rsid w:val="00133033"/>
    <w:rsid w:val="00133235"/>
    <w:rsid w:val="00133A06"/>
    <w:rsid w:val="001366D0"/>
    <w:rsid w:val="0013713A"/>
    <w:rsid w:val="00142005"/>
    <w:rsid w:val="00145ADE"/>
    <w:rsid w:val="001468F9"/>
    <w:rsid w:val="00147BD9"/>
    <w:rsid w:val="00147E0D"/>
    <w:rsid w:val="00151CD6"/>
    <w:rsid w:val="00157CFB"/>
    <w:rsid w:val="00160744"/>
    <w:rsid w:val="001624E4"/>
    <w:rsid w:val="00170D6D"/>
    <w:rsid w:val="00172409"/>
    <w:rsid w:val="001727BA"/>
    <w:rsid w:val="00172D10"/>
    <w:rsid w:val="0017528B"/>
    <w:rsid w:val="001809B3"/>
    <w:rsid w:val="00185859"/>
    <w:rsid w:val="00186BD3"/>
    <w:rsid w:val="001910EA"/>
    <w:rsid w:val="00191EFF"/>
    <w:rsid w:val="00192847"/>
    <w:rsid w:val="00192C55"/>
    <w:rsid w:val="001949EC"/>
    <w:rsid w:val="0019522B"/>
    <w:rsid w:val="00197677"/>
    <w:rsid w:val="001A05EB"/>
    <w:rsid w:val="001A33A5"/>
    <w:rsid w:val="001A5C5A"/>
    <w:rsid w:val="001A6751"/>
    <w:rsid w:val="001A7347"/>
    <w:rsid w:val="001B09DF"/>
    <w:rsid w:val="001B5874"/>
    <w:rsid w:val="001B5ED2"/>
    <w:rsid w:val="001B7873"/>
    <w:rsid w:val="001B7D61"/>
    <w:rsid w:val="001C2025"/>
    <w:rsid w:val="001C2342"/>
    <w:rsid w:val="001C429B"/>
    <w:rsid w:val="001C57B0"/>
    <w:rsid w:val="001C631E"/>
    <w:rsid w:val="001C65EC"/>
    <w:rsid w:val="001C6EAA"/>
    <w:rsid w:val="001C7654"/>
    <w:rsid w:val="001D0835"/>
    <w:rsid w:val="001D0ED4"/>
    <w:rsid w:val="001D2444"/>
    <w:rsid w:val="001D2F6B"/>
    <w:rsid w:val="001D5522"/>
    <w:rsid w:val="001D7B26"/>
    <w:rsid w:val="001E174C"/>
    <w:rsid w:val="001E17E4"/>
    <w:rsid w:val="001E55AD"/>
    <w:rsid w:val="001E5FA3"/>
    <w:rsid w:val="001E64A2"/>
    <w:rsid w:val="001E7FDC"/>
    <w:rsid w:val="001F4EA5"/>
    <w:rsid w:val="001F581C"/>
    <w:rsid w:val="00202DD6"/>
    <w:rsid w:val="002062BF"/>
    <w:rsid w:val="00210B70"/>
    <w:rsid w:val="00210DC7"/>
    <w:rsid w:val="002122F4"/>
    <w:rsid w:val="00212672"/>
    <w:rsid w:val="0021385F"/>
    <w:rsid w:val="002139E0"/>
    <w:rsid w:val="00214877"/>
    <w:rsid w:val="002156CF"/>
    <w:rsid w:val="0021749D"/>
    <w:rsid w:val="00217B88"/>
    <w:rsid w:val="0022301A"/>
    <w:rsid w:val="0022386B"/>
    <w:rsid w:val="002238F6"/>
    <w:rsid w:val="00223BE5"/>
    <w:rsid w:val="00224D2A"/>
    <w:rsid w:val="00225B9C"/>
    <w:rsid w:val="002266BA"/>
    <w:rsid w:val="00226DE5"/>
    <w:rsid w:val="00232FF0"/>
    <w:rsid w:val="00233972"/>
    <w:rsid w:val="0023451A"/>
    <w:rsid w:val="002353D2"/>
    <w:rsid w:val="002378E8"/>
    <w:rsid w:val="00240E09"/>
    <w:rsid w:val="00241AD0"/>
    <w:rsid w:val="00241DE5"/>
    <w:rsid w:val="00242B12"/>
    <w:rsid w:val="00242F4D"/>
    <w:rsid w:val="002434B8"/>
    <w:rsid w:val="00244EEF"/>
    <w:rsid w:val="0024638A"/>
    <w:rsid w:val="002510C9"/>
    <w:rsid w:val="002513FC"/>
    <w:rsid w:val="00253179"/>
    <w:rsid w:val="002539D7"/>
    <w:rsid w:val="0025584D"/>
    <w:rsid w:val="00256ACD"/>
    <w:rsid w:val="00262E00"/>
    <w:rsid w:val="00264D64"/>
    <w:rsid w:val="00264DAC"/>
    <w:rsid w:val="002664AD"/>
    <w:rsid w:val="00271C20"/>
    <w:rsid w:val="00272FE6"/>
    <w:rsid w:val="00274169"/>
    <w:rsid w:val="00275E59"/>
    <w:rsid w:val="00276AD5"/>
    <w:rsid w:val="00277CCF"/>
    <w:rsid w:val="00277EDE"/>
    <w:rsid w:val="00280D8F"/>
    <w:rsid w:val="00283B8D"/>
    <w:rsid w:val="002878B2"/>
    <w:rsid w:val="00291456"/>
    <w:rsid w:val="00292E5B"/>
    <w:rsid w:val="00293AA0"/>
    <w:rsid w:val="00295879"/>
    <w:rsid w:val="00296632"/>
    <w:rsid w:val="002978EB"/>
    <w:rsid w:val="00297F4E"/>
    <w:rsid w:val="002A067F"/>
    <w:rsid w:val="002A3412"/>
    <w:rsid w:val="002A4379"/>
    <w:rsid w:val="002A5E15"/>
    <w:rsid w:val="002A7337"/>
    <w:rsid w:val="002B00E1"/>
    <w:rsid w:val="002B146A"/>
    <w:rsid w:val="002B2EE5"/>
    <w:rsid w:val="002B5773"/>
    <w:rsid w:val="002B5B6B"/>
    <w:rsid w:val="002C21B2"/>
    <w:rsid w:val="002C28CE"/>
    <w:rsid w:val="002C5F28"/>
    <w:rsid w:val="002C62F9"/>
    <w:rsid w:val="002D0165"/>
    <w:rsid w:val="002D071A"/>
    <w:rsid w:val="002D0796"/>
    <w:rsid w:val="002D1140"/>
    <w:rsid w:val="002D1783"/>
    <w:rsid w:val="002D1A07"/>
    <w:rsid w:val="002E3BFB"/>
    <w:rsid w:val="002E5C08"/>
    <w:rsid w:val="002E5DA1"/>
    <w:rsid w:val="002E5FEE"/>
    <w:rsid w:val="002E7065"/>
    <w:rsid w:val="002F239A"/>
    <w:rsid w:val="002F3E73"/>
    <w:rsid w:val="002F51FC"/>
    <w:rsid w:val="00300B7D"/>
    <w:rsid w:val="00301040"/>
    <w:rsid w:val="00303B04"/>
    <w:rsid w:val="003074D6"/>
    <w:rsid w:val="00310048"/>
    <w:rsid w:val="00311D62"/>
    <w:rsid w:val="00317578"/>
    <w:rsid w:val="00317DEC"/>
    <w:rsid w:val="00320123"/>
    <w:rsid w:val="0032072E"/>
    <w:rsid w:val="0032231F"/>
    <w:rsid w:val="00322726"/>
    <w:rsid w:val="003229E5"/>
    <w:rsid w:val="00325A42"/>
    <w:rsid w:val="00325F3F"/>
    <w:rsid w:val="00326BE9"/>
    <w:rsid w:val="00326DFD"/>
    <w:rsid w:val="003310DE"/>
    <w:rsid w:val="00333E9D"/>
    <w:rsid w:val="00337B25"/>
    <w:rsid w:val="00340441"/>
    <w:rsid w:val="003412F0"/>
    <w:rsid w:val="00341A4D"/>
    <w:rsid w:val="00342277"/>
    <w:rsid w:val="0034308E"/>
    <w:rsid w:val="003457ED"/>
    <w:rsid w:val="003458EE"/>
    <w:rsid w:val="00345DE8"/>
    <w:rsid w:val="00346A82"/>
    <w:rsid w:val="003503F6"/>
    <w:rsid w:val="00350702"/>
    <w:rsid w:val="00351EBF"/>
    <w:rsid w:val="003546DE"/>
    <w:rsid w:val="00356D13"/>
    <w:rsid w:val="00357806"/>
    <w:rsid w:val="00360B5B"/>
    <w:rsid w:val="00363BC8"/>
    <w:rsid w:val="00370A7B"/>
    <w:rsid w:val="003713E7"/>
    <w:rsid w:val="00371FFF"/>
    <w:rsid w:val="003733C7"/>
    <w:rsid w:val="0037358D"/>
    <w:rsid w:val="00374376"/>
    <w:rsid w:val="003746B3"/>
    <w:rsid w:val="003755D6"/>
    <w:rsid w:val="00376BF3"/>
    <w:rsid w:val="003830F4"/>
    <w:rsid w:val="003834AE"/>
    <w:rsid w:val="0038418C"/>
    <w:rsid w:val="00384402"/>
    <w:rsid w:val="00392734"/>
    <w:rsid w:val="00395932"/>
    <w:rsid w:val="00396C1A"/>
    <w:rsid w:val="003975B8"/>
    <w:rsid w:val="003A11A2"/>
    <w:rsid w:val="003A18F0"/>
    <w:rsid w:val="003A434E"/>
    <w:rsid w:val="003A4F2C"/>
    <w:rsid w:val="003B1B83"/>
    <w:rsid w:val="003B20C1"/>
    <w:rsid w:val="003B79AF"/>
    <w:rsid w:val="003C2956"/>
    <w:rsid w:val="003C31E1"/>
    <w:rsid w:val="003C352E"/>
    <w:rsid w:val="003C3919"/>
    <w:rsid w:val="003C46CE"/>
    <w:rsid w:val="003C5E3C"/>
    <w:rsid w:val="003D08D7"/>
    <w:rsid w:val="003D1B01"/>
    <w:rsid w:val="003D2C38"/>
    <w:rsid w:val="003D653C"/>
    <w:rsid w:val="003E07D6"/>
    <w:rsid w:val="003E14CE"/>
    <w:rsid w:val="003E4F9B"/>
    <w:rsid w:val="003E6A6A"/>
    <w:rsid w:val="003E7330"/>
    <w:rsid w:val="003F01BB"/>
    <w:rsid w:val="003F0896"/>
    <w:rsid w:val="003F28FF"/>
    <w:rsid w:val="003F5350"/>
    <w:rsid w:val="003F5D8E"/>
    <w:rsid w:val="003F6AB8"/>
    <w:rsid w:val="003F6F67"/>
    <w:rsid w:val="00400163"/>
    <w:rsid w:val="0040273B"/>
    <w:rsid w:val="00405B71"/>
    <w:rsid w:val="00407C20"/>
    <w:rsid w:val="00414886"/>
    <w:rsid w:val="0041676D"/>
    <w:rsid w:val="004227E5"/>
    <w:rsid w:val="00422B63"/>
    <w:rsid w:val="004230AE"/>
    <w:rsid w:val="00426917"/>
    <w:rsid w:val="00427EC6"/>
    <w:rsid w:val="00431E06"/>
    <w:rsid w:val="00433A72"/>
    <w:rsid w:val="0043416B"/>
    <w:rsid w:val="00440067"/>
    <w:rsid w:val="004436AF"/>
    <w:rsid w:val="00453720"/>
    <w:rsid w:val="0045384A"/>
    <w:rsid w:val="00453D0F"/>
    <w:rsid w:val="0045409E"/>
    <w:rsid w:val="004543B6"/>
    <w:rsid w:val="00455E74"/>
    <w:rsid w:val="00456232"/>
    <w:rsid w:val="00456E66"/>
    <w:rsid w:val="00456F39"/>
    <w:rsid w:val="0046087C"/>
    <w:rsid w:val="00461D4F"/>
    <w:rsid w:val="004751B6"/>
    <w:rsid w:val="004770BA"/>
    <w:rsid w:val="004770FD"/>
    <w:rsid w:val="00480E1A"/>
    <w:rsid w:val="00483D50"/>
    <w:rsid w:val="004861F2"/>
    <w:rsid w:val="00486B4A"/>
    <w:rsid w:val="00490B17"/>
    <w:rsid w:val="00490E64"/>
    <w:rsid w:val="00491F0C"/>
    <w:rsid w:val="00494BF0"/>
    <w:rsid w:val="0049510C"/>
    <w:rsid w:val="00495932"/>
    <w:rsid w:val="004A0B0A"/>
    <w:rsid w:val="004A15A8"/>
    <w:rsid w:val="004A4878"/>
    <w:rsid w:val="004B174F"/>
    <w:rsid w:val="004B32E1"/>
    <w:rsid w:val="004B4EDC"/>
    <w:rsid w:val="004B54A7"/>
    <w:rsid w:val="004B601F"/>
    <w:rsid w:val="004C0A13"/>
    <w:rsid w:val="004C198A"/>
    <w:rsid w:val="004C1B8D"/>
    <w:rsid w:val="004C24C7"/>
    <w:rsid w:val="004C35E4"/>
    <w:rsid w:val="004C6191"/>
    <w:rsid w:val="004C7F8A"/>
    <w:rsid w:val="004D15C4"/>
    <w:rsid w:val="004D1F14"/>
    <w:rsid w:val="004D2989"/>
    <w:rsid w:val="004D73EA"/>
    <w:rsid w:val="004D762E"/>
    <w:rsid w:val="004E1DCB"/>
    <w:rsid w:val="004E42FF"/>
    <w:rsid w:val="004E6CF8"/>
    <w:rsid w:val="004F0EBE"/>
    <w:rsid w:val="004F116A"/>
    <w:rsid w:val="004F14F8"/>
    <w:rsid w:val="004F2AF5"/>
    <w:rsid w:val="004F2DD5"/>
    <w:rsid w:val="004F576C"/>
    <w:rsid w:val="004F6946"/>
    <w:rsid w:val="00500D5E"/>
    <w:rsid w:val="005056AB"/>
    <w:rsid w:val="00511891"/>
    <w:rsid w:val="0051243F"/>
    <w:rsid w:val="00514A27"/>
    <w:rsid w:val="00514D91"/>
    <w:rsid w:val="00515465"/>
    <w:rsid w:val="00522D5C"/>
    <w:rsid w:val="00523768"/>
    <w:rsid w:val="00525B35"/>
    <w:rsid w:val="00530632"/>
    <w:rsid w:val="00531A71"/>
    <w:rsid w:val="005324E2"/>
    <w:rsid w:val="005367CF"/>
    <w:rsid w:val="00541AEE"/>
    <w:rsid w:val="00544573"/>
    <w:rsid w:val="0054543D"/>
    <w:rsid w:val="005476CA"/>
    <w:rsid w:val="0055022E"/>
    <w:rsid w:val="00551DEB"/>
    <w:rsid w:val="005521EB"/>
    <w:rsid w:val="00554702"/>
    <w:rsid w:val="00556B4D"/>
    <w:rsid w:val="0055772E"/>
    <w:rsid w:val="00557D87"/>
    <w:rsid w:val="00562027"/>
    <w:rsid w:val="00562A1E"/>
    <w:rsid w:val="005658AC"/>
    <w:rsid w:val="00566419"/>
    <w:rsid w:val="005670CE"/>
    <w:rsid w:val="0057141B"/>
    <w:rsid w:val="005736F9"/>
    <w:rsid w:val="0057373F"/>
    <w:rsid w:val="00574D73"/>
    <w:rsid w:val="00575A1D"/>
    <w:rsid w:val="00575EA7"/>
    <w:rsid w:val="00577D94"/>
    <w:rsid w:val="005825E0"/>
    <w:rsid w:val="00582A95"/>
    <w:rsid w:val="0058475B"/>
    <w:rsid w:val="005858E2"/>
    <w:rsid w:val="0058749E"/>
    <w:rsid w:val="00592123"/>
    <w:rsid w:val="00592A67"/>
    <w:rsid w:val="00593F4B"/>
    <w:rsid w:val="0059697F"/>
    <w:rsid w:val="005A239F"/>
    <w:rsid w:val="005A2B03"/>
    <w:rsid w:val="005A5F9E"/>
    <w:rsid w:val="005B18F4"/>
    <w:rsid w:val="005B2B7D"/>
    <w:rsid w:val="005B4775"/>
    <w:rsid w:val="005B4B83"/>
    <w:rsid w:val="005B4D49"/>
    <w:rsid w:val="005C04A4"/>
    <w:rsid w:val="005C08D8"/>
    <w:rsid w:val="005C0990"/>
    <w:rsid w:val="005C1536"/>
    <w:rsid w:val="005C1556"/>
    <w:rsid w:val="005C1C64"/>
    <w:rsid w:val="005C221E"/>
    <w:rsid w:val="005C79D7"/>
    <w:rsid w:val="005C7E14"/>
    <w:rsid w:val="005D0314"/>
    <w:rsid w:val="005D0812"/>
    <w:rsid w:val="005E1A97"/>
    <w:rsid w:val="005E30EF"/>
    <w:rsid w:val="005E3734"/>
    <w:rsid w:val="005E4FCA"/>
    <w:rsid w:val="005E59F0"/>
    <w:rsid w:val="005F1BCF"/>
    <w:rsid w:val="005F4252"/>
    <w:rsid w:val="005F6FAB"/>
    <w:rsid w:val="00600692"/>
    <w:rsid w:val="006006A9"/>
    <w:rsid w:val="00601D42"/>
    <w:rsid w:val="006021D3"/>
    <w:rsid w:val="0060406B"/>
    <w:rsid w:val="00607B29"/>
    <w:rsid w:val="00610009"/>
    <w:rsid w:val="00611A19"/>
    <w:rsid w:val="00612BCC"/>
    <w:rsid w:val="00616EAE"/>
    <w:rsid w:val="006229C5"/>
    <w:rsid w:val="00622F08"/>
    <w:rsid w:val="006231A9"/>
    <w:rsid w:val="006238CD"/>
    <w:rsid w:val="006269F2"/>
    <w:rsid w:val="0063178C"/>
    <w:rsid w:val="00632B8A"/>
    <w:rsid w:val="0063541D"/>
    <w:rsid w:val="00635B4A"/>
    <w:rsid w:val="00636ACE"/>
    <w:rsid w:val="00637B02"/>
    <w:rsid w:val="00641DA2"/>
    <w:rsid w:val="006431C9"/>
    <w:rsid w:val="00644BB3"/>
    <w:rsid w:val="00645E62"/>
    <w:rsid w:val="00646926"/>
    <w:rsid w:val="00653E1F"/>
    <w:rsid w:val="00656089"/>
    <w:rsid w:val="00660210"/>
    <w:rsid w:val="00660FAA"/>
    <w:rsid w:val="006617E9"/>
    <w:rsid w:val="00664312"/>
    <w:rsid w:val="006647AA"/>
    <w:rsid w:val="006649A0"/>
    <w:rsid w:val="006652E8"/>
    <w:rsid w:val="00666431"/>
    <w:rsid w:val="00671E56"/>
    <w:rsid w:val="00672D2C"/>
    <w:rsid w:val="0067445F"/>
    <w:rsid w:val="0067488D"/>
    <w:rsid w:val="006758CB"/>
    <w:rsid w:val="00675E9A"/>
    <w:rsid w:val="0068149C"/>
    <w:rsid w:val="00681DB5"/>
    <w:rsid w:val="0068220E"/>
    <w:rsid w:val="00683AE1"/>
    <w:rsid w:val="00683C64"/>
    <w:rsid w:val="00683FC3"/>
    <w:rsid w:val="006860CC"/>
    <w:rsid w:val="006861CF"/>
    <w:rsid w:val="00687233"/>
    <w:rsid w:val="00687858"/>
    <w:rsid w:val="00687B91"/>
    <w:rsid w:val="00690F50"/>
    <w:rsid w:val="0069116C"/>
    <w:rsid w:val="00692B38"/>
    <w:rsid w:val="00692B9E"/>
    <w:rsid w:val="00694A0E"/>
    <w:rsid w:val="00696068"/>
    <w:rsid w:val="00696748"/>
    <w:rsid w:val="006968DF"/>
    <w:rsid w:val="00696F38"/>
    <w:rsid w:val="006977E1"/>
    <w:rsid w:val="006A0467"/>
    <w:rsid w:val="006A126D"/>
    <w:rsid w:val="006A1E66"/>
    <w:rsid w:val="006A2E1D"/>
    <w:rsid w:val="006A5412"/>
    <w:rsid w:val="006B1135"/>
    <w:rsid w:val="006B3B61"/>
    <w:rsid w:val="006B6D88"/>
    <w:rsid w:val="006C0E75"/>
    <w:rsid w:val="006C1156"/>
    <w:rsid w:val="006C1BC7"/>
    <w:rsid w:val="006C4855"/>
    <w:rsid w:val="006C53E7"/>
    <w:rsid w:val="006C5C83"/>
    <w:rsid w:val="006C7414"/>
    <w:rsid w:val="006C7B22"/>
    <w:rsid w:val="006D11CA"/>
    <w:rsid w:val="006D1850"/>
    <w:rsid w:val="006D3538"/>
    <w:rsid w:val="006D4330"/>
    <w:rsid w:val="006E05E8"/>
    <w:rsid w:val="006E0A0F"/>
    <w:rsid w:val="006E26C1"/>
    <w:rsid w:val="006E270B"/>
    <w:rsid w:val="006E3355"/>
    <w:rsid w:val="006E4785"/>
    <w:rsid w:val="006E4A03"/>
    <w:rsid w:val="006E57EA"/>
    <w:rsid w:val="006F0F03"/>
    <w:rsid w:val="006F1137"/>
    <w:rsid w:val="006F16E4"/>
    <w:rsid w:val="006F2722"/>
    <w:rsid w:val="006F2C17"/>
    <w:rsid w:val="006F2C8A"/>
    <w:rsid w:val="006F3053"/>
    <w:rsid w:val="006F4244"/>
    <w:rsid w:val="00704ACE"/>
    <w:rsid w:val="00705D11"/>
    <w:rsid w:val="0071010D"/>
    <w:rsid w:val="00710498"/>
    <w:rsid w:val="007109E0"/>
    <w:rsid w:val="00711133"/>
    <w:rsid w:val="00713800"/>
    <w:rsid w:val="00713A3F"/>
    <w:rsid w:val="00716213"/>
    <w:rsid w:val="007165ED"/>
    <w:rsid w:val="00717514"/>
    <w:rsid w:val="00721BDD"/>
    <w:rsid w:val="00723F40"/>
    <w:rsid w:val="00725B30"/>
    <w:rsid w:val="00725E99"/>
    <w:rsid w:val="00725EDF"/>
    <w:rsid w:val="007260E9"/>
    <w:rsid w:val="00730631"/>
    <w:rsid w:val="00732116"/>
    <w:rsid w:val="007326EE"/>
    <w:rsid w:val="0073305E"/>
    <w:rsid w:val="007350AC"/>
    <w:rsid w:val="00743EE0"/>
    <w:rsid w:val="007456E0"/>
    <w:rsid w:val="00745A21"/>
    <w:rsid w:val="0075161B"/>
    <w:rsid w:val="00751BCC"/>
    <w:rsid w:val="00754559"/>
    <w:rsid w:val="00755470"/>
    <w:rsid w:val="00761615"/>
    <w:rsid w:val="00764BCF"/>
    <w:rsid w:val="00765121"/>
    <w:rsid w:val="007669C7"/>
    <w:rsid w:val="00766B07"/>
    <w:rsid w:val="00772067"/>
    <w:rsid w:val="007722A8"/>
    <w:rsid w:val="0077488E"/>
    <w:rsid w:val="00774FFD"/>
    <w:rsid w:val="00775AF9"/>
    <w:rsid w:val="007805C8"/>
    <w:rsid w:val="00781166"/>
    <w:rsid w:val="00781A6A"/>
    <w:rsid w:val="007858DE"/>
    <w:rsid w:val="00790236"/>
    <w:rsid w:val="0079081B"/>
    <w:rsid w:val="00791537"/>
    <w:rsid w:val="00793172"/>
    <w:rsid w:val="007932F5"/>
    <w:rsid w:val="007968A1"/>
    <w:rsid w:val="007A07CC"/>
    <w:rsid w:val="007A1C72"/>
    <w:rsid w:val="007A4AF7"/>
    <w:rsid w:val="007A6F9E"/>
    <w:rsid w:val="007B3110"/>
    <w:rsid w:val="007B3967"/>
    <w:rsid w:val="007B3AA7"/>
    <w:rsid w:val="007B69E5"/>
    <w:rsid w:val="007C0DAF"/>
    <w:rsid w:val="007C1711"/>
    <w:rsid w:val="007C1FFD"/>
    <w:rsid w:val="007D7CA3"/>
    <w:rsid w:val="007E162B"/>
    <w:rsid w:val="007E30E0"/>
    <w:rsid w:val="007F48FF"/>
    <w:rsid w:val="007F7666"/>
    <w:rsid w:val="00806D55"/>
    <w:rsid w:val="00811AB0"/>
    <w:rsid w:val="00813BF8"/>
    <w:rsid w:val="00814C08"/>
    <w:rsid w:val="00815E88"/>
    <w:rsid w:val="0081762B"/>
    <w:rsid w:val="00817E17"/>
    <w:rsid w:val="0082002E"/>
    <w:rsid w:val="00820D2C"/>
    <w:rsid w:val="00822879"/>
    <w:rsid w:val="008234C9"/>
    <w:rsid w:val="00823ECC"/>
    <w:rsid w:val="008278BF"/>
    <w:rsid w:val="008322E9"/>
    <w:rsid w:val="00832BD3"/>
    <w:rsid w:val="008333C5"/>
    <w:rsid w:val="00834C7A"/>
    <w:rsid w:val="008379FD"/>
    <w:rsid w:val="00841B6C"/>
    <w:rsid w:val="00842B7F"/>
    <w:rsid w:val="008434D6"/>
    <w:rsid w:val="008445FB"/>
    <w:rsid w:val="0084511E"/>
    <w:rsid w:val="00847CBB"/>
    <w:rsid w:val="008519BF"/>
    <w:rsid w:val="00851CCF"/>
    <w:rsid w:val="0085347C"/>
    <w:rsid w:val="00853E02"/>
    <w:rsid w:val="00855BC9"/>
    <w:rsid w:val="00856EB5"/>
    <w:rsid w:val="00857C02"/>
    <w:rsid w:val="00860478"/>
    <w:rsid w:val="00861185"/>
    <w:rsid w:val="00863BA6"/>
    <w:rsid w:val="008642D7"/>
    <w:rsid w:val="00874A00"/>
    <w:rsid w:val="00875696"/>
    <w:rsid w:val="0088087D"/>
    <w:rsid w:val="00880A8F"/>
    <w:rsid w:val="00881195"/>
    <w:rsid w:val="008839A8"/>
    <w:rsid w:val="00887407"/>
    <w:rsid w:val="00887437"/>
    <w:rsid w:val="00890EB2"/>
    <w:rsid w:val="008914B1"/>
    <w:rsid w:val="0089187F"/>
    <w:rsid w:val="0089391E"/>
    <w:rsid w:val="00894919"/>
    <w:rsid w:val="008959C2"/>
    <w:rsid w:val="00897559"/>
    <w:rsid w:val="008A2A23"/>
    <w:rsid w:val="008A2C61"/>
    <w:rsid w:val="008A2E57"/>
    <w:rsid w:val="008A3C2F"/>
    <w:rsid w:val="008A3F4D"/>
    <w:rsid w:val="008A451A"/>
    <w:rsid w:val="008A5006"/>
    <w:rsid w:val="008A7EE9"/>
    <w:rsid w:val="008B1AC4"/>
    <w:rsid w:val="008B6BB0"/>
    <w:rsid w:val="008C168E"/>
    <w:rsid w:val="008C245F"/>
    <w:rsid w:val="008C2530"/>
    <w:rsid w:val="008C36D3"/>
    <w:rsid w:val="008D1935"/>
    <w:rsid w:val="008D2C55"/>
    <w:rsid w:val="008D48E6"/>
    <w:rsid w:val="008D6237"/>
    <w:rsid w:val="008D7987"/>
    <w:rsid w:val="008E0E4F"/>
    <w:rsid w:val="008E1128"/>
    <w:rsid w:val="008E5CC8"/>
    <w:rsid w:val="008E6981"/>
    <w:rsid w:val="008E7758"/>
    <w:rsid w:val="008F16AA"/>
    <w:rsid w:val="008F2535"/>
    <w:rsid w:val="008F4EF6"/>
    <w:rsid w:val="008F6B1F"/>
    <w:rsid w:val="009005C9"/>
    <w:rsid w:val="00901F7C"/>
    <w:rsid w:val="009021A6"/>
    <w:rsid w:val="00902B80"/>
    <w:rsid w:val="009058E9"/>
    <w:rsid w:val="009059EF"/>
    <w:rsid w:val="009101DC"/>
    <w:rsid w:val="009133B0"/>
    <w:rsid w:val="00917E45"/>
    <w:rsid w:val="00920C1E"/>
    <w:rsid w:val="00921B3F"/>
    <w:rsid w:val="0092336B"/>
    <w:rsid w:val="00925933"/>
    <w:rsid w:val="009305B7"/>
    <w:rsid w:val="009410C3"/>
    <w:rsid w:val="00941464"/>
    <w:rsid w:val="00946C8D"/>
    <w:rsid w:val="009507AD"/>
    <w:rsid w:val="00952D8C"/>
    <w:rsid w:val="00953091"/>
    <w:rsid w:val="009532ED"/>
    <w:rsid w:val="00957727"/>
    <w:rsid w:val="009611E6"/>
    <w:rsid w:val="009628E8"/>
    <w:rsid w:val="009641A0"/>
    <w:rsid w:val="009657DA"/>
    <w:rsid w:val="009664BB"/>
    <w:rsid w:val="00966548"/>
    <w:rsid w:val="0097040A"/>
    <w:rsid w:val="0097099B"/>
    <w:rsid w:val="00974A64"/>
    <w:rsid w:val="00974B9C"/>
    <w:rsid w:val="00977990"/>
    <w:rsid w:val="00977CED"/>
    <w:rsid w:val="009843DE"/>
    <w:rsid w:val="00984428"/>
    <w:rsid w:val="00985126"/>
    <w:rsid w:val="009859A9"/>
    <w:rsid w:val="009865F2"/>
    <w:rsid w:val="00991755"/>
    <w:rsid w:val="009922EC"/>
    <w:rsid w:val="009957D3"/>
    <w:rsid w:val="009A0622"/>
    <w:rsid w:val="009A0F41"/>
    <w:rsid w:val="009A1E20"/>
    <w:rsid w:val="009A3D2F"/>
    <w:rsid w:val="009A4865"/>
    <w:rsid w:val="009A51C9"/>
    <w:rsid w:val="009A780F"/>
    <w:rsid w:val="009A7A94"/>
    <w:rsid w:val="009A7AED"/>
    <w:rsid w:val="009B1271"/>
    <w:rsid w:val="009B542F"/>
    <w:rsid w:val="009B690D"/>
    <w:rsid w:val="009C2249"/>
    <w:rsid w:val="009C44BA"/>
    <w:rsid w:val="009C6240"/>
    <w:rsid w:val="009C639C"/>
    <w:rsid w:val="009D21CC"/>
    <w:rsid w:val="009D6025"/>
    <w:rsid w:val="009E2FD7"/>
    <w:rsid w:val="009E4BE2"/>
    <w:rsid w:val="009E5141"/>
    <w:rsid w:val="009E769E"/>
    <w:rsid w:val="009E7B2D"/>
    <w:rsid w:val="009F2BAF"/>
    <w:rsid w:val="009F3846"/>
    <w:rsid w:val="009F513D"/>
    <w:rsid w:val="009F5AC4"/>
    <w:rsid w:val="009F70A9"/>
    <w:rsid w:val="00A02481"/>
    <w:rsid w:val="00A06494"/>
    <w:rsid w:val="00A06C9E"/>
    <w:rsid w:val="00A0796E"/>
    <w:rsid w:val="00A113B8"/>
    <w:rsid w:val="00A11DF7"/>
    <w:rsid w:val="00A14DC7"/>
    <w:rsid w:val="00A20C73"/>
    <w:rsid w:val="00A231E4"/>
    <w:rsid w:val="00A23D7D"/>
    <w:rsid w:val="00A24778"/>
    <w:rsid w:val="00A30124"/>
    <w:rsid w:val="00A30AEF"/>
    <w:rsid w:val="00A31A68"/>
    <w:rsid w:val="00A33EEC"/>
    <w:rsid w:val="00A37080"/>
    <w:rsid w:val="00A37851"/>
    <w:rsid w:val="00A40C8D"/>
    <w:rsid w:val="00A43234"/>
    <w:rsid w:val="00A43E84"/>
    <w:rsid w:val="00A457D9"/>
    <w:rsid w:val="00A6067D"/>
    <w:rsid w:val="00A62135"/>
    <w:rsid w:val="00A621FA"/>
    <w:rsid w:val="00A6278E"/>
    <w:rsid w:val="00A632B6"/>
    <w:rsid w:val="00A6784A"/>
    <w:rsid w:val="00A704A7"/>
    <w:rsid w:val="00A71A62"/>
    <w:rsid w:val="00A71E9D"/>
    <w:rsid w:val="00A72BFB"/>
    <w:rsid w:val="00A75791"/>
    <w:rsid w:val="00A776BE"/>
    <w:rsid w:val="00A80FC8"/>
    <w:rsid w:val="00A8195A"/>
    <w:rsid w:val="00A86086"/>
    <w:rsid w:val="00A8687E"/>
    <w:rsid w:val="00A86C44"/>
    <w:rsid w:val="00AA5534"/>
    <w:rsid w:val="00AB29BE"/>
    <w:rsid w:val="00AB30BC"/>
    <w:rsid w:val="00AB5CDD"/>
    <w:rsid w:val="00AB7442"/>
    <w:rsid w:val="00AC33DA"/>
    <w:rsid w:val="00AD2206"/>
    <w:rsid w:val="00AD2DBA"/>
    <w:rsid w:val="00AD3CDF"/>
    <w:rsid w:val="00AD3E7C"/>
    <w:rsid w:val="00AD6AAD"/>
    <w:rsid w:val="00AD7029"/>
    <w:rsid w:val="00AD74B8"/>
    <w:rsid w:val="00AD7C19"/>
    <w:rsid w:val="00AE0E8F"/>
    <w:rsid w:val="00AE357D"/>
    <w:rsid w:val="00AE3E8E"/>
    <w:rsid w:val="00AE552E"/>
    <w:rsid w:val="00AF41E6"/>
    <w:rsid w:val="00AF4522"/>
    <w:rsid w:val="00AF46D2"/>
    <w:rsid w:val="00AF5C30"/>
    <w:rsid w:val="00AF68AB"/>
    <w:rsid w:val="00AF6E73"/>
    <w:rsid w:val="00AF6F9F"/>
    <w:rsid w:val="00AF7D29"/>
    <w:rsid w:val="00B004D0"/>
    <w:rsid w:val="00B020D5"/>
    <w:rsid w:val="00B077A9"/>
    <w:rsid w:val="00B125A4"/>
    <w:rsid w:val="00B13F1F"/>
    <w:rsid w:val="00B14B4A"/>
    <w:rsid w:val="00B162F2"/>
    <w:rsid w:val="00B204E4"/>
    <w:rsid w:val="00B21EB9"/>
    <w:rsid w:val="00B22600"/>
    <w:rsid w:val="00B24D4E"/>
    <w:rsid w:val="00B262A4"/>
    <w:rsid w:val="00B27315"/>
    <w:rsid w:val="00B3003B"/>
    <w:rsid w:val="00B314C0"/>
    <w:rsid w:val="00B31D21"/>
    <w:rsid w:val="00B350B8"/>
    <w:rsid w:val="00B35EA4"/>
    <w:rsid w:val="00B35F6D"/>
    <w:rsid w:val="00B37B5A"/>
    <w:rsid w:val="00B37CA5"/>
    <w:rsid w:val="00B4089B"/>
    <w:rsid w:val="00B40E4F"/>
    <w:rsid w:val="00B40FBE"/>
    <w:rsid w:val="00B42ADE"/>
    <w:rsid w:val="00B42FEB"/>
    <w:rsid w:val="00B43CBF"/>
    <w:rsid w:val="00B44399"/>
    <w:rsid w:val="00B44EB9"/>
    <w:rsid w:val="00B53CA8"/>
    <w:rsid w:val="00B5701E"/>
    <w:rsid w:val="00B5779D"/>
    <w:rsid w:val="00B57CC0"/>
    <w:rsid w:val="00B626DA"/>
    <w:rsid w:val="00B632B7"/>
    <w:rsid w:val="00B634D9"/>
    <w:rsid w:val="00B65852"/>
    <w:rsid w:val="00B67FDD"/>
    <w:rsid w:val="00B70144"/>
    <w:rsid w:val="00B70B0F"/>
    <w:rsid w:val="00B73849"/>
    <w:rsid w:val="00B75C1F"/>
    <w:rsid w:val="00B81265"/>
    <w:rsid w:val="00B83D85"/>
    <w:rsid w:val="00B84117"/>
    <w:rsid w:val="00B846F0"/>
    <w:rsid w:val="00B8658F"/>
    <w:rsid w:val="00B86D9B"/>
    <w:rsid w:val="00B87B9A"/>
    <w:rsid w:val="00B9026B"/>
    <w:rsid w:val="00B91614"/>
    <w:rsid w:val="00B91995"/>
    <w:rsid w:val="00B91E32"/>
    <w:rsid w:val="00B92AAE"/>
    <w:rsid w:val="00B93A91"/>
    <w:rsid w:val="00B94739"/>
    <w:rsid w:val="00B96105"/>
    <w:rsid w:val="00B96F53"/>
    <w:rsid w:val="00B97848"/>
    <w:rsid w:val="00BA178F"/>
    <w:rsid w:val="00BA2B5C"/>
    <w:rsid w:val="00BA3752"/>
    <w:rsid w:val="00BA646A"/>
    <w:rsid w:val="00BA6C6B"/>
    <w:rsid w:val="00BA7919"/>
    <w:rsid w:val="00BA7D17"/>
    <w:rsid w:val="00BB0EE8"/>
    <w:rsid w:val="00BB607F"/>
    <w:rsid w:val="00BC023B"/>
    <w:rsid w:val="00BC0E0E"/>
    <w:rsid w:val="00BC2920"/>
    <w:rsid w:val="00BC3488"/>
    <w:rsid w:val="00BC5805"/>
    <w:rsid w:val="00BC5E6C"/>
    <w:rsid w:val="00BC733A"/>
    <w:rsid w:val="00BC73B1"/>
    <w:rsid w:val="00BD243A"/>
    <w:rsid w:val="00BD2673"/>
    <w:rsid w:val="00BD7AC2"/>
    <w:rsid w:val="00BE37D3"/>
    <w:rsid w:val="00BE5D00"/>
    <w:rsid w:val="00BF1E47"/>
    <w:rsid w:val="00BF64C7"/>
    <w:rsid w:val="00C00765"/>
    <w:rsid w:val="00C038B9"/>
    <w:rsid w:val="00C1589C"/>
    <w:rsid w:val="00C161B9"/>
    <w:rsid w:val="00C162B9"/>
    <w:rsid w:val="00C233FC"/>
    <w:rsid w:val="00C25D46"/>
    <w:rsid w:val="00C26A46"/>
    <w:rsid w:val="00C270FB"/>
    <w:rsid w:val="00C27A40"/>
    <w:rsid w:val="00C346C7"/>
    <w:rsid w:val="00C401E7"/>
    <w:rsid w:val="00C437A0"/>
    <w:rsid w:val="00C45964"/>
    <w:rsid w:val="00C45990"/>
    <w:rsid w:val="00C467CF"/>
    <w:rsid w:val="00C46AE4"/>
    <w:rsid w:val="00C46FEF"/>
    <w:rsid w:val="00C50FF7"/>
    <w:rsid w:val="00C51F1B"/>
    <w:rsid w:val="00C5384B"/>
    <w:rsid w:val="00C6019A"/>
    <w:rsid w:val="00C61AD0"/>
    <w:rsid w:val="00C73292"/>
    <w:rsid w:val="00C73E8B"/>
    <w:rsid w:val="00C75DA1"/>
    <w:rsid w:val="00C76160"/>
    <w:rsid w:val="00C76214"/>
    <w:rsid w:val="00C76D87"/>
    <w:rsid w:val="00C7727E"/>
    <w:rsid w:val="00C77479"/>
    <w:rsid w:val="00C778C0"/>
    <w:rsid w:val="00C85DC9"/>
    <w:rsid w:val="00C86EC9"/>
    <w:rsid w:val="00C902C8"/>
    <w:rsid w:val="00C9121A"/>
    <w:rsid w:val="00C91CEF"/>
    <w:rsid w:val="00C92D35"/>
    <w:rsid w:val="00C9311C"/>
    <w:rsid w:val="00C95F80"/>
    <w:rsid w:val="00C965DF"/>
    <w:rsid w:val="00C96F6B"/>
    <w:rsid w:val="00C97EE8"/>
    <w:rsid w:val="00CA708E"/>
    <w:rsid w:val="00CB244E"/>
    <w:rsid w:val="00CB5470"/>
    <w:rsid w:val="00CB5BB7"/>
    <w:rsid w:val="00CC1759"/>
    <w:rsid w:val="00CC1D7A"/>
    <w:rsid w:val="00CC2905"/>
    <w:rsid w:val="00CC5D42"/>
    <w:rsid w:val="00CD0F47"/>
    <w:rsid w:val="00CD127C"/>
    <w:rsid w:val="00CD155F"/>
    <w:rsid w:val="00CD1FEC"/>
    <w:rsid w:val="00CD2373"/>
    <w:rsid w:val="00CD24F3"/>
    <w:rsid w:val="00CD475D"/>
    <w:rsid w:val="00CD4A3A"/>
    <w:rsid w:val="00CD5DFE"/>
    <w:rsid w:val="00CD5EFC"/>
    <w:rsid w:val="00CD6A89"/>
    <w:rsid w:val="00CD781A"/>
    <w:rsid w:val="00CD7F5F"/>
    <w:rsid w:val="00CE198C"/>
    <w:rsid w:val="00CE4DAF"/>
    <w:rsid w:val="00CE5644"/>
    <w:rsid w:val="00CF5010"/>
    <w:rsid w:val="00CF58E8"/>
    <w:rsid w:val="00CF6EDE"/>
    <w:rsid w:val="00CF7F1E"/>
    <w:rsid w:val="00D0132F"/>
    <w:rsid w:val="00D016BA"/>
    <w:rsid w:val="00D023E6"/>
    <w:rsid w:val="00D02E2B"/>
    <w:rsid w:val="00D0472E"/>
    <w:rsid w:val="00D049A3"/>
    <w:rsid w:val="00D0584C"/>
    <w:rsid w:val="00D109B4"/>
    <w:rsid w:val="00D14D42"/>
    <w:rsid w:val="00D16887"/>
    <w:rsid w:val="00D17172"/>
    <w:rsid w:val="00D20370"/>
    <w:rsid w:val="00D22E63"/>
    <w:rsid w:val="00D236BC"/>
    <w:rsid w:val="00D2442B"/>
    <w:rsid w:val="00D25AC8"/>
    <w:rsid w:val="00D34551"/>
    <w:rsid w:val="00D35507"/>
    <w:rsid w:val="00D36ADA"/>
    <w:rsid w:val="00D37685"/>
    <w:rsid w:val="00D40D60"/>
    <w:rsid w:val="00D420B9"/>
    <w:rsid w:val="00D42C4A"/>
    <w:rsid w:val="00D44E12"/>
    <w:rsid w:val="00D50D7B"/>
    <w:rsid w:val="00D51BF0"/>
    <w:rsid w:val="00D60BCA"/>
    <w:rsid w:val="00D6494E"/>
    <w:rsid w:val="00D65095"/>
    <w:rsid w:val="00D654DD"/>
    <w:rsid w:val="00D73A39"/>
    <w:rsid w:val="00D74082"/>
    <w:rsid w:val="00D772CD"/>
    <w:rsid w:val="00D82132"/>
    <w:rsid w:val="00D828E4"/>
    <w:rsid w:val="00D82A50"/>
    <w:rsid w:val="00D836E9"/>
    <w:rsid w:val="00D83B49"/>
    <w:rsid w:val="00D873A1"/>
    <w:rsid w:val="00D903F1"/>
    <w:rsid w:val="00D92F1C"/>
    <w:rsid w:val="00D9399E"/>
    <w:rsid w:val="00D93A5C"/>
    <w:rsid w:val="00D94D91"/>
    <w:rsid w:val="00D958ED"/>
    <w:rsid w:val="00DA169C"/>
    <w:rsid w:val="00DA4EE7"/>
    <w:rsid w:val="00DA4F50"/>
    <w:rsid w:val="00DA682E"/>
    <w:rsid w:val="00DB3646"/>
    <w:rsid w:val="00DB4861"/>
    <w:rsid w:val="00DB59B2"/>
    <w:rsid w:val="00DB6C24"/>
    <w:rsid w:val="00DB71C9"/>
    <w:rsid w:val="00DC0D82"/>
    <w:rsid w:val="00DC1325"/>
    <w:rsid w:val="00DC2EC3"/>
    <w:rsid w:val="00DC376F"/>
    <w:rsid w:val="00DC45D7"/>
    <w:rsid w:val="00DC7173"/>
    <w:rsid w:val="00DD08FE"/>
    <w:rsid w:val="00DD18B0"/>
    <w:rsid w:val="00DD34AC"/>
    <w:rsid w:val="00DD3BAF"/>
    <w:rsid w:val="00DD499C"/>
    <w:rsid w:val="00DD4AFC"/>
    <w:rsid w:val="00DE1C2F"/>
    <w:rsid w:val="00DE30EB"/>
    <w:rsid w:val="00DE3A0E"/>
    <w:rsid w:val="00DE5B4C"/>
    <w:rsid w:val="00DF21D9"/>
    <w:rsid w:val="00DF2787"/>
    <w:rsid w:val="00DF37D0"/>
    <w:rsid w:val="00DF445A"/>
    <w:rsid w:val="00DF4F78"/>
    <w:rsid w:val="00E00FAA"/>
    <w:rsid w:val="00E035B5"/>
    <w:rsid w:val="00E137BD"/>
    <w:rsid w:val="00E20EAB"/>
    <w:rsid w:val="00E234E1"/>
    <w:rsid w:val="00E249C3"/>
    <w:rsid w:val="00E26072"/>
    <w:rsid w:val="00E27BAD"/>
    <w:rsid w:val="00E30FE1"/>
    <w:rsid w:val="00E31855"/>
    <w:rsid w:val="00E325AB"/>
    <w:rsid w:val="00E342BE"/>
    <w:rsid w:val="00E35388"/>
    <w:rsid w:val="00E41734"/>
    <w:rsid w:val="00E41D85"/>
    <w:rsid w:val="00E44DD4"/>
    <w:rsid w:val="00E4625A"/>
    <w:rsid w:val="00E4650D"/>
    <w:rsid w:val="00E46B27"/>
    <w:rsid w:val="00E46C84"/>
    <w:rsid w:val="00E5414E"/>
    <w:rsid w:val="00E55151"/>
    <w:rsid w:val="00E5536B"/>
    <w:rsid w:val="00E55637"/>
    <w:rsid w:val="00E57127"/>
    <w:rsid w:val="00E60C1E"/>
    <w:rsid w:val="00E61385"/>
    <w:rsid w:val="00E61BF1"/>
    <w:rsid w:val="00E62F25"/>
    <w:rsid w:val="00E6367A"/>
    <w:rsid w:val="00E645A2"/>
    <w:rsid w:val="00E65040"/>
    <w:rsid w:val="00E65650"/>
    <w:rsid w:val="00E6784F"/>
    <w:rsid w:val="00E73039"/>
    <w:rsid w:val="00E73659"/>
    <w:rsid w:val="00E742CF"/>
    <w:rsid w:val="00E75E53"/>
    <w:rsid w:val="00E761AC"/>
    <w:rsid w:val="00E80BF2"/>
    <w:rsid w:val="00E81D80"/>
    <w:rsid w:val="00E82B5B"/>
    <w:rsid w:val="00E84F41"/>
    <w:rsid w:val="00E859BD"/>
    <w:rsid w:val="00E85E79"/>
    <w:rsid w:val="00E86079"/>
    <w:rsid w:val="00E87CCE"/>
    <w:rsid w:val="00E87FF6"/>
    <w:rsid w:val="00E9461D"/>
    <w:rsid w:val="00E95F4C"/>
    <w:rsid w:val="00EA1A31"/>
    <w:rsid w:val="00EA647C"/>
    <w:rsid w:val="00EA7215"/>
    <w:rsid w:val="00EB192E"/>
    <w:rsid w:val="00EB32B6"/>
    <w:rsid w:val="00EB3ACA"/>
    <w:rsid w:val="00EB4246"/>
    <w:rsid w:val="00EB4F23"/>
    <w:rsid w:val="00EB6942"/>
    <w:rsid w:val="00EB6BB3"/>
    <w:rsid w:val="00EC09E6"/>
    <w:rsid w:val="00EC0C81"/>
    <w:rsid w:val="00EC1ED7"/>
    <w:rsid w:val="00EC2919"/>
    <w:rsid w:val="00EC4D51"/>
    <w:rsid w:val="00EC75CC"/>
    <w:rsid w:val="00ED1887"/>
    <w:rsid w:val="00ED2C87"/>
    <w:rsid w:val="00EE04BA"/>
    <w:rsid w:val="00EE0514"/>
    <w:rsid w:val="00EE2A70"/>
    <w:rsid w:val="00EE2F6F"/>
    <w:rsid w:val="00EE4283"/>
    <w:rsid w:val="00EE5225"/>
    <w:rsid w:val="00EE6022"/>
    <w:rsid w:val="00EE7D02"/>
    <w:rsid w:val="00EE7DA0"/>
    <w:rsid w:val="00EF240F"/>
    <w:rsid w:val="00EF5775"/>
    <w:rsid w:val="00EF7D76"/>
    <w:rsid w:val="00F0235F"/>
    <w:rsid w:val="00F02B1E"/>
    <w:rsid w:val="00F04D74"/>
    <w:rsid w:val="00F069A0"/>
    <w:rsid w:val="00F06EC6"/>
    <w:rsid w:val="00F071A1"/>
    <w:rsid w:val="00F135DC"/>
    <w:rsid w:val="00F13AE4"/>
    <w:rsid w:val="00F14ED2"/>
    <w:rsid w:val="00F1526B"/>
    <w:rsid w:val="00F153D0"/>
    <w:rsid w:val="00F17AB6"/>
    <w:rsid w:val="00F218CB"/>
    <w:rsid w:val="00F23751"/>
    <w:rsid w:val="00F319DE"/>
    <w:rsid w:val="00F32C22"/>
    <w:rsid w:val="00F33E9D"/>
    <w:rsid w:val="00F408B6"/>
    <w:rsid w:val="00F40B07"/>
    <w:rsid w:val="00F4251E"/>
    <w:rsid w:val="00F443FA"/>
    <w:rsid w:val="00F46ABA"/>
    <w:rsid w:val="00F470D7"/>
    <w:rsid w:val="00F472B5"/>
    <w:rsid w:val="00F47EAB"/>
    <w:rsid w:val="00F50899"/>
    <w:rsid w:val="00F50CFC"/>
    <w:rsid w:val="00F5100C"/>
    <w:rsid w:val="00F53044"/>
    <w:rsid w:val="00F57064"/>
    <w:rsid w:val="00F57541"/>
    <w:rsid w:val="00F61609"/>
    <w:rsid w:val="00F6458E"/>
    <w:rsid w:val="00F663FA"/>
    <w:rsid w:val="00F66B36"/>
    <w:rsid w:val="00F74985"/>
    <w:rsid w:val="00F752B3"/>
    <w:rsid w:val="00F7746F"/>
    <w:rsid w:val="00F8086B"/>
    <w:rsid w:val="00F809EB"/>
    <w:rsid w:val="00F810D8"/>
    <w:rsid w:val="00F8122F"/>
    <w:rsid w:val="00F82855"/>
    <w:rsid w:val="00F82BD7"/>
    <w:rsid w:val="00F8350A"/>
    <w:rsid w:val="00F900AE"/>
    <w:rsid w:val="00F9106E"/>
    <w:rsid w:val="00F9302D"/>
    <w:rsid w:val="00F93318"/>
    <w:rsid w:val="00F96F39"/>
    <w:rsid w:val="00F97B5B"/>
    <w:rsid w:val="00FA0AD7"/>
    <w:rsid w:val="00FA22B9"/>
    <w:rsid w:val="00FA3501"/>
    <w:rsid w:val="00FA4AE6"/>
    <w:rsid w:val="00FB1282"/>
    <w:rsid w:val="00FB3C95"/>
    <w:rsid w:val="00FB66A1"/>
    <w:rsid w:val="00FB6DB5"/>
    <w:rsid w:val="00FB6FD6"/>
    <w:rsid w:val="00FB78D6"/>
    <w:rsid w:val="00FC0D4D"/>
    <w:rsid w:val="00FD2137"/>
    <w:rsid w:val="00FD21CE"/>
    <w:rsid w:val="00FD6ED5"/>
    <w:rsid w:val="00FD79EC"/>
    <w:rsid w:val="00FD7DDE"/>
    <w:rsid w:val="00FE26D1"/>
    <w:rsid w:val="00FE6D2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7CC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US" w:eastAsia="es-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ZapfHumnst BT" w:hAnsi="ZapfHumnst BT"/>
      <w:b/>
      <w:sz w:val="22"/>
      <w:u w:val="single"/>
    </w:rPr>
  </w:style>
  <w:style w:type="paragraph" w:styleId="Ttulo2">
    <w:name w:val="heading 2"/>
    <w:basedOn w:val="Normal"/>
    <w:next w:val="Normal"/>
    <w:qFormat/>
    <w:pPr>
      <w:keepNext/>
      <w:ind w:left="360"/>
      <w:jc w:val="both"/>
      <w:outlineLvl w:val="1"/>
    </w:pPr>
    <w:rPr>
      <w:rFonts w:ascii="ZapfHumnst BT" w:hAnsi="ZapfHumnst BT"/>
      <w:b/>
      <w:sz w:val="22"/>
    </w:rPr>
  </w:style>
  <w:style w:type="paragraph" w:styleId="Ttulo3">
    <w:name w:val="heading 3"/>
    <w:basedOn w:val="Normal"/>
    <w:next w:val="Normal"/>
    <w:qFormat/>
    <w:pPr>
      <w:keepNext/>
      <w:ind w:left="709"/>
      <w:jc w:val="both"/>
      <w:outlineLvl w:val="2"/>
    </w:pPr>
    <w:rPr>
      <w:rFonts w:ascii="ZapfHumnst BT" w:hAnsi="ZapfHumnst BT"/>
      <w:b/>
      <w:sz w:val="22"/>
    </w:rPr>
  </w:style>
  <w:style w:type="paragraph" w:styleId="Ttulo4">
    <w:name w:val="heading 4"/>
    <w:basedOn w:val="Normal"/>
    <w:next w:val="Normal"/>
    <w:qFormat/>
    <w:pPr>
      <w:keepNext/>
      <w:jc w:val="both"/>
      <w:outlineLvl w:val="3"/>
    </w:pPr>
    <w:rPr>
      <w:rFonts w:ascii="ZapfHumnst BT" w:hAnsi="ZapfHumnst BT"/>
      <w:b/>
      <w:sz w:val="22"/>
    </w:rPr>
  </w:style>
  <w:style w:type="paragraph" w:styleId="Ttulo5">
    <w:name w:val="heading 5"/>
    <w:basedOn w:val="Normal"/>
    <w:next w:val="Normal"/>
    <w:qFormat/>
    <w:pPr>
      <w:keepNext/>
      <w:ind w:left="709"/>
      <w:outlineLvl w:val="4"/>
    </w:pPr>
    <w:rPr>
      <w:rFonts w:ascii="ZapfHumnst BT" w:hAnsi="ZapfHumnst BT"/>
      <w:sz w:val="22"/>
      <w:u w:val="single"/>
    </w:rPr>
  </w:style>
  <w:style w:type="paragraph" w:styleId="Ttulo6">
    <w:name w:val="heading 6"/>
    <w:basedOn w:val="Normal"/>
    <w:next w:val="Normal"/>
    <w:qFormat/>
    <w:pPr>
      <w:keepNext/>
      <w:ind w:left="1418"/>
      <w:outlineLvl w:val="5"/>
    </w:pPr>
    <w:rPr>
      <w:rFonts w:ascii="ZapfHumnst BT" w:hAnsi="ZapfHumnst BT"/>
      <w:b/>
      <w:bCs/>
      <w:sz w:val="22"/>
    </w:rPr>
  </w:style>
  <w:style w:type="paragraph" w:styleId="Ttulo7">
    <w:name w:val="heading 7"/>
    <w:basedOn w:val="Normal"/>
    <w:next w:val="Normal"/>
    <w:qFormat/>
    <w:pPr>
      <w:keepNext/>
      <w:ind w:left="1106"/>
      <w:outlineLvl w:val="6"/>
    </w:pPr>
    <w:rPr>
      <w:rFonts w:ascii="ZapfHumnst BT" w:hAnsi="ZapfHumnst BT"/>
      <w:b/>
      <w:bCs/>
      <w:sz w:val="22"/>
    </w:rPr>
  </w:style>
  <w:style w:type="paragraph" w:styleId="Ttulo8">
    <w:name w:val="heading 8"/>
    <w:basedOn w:val="Normal"/>
    <w:next w:val="Normal"/>
    <w:qFormat/>
    <w:pPr>
      <w:keepNext/>
      <w:ind w:left="1106" w:firstLine="312"/>
      <w:outlineLvl w:val="7"/>
    </w:pPr>
    <w:rPr>
      <w:rFonts w:ascii="ZapfHumnst BT" w:hAnsi="ZapfHumnst BT"/>
      <w:b/>
      <w:bCs/>
      <w:sz w:val="22"/>
    </w:rPr>
  </w:style>
  <w:style w:type="paragraph" w:styleId="Ttulo9">
    <w:name w:val="heading 9"/>
    <w:basedOn w:val="Normal"/>
    <w:next w:val="Normal"/>
    <w:qFormat/>
    <w:pPr>
      <w:keepNext/>
      <w:ind w:left="709" w:firstLine="709"/>
      <w:outlineLvl w:val="8"/>
    </w:pPr>
    <w:rPr>
      <w:rFonts w:ascii="ZapfHumnst BT" w:hAnsi="ZapfHumnst BT"/>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b/>
      <w:sz w:val="22"/>
      <w:u w:val="single"/>
      <w:lang w:val="es-ES_tradnl"/>
    </w:rPr>
  </w:style>
  <w:style w:type="paragraph" w:styleId="Sangra2detindependiente">
    <w:name w:val="Body Text Indent 2"/>
    <w:basedOn w:val="Normal"/>
    <w:pPr>
      <w:ind w:left="4254"/>
    </w:pPr>
    <w:rPr>
      <w:rFonts w:ascii="ZapfHumnst BT" w:hAnsi="ZapfHumnst BT"/>
      <w:sz w:val="22"/>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rPr>
      <w:sz w:val="22"/>
    </w:rPr>
  </w:style>
  <w:style w:type="paragraph" w:styleId="Subttulo">
    <w:name w:val="Subtitle"/>
    <w:basedOn w:val="Normal"/>
    <w:qFormat/>
    <w:pPr>
      <w:jc w:val="center"/>
    </w:pPr>
    <w:rPr>
      <w:rFonts w:ascii="ZapfHumnst BT" w:hAnsi="ZapfHumnst BT"/>
      <w:b/>
      <w:sz w:val="22"/>
      <w:u w:val="single"/>
    </w:rPr>
  </w:style>
  <w:style w:type="paragraph" w:styleId="Sangra3detindependiente">
    <w:name w:val="Body Text Indent 3"/>
    <w:basedOn w:val="Normal"/>
    <w:pPr>
      <w:ind w:left="4954" w:hanging="4245"/>
      <w:jc w:val="both"/>
    </w:pPr>
    <w:rPr>
      <w:rFonts w:ascii="ZapfHumnst BT" w:hAnsi="ZapfHumnst BT"/>
      <w:sz w:val="22"/>
    </w:rPr>
  </w:style>
  <w:style w:type="paragraph" w:styleId="Textoindependiente">
    <w:name w:val="Body Text"/>
    <w:basedOn w:val="Normal"/>
    <w:link w:val="TextoindependienteCar"/>
    <w:pPr>
      <w:jc w:val="center"/>
    </w:pPr>
    <w:rPr>
      <w:rFonts w:ascii="ZapfHumnst BT" w:hAnsi="ZapfHumnst BT"/>
      <w:b/>
      <w:sz w:val="22"/>
      <w:u w:val="single"/>
    </w:rPr>
  </w:style>
  <w:style w:type="paragraph" w:styleId="Descripcin">
    <w:name w:val="caption"/>
    <w:basedOn w:val="Normal"/>
    <w:next w:val="Normal"/>
    <w:qFormat/>
    <w:pPr>
      <w:jc w:val="center"/>
    </w:pPr>
    <w:rPr>
      <w:rFonts w:ascii="ZapfHumnst BT" w:hAnsi="ZapfHumnst BT"/>
      <w:b/>
      <w:sz w:val="22"/>
      <w:u w:val="single"/>
    </w:rPr>
  </w:style>
  <w:style w:type="paragraph" w:styleId="Textoindependiente3">
    <w:name w:val="Body Text 3"/>
    <w:basedOn w:val="Normal"/>
    <w:pPr>
      <w:jc w:val="both"/>
    </w:pPr>
    <w:rPr>
      <w:sz w:val="22"/>
    </w:rPr>
  </w:style>
  <w:style w:type="paragraph" w:styleId="Sangradetextonormal">
    <w:name w:val="Body Text Indent"/>
    <w:basedOn w:val="Normal"/>
    <w:pPr>
      <w:ind w:left="705"/>
      <w:jc w:val="both"/>
    </w:pPr>
    <w:rPr>
      <w:rFonts w:ascii="ZapfHumnst BT" w:hAnsi="ZapfHumnst BT"/>
      <w:sz w:val="22"/>
    </w:rPr>
  </w:style>
  <w:style w:type="paragraph" w:styleId="Textodebloque">
    <w:name w:val="Block Text"/>
    <w:basedOn w:val="Normal"/>
    <w:pPr>
      <w:ind w:left="284" w:right="473"/>
      <w:jc w:val="both"/>
    </w:pPr>
    <w:rPr>
      <w:rFonts w:ascii="ZapfHumnst BT" w:hAnsi="ZapfHumnst BT"/>
      <w:sz w:val="22"/>
    </w:rPr>
  </w:style>
  <w:style w:type="character" w:styleId="Hipervnculo">
    <w:name w:val="Hyperlink"/>
    <w:rPr>
      <w:color w:val="0000FF"/>
      <w:u w:val="single"/>
    </w:rPr>
  </w:style>
  <w:style w:type="paragraph" w:styleId="Lista3">
    <w:name w:val="List 3"/>
    <w:basedOn w:val="Normal"/>
    <w:pPr>
      <w:ind w:left="849" w:hanging="283"/>
    </w:pPr>
    <w:rPr>
      <w:lang w:val="es-ES_tradnl"/>
    </w:rPr>
  </w:style>
  <w:style w:type="paragraph" w:styleId="Textosinformato">
    <w:name w:val="Plain Text"/>
    <w:basedOn w:val="Normal"/>
    <w:rPr>
      <w:rFonts w:ascii="Courier New" w:hAnsi="Courier New" w:cs="Courier New"/>
    </w:rPr>
  </w:style>
  <w:style w:type="paragraph" w:customStyle="1" w:styleId="xl22">
    <w:name w:val="xl22"/>
    <w:basedOn w:val="Normal"/>
    <w:pPr>
      <w:spacing w:before="100" w:beforeAutospacing="1" w:after="100" w:afterAutospacing="1"/>
      <w:textAlignment w:val="top"/>
    </w:pPr>
    <w:rPr>
      <w:rFonts w:ascii="Arial" w:eastAsia="Arial Unicode MS" w:hAnsi="Arial" w:cs="Arial"/>
      <w:color w:val="003366"/>
      <w:sz w:val="18"/>
      <w:szCs w:val="18"/>
    </w:rPr>
  </w:style>
  <w:style w:type="paragraph" w:customStyle="1" w:styleId="xl23">
    <w:name w:val="xl23"/>
    <w:basedOn w:val="Normal"/>
    <w:pPr>
      <w:spacing w:before="100" w:beforeAutospacing="1" w:after="100" w:afterAutospacing="1"/>
      <w:textAlignment w:val="top"/>
    </w:pPr>
    <w:rPr>
      <w:rFonts w:ascii="Arial" w:eastAsia="Arial Unicode MS" w:hAnsi="Arial" w:cs="Arial"/>
      <w:color w:val="003366"/>
      <w:sz w:val="18"/>
      <w:szCs w:val="18"/>
    </w:rPr>
  </w:style>
  <w:style w:type="paragraph" w:customStyle="1" w:styleId="xl24">
    <w:name w:val="xl24"/>
    <w:basedOn w:val="Normal"/>
    <w:pPr>
      <w:spacing w:before="100" w:beforeAutospacing="1" w:after="100" w:afterAutospacing="1"/>
      <w:textAlignment w:val="top"/>
    </w:pPr>
    <w:rPr>
      <w:rFonts w:ascii="Arial" w:eastAsia="Arial Unicode MS" w:hAnsi="Arial" w:cs="Arial"/>
      <w:b/>
      <w:bCs/>
      <w:color w:val="003366"/>
    </w:rPr>
  </w:style>
  <w:style w:type="table" w:styleId="Tablaconcuadrcula">
    <w:name w:val="Table Grid"/>
    <w:basedOn w:val="Tablanormal"/>
    <w:uiPriority w:val="39"/>
    <w:rsid w:val="0018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D036CA"/>
    <w:rPr>
      <w:rFonts w:ascii="Tahoma" w:hAnsi="Tahoma" w:cs="Tahoma"/>
      <w:sz w:val="16"/>
      <w:szCs w:val="16"/>
    </w:rPr>
  </w:style>
  <w:style w:type="character" w:customStyle="1" w:styleId="PiedepginaCar">
    <w:name w:val="Pie de página Car"/>
    <w:link w:val="Piedepgina"/>
    <w:uiPriority w:val="99"/>
    <w:rsid w:val="007215D5"/>
    <w:rPr>
      <w:lang w:val="es-ES" w:eastAsia="es-ES" w:bidi="ar-SA"/>
    </w:rPr>
  </w:style>
  <w:style w:type="paragraph" w:customStyle="1" w:styleId="ColorfulList-Accent11">
    <w:name w:val="Colorful List - Accent 11"/>
    <w:basedOn w:val="Normal"/>
    <w:uiPriority w:val="34"/>
    <w:qFormat/>
    <w:rsid w:val="008856F5"/>
    <w:pPr>
      <w:ind w:left="708"/>
    </w:pPr>
  </w:style>
  <w:style w:type="paragraph" w:styleId="Prrafodelista">
    <w:name w:val="List Paragraph"/>
    <w:aliases w:val="Párrafo de lista SUBCAPITULO,Párrafo de lista1,Colorful List - Accent 111,TIT 2 IND,Lista vistosa - Énfasis 11,Capítulo,Texto,List Paragraph1,Párrafo 3,Bullet List,FooterText,numbered,Paragraphe de liste1,lp1"/>
    <w:basedOn w:val="Normal"/>
    <w:link w:val="PrrafodelistaCar"/>
    <w:uiPriority w:val="34"/>
    <w:qFormat/>
    <w:rsid w:val="005C221E"/>
    <w:pPr>
      <w:ind w:left="708"/>
    </w:pPr>
  </w:style>
  <w:style w:type="paragraph" w:customStyle="1" w:styleId="textogris">
    <w:name w:val="textogris"/>
    <w:basedOn w:val="Normal"/>
    <w:rsid w:val="00551DEB"/>
    <w:pPr>
      <w:spacing w:before="100" w:beforeAutospacing="1" w:after="100" w:afterAutospacing="1" w:line="312" w:lineRule="auto"/>
    </w:pPr>
    <w:rPr>
      <w:rFonts w:ascii="Arial" w:hAnsi="Arial" w:cs="Arial"/>
      <w:color w:val="6E6E6E"/>
      <w:lang w:val="es-EC" w:eastAsia="es-EC"/>
    </w:rPr>
  </w:style>
  <w:style w:type="paragraph" w:styleId="NormalWeb">
    <w:name w:val="Normal (Web)"/>
    <w:basedOn w:val="Normal"/>
    <w:uiPriority w:val="99"/>
    <w:unhideWhenUsed/>
    <w:rsid w:val="00B97848"/>
    <w:pPr>
      <w:spacing w:before="100" w:beforeAutospacing="1" w:after="100" w:afterAutospacing="1"/>
    </w:pPr>
    <w:rPr>
      <w:lang w:val="es-EC" w:eastAsia="es-EC"/>
    </w:rPr>
  </w:style>
  <w:style w:type="character" w:styleId="Textoennegrita">
    <w:name w:val="Strong"/>
    <w:uiPriority w:val="22"/>
    <w:qFormat/>
    <w:rsid w:val="00B97848"/>
    <w:rPr>
      <w:b/>
      <w:bCs/>
    </w:rPr>
  </w:style>
  <w:style w:type="paragraph" w:styleId="Textonotapie">
    <w:name w:val="footnote text"/>
    <w:basedOn w:val="Normal"/>
    <w:link w:val="TextonotapieCar"/>
    <w:rsid w:val="000B19AF"/>
  </w:style>
  <w:style w:type="character" w:customStyle="1" w:styleId="TextonotapieCar">
    <w:name w:val="Texto nota pie Car"/>
    <w:link w:val="Textonotapie"/>
    <w:rsid w:val="000B19AF"/>
    <w:rPr>
      <w:lang w:val="es-ES" w:eastAsia="es-ES"/>
    </w:rPr>
  </w:style>
  <w:style w:type="character" w:styleId="Refdenotaalpie">
    <w:name w:val="footnote reference"/>
    <w:rsid w:val="000B19AF"/>
    <w:rPr>
      <w:vertAlign w:val="superscript"/>
    </w:rPr>
  </w:style>
  <w:style w:type="paragraph" w:customStyle="1" w:styleId="Tablanormal1">
    <w:name w:val="Tabla normal1"/>
    <w:basedOn w:val="Normal"/>
    <w:rsid w:val="00D023E6"/>
    <w:pPr>
      <w:spacing w:before="60" w:after="60" w:line="264" w:lineRule="auto"/>
    </w:pPr>
    <w:rPr>
      <w:rFonts w:ascii="Arial Narrow" w:eastAsia="Arial Narrow" w:hAnsi="Arial Narrow" w:cs="Arial Narrow"/>
      <w:sz w:val="18"/>
      <w:szCs w:val="18"/>
      <w:lang w:val="es-EC" w:eastAsia="ja-JP"/>
    </w:rPr>
  </w:style>
  <w:style w:type="paragraph" w:customStyle="1" w:styleId="Default">
    <w:name w:val="Default"/>
    <w:rsid w:val="00BA3752"/>
    <w:pPr>
      <w:autoSpaceDE w:val="0"/>
      <w:autoSpaceDN w:val="0"/>
      <w:adjustRightInd w:val="0"/>
    </w:pPr>
    <w:rPr>
      <w:rFonts w:ascii="Arial" w:eastAsia="Calibri" w:hAnsi="Arial" w:cs="Arial"/>
      <w:color w:val="000000"/>
      <w:lang w:val="es-EC" w:eastAsia="es-EC"/>
    </w:rPr>
  </w:style>
  <w:style w:type="character" w:customStyle="1" w:styleId="TextoindependienteCar">
    <w:name w:val="Texto independiente Car"/>
    <w:link w:val="Textoindependiente"/>
    <w:rsid w:val="00BA3752"/>
    <w:rPr>
      <w:rFonts w:ascii="ZapfHumnst BT" w:hAnsi="ZapfHumnst BT"/>
      <w:b/>
      <w:sz w:val="22"/>
      <w:u w:val="single"/>
      <w:lang w:val="es-ES" w:eastAsia="es-ES"/>
    </w:rPr>
  </w:style>
  <w:style w:type="character" w:customStyle="1" w:styleId="PrrafodelistaCar">
    <w:name w:val="Párrafo de lista Car"/>
    <w:aliases w:val="Párrafo de lista SUBCAPITULO Car,Párrafo de lista1 Car,Colorful List - Accent 111 Car,TIT 2 IND Car,Lista vistosa - Énfasis 11 Car,Capítulo Car,Texto Car,List Paragraph1 Car,Párrafo 3 Car,Bullet List Car,FooterText Car,numbered Car"/>
    <w:link w:val="Prrafodelista"/>
    <w:uiPriority w:val="34"/>
    <w:qFormat/>
    <w:locked/>
    <w:rsid w:val="00BA3752"/>
    <w:rPr>
      <w:lang w:val="es-ES" w:eastAsia="es-ES"/>
    </w:rPr>
  </w:style>
  <w:style w:type="character" w:customStyle="1" w:styleId="fontstyle01">
    <w:name w:val="fontstyle01"/>
    <w:basedOn w:val="Fuentedeprrafopredeter"/>
    <w:rsid w:val="00713800"/>
    <w:rPr>
      <w:rFonts w:ascii="Times-Bold" w:hAnsi="Times-Bold" w:hint="default"/>
      <w:b/>
      <w:bCs/>
      <w:i w:val="0"/>
      <w:iCs w:val="0"/>
      <w:color w:val="000000"/>
      <w:sz w:val="22"/>
      <w:szCs w:val="22"/>
    </w:rPr>
  </w:style>
  <w:style w:type="character" w:customStyle="1" w:styleId="fontstyle21">
    <w:name w:val="fontstyle21"/>
    <w:basedOn w:val="Fuentedeprrafopredeter"/>
    <w:rsid w:val="00357806"/>
    <w:rPr>
      <w:rFonts w:ascii="Symbol" w:hAnsi="Symbol" w:hint="default"/>
      <w:b w:val="0"/>
      <w:bCs w:val="0"/>
      <w:i w:val="0"/>
      <w:iCs w:val="0"/>
      <w:color w:val="000000"/>
      <w:sz w:val="22"/>
      <w:szCs w:val="22"/>
    </w:rPr>
  </w:style>
  <w:style w:type="character" w:customStyle="1" w:styleId="fontstyle31">
    <w:name w:val="fontstyle31"/>
    <w:basedOn w:val="Fuentedeprrafopredeter"/>
    <w:rsid w:val="00357806"/>
    <w:rPr>
      <w:rFonts w:ascii="Times-BoldItalic" w:hAnsi="Times-BoldItalic"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251">
      <w:bodyDiv w:val="1"/>
      <w:marLeft w:val="0"/>
      <w:marRight w:val="0"/>
      <w:marTop w:val="0"/>
      <w:marBottom w:val="0"/>
      <w:divBdr>
        <w:top w:val="none" w:sz="0" w:space="0" w:color="auto"/>
        <w:left w:val="none" w:sz="0" w:space="0" w:color="auto"/>
        <w:bottom w:val="none" w:sz="0" w:space="0" w:color="auto"/>
        <w:right w:val="none" w:sz="0" w:space="0" w:color="auto"/>
      </w:divBdr>
    </w:div>
    <w:div w:id="80880023">
      <w:bodyDiv w:val="1"/>
      <w:marLeft w:val="0"/>
      <w:marRight w:val="0"/>
      <w:marTop w:val="0"/>
      <w:marBottom w:val="0"/>
      <w:divBdr>
        <w:top w:val="none" w:sz="0" w:space="0" w:color="auto"/>
        <w:left w:val="none" w:sz="0" w:space="0" w:color="auto"/>
        <w:bottom w:val="none" w:sz="0" w:space="0" w:color="auto"/>
        <w:right w:val="none" w:sz="0" w:space="0" w:color="auto"/>
      </w:divBdr>
      <w:divsChild>
        <w:div w:id="205528523">
          <w:marLeft w:val="0"/>
          <w:marRight w:val="0"/>
          <w:marTop w:val="0"/>
          <w:marBottom w:val="0"/>
          <w:divBdr>
            <w:top w:val="none" w:sz="0" w:space="0" w:color="auto"/>
            <w:left w:val="none" w:sz="0" w:space="0" w:color="auto"/>
            <w:bottom w:val="none" w:sz="0" w:space="0" w:color="auto"/>
            <w:right w:val="none" w:sz="0" w:space="0" w:color="auto"/>
          </w:divBdr>
        </w:div>
        <w:div w:id="941300133">
          <w:marLeft w:val="0"/>
          <w:marRight w:val="0"/>
          <w:marTop w:val="0"/>
          <w:marBottom w:val="0"/>
          <w:divBdr>
            <w:top w:val="none" w:sz="0" w:space="0" w:color="auto"/>
            <w:left w:val="none" w:sz="0" w:space="0" w:color="auto"/>
            <w:bottom w:val="none" w:sz="0" w:space="0" w:color="auto"/>
            <w:right w:val="none" w:sz="0" w:space="0" w:color="auto"/>
          </w:divBdr>
        </w:div>
        <w:div w:id="1104690361">
          <w:marLeft w:val="0"/>
          <w:marRight w:val="0"/>
          <w:marTop w:val="0"/>
          <w:marBottom w:val="0"/>
          <w:divBdr>
            <w:top w:val="none" w:sz="0" w:space="0" w:color="auto"/>
            <w:left w:val="none" w:sz="0" w:space="0" w:color="auto"/>
            <w:bottom w:val="none" w:sz="0" w:space="0" w:color="auto"/>
            <w:right w:val="none" w:sz="0" w:space="0" w:color="auto"/>
          </w:divBdr>
        </w:div>
        <w:div w:id="1317026613">
          <w:marLeft w:val="0"/>
          <w:marRight w:val="0"/>
          <w:marTop w:val="0"/>
          <w:marBottom w:val="0"/>
          <w:divBdr>
            <w:top w:val="none" w:sz="0" w:space="0" w:color="auto"/>
            <w:left w:val="none" w:sz="0" w:space="0" w:color="auto"/>
            <w:bottom w:val="none" w:sz="0" w:space="0" w:color="auto"/>
            <w:right w:val="none" w:sz="0" w:space="0" w:color="auto"/>
          </w:divBdr>
        </w:div>
        <w:div w:id="1825118972">
          <w:marLeft w:val="0"/>
          <w:marRight w:val="0"/>
          <w:marTop w:val="0"/>
          <w:marBottom w:val="0"/>
          <w:divBdr>
            <w:top w:val="none" w:sz="0" w:space="0" w:color="auto"/>
            <w:left w:val="none" w:sz="0" w:space="0" w:color="auto"/>
            <w:bottom w:val="none" w:sz="0" w:space="0" w:color="auto"/>
            <w:right w:val="none" w:sz="0" w:space="0" w:color="auto"/>
          </w:divBdr>
        </w:div>
        <w:div w:id="1921325573">
          <w:marLeft w:val="0"/>
          <w:marRight w:val="0"/>
          <w:marTop w:val="0"/>
          <w:marBottom w:val="0"/>
          <w:divBdr>
            <w:top w:val="none" w:sz="0" w:space="0" w:color="auto"/>
            <w:left w:val="none" w:sz="0" w:space="0" w:color="auto"/>
            <w:bottom w:val="none" w:sz="0" w:space="0" w:color="auto"/>
            <w:right w:val="none" w:sz="0" w:space="0" w:color="auto"/>
          </w:divBdr>
        </w:div>
        <w:div w:id="1991790560">
          <w:marLeft w:val="0"/>
          <w:marRight w:val="0"/>
          <w:marTop w:val="0"/>
          <w:marBottom w:val="0"/>
          <w:divBdr>
            <w:top w:val="none" w:sz="0" w:space="0" w:color="auto"/>
            <w:left w:val="none" w:sz="0" w:space="0" w:color="auto"/>
            <w:bottom w:val="none" w:sz="0" w:space="0" w:color="auto"/>
            <w:right w:val="none" w:sz="0" w:space="0" w:color="auto"/>
          </w:divBdr>
        </w:div>
      </w:divsChild>
    </w:div>
    <w:div w:id="255405381">
      <w:bodyDiv w:val="1"/>
      <w:marLeft w:val="0"/>
      <w:marRight w:val="0"/>
      <w:marTop w:val="0"/>
      <w:marBottom w:val="0"/>
      <w:divBdr>
        <w:top w:val="none" w:sz="0" w:space="0" w:color="auto"/>
        <w:left w:val="none" w:sz="0" w:space="0" w:color="auto"/>
        <w:bottom w:val="none" w:sz="0" w:space="0" w:color="auto"/>
        <w:right w:val="none" w:sz="0" w:space="0" w:color="auto"/>
      </w:divBdr>
    </w:div>
    <w:div w:id="428282211">
      <w:bodyDiv w:val="1"/>
      <w:marLeft w:val="0"/>
      <w:marRight w:val="0"/>
      <w:marTop w:val="0"/>
      <w:marBottom w:val="0"/>
      <w:divBdr>
        <w:top w:val="none" w:sz="0" w:space="0" w:color="auto"/>
        <w:left w:val="none" w:sz="0" w:space="0" w:color="auto"/>
        <w:bottom w:val="none" w:sz="0" w:space="0" w:color="auto"/>
        <w:right w:val="none" w:sz="0" w:space="0" w:color="auto"/>
      </w:divBdr>
    </w:div>
    <w:div w:id="494879389">
      <w:bodyDiv w:val="1"/>
      <w:marLeft w:val="0"/>
      <w:marRight w:val="0"/>
      <w:marTop w:val="0"/>
      <w:marBottom w:val="0"/>
      <w:divBdr>
        <w:top w:val="none" w:sz="0" w:space="0" w:color="auto"/>
        <w:left w:val="none" w:sz="0" w:space="0" w:color="auto"/>
        <w:bottom w:val="none" w:sz="0" w:space="0" w:color="auto"/>
        <w:right w:val="none" w:sz="0" w:space="0" w:color="auto"/>
      </w:divBdr>
      <w:divsChild>
        <w:div w:id="1254900581">
          <w:marLeft w:val="0"/>
          <w:marRight w:val="0"/>
          <w:marTop w:val="0"/>
          <w:marBottom w:val="0"/>
          <w:divBdr>
            <w:top w:val="none" w:sz="0" w:space="0" w:color="auto"/>
            <w:left w:val="none" w:sz="0" w:space="0" w:color="auto"/>
            <w:bottom w:val="none" w:sz="0" w:space="0" w:color="auto"/>
            <w:right w:val="none" w:sz="0" w:space="0" w:color="auto"/>
          </w:divBdr>
        </w:div>
      </w:divsChild>
    </w:div>
    <w:div w:id="614286401">
      <w:bodyDiv w:val="1"/>
      <w:marLeft w:val="0"/>
      <w:marRight w:val="0"/>
      <w:marTop w:val="0"/>
      <w:marBottom w:val="0"/>
      <w:divBdr>
        <w:top w:val="none" w:sz="0" w:space="0" w:color="auto"/>
        <w:left w:val="none" w:sz="0" w:space="0" w:color="auto"/>
        <w:bottom w:val="none" w:sz="0" w:space="0" w:color="auto"/>
        <w:right w:val="none" w:sz="0" w:space="0" w:color="auto"/>
      </w:divBdr>
    </w:div>
    <w:div w:id="684133301">
      <w:bodyDiv w:val="1"/>
      <w:marLeft w:val="0"/>
      <w:marRight w:val="0"/>
      <w:marTop w:val="0"/>
      <w:marBottom w:val="0"/>
      <w:divBdr>
        <w:top w:val="none" w:sz="0" w:space="0" w:color="auto"/>
        <w:left w:val="none" w:sz="0" w:space="0" w:color="auto"/>
        <w:bottom w:val="none" w:sz="0" w:space="0" w:color="auto"/>
        <w:right w:val="none" w:sz="0" w:space="0" w:color="auto"/>
      </w:divBdr>
    </w:div>
    <w:div w:id="781454614">
      <w:bodyDiv w:val="1"/>
      <w:marLeft w:val="0"/>
      <w:marRight w:val="0"/>
      <w:marTop w:val="0"/>
      <w:marBottom w:val="0"/>
      <w:divBdr>
        <w:top w:val="none" w:sz="0" w:space="0" w:color="auto"/>
        <w:left w:val="none" w:sz="0" w:space="0" w:color="auto"/>
        <w:bottom w:val="none" w:sz="0" w:space="0" w:color="auto"/>
        <w:right w:val="none" w:sz="0" w:space="0" w:color="auto"/>
      </w:divBdr>
      <w:divsChild>
        <w:div w:id="80417621">
          <w:marLeft w:val="0"/>
          <w:marRight w:val="0"/>
          <w:marTop w:val="0"/>
          <w:marBottom w:val="0"/>
          <w:divBdr>
            <w:top w:val="none" w:sz="0" w:space="0" w:color="auto"/>
            <w:left w:val="none" w:sz="0" w:space="0" w:color="auto"/>
            <w:bottom w:val="none" w:sz="0" w:space="0" w:color="auto"/>
            <w:right w:val="none" w:sz="0" w:space="0" w:color="auto"/>
          </w:divBdr>
        </w:div>
      </w:divsChild>
    </w:div>
    <w:div w:id="858390896">
      <w:bodyDiv w:val="1"/>
      <w:marLeft w:val="0"/>
      <w:marRight w:val="0"/>
      <w:marTop w:val="0"/>
      <w:marBottom w:val="0"/>
      <w:divBdr>
        <w:top w:val="none" w:sz="0" w:space="0" w:color="auto"/>
        <w:left w:val="none" w:sz="0" w:space="0" w:color="auto"/>
        <w:bottom w:val="none" w:sz="0" w:space="0" w:color="auto"/>
        <w:right w:val="none" w:sz="0" w:space="0" w:color="auto"/>
      </w:divBdr>
    </w:div>
    <w:div w:id="951134184">
      <w:bodyDiv w:val="1"/>
      <w:marLeft w:val="0"/>
      <w:marRight w:val="0"/>
      <w:marTop w:val="0"/>
      <w:marBottom w:val="0"/>
      <w:divBdr>
        <w:top w:val="none" w:sz="0" w:space="0" w:color="auto"/>
        <w:left w:val="none" w:sz="0" w:space="0" w:color="auto"/>
        <w:bottom w:val="none" w:sz="0" w:space="0" w:color="auto"/>
        <w:right w:val="none" w:sz="0" w:space="0" w:color="auto"/>
      </w:divBdr>
    </w:div>
    <w:div w:id="1072779704">
      <w:bodyDiv w:val="1"/>
      <w:marLeft w:val="0"/>
      <w:marRight w:val="0"/>
      <w:marTop w:val="0"/>
      <w:marBottom w:val="0"/>
      <w:divBdr>
        <w:top w:val="none" w:sz="0" w:space="0" w:color="auto"/>
        <w:left w:val="none" w:sz="0" w:space="0" w:color="auto"/>
        <w:bottom w:val="none" w:sz="0" w:space="0" w:color="auto"/>
        <w:right w:val="none" w:sz="0" w:space="0" w:color="auto"/>
      </w:divBdr>
      <w:divsChild>
        <w:div w:id="86384537">
          <w:marLeft w:val="0"/>
          <w:marRight w:val="0"/>
          <w:marTop w:val="0"/>
          <w:marBottom w:val="0"/>
          <w:divBdr>
            <w:top w:val="none" w:sz="0" w:space="0" w:color="auto"/>
            <w:left w:val="none" w:sz="0" w:space="0" w:color="auto"/>
            <w:bottom w:val="none" w:sz="0" w:space="0" w:color="auto"/>
            <w:right w:val="none" w:sz="0" w:space="0" w:color="auto"/>
          </w:divBdr>
        </w:div>
        <w:div w:id="213199900">
          <w:marLeft w:val="0"/>
          <w:marRight w:val="0"/>
          <w:marTop w:val="0"/>
          <w:marBottom w:val="0"/>
          <w:divBdr>
            <w:top w:val="none" w:sz="0" w:space="0" w:color="auto"/>
            <w:left w:val="none" w:sz="0" w:space="0" w:color="auto"/>
            <w:bottom w:val="none" w:sz="0" w:space="0" w:color="auto"/>
            <w:right w:val="none" w:sz="0" w:space="0" w:color="auto"/>
          </w:divBdr>
        </w:div>
        <w:div w:id="1095248682">
          <w:marLeft w:val="0"/>
          <w:marRight w:val="0"/>
          <w:marTop w:val="0"/>
          <w:marBottom w:val="0"/>
          <w:divBdr>
            <w:top w:val="none" w:sz="0" w:space="0" w:color="auto"/>
            <w:left w:val="none" w:sz="0" w:space="0" w:color="auto"/>
            <w:bottom w:val="none" w:sz="0" w:space="0" w:color="auto"/>
            <w:right w:val="none" w:sz="0" w:space="0" w:color="auto"/>
          </w:divBdr>
        </w:div>
        <w:div w:id="1164978110">
          <w:marLeft w:val="0"/>
          <w:marRight w:val="0"/>
          <w:marTop w:val="0"/>
          <w:marBottom w:val="0"/>
          <w:divBdr>
            <w:top w:val="none" w:sz="0" w:space="0" w:color="auto"/>
            <w:left w:val="none" w:sz="0" w:space="0" w:color="auto"/>
            <w:bottom w:val="none" w:sz="0" w:space="0" w:color="auto"/>
            <w:right w:val="none" w:sz="0" w:space="0" w:color="auto"/>
          </w:divBdr>
        </w:div>
        <w:div w:id="1176727721">
          <w:marLeft w:val="0"/>
          <w:marRight w:val="0"/>
          <w:marTop w:val="0"/>
          <w:marBottom w:val="0"/>
          <w:divBdr>
            <w:top w:val="none" w:sz="0" w:space="0" w:color="auto"/>
            <w:left w:val="none" w:sz="0" w:space="0" w:color="auto"/>
            <w:bottom w:val="none" w:sz="0" w:space="0" w:color="auto"/>
            <w:right w:val="none" w:sz="0" w:space="0" w:color="auto"/>
          </w:divBdr>
        </w:div>
        <w:div w:id="1968008907">
          <w:marLeft w:val="0"/>
          <w:marRight w:val="0"/>
          <w:marTop w:val="0"/>
          <w:marBottom w:val="0"/>
          <w:divBdr>
            <w:top w:val="none" w:sz="0" w:space="0" w:color="auto"/>
            <w:left w:val="none" w:sz="0" w:space="0" w:color="auto"/>
            <w:bottom w:val="none" w:sz="0" w:space="0" w:color="auto"/>
            <w:right w:val="none" w:sz="0" w:space="0" w:color="auto"/>
          </w:divBdr>
        </w:div>
      </w:divsChild>
    </w:div>
    <w:div w:id="1089817551">
      <w:bodyDiv w:val="1"/>
      <w:marLeft w:val="0"/>
      <w:marRight w:val="0"/>
      <w:marTop w:val="0"/>
      <w:marBottom w:val="0"/>
      <w:divBdr>
        <w:top w:val="none" w:sz="0" w:space="0" w:color="auto"/>
        <w:left w:val="none" w:sz="0" w:space="0" w:color="auto"/>
        <w:bottom w:val="none" w:sz="0" w:space="0" w:color="auto"/>
        <w:right w:val="none" w:sz="0" w:space="0" w:color="auto"/>
      </w:divBdr>
    </w:div>
    <w:div w:id="1162115178">
      <w:bodyDiv w:val="1"/>
      <w:marLeft w:val="0"/>
      <w:marRight w:val="0"/>
      <w:marTop w:val="0"/>
      <w:marBottom w:val="0"/>
      <w:divBdr>
        <w:top w:val="none" w:sz="0" w:space="0" w:color="auto"/>
        <w:left w:val="none" w:sz="0" w:space="0" w:color="auto"/>
        <w:bottom w:val="none" w:sz="0" w:space="0" w:color="auto"/>
        <w:right w:val="none" w:sz="0" w:space="0" w:color="auto"/>
      </w:divBdr>
    </w:div>
    <w:div w:id="1222866637">
      <w:bodyDiv w:val="1"/>
      <w:marLeft w:val="0"/>
      <w:marRight w:val="0"/>
      <w:marTop w:val="0"/>
      <w:marBottom w:val="0"/>
      <w:divBdr>
        <w:top w:val="none" w:sz="0" w:space="0" w:color="auto"/>
        <w:left w:val="none" w:sz="0" w:space="0" w:color="auto"/>
        <w:bottom w:val="none" w:sz="0" w:space="0" w:color="auto"/>
        <w:right w:val="none" w:sz="0" w:space="0" w:color="auto"/>
      </w:divBdr>
      <w:divsChild>
        <w:div w:id="724572867">
          <w:marLeft w:val="432"/>
          <w:marRight w:val="0"/>
          <w:marTop w:val="72"/>
          <w:marBottom w:val="0"/>
          <w:divBdr>
            <w:top w:val="none" w:sz="0" w:space="0" w:color="auto"/>
            <w:left w:val="none" w:sz="0" w:space="0" w:color="auto"/>
            <w:bottom w:val="none" w:sz="0" w:space="0" w:color="auto"/>
            <w:right w:val="none" w:sz="0" w:space="0" w:color="auto"/>
          </w:divBdr>
        </w:div>
      </w:divsChild>
    </w:div>
    <w:div w:id="1259365773">
      <w:bodyDiv w:val="1"/>
      <w:marLeft w:val="0"/>
      <w:marRight w:val="0"/>
      <w:marTop w:val="0"/>
      <w:marBottom w:val="0"/>
      <w:divBdr>
        <w:top w:val="none" w:sz="0" w:space="0" w:color="auto"/>
        <w:left w:val="none" w:sz="0" w:space="0" w:color="auto"/>
        <w:bottom w:val="none" w:sz="0" w:space="0" w:color="auto"/>
        <w:right w:val="none" w:sz="0" w:space="0" w:color="auto"/>
      </w:divBdr>
      <w:divsChild>
        <w:div w:id="500973550">
          <w:marLeft w:val="432"/>
          <w:marRight w:val="0"/>
          <w:marTop w:val="72"/>
          <w:marBottom w:val="0"/>
          <w:divBdr>
            <w:top w:val="none" w:sz="0" w:space="0" w:color="auto"/>
            <w:left w:val="none" w:sz="0" w:space="0" w:color="auto"/>
            <w:bottom w:val="none" w:sz="0" w:space="0" w:color="auto"/>
            <w:right w:val="none" w:sz="0" w:space="0" w:color="auto"/>
          </w:divBdr>
        </w:div>
        <w:div w:id="667289094">
          <w:marLeft w:val="432"/>
          <w:marRight w:val="0"/>
          <w:marTop w:val="72"/>
          <w:marBottom w:val="0"/>
          <w:divBdr>
            <w:top w:val="none" w:sz="0" w:space="0" w:color="auto"/>
            <w:left w:val="none" w:sz="0" w:space="0" w:color="auto"/>
            <w:bottom w:val="none" w:sz="0" w:space="0" w:color="auto"/>
            <w:right w:val="none" w:sz="0" w:space="0" w:color="auto"/>
          </w:divBdr>
        </w:div>
        <w:div w:id="838155474">
          <w:marLeft w:val="432"/>
          <w:marRight w:val="0"/>
          <w:marTop w:val="72"/>
          <w:marBottom w:val="0"/>
          <w:divBdr>
            <w:top w:val="none" w:sz="0" w:space="0" w:color="auto"/>
            <w:left w:val="none" w:sz="0" w:space="0" w:color="auto"/>
            <w:bottom w:val="none" w:sz="0" w:space="0" w:color="auto"/>
            <w:right w:val="none" w:sz="0" w:space="0" w:color="auto"/>
          </w:divBdr>
        </w:div>
        <w:div w:id="909929254">
          <w:marLeft w:val="432"/>
          <w:marRight w:val="0"/>
          <w:marTop w:val="72"/>
          <w:marBottom w:val="0"/>
          <w:divBdr>
            <w:top w:val="none" w:sz="0" w:space="0" w:color="auto"/>
            <w:left w:val="none" w:sz="0" w:space="0" w:color="auto"/>
            <w:bottom w:val="none" w:sz="0" w:space="0" w:color="auto"/>
            <w:right w:val="none" w:sz="0" w:space="0" w:color="auto"/>
          </w:divBdr>
        </w:div>
        <w:div w:id="1380471266">
          <w:marLeft w:val="432"/>
          <w:marRight w:val="0"/>
          <w:marTop w:val="72"/>
          <w:marBottom w:val="0"/>
          <w:divBdr>
            <w:top w:val="none" w:sz="0" w:space="0" w:color="auto"/>
            <w:left w:val="none" w:sz="0" w:space="0" w:color="auto"/>
            <w:bottom w:val="none" w:sz="0" w:space="0" w:color="auto"/>
            <w:right w:val="none" w:sz="0" w:space="0" w:color="auto"/>
          </w:divBdr>
        </w:div>
        <w:div w:id="1803496611">
          <w:marLeft w:val="432"/>
          <w:marRight w:val="0"/>
          <w:marTop w:val="72"/>
          <w:marBottom w:val="0"/>
          <w:divBdr>
            <w:top w:val="none" w:sz="0" w:space="0" w:color="auto"/>
            <w:left w:val="none" w:sz="0" w:space="0" w:color="auto"/>
            <w:bottom w:val="none" w:sz="0" w:space="0" w:color="auto"/>
            <w:right w:val="none" w:sz="0" w:space="0" w:color="auto"/>
          </w:divBdr>
        </w:div>
        <w:div w:id="1879269387">
          <w:marLeft w:val="432"/>
          <w:marRight w:val="0"/>
          <w:marTop w:val="72"/>
          <w:marBottom w:val="0"/>
          <w:divBdr>
            <w:top w:val="none" w:sz="0" w:space="0" w:color="auto"/>
            <w:left w:val="none" w:sz="0" w:space="0" w:color="auto"/>
            <w:bottom w:val="none" w:sz="0" w:space="0" w:color="auto"/>
            <w:right w:val="none" w:sz="0" w:space="0" w:color="auto"/>
          </w:divBdr>
        </w:div>
        <w:div w:id="1997343142">
          <w:marLeft w:val="432"/>
          <w:marRight w:val="0"/>
          <w:marTop w:val="72"/>
          <w:marBottom w:val="0"/>
          <w:divBdr>
            <w:top w:val="none" w:sz="0" w:space="0" w:color="auto"/>
            <w:left w:val="none" w:sz="0" w:space="0" w:color="auto"/>
            <w:bottom w:val="none" w:sz="0" w:space="0" w:color="auto"/>
            <w:right w:val="none" w:sz="0" w:space="0" w:color="auto"/>
          </w:divBdr>
        </w:div>
      </w:divsChild>
    </w:div>
    <w:div w:id="1278953220">
      <w:bodyDiv w:val="1"/>
      <w:marLeft w:val="0"/>
      <w:marRight w:val="0"/>
      <w:marTop w:val="0"/>
      <w:marBottom w:val="0"/>
      <w:divBdr>
        <w:top w:val="none" w:sz="0" w:space="0" w:color="auto"/>
        <w:left w:val="none" w:sz="0" w:space="0" w:color="auto"/>
        <w:bottom w:val="none" w:sz="0" w:space="0" w:color="auto"/>
        <w:right w:val="none" w:sz="0" w:space="0" w:color="auto"/>
      </w:divBdr>
      <w:divsChild>
        <w:div w:id="90857537">
          <w:marLeft w:val="0"/>
          <w:marRight w:val="0"/>
          <w:marTop w:val="0"/>
          <w:marBottom w:val="0"/>
          <w:divBdr>
            <w:top w:val="none" w:sz="0" w:space="0" w:color="auto"/>
            <w:left w:val="none" w:sz="0" w:space="0" w:color="auto"/>
            <w:bottom w:val="none" w:sz="0" w:space="0" w:color="auto"/>
            <w:right w:val="none" w:sz="0" w:space="0" w:color="auto"/>
          </w:divBdr>
          <w:divsChild>
            <w:div w:id="533690260">
              <w:marLeft w:val="0"/>
              <w:marRight w:val="0"/>
              <w:marTop w:val="0"/>
              <w:marBottom w:val="0"/>
              <w:divBdr>
                <w:top w:val="none" w:sz="0" w:space="0" w:color="auto"/>
                <w:left w:val="none" w:sz="0" w:space="0" w:color="auto"/>
                <w:bottom w:val="none" w:sz="0" w:space="0" w:color="auto"/>
                <w:right w:val="none" w:sz="0" w:space="0" w:color="auto"/>
              </w:divBdr>
              <w:divsChild>
                <w:div w:id="17124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4310">
      <w:bodyDiv w:val="1"/>
      <w:marLeft w:val="0"/>
      <w:marRight w:val="0"/>
      <w:marTop w:val="0"/>
      <w:marBottom w:val="0"/>
      <w:divBdr>
        <w:top w:val="none" w:sz="0" w:space="0" w:color="auto"/>
        <w:left w:val="none" w:sz="0" w:space="0" w:color="auto"/>
        <w:bottom w:val="none" w:sz="0" w:space="0" w:color="auto"/>
        <w:right w:val="none" w:sz="0" w:space="0" w:color="auto"/>
      </w:divBdr>
      <w:divsChild>
        <w:div w:id="1455713363">
          <w:marLeft w:val="432"/>
          <w:marRight w:val="0"/>
          <w:marTop w:val="72"/>
          <w:marBottom w:val="0"/>
          <w:divBdr>
            <w:top w:val="none" w:sz="0" w:space="0" w:color="auto"/>
            <w:left w:val="none" w:sz="0" w:space="0" w:color="auto"/>
            <w:bottom w:val="none" w:sz="0" w:space="0" w:color="auto"/>
            <w:right w:val="none" w:sz="0" w:space="0" w:color="auto"/>
          </w:divBdr>
        </w:div>
      </w:divsChild>
    </w:div>
    <w:div w:id="1594507126">
      <w:bodyDiv w:val="1"/>
      <w:marLeft w:val="0"/>
      <w:marRight w:val="0"/>
      <w:marTop w:val="0"/>
      <w:marBottom w:val="0"/>
      <w:divBdr>
        <w:top w:val="none" w:sz="0" w:space="0" w:color="auto"/>
        <w:left w:val="none" w:sz="0" w:space="0" w:color="auto"/>
        <w:bottom w:val="none" w:sz="0" w:space="0" w:color="auto"/>
        <w:right w:val="none" w:sz="0" w:space="0" w:color="auto"/>
      </w:divBdr>
      <w:divsChild>
        <w:div w:id="2020309870">
          <w:marLeft w:val="0"/>
          <w:marRight w:val="0"/>
          <w:marTop w:val="0"/>
          <w:marBottom w:val="0"/>
          <w:divBdr>
            <w:top w:val="none" w:sz="0" w:space="0" w:color="auto"/>
            <w:left w:val="none" w:sz="0" w:space="0" w:color="auto"/>
            <w:bottom w:val="none" w:sz="0" w:space="0" w:color="auto"/>
            <w:right w:val="none" w:sz="0" w:space="0" w:color="auto"/>
          </w:divBdr>
          <w:divsChild>
            <w:div w:id="985932218">
              <w:marLeft w:val="0"/>
              <w:marRight w:val="0"/>
              <w:marTop w:val="0"/>
              <w:marBottom w:val="0"/>
              <w:divBdr>
                <w:top w:val="none" w:sz="0" w:space="0" w:color="auto"/>
                <w:left w:val="none" w:sz="0" w:space="0" w:color="auto"/>
                <w:bottom w:val="none" w:sz="0" w:space="0" w:color="auto"/>
                <w:right w:val="none" w:sz="0" w:space="0" w:color="auto"/>
              </w:divBdr>
              <w:divsChild>
                <w:div w:id="6595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74775">
      <w:bodyDiv w:val="1"/>
      <w:marLeft w:val="0"/>
      <w:marRight w:val="0"/>
      <w:marTop w:val="0"/>
      <w:marBottom w:val="0"/>
      <w:divBdr>
        <w:top w:val="none" w:sz="0" w:space="0" w:color="auto"/>
        <w:left w:val="none" w:sz="0" w:space="0" w:color="auto"/>
        <w:bottom w:val="none" w:sz="0" w:space="0" w:color="auto"/>
        <w:right w:val="none" w:sz="0" w:space="0" w:color="auto"/>
      </w:divBdr>
      <w:divsChild>
        <w:div w:id="1992714103">
          <w:marLeft w:val="432"/>
          <w:marRight w:val="0"/>
          <w:marTop w:val="72"/>
          <w:marBottom w:val="0"/>
          <w:divBdr>
            <w:top w:val="none" w:sz="0" w:space="0" w:color="auto"/>
            <w:left w:val="none" w:sz="0" w:space="0" w:color="auto"/>
            <w:bottom w:val="none" w:sz="0" w:space="0" w:color="auto"/>
            <w:right w:val="none" w:sz="0" w:space="0" w:color="auto"/>
          </w:divBdr>
        </w:div>
      </w:divsChild>
    </w:div>
    <w:div w:id="1651211864">
      <w:bodyDiv w:val="1"/>
      <w:marLeft w:val="0"/>
      <w:marRight w:val="0"/>
      <w:marTop w:val="0"/>
      <w:marBottom w:val="0"/>
      <w:divBdr>
        <w:top w:val="none" w:sz="0" w:space="0" w:color="auto"/>
        <w:left w:val="none" w:sz="0" w:space="0" w:color="auto"/>
        <w:bottom w:val="none" w:sz="0" w:space="0" w:color="auto"/>
        <w:right w:val="none" w:sz="0" w:space="0" w:color="auto"/>
      </w:divBdr>
    </w:div>
    <w:div w:id="1842350340">
      <w:bodyDiv w:val="1"/>
      <w:marLeft w:val="0"/>
      <w:marRight w:val="0"/>
      <w:marTop w:val="0"/>
      <w:marBottom w:val="0"/>
      <w:divBdr>
        <w:top w:val="none" w:sz="0" w:space="0" w:color="auto"/>
        <w:left w:val="none" w:sz="0" w:space="0" w:color="auto"/>
        <w:bottom w:val="none" w:sz="0" w:space="0" w:color="auto"/>
        <w:right w:val="none" w:sz="0" w:space="0" w:color="auto"/>
      </w:divBdr>
    </w:div>
    <w:div w:id="1895920033">
      <w:bodyDiv w:val="1"/>
      <w:marLeft w:val="0"/>
      <w:marRight w:val="0"/>
      <w:marTop w:val="0"/>
      <w:marBottom w:val="0"/>
      <w:divBdr>
        <w:top w:val="none" w:sz="0" w:space="0" w:color="auto"/>
        <w:left w:val="none" w:sz="0" w:space="0" w:color="auto"/>
        <w:bottom w:val="none" w:sz="0" w:space="0" w:color="auto"/>
        <w:right w:val="none" w:sz="0" w:space="0" w:color="auto"/>
      </w:divBdr>
      <w:divsChild>
        <w:div w:id="1383410033">
          <w:marLeft w:val="0"/>
          <w:marRight w:val="0"/>
          <w:marTop w:val="0"/>
          <w:marBottom w:val="0"/>
          <w:divBdr>
            <w:top w:val="none" w:sz="0" w:space="0" w:color="auto"/>
            <w:left w:val="none" w:sz="0" w:space="0" w:color="auto"/>
            <w:bottom w:val="none" w:sz="0" w:space="0" w:color="auto"/>
            <w:right w:val="none" w:sz="0" w:space="0" w:color="auto"/>
          </w:divBdr>
          <w:divsChild>
            <w:div w:id="1089279270">
              <w:marLeft w:val="0"/>
              <w:marRight w:val="0"/>
              <w:marTop w:val="0"/>
              <w:marBottom w:val="0"/>
              <w:divBdr>
                <w:top w:val="none" w:sz="0" w:space="0" w:color="auto"/>
                <w:left w:val="none" w:sz="0" w:space="0" w:color="auto"/>
                <w:bottom w:val="none" w:sz="0" w:space="0" w:color="auto"/>
                <w:right w:val="none" w:sz="0" w:space="0" w:color="auto"/>
              </w:divBdr>
              <w:divsChild>
                <w:div w:id="20789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5622">
      <w:bodyDiv w:val="1"/>
      <w:marLeft w:val="0"/>
      <w:marRight w:val="0"/>
      <w:marTop w:val="0"/>
      <w:marBottom w:val="0"/>
      <w:divBdr>
        <w:top w:val="none" w:sz="0" w:space="0" w:color="auto"/>
        <w:left w:val="none" w:sz="0" w:space="0" w:color="auto"/>
        <w:bottom w:val="none" w:sz="0" w:space="0" w:color="auto"/>
        <w:right w:val="none" w:sz="0" w:space="0" w:color="auto"/>
      </w:divBdr>
      <w:divsChild>
        <w:div w:id="1172721396">
          <w:marLeft w:val="0"/>
          <w:marRight w:val="0"/>
          <w:marTop w:val="0"/>
          <w:marBottom w:val="0"/>
          <w:divBdr>
            <w:top w:val="none" w:sz="0" w:space="0" w:color="auto"/>
            <w:left w:val="none" w:sz="0" w:space="0" w:color="auto"/>
            <w:bottom w:val="none" w:sz="0" w:space="0" w:color="auto"/>
            <w:right w:val="none" w:sz="0" w:space="0" w:color="auto"/>
          </w:divBdr>
          <w:divsChild>
            <w:div w:id="15521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ABE2E-9D76-4E28-B490-19288DBC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6</Pages>
  <Words>2783</Words>
  <Characters>15310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DESCRIPCION DE CARGOS</vt:lpstr>
    </vt:vector>
  </TitlesOfParts>
  <Company>psarzosa@cardinalabogados.com</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DESCRIPCION DE CARGOS</dc:title>
  <dc:subject/>
  <dc:creator>rmpita</dc:creator>
  <cp:keywords/>
  <dc:description/>
  <cp:lastModifiedBy>Orlando Xavier Quenguan Diaz</cp:lastModifiedBy>
  <cp:revision>204</cp:revision>
  <cp:lastPrinted>2022-03-22T21:18:00Z</cp:lastPrinted>
  <dcterms:created xsi:type="dcterms:W3CDTF">2022-01-26T15:10:00Z</dcterms:created>
  <dcterms:modified xsi:type="dcterms:W3CDTF">2022-03-28T21:22:00Z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1200.00000000000</vt:lpwstr>
  </property>
</Properties>
</file>