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9E" w:rsidRPr="00BA317F" w:rsidRDefault="005F3F9E" w:rsidP="005F3F9E">
      <w:pPr>
        <w:jc w:val="center"/>
        <w:rPr>
          <w:rFonts w:ascii="Palatino Linotype" w:hAnsi="Palatino Linotype" w:cs="Tahoma"/>
          <w:b/>
          <w:sz w:val="22"/>
          <w:szCs w:val="22"/>
        </w:rPr>
      </w:pPr>
      <w:r w:rsidRPr="00BA317F">
        <w:rPr>
          <w:rFonts w:ascii="Palatino Linotype" w:hAnsi="Palatino Linotype" w:cs="Tahoma"/>
          <w:b/>
          <w:sz w:val="22"/>
          <w:szCs w:val="22"/>
        </w:rPr>
        <w:t>ORDENANZA  No. ……………………</w:t>
      </w:r>
    </w:p>
    <w:p w:rsidR="00AB093D" w:rsidRPr="00BA317F" w:rsidRDefault="00AB093D" w:rsidP="005F3F9E">
      <w:pPr>
        <w:jc w:val="center"/>
        <w:rPr>
          <w:rFonts w:ascii="Palatino Linotype" w:hAnsi="Palatino Linotype" w:cs="Tahoma"/>
          <w:b/>
          <w:sz w:val="22"/>
          <w:szCs w:val="22"/>
        </w:rPr>
      </w:pPr>
      <w:r w:rsidRPr="00BA317F">
        <w:rPr>
          <w:rFonts w:ascii="Palatino Linotype" w:hAnsi="Palatino Linotype" w:cs="Tahoma"/>
          <w:b/>
          <w:sz w:val="22"/>
          <w:szCs w:val="22"/>
        </w:rPr>
        <w:t>EXPOSICION DE MOTIVOS</w:t>
      </w:r>
    </w:p>
    <w:p w:rsidR="00AB093D" w:rsidRPr="00BA317F" w:rsidRDefault="00AB093D" w:rsidP="00AB093D">
      <w:pPr>
        <w:tabs>
          <w:tab w:val="center" w:pos="4252"/>
          <w:tab w:val="right" w:pos="9720"/>
        </w:tabs>
        <w:ind w:right="-1"/>
        <w:rPr>
          <w:rFonts w:ascii="Palatino Linotype" w:hAnsi="Palatino Linotype" w:cs="Tahoma"/>
          <w:sz w:val="22"/>
          <w:szCs w:val="22"/>
        </w:rPr>
      </w:pPr>
      <w:r w:rsidRPr="00BA317F">
        <w:rPr>
          <w:rFonts w:ascii="Palatino Linotype" w:hAnsi="Palatino Linotype" w:cs="Tahoma"/>
          <w:sz w:val="22"/>
          <w:szCs w:val="22"/>
        </w:rPr>
        <w:t xml:space="preserve">En cumplimiento a la </w:t>
      </w:r>
      <w:r w:rsidR="00BD64B8" w:rsidRPr="00BA317F">
        <w:rPr>
          <w:rFonts w:ascii="Palatino Linotype" w:hAnsi="Palatino Linotype" w:cs="Tahoma"/>
          <w:sz w:val="22"/>
          <w:szCs w:val="22"/>
        </w:rPr>
        <w:t>Ordenanza Metropolitana No. 001, l</w:t>
      </w:r>
      <w:r w:rsidRPr="00BA317F">
        <w:rPr>
          <w:rFonts w:ascii="Palatino Linotype" w:hAnsi="Palatino Linotype" w:cs="Tahoma"/>
          <w:sz w:val="22"/>
          <w:szCs w:val="22"/>
        </w:rPr>
        <w:t xml:space="preserve">a Dirección de Gestión del Territorio de la Administración Zonal </w:t>
      </w:r>
      <w:r w:rsidR="00535359" w:rsidRPr="00BA317F">
        <w:rPr>
          <w:rFonts w:ascii="Palatino Linotype" w:hAnsi="Palatino Linotype" w:cs="Tahoma"/>
          <w:sz w:val="22"/>
          <w:szCs w:val="22"/>
        </w:rPr>
        <w:t>Quitumbe</w:t>
      </w:r>
      <w:r w:rsidRPr="00BA317F">
        <w:rPr>
          <w:rFonts w:ascii="Palatino Linotype" w:hAnsi="Palatino Linotype" w:cs="Tahoma"/>
          <w:sz w:val="22"/>
          <w:szCs w:val="22"/>
        </w:rPr>
        <w:t xml:space="preserve">, ha realizado el análisis técnico respectivo, </w:t>
      </w:r>
      <w:r w:rsidR="00BD64B8" w:rsidRPr="00BA317F">
        <w:rPr>
          <w:rFonts w:ascii="Palatino Linotype" w:hAnsi="Palatino Linotype" w:cs="Tahoma"/>
          <w:sz w:val="22"/>
          <w:szCs w:val="22"/>
        </w:rPr>
        <w:t xml:space="preserve">para modificatoria vial, </w:t>
      </w:r>
      <w:r w:rsidRPr="00BA317F">
        <w:rPr>
          <w:rFonts w:ascii="Palatino Linotype" w:hAnsi="Palatino Linotype" w:cs="Tahoma"/>
          <w:sz w:val="22"/>
          <w:szCs w:val="22"/>
        </w:rPr>
        <w:t>por lo que se emite el informe técnico avalando las propuestas, cuyo criterio técnico y legal de cumplimiento son los siguientes:</w:t>
      </w:r>
    </w:p>
    <w:p w:rsidR="00FA479C" w:rsidRPr="00BA317F" w:rsidRDefault="00FA479C" w:rsidP="00A12F55">
      <w:pPr>
        <w:tabs>
          <w:tab w:val="center" w:pos="4252"/>
          <w:tab w:val="right" w:pos="9720"/>
        </w:tabs>
        <w:ind w:right="-1"/>
        <w:rPr>
          <w:rFonts w:ascii="Palatino Linotype" w:hAnsi="Palatino Linotype" w:cs="Tahoma"/>
          <w:sz w:val="22"/>
          <w:szCs w:val="22"/>
        </w:rPr>
      </w:pPr>
      <w:r w:rsidRPr="00BA317F">
        <w:rPr>
          <w:rFonts w:ascii="Palatino Linotype" w:hAnsi="Palatino Linotype" w:cs="Tahoma"/>
          <w:sz w:val="22"/>
          <w:szCs w:val="22"/>
        </w:rPr>
        <w:t>Mediante I</w:t>
      </w:r>
      <w:r w:rsidR="00A12F55" w:rsidRPr="00BA317F">
        <w:rPr>
          <w:rFonts w:ascii="Palatino Linotype" w:hAnsi="Palatino Linotype" w:cs="Tahoma"/>
          <w:sz w:val="22"/>
          <w:szCs w:val="22"/>
        </w:rPr>
        <w:t xml:space="preserve">nforme </w:t>
      </w:r>
      <w:r w:rsidRPr="00BA317F">
        <w:rPr>
          <w:rFonts w:ascii="Palatino Linotype" w:hAnsi="Palatino Linotype" w:cs="Tahoma"/>
          <w:sz w:val="22"/>
          <w:szCs w:val="22"/>
        </w:rPr>
        <w:t>Técnico Favorable Nro. AZQ-DGT-UTV-IT-2022-137 de fecha 12 de septiembre de 2022, suscrito por el Ing. Geovanny Yerovi, Técnico de la Unidad; y, la Ing. Ana Abarca, Responsable Zonal de la Unidad de Territorio y Vivienda</w:t>
      </w:r>
      <w:r w:rsidR="00A12F55" w:rsidRPr="00BA317F">
        <w:rPr>
          <w:rFonts w:ascii="Palatino Linotype" w:hAnsi="Palatino Linotype" w:cs="Tahoma"/>
          <w:sz w:val="22"/>
          <w:szCs w:val="22"/>
        </w:rPr>
        <w:t>,</w:t>
      </w:r>
      <w:r w:rsidRPr="00BA317F">
        <w:rPr>
          <w:rFonts w:ascii="Palatino Linotype" w:hAnsi="Palatino Linotype" w:cs="Tahoma"/>
          <w:sz w:val="22"/>
          <w:szCs w:val="22"/>
        </w:rPr>
        <w:t xml:space="preserve"> se mencioina</w:t>
      </w:r>
      <w:r w:rsidR="00A12F55" w:rsidRPr="00BA317F">
        <w:rPr>
          <w:rFonts w:ascii="Palatino Linotype" w:hAnsi="Palatino Linotype" w:cs="Tahoma"/>
          <w:sz w:val="22"/>
          <w:szCs w:val="22"/>
        </w:rPr>
        <w:t xml:space="preserve">:  </w:t>
      </w:r>
    </w:p>
    <w:p w:rsidR="00FA479C" w:rsidRPr="00BA317F" w:rsidRDefault="00FA479C" w:rsidP="00A12F55">
      <w:pPr>
        <w:tabs>
          <w:tab w:val="center" w:pos="4252"/>
          <w:tab w:val="right" w:pos="9720"/>
        </w:tabs>
        <w:ind w:right="-1"/>
        <w:rPr>
          <w:rFonts w:ascii="Palatino Linotype" w:hAnsi="Palatino Linotype" w:cs="Tahoma"/>
          <w:i/>
          <w:sz w:val="22"/>
          <w:szCs w:val="22"/>
        </w:rPr>
      </w:pPr>
      <w:r w:rsidRPr="00BA317F">
        <w:rPr>
          <w:rFonts w:ascii="Palatino Linotype" w:hAnsi="Palatino Linotype" w:cs="Tahoma"/>
          <w:i/>
          <w:sz w:val="22"/>
          <w:szCs w:val="22"/>
        </w:rPr>
        <w:t>“De acuerdo a la base legal mencionada, los diseños de las calles Rosario Borja (S42) y Luis García (Oe13D) propuestas por la Empresa Pública Metropolitana de Movilidad y Obras Públicas no cumple con lo que dispone la la normativa legal vigente estipulada en el anexo 02.- Anexo Único de Reglas Técnicas de Arquitectura y Urbanismo, donde consta el cuadro Nº 1.- Especificaciones mínimas para vías urbanas, sin embargo al ser vías principales que conecta a los barrios altos de la parroquia la Ecuatoriana, la Unidad de Territorio y Vivienda, emite criterio técnico FAVORABLE para la MODIFICATORIA DEL TRAZADO VIAL DE LA CALLE ROSARIO BORJA (S42) - TRAMO DESDE LA CALLE LUIS GARCIA (Oe13D) ABS 0+000 HASTA LA CALLE LUIS AYABACA (Oe14) ABS 0+240 Y MODIFICATORIA A LA TRAYECTORIA DEL TRAZADO VIAL DE LA CALLE LUIS GARCIA (Oe13D) - TRAMO DESDE LA ABS 0+000 HASTA LA CALLE LUIS AYABACA (S42J) ABS 0+188 - BARRIO/SECTOR: HUARCAY - PARROQUIA LA ECUATORIANA y que se proceda conforme corresponda con la aprobación de la propuesta vial detallada en el presente informe (…)”</w:t>
      </w:r>
    </w:p>
    <w:p w:rsidR="003C143B" w:rsidRPr="00BA317F" w:rsidRDefault="00A12F55" w:rsidP="00077D0A">
      <w:pPr>
        <w:spacing w:after="0" w:line="240" w:lineRule="auto"/>
        <w:ind w:right="-1"/>
        <w:rPr>
          <w:rFonts w:ascii="Palatino Linotype" w:hAnsi="Palatino Linotype" w:cs="Tahoma"/>
          <w:i/>
          <w:color w:val="222222"/>
          <w:sz w:val="22"/>
          <w:szCs w:val="22"/>
          <w:shd w:val="clear" w:color="auto" w:fill="FFFFFF"/>
        </w:rPr>
      </w:pPr>
      <w:r w:rsidRPr="00BA317F">
        <w:rPr>
          <w:rFonts w:ascii="Palatino Linotype" w:hAnsi="Palatino Linotype" w:cs="Tahoma"/>
          <w:sz w:val="22"/>
          <w:szCs w:val="22"/>
        </w:rPr>
        <w:t>Con informe legal contenido en el memorando</w:t>
      </w:r>
      <w:r w:rsidRPr="00BA317F">
        <w:rPr>
          <w:rFonts w:ascii="Palatino Linotype" w:hAnsi="Palatino Linotype" w:cs="Tahoma"/>
          <w:b/>
          <w:bCs/>
          <w:color w:val="000000"/>
          <w:sz w:val="22"/>
          <w:szCs w:val="22"/>
        </w:rPr>
        <w:t xml:space="preserve"> </w:t>
      </w:r>
      <w:r w:rsidRPr="00BA317F">
        <w:rPr>
          <w:rFonts w:ascii="Palatino Linotype" w:hAnsi="Palatino Linotype" w:cs="Tahoma"/>
          <w:bCs/>
          <w:color w:val="000000"/>
          <w:sz w:val="22"/>
          <w:szCs w:val="22"/>
        </w:rPr>
        <w:t>Nro. GADDMQ-AZQ-DAJ-202</w:t>
      </w:r>
      <w:r w:rsidR="005D604B" w:rsidRPr="00BA317F">
        <w:rPr>
          <w:rFonts w:ascii="Palatino Linotype" w:hAnsi="Palatino Linotype" w:cs="Tahoma"/>
          <w:bCs/>
          <w:color w:val="000000"/>
          <w:sz w:val="22"/>
          <w:szCs w:val="22"/>
        </w:rPr>
        <w:t>2</w:t>
      </w:r>
      <w:r w:rsidRPr="00BA317F">
        <w:rPr>
          <w:rFonts w:ascii="Palatino Linotype" w:hAnsi="Palatino Linotype" w:cs="Tahoma"/>
          <w:bCs/>
          <w:color w:val="000000"/>
          <w:sz w:val="22"/>
          <w:szCs w:val="22"/>
        </w:rPr>
        <w:t>-</w:t>
      </w:r>
      <w:r w:rsidR="005D604B" w:rsidRPr="00BA317F">
        <w:rPr>
          <w:rFonts w:ascii="Palatino Linotype" w:hAnsi="Palatino Linotype" w:cs="Tahoma"/>
          <w:bCs/>
          <w:color w:val="000000"/>
          <w:sz w:val="22"/>
          <w:szCs w:val="22"/>
        </w:rPr>
        <w:t>1058</w:t>
      </w:r>
      <w:r w:rsidRPr="00BA317F">
        <w:rPr>
          <w:rFonts w:ascii="Palatino Linotype" w:hAnsi="Palatino Linotype" w:cs="Tahoma"/>
          <w:bCs/>
          <w:color w:val="000000"/>
          <w:sz w:val="22"/>
          <w:szCs w:val="22"/>
        </w:rPr>
        <w:t>-M</w:t>
      </w:r>
      <w:r w:rsidRPr="00BA317F">
        <w:rPr>
          <w:rFonts w:ascii="Palatino Linotype" w:hAnsi="Palatino Linotype" w:cs="Tahoma"/>
          <w:b/>
          <w:bCs/>
          <w:color w:val="000000"/>
          <w:sz w:val="22"/>
          <w:szCs w:val="22"/>
        </w:rPr>
        <w:t xml:space="preserve"> </w:t>
      </w:r>
      <w:r w:rsidRPr="00BA317F">
        <w:rPr>
          <w:rFonts w:ascii="Palatino Linotype" w:hAnsi="Palatino Linotype" w:cs="Tahoma"/>
          <w:iCs/>
          <w:sz w:val="22"/>
          <w:szCs w:val="22"/>
        </w:rPr>
        <w:t xml:space="preserve">de 07 </w:t>
      </w:r>
      <w:r w:rsidRPr="00BA317F">
        <w:rPr>
          <w:rFonts w:ascii="Palatino Linotype" w:hAnsi="Palatino Linotype" w:cs="Tahoma"/>
          <w:sz w:val="22"/>
          <w:szCs w:val="22"/>
        </w:rPr>
        <w:t xml:space="preserve">de </w:t>
      </w:r>
      <w:r w:rsidR="00077D0A" w:rsidRPr="00BA317F">
        <w:rPr>
          <w:rFonts w:ascii="Palatino Linotype" w:hAnsi="Palatino Linotype" w:cs="Tahoma"/>
          <w:sz w:val="22"/>
          <w:szCs w:val="22"/>
        </w:rPr>
        <w:t>octubre</w:t>
      </w:r>
      <w:r w:rsidRPr="00BA317F">
        <w:rPr>
          <w:rFonts w:ascii="Palatino Linotype" w:hAnsi="Palatino Linotype" w:cs="Tahoma"/>
          <w:sz w:val="22"/>
          <w:szCs w:val="22"/>
        </w:rPr>
        <w:t xml:space="preserve"> de </w:t>
      </w:r>
      <w:r w:rsidRPr="00BA317F">
        <w:rPr>
          <w:rFonts w:ascii="Palatino Linotype" w:hAnsi="Palatino Linotype" w:cs="Tahoma"/>
          <w:iCs/>
          <w:sz w:val="22"/>
          <w:szCs w:val="22"/>
        </w:rPr>
        <w:t>202</w:t>
      </w:r>
      <w:r w:rsidR="00077D0A" w:rsidRPr="00BA317F">
        <w:rPr>
          <w:rFonts w:ascii="Palatino Linotype" w:hAnsi="Palatino Linotype" w:cs="Tahoma"/>
          <w:iCs/>
          <w:sz w:val="22"/>
          <w:szCs w:val="22"/>
        </w:rPr>
        <w:t>2</w:t>
      </w:r>
      <w:r w:rsidRPr="00BA317F">
        <w:rPr>
          <w:rFonts w:ascii="Palatino Linotype" w:hAnsi="Palatino Linotype" w:cs="Tahoma"/>
          <w:sz w:val="22"/>
          <w:szCs w:val="22"/>
        </w:rPr>
        <w:t xml:space="preserve">, suscrito por  la Abg. Gabriela Villegas, Directora de Asesoría Jurídica de la Administración Zonal Quitumbe, menciona que: </w:t>
      </w:r>
      <w:r w:rsidR="00077D0A" w:rsidRPr="00BA317F">
        <w:rPr>
          <w:rFonts w:ascii="Palatino Linotype" w:hAnsi="Palatino Linotype" w:cs="Tahoma"/>
          <w:i/>
          <w:sz w:val="22"/>
          <w:szCs w:val="22"/>
        </w:rPr>
        <w:t>“…</w:t>
      </w:r>
      <w:r w:rsidR="00077D0A" w:rsidRPr="00BA317F">
        <w:rPr>
          <w:rFonts w:ascii="Palatino Linotype" w:hAnsi="Palatino Linotype" w:cs="Tahoma"/>
          <w:i/>
          <w:color w:val="222222"/>
          <w:sz w:val="22"/>
          <w:szCs w:val="22"/>
          <w:shd w:val="clear" w:color="auto" w:fill="FFFFFF"/>
        </w:rPr>
        <w:t>en base al Informe Técnico Favorable Nro. AZQ-DGT-UTV-IT-2022-137 de fecha 12 de septiembre de 2022, suscrito por el Ing. Geovanny Yerovi, Técnico de la Unidad; y, la Ing. Ana Abarca, Responsable Zonal de la Unidad de Territorio y Vivienda, por tratarse de vías principales que conectan a los barrios altos de la Parroquia La Ecuatoriana,  esta </w:t>
      </w:r>
      <w:r w:rsidR="00077D0A" w:rsidRPr="00BA317F">
        <w:rPr>
          <w:rStyle w:val="Textoennegrita"/>
          <w:rFonts w:ascii="Palatino Linotype" w:hAnsi="Palatino Linotype" w:cs="Tahoma"/>
          <w:i/>
          <w:color w:val="222222"/>
          <w:sz w:val="22"/>
          <w:szCs w:val="22"/>
        </w:rPr>
        <w:t>DIRECCIÓN DE ASESORÍA JURÍDICA EMITE INFORME LEGAL FAVORABLE </w:t>
      </w:r>
      <w:r w:rsidR="00077D0A" w:rsidRPr="00BA317F">
        <w:rPr>
          <w:rFonts w:ascii="Palatino Linotype" w:hAnsi="Palatino Linotype" w:cs="Tahoma"/>
          <w:i/>
          <w:color w:val="222222"/>
          <w:sz w:val="22"/>
          <w:szCs w:val="22"/>
          <w:shd w:val="clear" w:color="auto" w:fill="FFFFFF"/>
        </w:rPr>
        <w:t>para la MODIFICATORIA DEL TRAZADO VIAL DE LA CALLE ROSARIO BORJA (S42) – TRAMO DESDE LA CALLE LUIS GARCIA (Oe13D)ABS 0+000 HASTA LA CALLE LUIS AYABACA (Oe14) ABS 0+240 Y MODIFICATORIA A LA TRAYECTORIA DEL TRAZADO VIAL DE LA CALLE LUIS GARCIA (Oe13D) – TRAMO DESDE LA ABS 0+000 HASTA LA CALLE LUIS AYABACA (S42J) ABS 0+188 – BARRIO/SECTOR: HUARCAY – PARROQUIA LA ECUATORIANA (…)</w:t>
      </w:r>
    </w:p>
    <w:p w:rsidR="003C143B" w:rsidRPr="00BA317F" w:rsidRDefault="003C143B">
      <w:pPr>
        <w:spacing w:after="160" w:line="259" w:lineRule="auto"/>
        <w:jc w:val="left"/>
        <w:rPr>
          <w:rFonts w:ascii="Palatino Linotype" w:hAnsi="Palatino Linotype" w:cs="Tahoma"/>
          <w:i/>
          <w:color w:val="222222"/>
          <w:sz w:val="22"/>
          <w:szCs w:val="22"/>
          <w:shd w:val="clear" w:color="auto" w:fill="FFFFFF"/>
        </w:rPr>
      </w:pPr>
      <w:r w:rsidRPr="00BA317F">
        <w:rPr>
          <w:rFonts w:ascii="Palatino Linotype" w:hAnsi="Palatino Linotype" w:cs="Tahoma"/>
          <w:i/>
          <w:color w:val="222222"/>
          <w:sz w:val="22"/>
          <w:szCs w:val="22"/>
          <w:shd w:val="clear" w:color="auto" w:fill="FFFFFF"/>
        </w:rPr>
        <w:br w:type="page"/>
      </w:r>
    </w:p>
    <w:p w:rsidR="00077D0A" w:rsidRPr="00BA317F" w:rsidRDefault="00077D0A" w:rsidP="00077D0A">
      <w:pPr>
        <w:spacing w:after="0" w:line="240" w:lineRule="auto"/>
        <w:ind w:right="-1"/>
        <w:rPr>
          <w:rFonts w:ascii="Palatino Linotype" w:hAnsi="Palatino Linotype" w:cs="Tahoma"/>
          <w:i/>
          <w:color w:val="222222"/>
          <w:sz w:val="22"/>
          <w:szCs w:val="22"/>
          <w:shd w:val="clear" w:color="auto" w:fill="FFFFFF"/>
        </w:rPr>
      </w:pPr>
    </w:p>
    <w:p w:rsidR="00A12F55" w:rsidRPr="00BA317F" w:rsidRDefault="00A12F55" w:rsidP="00A12F55">
      <w:pPr>
        <w:autoSpaceDE w:val="0"/>
        <w:autoSpaceDN w:val="0"/>
        <w:adjustRightInd w:val="0"/>
        <w:spacing w:after="0" w:line="240" w:lineRule="auto"/>
        <w:rPr>
          <w:rFonts w:ascii="Palatino Linotype" w:hAnsi="Palatino Linotype" w:cs="Tahoma"/>
          <w:i/>
          <w:color w:val="000000"/>
          <w:sz w:val="22"/>
          <w:szCs w:val="22"/>
        </w:rPr>
      </w:pPr>
    </w:p>
    <w:p w:rsidR="00A12F55" w:rsidRPr="00BA317F" w:rsidRDefault="00A12F55" w:rsidP="00A12F55">
      <w:pPr>
        <w:tabs>
          <w:tab w:val="left" w:pos="5375"/>
        </w:tabs>
        <w:rPr>
          <w:rFonts w:ascii="Palatino Linotype" w:hAnsi="Palatino Linotype" w:cs="Tahoma"/>
          <w:b/>
          <w:sz w:val="22"/>
          <w:szCs w:val="22"/>
        </w:rPr>
      </w:pPr>
      <w:r w:rsidRPr="00BA317F">
        <w:rPr>
          <w:rFonts w:ascii="Palatino Linotype" w:hAnsi="Palatino Linotype" w:cs="Tahoma"/>
          <w:sz w:val="22"/>
          <w:szCs w:val="22"/>
        </w:rPr>
        <w:t xml:space="preserve">                                                        </w:t>
      </w:r>
      <w:r w:rsidRPr="00BA317F">
        <w:rPr>
          <w:rFonts w:ascii="Palatino Linotype" w:hAnsi="Palatino Linotype" w:cs="Tahoma"/>
          <w:b/>
          <w:sz w:val="22"/>
          <w:szCs w:val="22"/>
        </w:rPr>
        <w:t>CONSIDERACIONES:</w:t>
      </w:r>
    </w:p>
    <w:p w:rsidR="00A12F55" w:rsidRPr="00BA317F" w:rsidRDefault="00A12F55" w:rsidP="00A12F55">
      <w:pPr>
        <w:autoSpaceDE w:val="0"/>
        <w:autoSpaceDN w:val="0"/>
        <w:adjustRightInd w:val="0"/>
        <w:ind w:left="705" w:hanging="705"/>
        <w:rPr>
          <w:rFonts w:ascii="Palatino Linotype" w:hAnsi="Palatino Linotype" w:cs="Tahoma"/>
          <w:i/>
          <w:iCs/>
          <w:sz w:val="22"/>
          <w:szCs w:val="22"/>
        </w:rPr>
      </w:pPr>
      <w:r w:rsidRPr="00BA317F">
        <w:rPr>
          <w:rFonts w:ascii="Palatino Linotype" w:hAnsi="Palatino Linotype" w:cs="Tahoma"/>
          <w:sz w:val="22"/>
          <w:szCs w:val="22"/>
        </w:rPr>
        <w:t xml:space="preserve">Que, </w:t>
      </w:r>
      <w:r w:rsidRPr="00BA317F">
        <w:rPr>
          <w:rFonts w:ascii="Palatino Linotype" w:hAnsi="Palatino Linotype" w:cs="Tahoma"/>
          <w:sz w:val="22"/>
          <w:szCs w:val="22"/>
        </w:rPr>
        <w:tab/>
        <w:t xml:space="preserve"> el artículo 240 de la Constitución de República del Ecuador, en adelante Constitución, establece: “Los</w:t>
      </w:r>
      <w:r w:rsidRPr="00BA317F">
        <w:rPr>
          <w:rFonts w:ascii="Palatino Linotype" w:hAnsi="Palatino Linotype" w:cs="Tahoma"/>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A12F55" w:rsidRPr="00BA317F" w:rsidRDefault="00A12F55" w:rsidP="00A12F55">
      <w:pPr>
        <w:autoSpaceDE w:val="0"/>
        <w:autoSpaceDN w:val="0"/>
        <w:adjustRightInd w:val="0"/>
        <w:ind w:left="705" w:hanging="705"/>
        <w:rPr>
          <w:rFonts w:ascii="Palatino Linotype" w:hAnsi="Palatino Linotype" w:cs="Tahoma"/>
          <w:i/>
          <w:iCs/>
          <w:sz w:val="22"/>
          <w:szCs w:val="22"/>
        </w:rPr>
      </w:pPr>
      <w:r w:rsidRPr="00BA317F">
        <w:rPr>
          <w:rFonts w:ascii="Palatino Linotype" w:hAnsi="Palatino Linotype" w:cs="Tahoma"/>
          <w:sz w:val="22"/>
          <w:szCs w:val="22"/>
        </w:rPr>
        <w:t xml:space="preserve">Que, </w:t>
      </w:r>
      <w:r w:rsidRPr="00BA317F">
        <w:rPr>
          <w:rFonts w:ascii="Palatino Linotype" w:hAnsi="Palatino Linotype" w:cs="Tahoma"/>
          <w:sz w:val="22"/>
          <w:szCs w:val="22"/>
        </w:rPr>
        <w:tab/>
        <w:t>el artículo 241 de la Constitución, determina: “</w:t>
      </w:r>
      <w:r w:rsidRPr="00BA317F">
        <w:rPr>
          <w:rFonts w:ascii="Palatino Linotype" w:hAnsi="Palatino Linotype" w:cs="Tahoma"/>
          <w:i/>
          <w:iCs/>
          <w:sz w:val="22"/>
          <w:szCs w:val="22"/>
        </w:rPr>
        <w:t xml:space="preserve">La planificación garantizará el ordenamiento territorial y será obligatoria en todos los gobiernos autónomos descentralizados” </w:t>
      </w:r>
    </w:p>
    <w:p w:rsidR="00A12F55" w:rsidRPr="00BA317F" w:rsidRDefault="00A12F55" w:rsidP="00A12F55">
      <w:pPr>
        <w:autoSpaceDE w:val="0"/>
        <w:autoSpaceDN w:val="0"/>
        <w:adjustRightInd w:val="0"/>
        <w:spacing w:after="0" w:line="240" w:lineRule="auto"/>
        <w:ind w:left="709" w:hanging="709"/>
        <w:rPr>
          <w:rFonts w:ascii="Palatino Linotype" w:hAnsi="Palatino Linotype" w:cs="Tahoma"/>
          <w:i/>
          <w:iCs/>
          <w:sz w:val="22"/>
          <w:szCs w:val="22"/>
        </w:rPr>
      </w:pPr>
      <w:r w:rsidRPr="00BA317F">
        <w:rPr>
          <w:rFonts w:ascii="Palatino Linotype" w:hAnsi="Palatino Linotype" w:cs="Tahoma"/>
          <w:sz w:val="22"/>
          <w:szCs w:val="22"/>
        </w:rPr>
        <w:t xml:space="preserve">Que, </w:t>
      </w:r>
      <w:r w:rsidRPr="00BA317F">
        <w:rPr>
          <w:rFonts w:ascii="Palatino Linotype" w:hAnsi="Palatino Linotype" w:cs="Tahoma"/>
          <w:sz w:val="22"/>
          <w:szCs w:val="22"/>
        </w:rPr>
        <w:tab/>
        <w:t xml:space="preserve">los numerales 1, 2 y 3 del artículo 264 de la Constitución, determinan que serán competencias exclusivas de los gobiernos municipales, sin perjuicio de otras que determine la ley: </w:t>
      </w:r>
      <w:r w:rsidRPr="00BA317F">
        <w:rPr>
          <w:rFonts w:ascii="Palatino Linotype" w:hAnsi="Palatino Linotype" w:cs="Tahoma"/>
          <w:i/>
          <w:sz w:val="22"/>
          <w:szCs w:val="22"/>
        </w:rPr>
        <w:t xml:space="preserve">"1. </w:t>
      </w:r>
      <w:r w:rsidRPr="00BA317F">
        <w:rPr>
          <w:rFonts w:ascii="Palatino Linotype" w:hAnsi="Palatino Linotype" w:cs="Tahoma"/>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rsidR="00A12F55" w:rsidRPr="00BA317F" w:rsidRDefault="00A12F55" w:rsidP="00A12F55">
      <w:pPr>
        <w:autoSpaceDE w:val="0"/>
        <w:autoSpaceDN w:val="0"/>
        <w:adjustRightInd w:val="0"/>
        <w:spacing w:after="0" w:line="240" w:lineRule="auto"/>
        <w:ind w:left="709" w:hanging="709"/>
        <w:rPr>
          <w:rFonts w:ascii="Palatino Linotype" w:hAnsi="Palatino Linotype" w:cs="Tahoma"/>
          <w:i/>
          <w:iCs/>
          <w:sz w:val="22"/>
          <w:szCs w:val="22"/>
        </w:rPr>
      </w:pPr>
    </w:p>
    <w:p w:rsidR="00A12F55" w:rsidRPr="00BA317F" w:rsidRDefault="00A12F55" w:rsidP="00A12F55">
      <w:pPr>
        <w:autoSpaceDE w:val="0"/>
        <w:autoSpaceDN w:val="0"/>
        <w:adjustRightInd w:val="0"/>
        <w:ind w:left="709" w:hanging="709"/>
        <w:rPr>
          <w:rFonts w:ascii="Palatino Linotype" w:hAnsi="Palatino Linotype" w:cs="Tahoma"/>
          <w:sz w:val="22"/>
          <w:szCs w:val="22"/>
        </w:rPr>
      </w:pPr>
      <w:r w:rsidRPr="00BA317F">
        <w:rPr>
          <w:rFonts w:ascii="Palatino Linotype" w:hAnsi="Palatino Linotype" w:cs="Tahoma"/>
          <w:sz w:val="22"/>
          <w:szCs w:val="22"/>
        </w:rPr>
        <w:t xml:space="preserve">Que, </w:t>
      </w:r>
      <w:r w:rsidRPr="00BA317F">
        <w:rPr>
          <w:rFonts w:ascii="Palatino Linotype" w:hAnsi="Palatino Linotype" w:cs="Tahoma"/>
          <w:sz w:val="22"/>
          <w:szCs w:val="22"/>
        </w:rPr>
        <w:tab/>
        <w:t xml:space="preserve">el artículo 266 de la Constitución, determina: </w:t>
      </w:r>
      <w:r w:rsidRPr="00BA317F">
        <w:rPr>
          <w:rFonts w:ascii="Palatino Linotype" w:hAnsi="Palatino Linotype" w:cs="Tahoma"/>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A317F">
        <w:rPr>
          <w:rFonts w:ascii="Palatino Linotype" w:hAnsi="Palatino Linotype" w:cs="Tahoma"/>
          <w:sz w:val="22"/>
          <w:szCs w:val="22"/>
        </w:rPr>
        <w:t>;</w:t>
      </w:r>
    </w:p>
    <w:p w:rsidR="00A12F55" w:rsidRPr="00BA317F" w:rsidRDefault="00A12F55" w:rsidP="00A12F55">
      <w:pPr>
        <w:autoSpaceDE w:val="0"/>
        <w:autoSpaceDN w:val="0"/>
        <w:adjustRightInd w:val="0"/>
        <w:spacing w:after="0" w:line="240" w:lineRule="auto"/>
        <w:ind w:left="709" w:hanging="709"/>
        <w:rPr>
          <w:rFonts w:ascii="Palatino Linotype" w:hAnsi="Palatino Linotype" w:cs="Tahoma"/>
          <w:i/>
          <w:iCs/>
          <w:sz w:val="22"/>
          <w:szCs w:val="22"/>
        </w:rPr>
      </w:pPr>
      <w:r w:rsidRPr="00BA317F">
        <w:rPr>
          <w:rFonts w:ascii="Palatino Linotype" w:hAnsi="Palatino Linotype" w:cs="Tahoma"/>
          <w:sz w:val="22"/>
          <w:szCs w:val="22"/>
        </w:rPr>
        <w:t xml:space="preserve">Que, </w:t>
      </w:r>
      <w:r w:rsidRPr="00BA317F">
        <w:rPr>
          <w:rFonts w:ascii="Palatino Linotype" w:hAnsi="Palatino Linotype" w:cs="Tahoma"/>
          <w:sz w:val="22"/>
          <w:szCs w:val="22"/>
        </w:rPr>
        <w:tab/>
        <w:t>el artículo 85 del COOTAD, estableciendo las competencias exclusivas de los distritos metropolitanos, señala: “</w:t>
      </w:r>
      <w:r w:rsidRPr="00BA317F">
        <w:rPr>
          <w:rFonts w:ascii="Palatino Linotype" w:hAnsi="Palatino Linotype" w:cs="Tahoma"/>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A12F55" w:rsidRPr="00BA317F" w:rsidRDefault="00A12F55" w:rsidP="00A12F55">
      <w:pPr>
        <w:autoSpaceDE w:val="0"/>
        <w:autoSpaceDN w:val="0"/>
        <w:adjustRightInd w:val="0"/>
        <w:spacing w:after="0" w:line="240" w:lineRule="auto"/>
        <w:ind w:left="709" w:hanging="709"/>
        <w:rPr>
          <w:rFonts w:ascii="Palatino Linotype" w:hAnsi="Palatino Linotype" w:cs="Tahoma"/>
          <w:sz w:val="22"/>
          <w:szCs w:val="22"/>
        </w:rPr>
      </w:pPr>
    </w:p>
    <w:p w:rsidR="00A12F55" w:rsidRPr="00BA317F" w:rsidRDefault="00A12F55" w:rsidP="00A12F55">
      <w:pPr>
        <w:autoSpaceDE w:val="0"/>
        <w:autoSpaceDN w:val="0"/>
        <w:adjustRightInd w:val="0"/>
        <w:spacing w:after="0" w:line="240" w:lineRule="auto"/>
        <w:ind w:left="709" w:hanging="709"/>
        <w:rPr>
          <w:rFonts w:ascii="Palatino Linotype" w:hAnsi="Palatino Linotype" w:cs="Tahoma"/>
          <w:i/>
          <w:sz w:val="22"/>
          <w:szCs w:val="22"/>
        </w:rPr>
      </w:pPr>
      <w:r w:rsidRPr="00BA317F">
        <w:rPr>
          <w:rFonts w:ascii="Palatino Linotype" w:hAnsi="Palatino Linotype" w:cs="Tahoma"/>
          <w:sz w:val="22"/>
          <w:szCs w:val="22"/>
        </w:rPr>
        <w:t xml:space="preserve">Que, </w:t>
      </w:r>
      <w:r w:rsidRPr="00BA317F">
        <w:rPr>
          <w:rFonts w:ascii="Palatino Linotype" w:hAnsi="Palatino Linotype" w:cs="Tahoma"/>
          <w:sz w:val="22"/>
          <w:szCs w:val="22"/>
        </w:rPr>
        <w:tab/>
        <w:t xml:space="preserve"> los literales a), d) y v) del artículo 87 del COOTAD, establecen como atribuciones del Concejo Metropolitano: “</w:t>
      </w:r>
      <w:r w:rsidRPr="00BA317F">
        <w:rPr>
          <w:rFonts w:ascii="Palatino Linotype" w:hAnsi="Palatino Linotype" w:cs="Tahoma"/>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A12F55" w:rsidRPr="00BA317F" w:rsidRDefault="00A12F55" w:rsidP="00A12F55">
      <w:pPr>
        <w:autoSpaceDE w:val="0"/>
        <w:autoSpaceDN w:val="0"/>
        <w:adjustRightInd w:val="0"/>
        <w:spacing w:after="0" w:line="240" w:lineRule="auto"/>
        <w:ind w:left="709" w:hanging="709"/>
        <w:rPr>
          <w:rFonts w:ascii="Palatino Linotype" w:hAnsi="Palatino Linotype" w:cs="Tahoma"/>
          <w:i/>
          <w:sz w:val="22"/>
          <w:szCs w:val="22"/>
        </w:rPr>
      </w:pPr>
    </w:p>
    <w:p w:rsidR="00A12F55" w:rsidRPr="00BA317F" w:rsidRDefault="00A12F55" w:rsidP="00A12F55">
      <w:pPr>
        <w:autoSpaceDE w:val="0"/>
        <w:autoSpaceDN w:val="0"/>
        <w:adjustRightInd w:val="0"/>
        <w:spacing w:after="0" w:line="240" w:lineRule="auto"/>
        <w:ind w:left="709" w:hanging="709"/>
        <w:rPr>
          <w:rFonts w:ascii="Palatino Linotype" w:hAnsi="Palatino Linotype" w:cs="Tahoma"/>
          <w:i/>
          <w:sz w:val="22"/>
          <w:szCs w:val="22"/>
        </w:rPr>
      </w:pPr>
      <w:r w:rsidRPr="00BA317F">
        <w:rPr>
          <w:rFonts w:ascii="Palatino Linotype" w:hAnsi="Palatino Linotype" w:cs="Tahoma"/>
          <w:sz w:val="22"/>
          <w:szCs w:val="22"/>
        </w:rPr>
        <w:t xml:space="preserve">Que, </w:t>
      </w:r>
      <w:r w:rsidRPr="00BA317F">
        <w:rPr>
          <w:rFonts w:ascii="Palatino Linotype" w:hAnsi="Palatino Linotype" w:cs="Tahoma"/>
          <w:sz w:val="22"/>
          <w:szCs w:val="22"/>
        </w:rPr>
        <w:tab/>
        <w:t xml:space="preserve">el quinto inciso del artículo 129 del Código Orgánico de Organización Territorial, en adelante "COOTAD" dispone: </w:t>
      </w:r>
      <w:r w:rsidRPr="00BA317F">
        <w:rPr>
          <w:rFonts w:ascii="Palatino Linotype" w:hAnsi="Palatino Linotype" w:cs="Tahoma"/>
          <w:i/>
          <w:sz w:val="22"/>
          <w:szCs w:val="22"/>
        </w:rPr>
        <w:t xml:space="preserve">"El ejercicio de la competencia de vialidad atribuida en la Constitución a los distintos niveles de gobierno, se cumplirá de </w:t>
      </w:r>
      <w:r w:rsidRPr="00BA317F">
        <w:rPr>
          <w:rFonts w:ascii="Palatino Linotype" w:hAnsi="Palatino Linotype" w:cs="Tahoma"/>
          <w:i/>
          <w:sz w:val="22"/>
          <w:szCs w:val="22"/>
        </w:rPr>
        <w:lastRenderedPageBreak/>
        <w:t>la siguiente manera: (...) Al gobierno autónomo descentralizado municipal le corresponde las facultades de planificar, construir y mantener la vialidad urbana (...)";</w:t>
      </w:r>
    </w:p>
    <w:p w:rsidR="00A12F55" w:rsidRPr="00BA317F" w:rsidRDefault="00A12F55" w:rsidP="00A12F55">
      <w:pPr>
        <w:autoSpaceDE w:val="0"/>
        <w:autoSpaceDN w:val="0"/>
        <w:adjustRightInd w:val="0"/>
        <w:spacing w:after="0" w:line="240" w:lineRule="auto"/>
        <w:ind w:left="709" w:hanging="709"/>
        <w:rPr>
          <w:rFonts w:ascii="Palatino Linotype" w:hAnsi="Palatino Linotype" w:cs="Tahoma"/>
          <w:i/>
          <w:sz w:val="22"/>
          <w:szCs w:val="22"/>
        </w:rPr>
      </w:pPr>
    </w:p>
    <w:p w:rsidR="00A12F55" w:rsidRPr="00BA317F" w:rsidRDefault="00A12F55" w:rsidP="00A12F55">
      <w:pPr>
        <w:autoSpaceDE w:val="0"/>
        <w:autoSpaceDN w:val="0"/>
        <w:adjustRightInd w:val="0"/>
        <w:spacing w:after="0" w:line="240" w:lineRule="auto"/>
        <w:ind w:left="709" w:hanging="709"/>
        <w:rPr>
          <w:rFonts w:ascii="Palatino Linotype" w:hAnsi="Palatino Linotype" w:cs="Tahoma"/>
          <w:i/>
          <w:sz w:val="22"/>
          <w:szCs w:val="22"/>
        </w:rPr>
      </w:pPr>
      <w:r w:rsidRPr="00BA317F">
        <w:rPr>
          <w:rFonts w:ascii="Palatino Linotype" w:hAnsi="Palatino Linotype" w:cs="Tahoma"/>
          <w:sz w:val="22"/>
          <w:szCs w:val="22"/>
        </w:rPr>
        <w:t xml:space="preserve">Que, </w:t>
      </w:r>
      <w:r w:rsidRPr="00BA317F">
        <w:rPr>
          <w:rFonts w:ascii="Palatino Linotype" w:hAnsi="Palatino Linotype" w:cs="Tahoma"/>
          <w:sz w:val="22"/>
          <w:szCs w:val="22"/>
        </w:rPr>
        <w:tab/>
        <w:t xml:space="preserve">el numeral 1 del artículo </w:t>
      </w:r>
      <w:r w:rsidRPr="00BA317F">
        <w:rPr>
          <w:rFonts w:ascii="Palatino Linotype" w:hAnsi="Palatino Linotype" w:cs="Tahoma"/>
          <w:bCs/>
          <w:color w:val="000000"/>
          <w:sz w:val="22"/>
          <w:szCs w:val="22"/>
        </w:rPr>
        <w:t>2191</w:t>
      </w:r>
      <w:r w:rsidRPr="00BA317F">
        <w:rPr>
          <w:rFonts w:ascii="Palatino Linotype" w:hAnsi="Palatino Linotype" w:cs="Tahoma"/>
          <w:sz w:val="22"/>
          <w:szCs w:val="22"/>
        </w:rPr>
        <w:t xml:space="preserve"> del Código Municipal para el Distrito Metropolitano de Quito, en adelante Código Municipal, señala que: </w:t>
      </w:r>
      <w:r w:rsidRPr="00BA317F">
        <w:rPr>
          <w:rFonts w:ascii="Palatino Linotype" w:hAnsi="Palatino Linotype" w:cs="Tahoma"/>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rsidR="00A12F55" w:rsidRPr="00BA317F" w:rsidRDefault="00A12F55" w:rsidP="00A12F55">
      <w:pPr>
        <w:autoSpaceDE w:val="0"/>
        <w:autoSpaceDN w:val="0"/>
        <w:adjustRightInd w:val="0"/>
        <w:spacing w:after="0" w:line="240" w:lineRule="auto"/>
        <w:ind w:left="709" w:hanging="709"/>
        <w:rPr>
          <w:rFonts w:ascii="Palatino Linotype" w:hAnsi="Palatino Linotype" w:cs="Tahoma"/>
          <w:sz w:val="22"/>
          <w:szCs w:val="22"/>
        </w:rPr>
      </w:pPr>
    </w:p>
    <w:p w:rsidR="00A12F55" w:rsidRPr="00BA317F" w:rsidRDefault="00A12F55" w:rsidP="00A12F55">
      <w:pPr>
        <w:autoSpaceDE w:val="0"/>
        <w:autoSpaceDN w:val="0"/>
        <w:adjustRightInd w:val="0"/>
        <w:spacing w:after="0" w:line="240" w:lineRule="auto"/>
        <w:ind w:left="709" w:hanging="709"/>
        <w:rPr>
          <w:rFonts w:ascii="Palatino Linotype" w:hAnsi="Palatino Linotype" w:cs="Tahoma"/>
          <w:i/>
          <w:sz w:val="22"/>
          <w:szCs w:val="22"/>
        </w:rPr>
      </w:pPr>
      <w:r w:rsidRPr="00BA317F">
        <w:rPr>
          <w:rFonts w:ascii="Palatino Linotype" w:hAnsi="Palatino Linotype" w:cs="Tahoma"/>
          <w:sz w:val="22"/>
          <w:szCs w:val="22"/>
        </w:rPr>
        <w:t xml:space="preserve">Que, </w:t>
      </w:r>
      <w:r w:rsidRPr="00BA317F">
        <w:rPr>
          <w:rFonts w:ascii="Palatino Linotype" w:hAnsi="Palatino Linotype" w:cs="Tahoma"/>
          <w:sz w:val="22"/>
          <w:szCs w:val="22"/>
        </w:rPr>
        <w:tab/>
        <w:t xml:space="preserve">el numeral 5 IBIDEM, señala que: </w:t>
      </w:r>
      <w:r w:rsidRPr="00BA317F">
        <w:rPr>
          <w:rFonts w:ascii="Palatino Linotype" w:hAnsi="Palatino Linotype" w:cs="Tahoma"/>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rsidR="00A12F55" w:rsidRPr="00BA317F" w:rsidRDefault="00A12F55" w:rsidP="00A12F55">
      <w:pPr>
        <w:autoSpaceDE w:val="0"/>
        <w:autoSpaceDN w:val="0"/>
        <w:adjustRightInd w:val="0"/>
        <w:spacing w:after="0" w:line="240" w:lineRule="auto"/>
        <w:ind w:left="709" w:hanging="709"/>
        <w:rPr>
          <w:rFonts w:ascii="Palatino Linotype" w:hAnsi="Palatino Linotype" w:cs="Tahoma"/>
          <w:sz w:val="22"/>
          <w:szCs w:val="22"/>
        </w:rPr>
      </w:pPr>
    </w:p>
    <w:p w:rsidR="00A12F55" w:rsidRPr="00BA317F" w:rsidRDefault="00A12F55" w:rsidP="00A12F55">
      <w:pPr>
        <w:autoSpaceDE w:val="0"/>
        <w:autoSpaceDN w:val="0"/>
        <w:adjustRightInd w:val="0"/>
        <w:spacing w:after="0" w:line="240" w:lineRule="auto"/>
        <w:ind w:left="709" w:hanging="709"/>
        <w:rPr>
          <w:rFonts w:ascii="Palatino Linotype" w:hAnsi="Palatino Linotype" w:cs="Tahoma"/>
          <w:i/>
          <w:sz w:val="22"/>
          <w:szCs w:val="22"/>
        </w:rPr>
      </w:pPr>
      <w:r w:rsidRPr="00BA317F">
        <w:rPr>
          <w:rFonts w:ascii="Palatino Linotype" w:hAnsi="Palatino Linotype" w:cs="Tahoma"/>
          <w:sz w:val="22"/>
          <w:szCs w:val="22"/>
        </w:rPr>
        <w:t xml:space="preserve">Que, el artículo 2192 del Código Municipal, determina: </w:t>
      </w:r>
      <w:r w:rsidRPr="00BA317F">
        <w:rPr>
          <w:rFonts w:ascii="Palatino Linotype" w:hAnsi="Palatino Linotype" w:cs="Tahoma"/>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rsidR="00BC231E" w:rsidRPr="00BA317F" w:rsidRDefault="00BC231E" w:rsidP="00A12F55">
      <w:pPr>
        <w:autoSpaceDE w:val="0"/>
        <w:autoSpaceDN w:val="0"/>
        <w:adjustRightInd w:val="0"/>
        <w:spacing w:after="0" w:line="240" w:lineRule="auto"/>
        <w:ind w:left="709" w:hanging="709"/>
        <w:rPr>
          <w:rFonts w:ascii="Palatino Linotype" w:hAnsi="Palatino Linotype" w:cs="Tahoma"/>
          <w:i/>
          <w:sz w:val="22"/>
          <w:szCs w:val="22"/>
        </w:rPr>
      </w:pPr>
    </w:p>
    <w:p w:rsidR="00BC231E" w:rsidRPr="00BA317F" w:rsidRDefault="00BC231E" w:rsidP="00A12F55">
      <w:pPr>
        <w:autoSpaceDE w:val="0"/>
        <w:autoSpaceDN w:val="0"/>
        <w:adjustRightInd w:val="0"/>
        <w:spacing w:after="0" w:line="240" w:lineRule="auto"/>
        <w:ind w:left="709" w:hanging="709"/>
        <w:rPr>
          <w:rFonts w:ascii="Palatino Linotype" w:hAnsi="Palatino Linotype" w:cs="Tahoma"/>
          <w:sz w:val="22"/>
          <w:szCs w:val="22"/>
        </w:rPr>
      </w:pPr>
      <w:r w:rsidRPr="00BA317F">
        <w:rPr>
          <w:rFonts w:ascii="Palatino Linotype" w:hAnsi="Palatino Linotype" w:cs="Tahoma"/>
          <w:sz w:val="22"/>
          <w:szCs w:val="22"/>
        </w:rPr>
        <w:t xml:space="preserve">Que, </w:t>
      </w:r>
      <w:r w:rsidRPr="00BA317F">
        <w:rPr>
          <w:rFonts w:ascii="Palatino Linotype" w:hAnsi="Palatino Linotype" w:cs="Tahoma"/>
          <w:sz w:val="22"/>
          <w:szCs w:val="22"/>
        </w:rPr>
        <w:tab/>
        <w:t xml:space="preserve">con Resolución Nro. 062-CUS-2022 de 21 de septiembre de 2022, la Comisión de Uso de Suelo en sesión extraordinaria Nro. 166, determinó los siguientes casos de trazados viales. </w:t>
      </w:r>
      <w:r w:rsidRPr="00BA317F">
        <w:rPr>
          <w:rFonts w:ascii="Palatino Linotype" w:hAnsi="Palatino Linotype" w:cs="Tahoma"/>
          <w:i/>
          <w:sz w:val="22"/>
          <w:szCs w:val="22"/>
        </w:rPr>
        <w:t xml:space="preserve">“(…) , los casos que no se sujetan a las Normas de Arquitectura y Urbanismo, que </w:t>
      </w:r>
      <w:r w:rsidR="00BE2ADB" w:rsidRPr="00BA317F">
        <w:rPr>
          <w:rFonts w:ascii="Palatino Linotype" w:hAnsi="Palatino Linotype" w:cs="Tahoma"/>
          <w:i/>
          <w:sz w:val="22"/>
          <w:szCs w:val="22"/>
        </w:rPr>
        <w:t>constituyan</w:t>
      </w:r>
      <w:r w:rsidRPr="00BA317F">
        <w:rPr>
          <w:rFonts w:ascii="Palatino Linotype" w:hAnsi="Palatino Linotype" w:cs="Tahoma"/>
          <w:i/>
          <w:sz w:val="22"/>
          <w:szCs w:val="22"/>
        </w:rPr>
        <w:t xml:space="preserve"> casos de regularización vial, se aprobarán a través de ordenanza</w:t>
      </w:r>
      <w:r w:rsidR="00BE2ADB" w:rsidRPr="00BA317F">
        <w:rPr>
          <w:rFonts w:ascii="Palatino Linotype" w:hAnsi="Palatino Linotype" w:cs="Tahoma"/>
          <w:i/>
          <w:sz w:val="22"/>
          <w:szCs w:val="22"/>
        </w:rPr>
        <w:t xml:space="preserve"> (…)”</w:t>
      </w:r>
      <w:r w:rsidRPr="00BA317F">
        <w:rPr>
          <w:rFonts w:ascii="Palatino Linotype" w:hAnsi="Palatino Linotype" w:cs="Tahoma"/>
          <w:sz w:val="22"/>
          <w:szCs w:val="22"/>
        </w:rPr>
        <w:t xml:space="preserve"> </w:t>
      </w:r>
    </w:p>
    <w:p w:rsidR="00080123" w:rsidRPr="00BA317F" w:rsidRDefault="00080123" w:rsidP="00A12F55">
      <w:pPr>
        <w:autoSpaceDE w:val="0"/>
        <w:autoSpaceDN w:val="0"/>
        <w:adjustRightInd w:val="0"/>
        <w:spacing w:after="0" w:line="240" w:lineRule="auto"/>
        <w:ind w:left="709" w:hanging="709"/>
        <w:rPr>
          <w:rFonts w:ascii="Palatino Linotype" w:hAnsi="Palatino Linotype" w:cs="Tahoma"/>
          <w:sz w:val="22"/>
          <w:szCs w:val="22"/>
        </w:rPr>
      </w:pPr>
    </w:p>
    <w:p w:rsidR="00080123" w:rsidRPr="00BA317F" w:rsidRDefault="00080123" w:rsidP="00A12F55">
      <w:pPr>
        <w:autoSpaceDE w:val="0"/>
        <w:autoSpaceDN w:val="0"/>
        <w:adjustRightInd w:val="0"/>
        <w:spacing w:after="0" w:line="240" w:lineRule="auto"/>
        <w:ind w:left="709" w:hanging="709"/>
        <w:rPr>
          <w:rFonts w:ascii="Palatino Linotype" w:hAnsi="Palatino Linotype" w:cs="Tahoma"/>
          <w:sz w:val="22"/>
          <w:szCs w:val="22"/>
        </w:rPr>
      </w:pPr>
    </w:p>
    <w:p w:rsidR="00080123" w:rsidRPr="00BA317F" w:rsidRDefault="00080123" w:rsidP="00A12F55">
      <w:pPr>
        <w:autoSpaceDE w:val="0"/>
        <w:autoSpaceDN w:val="0"/>
        <w:adjustRightInd w:val="0"/>
        <w:spacing w:after="0" w:line="240" w:lineRule="auto"/>
        <w:ind w:left="709" w:hanging="709"/>
        <w:rPr>
          <w:rFonts w:ascii="Palatino Linotype" w:hAnsi="Palatino Linotype" w:cs="Tahoma"/>
          <w:sz w:val="22"/>
          <w:szCs w:val="22"/>
        </w:rPr>
      </w:pPr>
    </w:p>
    <w:p w:rsidR="00080123" w:rsidRPr="00BA317F" w:rsidRDefault="00080123" w:rsidP="00080123">
      <w:pPr>
        <w:tabs>
          <w:tab w:val="right" w:pos="9720"/>
        </w:tabs>
        <w:ind w:left="709" w:right="-1" w:hanging="709"/>
        <w:rPr>
          <w:rFonts w:ascii="Palatino Linotype" w:hAnsi="Palatino Linotype" w:cs="Tahoma"/>
          <w:sz w:val="22"/>
          <w:szCs w:val="22"/>
        </w:rPr>
      </w:pPr>
      <w:r w:rsidRPr="00BA317F">
        <w:rPr>
          <w:rFonts w:ascii="Palatino Linotype" w:hAnsi="Palatino Linotype" w:cs="Tahoma"/>
          <w:sz w:val="22"/>
          <w:szCs w:val="22"/>
        </w:rPr>
        <w:t xml:space="preserve">Que, mediante Informe Técnico Favorable Nro. AZQ-DGT-UTV-IT-2022-137 de fecha 12 de septiembre de 2022, el Ing. Geovanny Yerovi, Técnico de la Unidad y la Ing. Ana Abarca, Responsable Zonal de la Unidad de Territorio y Vivienda, señalan:  </w:t>
      </w:r>
    </w:p>
    <w:p w:rsidR="00080123" w:rsidRPr="00BA317F" w:rsidRDefault="00080123" w:rsidP="0066132C">
      <w:pPr>
        <w:tabs>
          <w:tab w:val="center" w:pos="4252"/>
          <w:tab w:val="right" w:pos="9720"/>
        </w:tabs>
        <w:ind w:left="708" w:right="-1"/>
        <w:rPr>
          <w:rFonts w:ascii="Palatino Linotype" w:hAnsi="Palatino Linotype" w:cs="Tahoma"/>
          <w:i/>
          <w:sz w:val="22"/>
          <w:szCs w:val="22"/>
        </w:rPr>
      </w:pPr>
      <w:r w:rsidRPr="00BA317F">
        <w:rPr>
          <w:rFonts w:ascii="Palatino Linotype" w:hAnsi="Palatino Linotype" w:cs="Tahoma"/>
          <w:i/>
          <w:sz w:val="22"/>
          <w:szCs w:val="22"/>
        </w:rPr>
        <w:t xml:space="preserve">“De acuerdo a la base legal mencionada, los diseños de las calles Rosario Borja (S42) y Luis García (Oe13D) propuestas por la Empresa Pública Metropolitana de Movilidad y Obras Públicas no cumple con lo que dispone la la normativa legal vigente estipulada en el anexo 02.- Anexo Único de Reglas Técnicas de Arquitectura y Urbanismo, donde consta el cuadro Nº 1.- Especificaciones mínimas para vías urbanas, sin embargo al ser vías principales que conecta a los barrios altos de la parroquia la Ecuatoriana, la Unidad de Territorio y Vivienda, emite criterio técnico FAVORABLE para la </w:t>
      </w:r>
      <w:r w:rsidRPr="00BA317F">
        <w:rPr>
          <w:rFonts w:ascii="Palatino Linotype" w:hAnsi="Palatino Linotype" w:cs="Tahoma"/>
          <w:i/>
          <w:sz w:val="22"/>
          <w:szCs w:val="22"/>
        </w:rPr>
        <w:lastRenderedPageBreak/>
        <w:t>MODIFICATORIA DEL TRAZADO VIAL DE LA CALLE ROSARIO BORJA (S42) - TRAMO DESDE LA CALLE LUIS GARCIA (Oe13D) ABS 0+000 HASTA LA CALLE LUIS AYABACA (Oe14) ABS 0+240 Y MODIFICATORIA A LA TRAYECTORIA DEL TRAZADO VIAL DE LA CALLE LUIS GARCIA (Oe13D) - TRAMO DESDE LA ABS 0+000 HASTA LA CALLE LUIS AYABACA (S42J) ABS 0+188 - BARRIO/SECTOR: HUARCAY - PARROQUIA LA ECUATORIANA y que se proceda conforme corresponda con la aprobación de la propuesta vial detallada en el presente informe (…)”</w:t>
      </w:r>
      <w:r w:rsidR="00675633" w:rsidRPr="00BA317F">
        <w:rPr>
          <w:rFonts w:ascii="Palatino Linotype" w:hAnsi="Palatino Linotype" w:cs="Tahoma"/>
          <w:i/>
          <w:sz w:val="22"/>
          <w:szCs w:val="22"/>
        </w:rPr>
        <w:t xml:space="preserve">; </w:t>
      </w:r>
    </w:p>
    <w:p w:rsidR="0017681E" w:rsidRPr="00BA317F" w:rsidRDefault="0066132C" w:rsidP="0066132C">
      <w:pPr>
        <w:spacing w:after="0" w:line="240" w:lineRule="auto"/>
        <w:ind w:left="708" w:right="-1" w:hanging="708"/>
        <w:rPr>
          <w:rFonts w:ascii="Palatino Linotype" w:hAnsi="Palatino Linotype" w:cs="Tahoma"/>
          <w:sz w:val="22"/>
          <w:szCs w:val="22"/>
        </w:rPr>
      </w:pPr>
      <w:r w:rsidRPr="00BA317F">
        <w:rPr>
          <w:rFonts w:ascii="Palatino Linotype" w:hAnsi="Palatino Linotype" w:cs="Tahoma"/>
          <w:sz w:val="22"/>
          <w:szCs w:val="22"/>
        </w:rPr>
        <w:t xml:space="preserve">Que, mediante </w:t>
      </w:r>
      <w:r w:rsidR="00080123" w:rsidRPr="00BA317F">
        <w:rPr>
          <w:rFonts w:ascii="Palatino Linotype" w:hAnsi="Palatino Linotype" w:cs="Tahoma"/>
          <w:sz w:val="22"/>
          <w:szCs w:val="22"/>
        </w:rPr>
        <w:t>informe legal contenido en el memorando</w:t>
      </w:r>
      <w:r w:rsidR="00080123" w:rsidRPr="00BA317F">
        <w:rPr>
          <w:rFonts w:ascii="Palatino Linotype" w:hAnsi="Palatino Linotype" w:cs="Tahoma"/>
          <w:b/>
          <w:bCs/>
          <w:color w:val="000000"/>
          <w:sz w:val="22"/>
          <w:szCs w:val="22"/>
        </w:rPr>
        <w:t xml:space="preserve"> </w:t>
      </w:r>
      <w:r w:rsidR="00080123" w:rsidRPr="00BA317F">
        <w:rPr>
          <w:rFonts w:ascii="Palatino Linotype" w:hAnsi="Palatino Linotype" w:cs="Tahoma"/>
          <w:bCs/>
          <w:color w:val="000000"/>
          <w:sz w:val="22"/>
          <w:szCs w:val="22"/>
        </w:rPr>
        <w:t>Nro. GADDMQ-AZQ-DAJ-2022-1058-M</w:t>
      </w:r>
      <w:r w:rsidR="00080123" w:rsidRPr="00BA317F">
        <w:rPr>
          <w:rFonts w:ascii="Palatino Linotype" w:hAnsi="Palatino Linotype" w:cs="Tahoma"/>
          <w:b/>
          <w:bCs/>
          <w:color w:val="000000"/>
          <w:sz w:val="22"/>
          <w:szCs w:val="22"/>
        </w:rPr>
        <w:t xml:space="preserve"> </w:t>
      </w:r>
      <w:r w:rsidR="00080123" w:rsidRPr="00BA317F">
        <w:rPr>
          <w:rFonts w:ascii="Palatino Linotype" w:hAnsi="Palatino Linotype" w:cs="Tahoma"/>
          <w:iCs/>
          <w:sz w:val="22"/>
          <w:szCs w:val="22"/>
        </w:rPr>
        <w:t xml:space="preserve">de 07 </w:t>
      </w:r>
      <w:r w:rsidR="00080123" w:rsidRPr="00BA317F">
        <w:rPr>
          <w:rFonts w:ascii="Palatino Linotype" w:hAnsi="Palatino Linotype" w:cs="Tahoma"/>
          <w:sz w:val="22"/>
          <w:szCs w:val="22"/>
        </w:rPr>
        <w:t xml:space="preserve">de octubre de </w:t>
      </w:r>
      <w:r w:rsidR="00080123" w:rsidRPr="00BA317F">
        <w:rPr>
          <w:rFonts w:ascii="Palatino Linotype" w:hAnsi="Palatino Linotype" w:cs="Tahoma"/>
          <w:iCs/>
          <w:sz w:val="22"/>
          <w:szCs w:val="22"/>
        </w:rPr>
        <w:t>2022</w:t>
      </w:r>
      <w:r w:rsidR="00080123" w:rsidRPr="00BA317F">
        <w:rPr>
          <w:rFonts w:ascii="Palatino Linotype" w:hAnsi="Palatino Linotype" w:cs="Tahoma"/>
          <w:sz w:val="22"/>
          <w:szCs w:val="22"/>
        </w:rPr>
        <w:t xml:space="preserve">, la Abg. Gabriela Villegas, Directora de Asesoría Jurídica de la Administración Zonal Quitumbe, </w:t>
      </w:r>
      <w:r w:rsidR="00F50F43" w:rsidRPr="00BA317F">
        <w:rPr>
          <w:rFonts w:ascii="Palatino Linotype" w:hAnsi="Palatino Linotype" w:cs="Tahoma"/>
          <w:sz w:val="22"/>
          <w:szCs w:val="22"/>
        </w:rPr>
        <w:t>señala</w:t>
      </w:r>
      <w:r w:rsidR="00080123" w:rsidRPr="00BA317F">
        <w:rPr>
          <w:rFonts w:ascii="Palatino Linotype" w:hAnsi="Palatino Linotype" w:cs="Tahoma"/>
          <w:sz w:val="22"/>
          <w:szCs w:val="22"/>
        </w:rPr>
        <w:t xml:space="preserve">: </w:t>
      </w:r>
    </w:p>
    <w:p w:rsidR="0017681E" w:rsidRPr="00BA317F" w:rsidRDefault="0017681E" w:rsidP="0066132C">
      <w:pPr>
        <w:spacing w:after="0" w:line="240" w:lineRule="auto"/>
        <w:ind w:left="708" w:right="-1" w:hanging="708"/>
        <w:rPr>
          <w:rFonts w:ascii="Palatino Linotype" w:hAnsi="Palatino Linotype" w:cs="Tahoma"/>
          <w:sz w:val="22"/>
          <w:szCs w:val="22"/>
        </w:rPr>
      </w:pPr>
    </w:p>
    <w:p w:rsidR="00080123" w:rsidRDefault="00080123" w:rsidP="00AD0921">
      <w:pPr>
        <w:spacing w:after="0" w:line="240" w:lineRule="auto"/>
        <w:ind w:left="708" w:right="-1"/>
        <w:rPr>
          <w:rFonts w:ascii="Palatino Linotype" w:hAnsi="Palatino Linotype" w:cs="Tahoma"/>
          <w:i/>
          <w:color w:val="222222"/>
          <w:sz w:val="22"/>
          <w:szCs w:val="22"/>
          <w:shd w:val="clear" w:color="auto" w:fill="FFFFFF"/>
        </w:rPr>
      </w:pPr>
      <w:r w:rsidRPr="00BA317F">
        <w:rPr>
          <w:rFonts w:ascii="Palatino Linotype" w:hAnsi="Palatino Linotype" w:cs="Tahoma"/>
          <w:i/>
          <w:sz w:val="22"/>
          <w:szCs w:val="22"/>
        </w:rPr>
        <w:t>“</w:t>
      </w:r>
      <w:r w:rsidR="0017681E" w:rsidRPr="00BA317F">
        <w:rPr>
          <w:rFonts w:ascii="Palatino Linotype" w:hAnsi="Palatino Linotype" w:cs="Tahoma"/>
          <w:i/>
          <w:sz w:val="22"/>
          <w:szCs w:val="22"/>
        </w:rPr>
        <w:t>(</w:t>
      </w:r>
      <w:r w:rsidRPr="00BA317F">
        <w:rPr>
          <w:rFonts w:ascii="Palatino Linotype" w:hAnsi="Palatino Linotype" w:cs="Tahoma"/>
          <w:i/>
          <w:sz w:val="22"/>
          <w:szCs w:val="22"/>
        </w:rPr>
        <w:t>…</w:t>
      </w:r>
      <w:r w:rsidR="0017681E" w:rsidRPr="00BA317F">
        <w:rPr>
          <w:rFonts w:ascii="Palatino Linotype" w:hAnsi="Palatino Linotype" w:cs="Tahoma"/>
          <w:i/>
          <w:sz w:val="22"/>
          <w:szCs w:val="22"/>
        </w:rPr>
        <w:t xml:space="preserve">) </w:t>
      </w:r>
      <w:r w:rsidRPr="00BA317F">
        <w:rPr>
          <w:rFonts w:ascii="Palatino Linotype" w:hAnsi="Palatino Linotype" w:cs="Tahoma"/>
          <w:i/>
          <w:color w:val="222222"/>
          <w:sz w:val="22"/>
          <w:szCs w:val="22"/>
          <w:shd w:val="clear" w:color="auto" w:fill="FFFFFF"/>
        </w:rPr>
        <w:t>en base al Informe Técnico Favorable Nro. AZQ-DGT-UTV-IT-2022-137 de fecha 12 de septiembre de 2022, suscrito por el Ing. Geovanny Yerovi, Técnico de la Unidad; y, la Ing. Ana Abarca, Responsable Zonal de la Unidad de Territorio y Vivienda, por tratarse de vías principales que conectan a los barrios altos de la Parroquia La Ecuatoriana,  esta </w:t>
      </w:r>
      <w:r w:rsidRPr="00BA317F">
        <w:rPr>
          <w:rStyle w:val="Textoennegrita"/>
          <w:rFonts w:ascii="Palatino Linotype" w:hAnsi="Palatino Linotype" w:cs="Tahoma"/>
          <w:i/>
          <w:color w:val="222222"/>
          <w:sz w:val="22"/>
          <w:szCs w:val="22"/>
        </w:rPr>
        <w:t>DIRECCIÓN DE ASESORÍA JURÍDICA EMITE INFORME LEGAL FAVORABLE </w:t>
      </w:r>
      <w:r w:rsidRPr="00BA317F">
        <w:rPr>
          <w:rFonts w:ascii="Palatino Linotype" w:hAnsi="Palatino Linotype" w:cs="Tahoma"/>
          <w:i/>
          <w:color w:val="222222"/>
          <w:sz w:val="22"/>
          <w:szCs w:val="22"/>
          <w:shd w:val="clear" w:color="auto" w:fill="FFFFFF"/>
        </w:rPr>
        <w:t>para la MODIFICATORIA DEL TRAZADO VIAL DE LA CALLE ROSARIO BORJA (S42) – TRAMO DESDE LA CALLE LUIS GARCIA (Oe13D)ABS 0+000 HASTA LA CALLE LUIS AYABACA (Oe14) ABS 0+240 Y MODIFICATORIA A LA TRAYECTORIA DEL TRAZADO VIAL DE LA CALLE LUIS GARCIA (Oe13D) – TRAMO DESDE LA ABS 0+000 HASTA LA CALLE LUIS AYABACA (S42J) ABS 0+188 – BARRIO/SECTOR: HUARCA</w:t>
      </w:r>
      <w:r w:rsidR="00AD0921" w:rsidRPr="00BA317F">
        <w:rPr>
          <w:rFonts w:ascii="Palatino Linotype" w:hAnsi="Palatino Linotype" w:cs="Tahoma"/>
          <w:i/>
          <w:color w:val="222222"/>
          <w:sz w:val="22"/>
          <w:szCs w:val="22"/>
          <w:shd w:val="clear" w:color="auto" w:fill="FFFFFF"/>
        </w:rPr>
        <w:t xml:space="preserve">Y – PARROQUIA LA ECUATORIANA”; </w:t>
      </w:r>
    </w:p>
    <w:p w:rsidR="00E06A53" w:rsidRPr="00BA317F" w:rsidRDefault="00E06A53" w:rsidP="00AD0921">
      <w:pPr>
        <w:spacing w:after="0" w:line="240" w:lineRule="auto"/>
        <w:ind w:left="708" w:right="-1"/>
        <w:rPr>
          <w:rFonts w:ascii="Palatino Linotype" w:hAnsi="Palatino Linotype" w:cs="Tahoma"/>
          <w:i/>
          <w:color w:val="222222"/>
          <w:sz w:val="22"/>
          <w:szCs w:val="22"/>
          <w:shd w:val="clear" w:color="auto" w:fill="FFFFFF"/>
        </w:rPr>
      </w:pPr>
    </w:p>
    <w:p w:rsidR="008C35C9" w:rsidRPr="00BA317F" w:rsidRDefault="008C35C9" w:rsidP="00A12F55">
      <w:pPr>
        <w:autoSpaceDE w:val="0"/>
        <w:autoSpaceDN w:val="0"/>
        <w:adjustRightInd w:val="0"/>
        <w:ind w:left="709" w:hanging="709"/>
        <w:rPr>
          <w:rFonts w:ascii="Palatino Linotype" w:hAnsi="Palatino Linotype" w:cs="Times New Roman"/>
          <w:sz w:val="22"/>
          <w:szCs w:val="22"/>
        </w:rPr>
      </w:pPr>
      <w:r w:rsidRPr="00BA317F">
        <w:rPr>
          <w:rFonts w:ascii="Palatino Linotype" w:hAnsi="Palatino Linotype" w:cs="Tahoma"/>
          <w:sz w:val="22"/>
          <w:szCs w:val="22"/>
        </w:rPr>
        <w:t xml:space="preserve">Que, </w:t>
      </w:r>
      <w:r w:rsidR="00CD44EA" w:rsidRPr="00BA317F">
        <w:rPr>
          <w:rFonts w:ascii="Palatino Linotype" w:hAnsi="Palatino Linotype" w:cs="Tahoma"/>
          <w:sz w:val="22"/>
          <w:szCs w:val="22"/>
        </w:rPr>
        <w:t xml:space="preserve">mediante oficio No. STHV-DMGT-2022-4516-O, de 21 de diciembre de 2022, </w:t>
      </w:r>
      <w:r w:rsidR="00AF475C" w:rsidRPr="00BA317F">
        <w:rPr>
          <w:rFonts w:ascii="Palatino Linotype" w:hAnsi="Palatino Linotype" w:cs="Tahoma"/>
          <w:sz w:val="22"/>
          <w:szCs w:val="22"/>
        </w:rPr>
        <w:t xml:space="preserve">el </w:t>
      </w:r>
      <w:r w:rsidR="00AF475C" w:rsidRPr="00BA317F">
        <w:rPr>
          <w:rFonts w:ascii="Palatino Linotype" w:hAnsi="Palatino Linotype" w:cs="Times New Roman"/>
          <w:sz w:val="22"/>
          <w:szCs w:val="22"/>
        </w:rPr>
        <w:t xml:space="preserve">Ing. Darío Vidal Gudiño Carvajal, Director Metropolitano de Gestión Territorial, señala: </w:t>
      </w:r>
    </w:p>
    <w:p w:rsidR="00AF475C" w:rsidRPr="00BA317F" w:rsidRDefault="00AF475C" w:rsidP="0070354B">
      <w:pPr>
        <w:autoSpaceDE w:val="0"/>
        <w:autoSpaceDN w:val="0"/>
        <w:adjustRightInd w:val="0"/>
        <w:spacing w:after="0" w:line="240" w:lineRule="auto"/>
        <w:ind w:left="708"/>
        <w:rPr>
          <w:rFonts w:ascii="Palatino Linotype" w:hAnsi="Palatino Linotype" w:cs="Tahoma"/>
          <w:i/>
          <w:sz w:val="22"/>
          <w:szCs w:val="22"/>
        </w:rPr>
      </w:pPr>
      <w:r w:rsidRPr="00BA317F">
        <w:rPr>
          <w:rFonts w:ascii="Palatino Linotype" w:hAnsi="Palatino Linotype" w:cs="Tahoma"/>
          <w:i/>
          <w:sz w:val="22"/>
          <w:szCs w:val="22"/>
        </w:rPr>
        <w:t>“(…)</w:t>
      </w:r>
      <w:r w:rsidR="00BC1EC8" w:rsidRPr="00BA317F">
        <w:rPr>
          <w:rFonts w:ascii="Palatino Linotype" w:hAnsi="Palatino Linotype" w:cs="Tahoma"/>
          <w:i/>
          <w:sz w:val="22"/>
          <w:szCs w:val="22"/>
        </w:rPr>
        <w:t xml:space="preserve"> </w:t>
      </w:r>
      <w:r w:rsidR="0070354B" w:rsidRPr="00BA317F">
        <w:rPr>
          <w:rFonts w:ascii="Palatino Linotype" w:hAnsi="Palatino Linotype" w:cs="Times New Roman"/>
          <w:i/>
          <w:sz w:val="22"/>
          <w:szCs w:val="22"/>
        </w:rPr>
        <w:t>Con base a los antecedentes, norma legal invocada y conclusiones, es criterio de la Dirección Metropolitana de Gestión Territorial de la Secretaría de Territorio, Hábitat y Vivienda, emitir CRIETRIO TÉCNICO FAVORABLE para la propuesta de MODIFICATORIA DEL TRAZADO VIAL DE LA CALLE ROSARIO BORJA (S42) - TRAMO DESDE LA CALLE LUIS GARCIA (Oe13D) ABS 0+000 HASTA LA CALLE LUIS AYABACA (Oe14) ABS 0+240 y MODIFICATORIA A LA TRAYECTORIA DEL TRAZADO VIAL DE LA CALLE LUIS GARCIA (Oe13D) - TRAMO DESDE LA ABS 0+000 HASTA LA CALLE LUIS AYABACA (S42J) ABS 0+188 - BARRIO/SECTOR: HUARCAY - PARROQUIA LA ECUATORIANA, toda vez que eso permitirá que la Empresa Pública Metropolitana de Movilidad y Obras Públicas EPMMOP, concluya los trabajos de pavimentación y esto ayudará a una mejor movilidad y calidad de vida para los moradores de este sector”.</w:t>
      </w:r>
    </w:p>
    <w:p w:rsidR="008C6B37" w:rsidRPr="00BA317F" w:rsidRDefault="008C6B37" w:rsidP="00A12F55">
      <w:pPr>
        <w:autoSpaceDE w:val="0"/>
        <w:autoSpaceDN w:val="0"/>
        <w:adjustRightInd w:val="0"/>
        <w:ind w:left="709" w:hanging="709"/>
        <w:rPr>
          <w:rFonts w:ascii="Palatino Linotype" w:hAnsi="Palatino Linotype" w:cs="Tahoma"/>
          <w:sz w:val="22"/>
          <w:szCs w:val="22"/>
        </w:rPr>
      </w:pPr>
    </w:p>
    <w:p w:rsidR="00615D5D" w:rsidRPr="00BA317F" w:rsidRDefault="00615D5D" w:rsidP="00615D5D">
      <w:pPr>
        <w:autoSpaceDE w:val="0"/>
        <w:autoSpaceDN w:val="0"/>
        <w:adjustRightInd w:val="0"/>
        <w:spacing w:after="0" w:line="240" w:lineRule="auto"/>
        <w:ind w:left="708" w:hanging="708"/>
        <w:rPr>
          <w:rFonts w:ascii="Palatino Linotype" w:hAnsi="Palatino Linotype" w:cs="Palatino Linotype,Italic"/>
          <w:i/>
          <w:iCs/>
          <w:sz w:val="22"/>
          <w:szCs w:val="22"/>
        </w:rPr>
      </w:pPr>
      <w:r w:rsidRPr="00BA317F">
        <w:rPr>
          <w:rFonts w:ascii="Palatino Linotype" w:hAnsi="Palatino Linotype" w:cs="Tahoma"/>
          <w:sz w:val="22"/>
          <w:szCs w:val="22"/>
        </w:rPr>
        <w:t xml:space="preserve">Que, </w:t>
      </w:r>
      <w:r w:rsidRPr="00BA317F">
        <w:rPr>
          <w:rFonts w:ascii="Palatino Linotype" w:hAnsi="Palatino Linotype" w:cs="Palatino Linotype"/>
          <w:sz w:val="22"/>
          <w:szCs w:val="22"/>
        </w:rPr>
        <w:t xml:space="preserve">el Concejo Metropolitano de Quito, durante la sesión No. 273 ordinaria realizada el martes, 07 de marzo de 2023, conoció en primer debate el proyecto de </w:t>
      </w:r>
      <w:r w:rsidRPr="00BA317F">
        <w:rPr>
          <w:rFonts w:ascii="Palatino Linotype" w:hAnsi="Palatino Linotype" w:cs="Palatino Linotype,Italic"/>
          <w:i/>
          <w:iCs/>
          <w:sz w:val="22"/>
          <w:szCs w:val="22"/>
        </w:rPr>
        <w:t xml:space="preserve">“Ordenanza para la modificatoria del trazado vial de la Calle Rosario Borja (S42) – </w:t>
      </w:r>
      <w:r w:rsidRPr="00BA317F">
        <w:rPr>
          <w:rFonts w:ascii="Palatino Linotype" w:hAnsi="Palatino Linotype" w:cs="Palatino Linotype,Italic"/>
          <w:i/>
          <w:iCs/>
          <w:sz w:val="22"/>
          <w:szCs w:val="22"/>
        </w:rPr>
        <w:lastRenderedPageBreak/>
        <w:t>tramo desde la Calle Luis García (Oe13d) ABS 0+000 hasta la Calle Luis Ayabaca (Oe14) Abs 0+240 y modificatoria a la trayectoria del trazado vial de la Calle Luis García (Oe13d) – tramo desde la ABS 0+000 hasta la Calle Luis Ayabaca (S42j) ABS 0+188 – Barrio/Sector: Huarcay – Parroquia La Ecuatoriana”</w:t>
      </w:r>
      <w:r w:rsidR="00FA4BD7" w:rsidRPr="00BA317F">
        <w:rPr>
          <w:rFonts w:ascii="Palatino Linotype" w:hAnsi="Palatino Linotype" w:cs="Palatino Linotype,Italic"/>
          <w:i/>
          <w:iCs/>
          <w:sz w:val="22"/>
          <w:szCs w:val="22"/>
        </w:rPr>
        <w:t>;</w:t>
      </w:r>
    </w:p>
    <w:p w:rsidR="00615D5D" w:rsidRPr="00BA317F" w:rsidRDefault="00615D5D" w:rsidP="00615D5D">
      <w:pPr>
        <w:autoSpaceDE w:val="0"/>
        <w:autoSpaceDN w:val="0"/>
        <w:adjustRightInd w:val="0"/>
        <w:spacing w:after="0" w:line="240" w:lineRule="auto"/>
        <w:ind w:left="708" w:hanging="708"/>
        <w:rPr>
          <w:rFonts w:ascii="Palatino Linotype" w:hAnsi="Palatino Linotype" w:cs="Tahoma"/>
          <w:sz w:val="22"/>
          <w:szCs w:val="22"/>
        </w:rPr>
      </w:pPr>
    </w:p>
    <w:p w:rsidR="00A12F55" w:rsidRPr="00BA317F" w:rsidRDefault="00A12F55" w:rsidP="004F5A4B">
      <w:pPr>
        <w:autoSpaceDE w:val="0"/>
        <w:autoSpaceDN w:val="0"/>
        <w:adjustRightInd w:val="0"/>
        <w:spacing w:after="0" w:line="240" w:lineRule="auto"/>
        <w:ind w:left="708" w:hanging="708"/>
        <w:rPr>
          <w:rFonts w:ascii="Palatino Linotype" w:hAnsi="Palatino Linotype" w:cs="Tahoma"/>
          <w:sz w:val="22"/>
          <w:szCs w:val="22"/>
        </w:rPr>
      </w:pPr>
      <w:r w:rsidRPr="00BA317F">
        <w:rPr>
          <w:rFonts w:ascii="Palatino Linotype" w:hAnsi="Palatino Linotype" w:cs="Tahoma"/>
          <w:sz w:val="22"/>
          <w:szCs w:val="22"/>
        </w:rPr>
        <w:t xml:space="preserve">Que, </w:t>
      </w:r>
      <w:r w:rsidRPr="00BA317F">
        <w:rPr>
          <w:rFonts w:ascii="Palatino Linotype" w:hAnsi="Palatino Linotype" w:cs="Tahoma"/>
          <w:sz w:val="22"/>
          <w:szCs w:val="22"/>
        </w:rPr>
        <w:tab/>
      </w:r>
      <w:r w:rsidR="004F5A4B" w:rsidRPr="00BA317F">
        <w:rPr>
          <w:rFonts w:ascii="Palatino Linotype" w:hAnsi="Palatino Linotype" w:cs="Palatino Linotype"/>
          <w:sz w:val="22"/>
          <w:szCs w:val="22"/>
        </w:rPr>
        <w:t xml:space="preserve">la Comisión de Uso de Suelo en la sesión Nro. 197 - Ordinaria, de 13 de marzo de 2023, analizó el expediente relacionado con el proyecto de </w:t>
      </w:r>
      <w:r w:rsidR="004F5A4B" w:rsidRPr="00BA317F">
        <w:rPr>
          <w:rFonts w:ascii="Palatino Linotype" w:hAnsi="Palatino Linotype" w:cs="Palatino Linotype,Italic"/>
          <w:i/>
          <w:iCs/>
          <w:sz w:val="22"/>
          <w:szCs w:val="22"/>
        </w:rPr>
        <w:t>"Ordenanza para la modificatoria del trazado vial de la Calle Rosario Borja (S42) – tramo desde la Calle Luis García (Oe13d) ABS 0+000 hasta la Calle Luis Ayabaca (Oe14) Abs 0+240 y modificatoria a la trayectoria del trazado vial de la Calle Luis García (Oe13d) – tramo desde la ABS 0+000 hasta la Calle Luis Ayabaca (S42J) Abs 0+188 – barrio / sector: Huarcay - Parroquia la Ecuatoriana",</w:t>
      </w:r>
      <w:r w:rsidR="004F5A4B" w:rsidRPr="00BA317F">
        <w:rPr>
          <w:rFonts w:ascii="Palatino Linotype" w:hAnsi="Palatino Linotype" w:cs="Tahoma"/>
          <w:sz w:val="22"/>
          <w:szCs w:val="22"/>
        </w:rPr>
        <w:t xml:space="preserve"> y emitió dictamen para conocimiento y aprobación del Concejo Metropolitano de Quito</w:t>
      </w:r>
      <w:r w:rsidRPr="00BA317F">
        <w:rPr>
          <w:rFonts w:ascii="Palatino Linotype" w:hAnsi="Palatino Linotype" w:cs="Tahoma"/>
          <w:sz w:val="22"/>
          <w:szCs w:val="22"/>
        </w:rPr>
        <w:t xml:space="preserve">; </w:t>
      </w:r>
    </w:p>
    <w:p w:rsidR="004F5A4B" w:rsidRPr="00BA317F" w:rsidRDefault="004F5A4B" w:rsidP="004F5A4B">
      <w:pPr>
        <w:autoSpaceDE w:val="0"/>
        <w:autoSpaceDN w:val="0"/>
        <w:adjustRightInd w:val="0"/>
        <w:spacing w:after="0" w:line="240" w:lineRule="auto"/>
        <w:rPr>
          <w:rFonts w:ascii="Palatino Linotype" w:hAnsi="Palatino Linotype" w:cs="Tahoma"/>
          <w:sz w:val="22"/>
          <w:szCs w:val="22"/>
        </w:rPr>
      </w:pPr>
    </w:p>
    <w:p w:rsidR="00A12F55" w:rsidRPr="00BA317F" w:rsidRDefault="00A12F55" w:rsidP="00A12F55">
      <w:pPr>
        <w:autoSpaceDE w:val="0"/>
        <w:autoSpaceDN w:val="0"/>
        <w:adjustRightInd w:val="0"/>
        <w:spacing w:after="0" w:line="240" w:lineRule="auto"/>
        <w:ind w:left="709" w:hanging="709"/>
        <w:rPr>
          <w:rFonts w:ascii="Palatino Linotype" w:hAnsi="Palatino Linotype" w:cs="Tahoma"/>
          <w:sz w:val="22"/>
          <w:szCs w:val="22"/>
        </w:rPr>
      </w:pPr>
      <w:r w:rsidRPr="00BA317F">
        <w:rPr>
          <w:rFonts w:ascii="Palatino Linotype" w:hAnsi="Palatino Linotype" w:cs="Tahoma"/>
          <w:sz w:val="22"/>
          <w:szCs w:val="22"/>
        </w:rPr>
        <w:t>Que, el Concejo Metropolitano de Quito, en sesión pública ordinaria realizada el … de … de …, analizó el informe No</w:t>
      </w:r>
      <w:r w:rsidR="00473D2B" w:rsidRPr="00BA317F">
        <w:rPr>
          <w:rFonts w:ascii="Palatino Linotype" w:hAnsi="Palatino Linotype" w:cs="Tahoma"/>
          <w:sz w:val="22"/>
          <w:szCs w:val="22"/>
        </w:rPr>
        <w:t xml:space="preserve"> IC-O-2023-006, </w:t>
      </w:r>
      <w:r w:rsidRPr="00BA317F">
        <w:rPr>
          <w:rFonts w:ascii="Palatino Linotype" w:hAnsi="Palatino Linotype" w:cs="Tahoma"/>
          <w:sz w:val="22"/>
          <w:szCs w:val="22"/>
        </w:rPr>
        <w:t>emitido por la Comisión de Uso de Suelo; y,</w:t>
      </w:r>
    </w:p>
    <w:p w:rsidR="00A12F55" w:rsidRPr="00BA317F" w:rsidRDefault="00A12F55" w:rsidP="00A12F55">
      <w:pPr>
        <w:autoSpaceDE w:val="0"/>
        <w:autoSpaceDN w:val="0"/>
        <w:adjustRightInd w:val="0"/>
        <w:spacing w:after="0" w:line="240" w:lineRule="auto"/>
        <w:ind w:left="709" w:hanging="709"/>
        <w:rPr>
          <w:rFonts w:ascii="Palatino Linotype" w:hAnsi="Palatino Linotype" w:cs="Tahoma"/>
          <w:sz w:val="22"/>
          <w:szCs w:val="22"/>
        </w:rPr>
      </w:pPr>
    </w:p>
    <w:p w:rsidR="00A12F55" w:rsidRPr="00BA317F" w:rsidRDefault="00A12F55" w:rsidP="00A12F55">
      <w:pPr>
        <w:autoSpaceDE w:val="0"/>
        <w:autoSpaceDN w:val="0"/>
        <w:adjustRightInd w:val="0"/>
        <w:spacing w:after="0" w:line="240" w:lineRule="auto"/>
        <w:rPr>
          <w:rFonts w:ascii="Palatino Linotype" w:hAnsi="Palatino Linotype" w:cs="Tahoma"/>
          <w:b/>
          <w:bCs/>
          <w:sz w:val="22"/>
          <w:szCs w:val="22"/>
        </w:rPr>
      </w:pPr>
      <w:r w:rsidRPr="00BA317F">
        <w:rPr>
          <w:rFonts w:ascii="Palatino Linotype" w:hAnsi="Palatino Linotype" w:cs="Tahoma"/>
          <w:b/>
          <w:bCs/>
          <w:sz w:val="22"/>
          <w:szCs w:val="22"/>
        </w:rPr>
        <w:t>En ejercicio de sus atribuciones previstas en el artículo 240 de la Constitución de la República y artículos 87 letra a); y, 323 del Código Orgánico de Organización Territorial, Autonomía y Descentralización,</w:t>
      </w:r>
    </w:p>
    <w:p w:rsidR="00A12F55" w:rsidRPr="00BA317F" w:rsidRDefault="00A12F55" w:rsidP="00A12F55">
      <w:pPr>
        <w:autoSpaceDE w:val="0"/>
        <w:autoSpaceDN w:val="0"/>
        <w:adjustRightInd w:val="0"/>
        <w:spacing w:after="0" w:line="240" w:lineRule="auto"/>
        <w:rPr>
          <w:rFonts w:ascii="Palatino Linotype" w:hAnsi="Palatino Linotype" w:cs="Tahoma"/>
          <w:b/>
          <w:bCs/>
          <w:sz w:val="22"/>
          <w:szCs w:val="22"/>
        </w:rPr>
      </w:pPr>
    </w:p>
    <w:p w:rsidR="00A12F55" w:rsidRPr="00BA317F" w:rsidRDefault="00D01797" w:rsidP="00A12F55">
      <w:pPr>
        <w:autoSpaceDE w:val="0"/>
        <w:autoSpaceDN w:val="0"/>
        <w:adjustRightInd w:val="0"/>
        <w:spacing w:after="0" w:line="240" w:lineRule="auto"/>
        <w:rPr>
          <w:rFonts w:ascii="Palatino Linotype" w:hAnsi="Palatino Linotype" w:cs="Tahoma"/>
          <w:b/>
          <w:bCs/>
          <w:sz w:val="22"/>
          <w:szCs w:val="22"/>
        </w:rPr>
      </w:pPr>
      <w:r>
        <w:rPr>
          <w:rFonts w:ascii="Palatino Linotype" w:hAnsi="Palatino Linotype" w:cs="Tahoma"/>
          <w:b/>
          <w:bCs/>
          <w:sz w:val="22"/>
          <w:szCs w:val="22"/>
        </w:rPr>
        <w:tab/>
      </w:r>
      <w:r>
        <w:rPr>
          <w:rFonts w:ascii="Palatino Linotype" w:hAnsi="Palatino Linotype" w:cs="Tahoma"/>
          <w:b/>
          <w:bCs/>
          <w:sz w:val="22"/>
          <w:szCs w:val="22"/>
        </w:rPr>
        <w:tab/>
      </w:r>
      <w:r>
        <w:rPr>
          <w:rFonts w:ascii="Palatino Linotype" w:hAnsi="Palatino Linotype" w:cs="Tahoma"/>
          <w:b/>
          <w:bCs/>
          <w:sz w:val="22"/>
          <w:szCs w:val="22"/>
        </w:rPr>
        <w:tab/>
      </w:r>
      <w:r>
        <w:rPr>
          <w:rFonts w:ascii="Palatino Linotype" w:hAnsi="Palatino Linotype" w:cs="Tahoma"/>
          <w:b/>
          <w:bCs/>
          <w:sz w:val="22"/>
          <w:szCs w:val="22"/>
        </w:rPr>
        <w:tab/>
        <w:t xml:space="preserve">EXPIDE </w:t>
      </w:r>
      <w:r w:rsidR="00A12F55" w:rsidRPr="00BA317F">
        <w:rPr>
          <w:rFonts w:ascii="Palatino Linotype" w:hAnsi="Palatino Linotype" w:cs="Tahoma"/>
          <w:b/>
          <w:bCs/>
          <w:sz w:val="22"/>
          <w:szCs w:val="22"/>
        </w:rPr>
        <w:t>LA SIGUIENTE</w:t>
      </w:r>
    </w:p>
    <w:p w:rsidR="00A12F55" w:rsidRPr="00BA317F" w:rsidRDefault="00A12F55" w:rsidP="00A12F55">
      <w:pPr>
        <w:autoSpaceDE w:val="0"/>
        <w:autoSpaceDN w:val="0"/>
        <w:adjustRightInd w:val="0"/>
        <w:spacing w:after="0" w:line="240" w:lineRule="auto"/>
        <w:rPr>
          <w:rFonts w:ascii="Palatino Linotype" w:hAnsi="Palatino Linotype" w:cs="Tahoma"/>
          <w:b/>
          <w:bCs/>
          <w:sz w:val="22"/>
          <w:szCs w:val="22"/>
        </w:rPr>
      </w:pPr>
    </w:p>
    <w:p w:rsidR="00A12F55" w:rsidRPr="00BA317F" w:rsidRDefault="00A12F55" w:rsidP="00A12F55">
      <w:pPr>
        <w:autoSpaceDE w:val="0"/>
        <w:autoSpaceDN w:val="0"/>
        <w:adjustRightInd w:val="0"/>
        <w:spacing w:after="0" w:line="240" w:lineRule="auto"/>
        <w:rPr>
          <w:rFonts w:ascii="Palatino Linotype" w:hAnsi="Palatino Linotype" w:cs="Tahoma"/>
          <w:b/>
          <w:bCs/>
          <w:sz w:val="22"/>
          <w:szCs w:val="22"/>
        </w:rPr>
      </w:pPr>
      <w:r w:rsidRPr="00BA317F">
        <w:rPr>
          <w:rFonts w:ascii="Palatino Linotype" w:hAnsi="Palatino Linotype" w:cs="Tahoma"/>
          <w:b/>
          <w:bCs/>
          <w:sz w:val="22"/>
          <w:szCs w:val="22"/>
        </w:rPr>
        <w:t xml:space="preserve">ORDENANZA PARA LA </w:t>
      </w:r>
      <w:r w:rsidR="004B32A9" w:rsidRPr="00BA317F">
        <w:rPr>
          <w:rFonts w:ascii="Palatino Linotype" w:hAnsi="Palatino Linotype" w:cs="Tahoma"/>
          <w:b/>
          <w:color w:val="222222"/>
          <w:sz w:val="22"/>
          <w:szCs w:val="22"/>
          <w:shd w:val="clear" w:color="auto" w:fill="FFFFFF"/>
        </w:rPr>
        <w:t>MODIFICATORIA DEL TRAZADO VIAL DE LA CALLE ROSARIO BORJA (S42) – TRAMO DESDE LA CALLE LUIS GARCIA (Oe13D) ABS 0+000 HASTA LA CALLE LUIS AYABACA (Oe14) ABS 0+240 Y MODIFICATORIA A LA TRAYECTORIA DEL TRAZADO VIAL DE LA CALLE LUIS GARCIA (Oe13D) – TRAMO DESDE LA ABS 0+000 HASTA LA CALLE LUIS AYABACA (S42J) ABS 0+188 – BARRIO/SECTOR: HUARCAY – PARROQUIA LA ECUATORIANA</w:t>
      </w:r>
    </w:p>
    <w:p w:rsidR="00A12F55" w:rsidRPr="00BA317F" w:rsidRDefault="00A12F55" w:rsidP="00A12F55">
      <w:pPr>
        <w:autoSpaceDE w:val="0"/>
        <w:autoSpaceDN w:val="0"/>
        <w:adjustRightInd w:val="0"/>
        <w:spacing w:after="0" w:line="240" w:lineRule="auto"/>
        <w:rPr>
          <w:rFonts w:ascii="Palatino Linotype" w:hAnsi="Palatino Linotype" w:cs="Tahoma"/>
          <w:b/>
          <w:bCs/>
          <w:sz w:val="22"/>
          <w:szCs w:val="22"/>
        </w:rPr>
      </w:pPr>
    </w:p>
    <w:p w:rsidR="00A12F55" w:rsidRPr="00041AAA" w:rsidRDefault="00A12F55" w:rsidP="00A12F55">
      <w:pPr>
        <w:autoSpaceDE w:val="0"/>
        <w:autoSpaceDN w:val="0"/>
        <w:adjustRightInd w:val="0"/>
        <w:spacing w:after="0" w:line="240" w:lineRule="auto"/>
        <w:rPr>
          <w:rFonts w:ascii="Palatino Linotype" w:hAnsi="Palatino Linotype" w:cs="Tahoma"/>
          <w:bCs/>
          <w:sz w:val="22"/>
          <w:szCs w:val="22"/>
        </w:rPr>
      </w:pPr>
      <w:r w:rsidRPr="00F924B5">
        <w:rPr>
          <w:rFonts w:ascii="Palatino Linotype" w:hAnsi="Palatino Linotype" w:cs="Tahoma"/>
          <w:b/>
          <w:bCs/>
          <w:sz w:val="22"/>
          <w:szCs w:val="22"/>
        </w:rPr>
        <w:t>Artículo 1.-</w:t>
      </w:r>
      <w:r w:rsidRPr="00041AAA">
        <w:rPr>
          <w:rFonts w:ascii="Palatino Linotype" w:hAnsi="Palatino Linotype" w:cs="Tahoma"/>
          <w:bCs/>
          <w:sz w:val="22"/>
          <w:szCs w:val="22"/>
        </w:rPr>
        <w:t xml:space="preserve"> </w:t>
      </w:r>
      <w:r w:rsidR="00DA5989">
        <w:rPr>
          <w:rFonts w:ascii="Palatino Linotype" w:hAnsi="Palatino Linotype" w:cs="Tahoma"/>
          <w:bCs/>
          <w:sz w:val="22"/>
          <w:szCs w:val="22"/>
        </w:rPr>
        <w:t>Apruébese la m</w:t>
      </w:r>
      <w:r w:rsidR="00C0518A" w:rsidRPr="00041AAA">
        <w:rPr>
          <w:rFonts w:ascii="Palatino Linotype" w:hAnsi="Palatino Linotype" w:cs="Tahoma"/>
          <w:bCs/>
          <w:sz w:val="22"/>
          <w:szCs w:val="22"/>
        </w:rPr>
        <w:t xml:space="preserve">odificatoria de trazado vial acorde a su trayectoria, </w:t>
      </w:r>
      <w:r w:rsidR="0027216C">
        <w:rPr>
          <w:rFonts w:ascii="Palatino Linotype" w:hAnsi="Palatino Linotype" w:cs="Tahoma"/>
          <w:bCs/>
          <w:sz w:val="22"/>
          <w:szCs w:val="22"/>
        </w:rPr>
        <w:t>de acuerdo a las siguientes especificaciones técnicas</w:t>
      </w:r>
      <w:r w:rsidRPr="00041AAA">
        <w:rPr>
          <w:rFonts w:ascii="Palatino Linotype" w:hAnsi="Palatino Linotype" w:cs="Tahoma"/>
          <w:bCs/>
          <w:sz w:val="22"/>
          <w:szCs w:val="22"/>
        </w:rPr>
        <w:t>:</w:t>
      </w:r>
    </w:p>
    <w:p w:rsidR="00A12F55" w:rsidRPr="00BA317F" w:rsidRDefault="00A12F55" w:rsidP="00A12F55">
      <w:pPr>
        <w:autoSpaceDE w:val="0"/>
        <w:autoSpaceDN w:val="0"/>
        <w:adjustRightInd w:val="0"/>
        <w:spacing w:after="0" w:line="240" w:lineRule="auto"/>
        <w:rPr>
          <w:rFonts w:ascii="Palatino Linotype" w:hAnsi="Palatino Linotype" w:cs="Tahoma"/>
          <w:sz w:val="22"/>
          <w:szCs w:val="22"/>
          <w:highlight w:val="yellow"/>
        </w:rPr>
      </w:pPr>
    </w:p>
    <w:p w:rsidR="00770620" w:rsidRPr="00BA317F" w:rsidRDefault="00770620" w:rsidP="00770620">
      <w:pPr>
        <w:autoSpaceDE w:val="0"/>
        <w:autoSpaceDN w:val="0"/>
        <w:adjustRightInd w:val="0"/>
        <w:rPr>
          <w:rFonts w:ascii="Palatino Linotype" w:hAnsi="Palatino Linotype" w:cs="Tahoma"/>
          <w:b/>
          <w:sz w:val="22"/>
          <w:szCs w:val="22"/>
        </w:rPr>
      </w:pPr>
      <w:r w:rsidRPr="00BA317F">
        <w:rPr>
          <w:rFonts w:ascii="Palatino Linotype" w:hAnsi="Palatino Linotype" w:cs="Tahoma"/>
          <w:b/>
          <w:sz w:val="22"/>
          <w:szCs w:val="22"/>
        </w:rPr>
        <w:t xml:space="preserve">1.- Sección transversal propuesta por la Empresa Publica Metropolitana de Movilidad y Obras Públicas de la calle Rosario Borja (S42) – tramo desde la calle Luis García abscisa 0+000 hasta la calle Luis Ayabaca (Oe14) abscisa 0+240. </w:t>
      </w:r>
    </w:p>
    <w:p w:rsidR="00F47547" w:rsidRPr="00BA317F" w:rsidRDefault="00770620" w:rsidP="00A12F55">
      <w:pPr>
        <w:autoSpaceDE w:val="0"/>
        <w:autoSpaceDN w:val="0"/>
        <w:adjustRightInd w:val="0"/>
        <w:spacing w:after="0" w:line="240" w:lineRule="auto"/>
        <w:rPr>
          <w:rFonts w:ascii="Palatino Linotype" w:hAnsi="Palatino Linotype" w:cs="Tahoma"/>
          <w:sz w:val="22"/>
          <w:szCs w:val="22"/>
        </w:rPr>
      </w:pPr>
      <w:r w:rsidRPr="00BA317F">
        <w:rPr>
          <w:rFonts w:ascii="Palatino Linotype" w:hAnsi="Palatino Linotype" w:cs="Tahoma"/>
          <w:sz w:val="22"/>
          <w:szCs w:val="22"/>
        </w:rPr>
        <w:t xml:space="preserve">Sección transversal total: 10.00 metros </w:t>
      </w:r>
    </w:p>
    <w:p w:rsidR="00F47547" w:rsidRPr="00BA317F" w:rsidRDefault="00770620" w:rsidP="00A12F55">
      <w:pPr>
        <w:autoSpaceDE w:val="0"/>
        <w:autoSpaceDN w:val="0"/>
        <w:adjustRightInd w:val="0"/>
        <w:spacing w:after="0" w:line="240" w:lineRule="auto"/>
        <w:rPr>
          <w:rFonts w:ascii="Palatino Linotype" w:hAnsi="Palatino Linotype" w:cs="Tahoma"/>
          <w:sz w:val="22"/>
          <w:szCs w:val="22"/>
        </w:rPr>
      </w:pPr>
      <w:r w:rsidRPr="00BA317F">
        <w:rPr>
          <w:rFonts w:ascii="Palatino Linotype" w:hAnsi="Palatino Linotype" w:cs="Tahoma"/>
          <w:sz w:val="22"/>
          <w:szCs w:val="22"/>
        </w:rPr>
        <w:t xml:space="preserve">Calzada: 7.00 metros </w:t>
      </w:r>
    </w:p>
    <w:p w:rsidR="00F47547" w:rsidRPr="00BA317F" w:rsidRDefault="00770620" w:rsidP="00A12F55">
      <w:pPr>
        <w:autoSpaceDE w:val="0"/>
        <w:autoSpaceDN w:val="0"/>
        <w:adjustRightInd w:val="0"/>
        <w:spacing w:after="0" w:line="240" w:lineRule="auto"/>
        <w:rPr>
          <w:rFonts w:ascii="Palatino Linotype" w:hAnsi="Palatino Linotype" w:cs="Tahoma"/>
          <w:sz w:val="22"/>
          <w:szCs w:val="22"/>
        </w:rPr>
      </w:pPr>
      <w:r w:rsidRPr="00BA317F">
        <w:rPr>
          <w:rFonts w:ascii="Palatino Linotype" w:hAnsi="Palatino Linotype" w:cs="Tahoma"/>
          <w:sz w:val="22"/>
          <w:szCs w:val="22"/>
        </w:rPr>
        <w:t xml:space="preserve">Acera oriente: 1.50 metros </w:t>
      </w:r>
    </w:p>
    <w:p w:rsidR="00A12F55" w:rsidRPr="00BA317F" w:rsidRDefault="00770620" w:rsidP="00A12F55">
      <w:pPr>
        <w:autoSpaceDE w:val="0"/>
        <w:autoSpaceDN w:val="0"/>
        <w:adjustRightInd w:val="0"/>
        <w:spacing w:after="0" w:line="240" w:lineRule="auto"/>
        <w:rPr>
          <w:rFonts w:ascii="Palatino Linotype" w:hAnsi="Palatino Linotype" w:cs="Tahoma"/>
          <w:sz w:val="22"/>
          <w:szCs w:val="22"/>
        </w:rPr>
      </w:pPr>
      <w:r w:rsidRPr="00BA317F">
        <w:rPr>
          <w:rFonts w:ascii="Palatino Linotype" w:hAnsi="Palatino Linotype" w:cs="Tahoma"/>
          <w:sz w:val="22"/>
          <w:szCs w:val="22"/>
        </w:rPr>
        <w:t>Acera occidente: 1.50 metros</w:t>
      </w:r>
    </w:p>
    <w:p w:rsidR="00F47547" w:rsidRPr="00BA317F" w:rsidRDefault="00F47547" w:rsidP="00A12F55">
      <w:pPr>
        <w:autoSpaceDE w:val="0"/>
        <w:autoSpaceDN w:val="0"/>
        <w:adjustRightInd w:val="0"/>
        <w:spacing w:after="0" w:line="240" w:lineRule="auto"/>
        <w:rPr>
          <w:rFonts w:ascii="Palatino Linotype" w:hAnsi="Palatino Linotype" w:cs="Tahoma"/>
          <w:b/>
          <w:bCs/>
          <w:sz w:val="22"/>
          <w:szCs w:val="22"/>
        </w:rPr>
      </w:pPr>
    </w:p>
    <w:p w:rsidR="00A12F55" w:rsidRPr="00BA317F" w:rsidRDefault="00F47547" w:rsidP="00A12F55">
      <w:pPr>
        <w:autoSpaceDE w:val="0"/>
        <w:autoSpaceDN w:val="0"/>
        <w:adjustRightInd w:val="0"/>
        <w:spacing w:after="0" w:line="240" w:lineRule="auto"/>
        <w:rPr>
          <w:rFonts w:ascii="Palatino Linotype" w:hAnsi="Palatino Linotype" w:cs="Tahoma"/>
          <w:b/>
          <w:sz w:val="22"/>
          <w:szCs w:val="22"/>
        </w:rPr>
      </w:pPr>
      <w:r w:rsidRPr="00BA317F">
        <w:rPr>
          <w:rFonts w:ascii="Palatino Linotype" w:hAnsi="Palatino Linotype" w:cs="Tahoma"/>
          <w:b/>
          <w:bCs/>
          <w:sz w:val="22"/>
          <w:szCs w:val="22"/>
        </w:rPr>
        <w:t xml:space="preserve">2.- </w:t>
      </w:r>
      <w:r w:rsidRPr="00BA317F">
        <w:rPr>
          <w:rFonts w:ascii="Palatino Linotype" w:hAnsi="Palatino Linotype" w:cs="Tahoma"/>
          <w:b/>
          <w:sz w:val="22"/>
          <w:szCs w:val="22"/>
        </w:rPr>
        <w:t xml:space="preserve">Sección transversal propuesta por la Empresa </w:t>
      </w:r>
      <w:r w:rsidR="001E533D" w:rsidRPr="00BA317F">
        <w:rPr>
          <w:rFonts w:ascii="Palatino Linotype" w:hAnsi="Palatino Linotype" w:cs="Tahoma"/>
          <w:b/>
          <w:sz w:val="22"/>
          <w:szCs w:val="22"/>
        </w:rPr>
        <w:t>Pública</w:t>
      </w:r>
      <w:r w:rsidRPr="00BA317F">
        <w:rPr>
          <w:rFonts w:ascii="Palatino Linotype" w:hAnsi="Palatino Linotype" w:cs="Tahoma"/>
          <w:b/>
          <w:sz w:val="22"/>
          <w:szCs w:val="22"/>
        </w:rPr>
        <w:t xml:space="preserve"> Metropolitana de Movilidad y Obras Públicas de la calle Luis García (Oe13D) – tramo desde la abscisa 0+000 hasta la calle Luis Ayabaca (S42J) abscisa 0+240.</w:t>
      </w:r>
    </w:p>
    <w:p w:rsidR="00F47547" w:rsidRPr="00BA317F" w:rsidRDefault="00F47547" w:rsidP="00A12F55">
      <w:pPr>
        <w:autoSpaceDE w:val="0"/>
        <w:autoSpaceDN w:val="0"/>
        <w:adjustRightInd w:val="0"/>
        <w:spacing w:after="0" w:line="240" w:lineRule="auto"/>
        <w:rPr>
          <w:rFonts w:ascii="Palatino Linotype" w:hAnsi="Palatino Linotype" w:cs="Tahoma"/>
          <w:sz w:val="22"/>
          <w:szCs w:val="22"/>
        </w:rPr>
      </w:pPr>
    </w:p>
    <w:p w:rsidR="00F47547" w:rsidRPr="00BA317F" w:rsidRDefault="00F47547" w:rsidP="00A12F55">
      <w:pPr>
        <w:autoSpaceDE w:val="0"/>
        <w:autoSpaceDN w:val="0"/>
        <w:adjustRightInd w:val="0"/>
        <w:spacing w:after="0" w:line="240" w:lineRule="auto"/>
        <w:rPr>
          <w:rFonts w:ascii="Palatino Linotype" w:hAnsi="Palatino Linotype" w:cs="Tahoma"/>
          <w:sz w:val="22"/>
          <w:szCs w:val="22"/>
        </w:rPr>
      </w:pPr>
      <w:r w:rsidRPr="00BA317F">
        <w:rPr>
          <w:rFonts w:ascii="Palatino Linotype" w:hAnsi="Palatino Linotype" w:cs="Tahoma"/>
          <w:sz w:val="22"/>
          <w:szCs w:val="22"/>
        </w:rPr>
        <w:lastRenderedPageBreak/>
        <w:t xml:space="preserve">Sección transversal total: 12.00 metros </w:t>
      </w:r>
    </w:p>
    <w:p w:rsidR="00F47547" w:rsidRPr="00BA317F" w:rsidRDefault="00F47547" w:rsidP="00A12F55">
      <w:pPr>
        <w:autoSpaceDE w:val="0"/>
        <w:autoSpaceDN w:val="0"/>
        <w:adjustRightInd w:val="0"/>
        <w:spacing w:after="0" w:line="240" w:lineRule="auto"/>
        <w:rPr>
          <w:rFonts w:ascii="Palatino Linotype" w:hAnsi="Palatino Linotype" w:cs="Tahoma"/>
          <w:sz w:val="22"/>
          <w:szCs w:val="22"/>
        </w:rPr>
      </w:pPr>
      <w:r w:rsidRPr="00BA317F">
        <w:rPr>
          <w:rFonts w:ascii="Palatino Linotype" w:hAnsi="Palatino Linotype" w:cs="Tahoma"/>
          <w:sz w:val="22"/>
          <w:szCs w:val="22"/>
        </w:rPr>
        <w:t>Calzada: 9.00 metros</w:t>
      </w:r>
    </w:p>
    <w:p w:rsidR="00F47547" w:rsidRPr="00BA317F" w:rsidRDefault="00F47547" w:rsidP="00A12F55">
      <w:pPr>
        <w:autoSpaceDE w:val="0"/>
        <w:autoSpaceDN w:val="0"/>
        <w:adjustRightInd w:val="0"/>
        <w:spacing w:after="0" w:line="240" w:lineRule="auto"/>
        <w:rPr>
          <w:rFonts w:ascii="Palatino Linotype" w:hAnsi="Palatino Linotype" w:cs="Tahoma"/>
          <w:sz w:val="22"/>
          <w:szCs w:val="22"/>
        </w:rPr>
      </w:pPr>
      <w:r w:rsidRPr="00BA317F">
        <w:rPr>
          <w:rFonts w:ascii="Palatino Linotype" w:hAnsi="Palatino Linotype" w:cs="Tahoma"/>
          <w:sz w:val="22"/>
          <w:szCs w:val="22"/>
        </w:rPr>
        <w:t xml:space="preserve"> Acera norte: 1.50 metros</w:t>
      </w:r>
    </w:p>
    <w:p w:rsidR="00A12F55" w:rsidRPr="00BA317F" w:rsidRDefault="00F47547" w:rsidP="00A12F55">
      <w:pPr>
        <w:autoSpaceDE w:val="0"/>
        <w:autoSpaceDN w:val="0"/>
        <w:adjustRightInd w:val="0"/>
        <w:spacing w:after="0" w:line="240" w:lineRule="auto"/>
        <w:rPr>
          <w:rFonts w:ascii="Palatino Linotype" w:hAnsi="Palatino Linotype" w:cs="Tahoma"/>
          <w:sz w:val="22"/>
          <w:szCs w:val="22"/>
        </w:rPr>
      </w:pPr>
      <w:r w:rsidRPr="00BA317F">
        <w:rPr>
          <w:rFonts w:ascii="Palatino Linotype" w:hAnsi="Palatino Linotype" w:cs="Tahoma"/>
          <w:sz w:val="22"/>
          <w:szCs w:val="22"/>
        </w:rPr>
        <w:t xml:space="preserve"> Acera sur: 1.50 metros</w:t>
      </w:r>
    </w:p>
    <w:p w:rsidR="00F47547" w:rsidRPr="00BA317F" w:rsidRDefault="00F47547" w:rsidP="00A12F55">
      <w:pPr>
        <w:autoSpaceDE w:val="0"/>
        <w:autoSpaceDN w:val="0"/>
        <w:adjustRightInd w:val="0"/>
        <w:spacing w:after="0" w:line="240" w:lineRule="auto"/>
        <w:rPr>
          <w:rFonts w:ascii="Palatino Linotype" w:hAnsi="Palatino Linotype" w:cs="Tahoma"/>
          <w:bCs/>
          <w:sz w:val="22"/>
          <w:szCs w:val="22"/>
        </w:rPr>
      </w:pPr>
    </w:p>
    <w:p w:rsidR="00A12F55" w:rsidRPr="00BA317F" w:rsidRDefault="00A12F55" w:rsidP="00A12F55">
      <w:pPr>
        <w:autoSpaceDE w:val="0"/>
        <w:autoSpaceDN w:val="0"/>
        <w:adjustRightInd w:val="0"/>
        <w:spacing w:after="0" w:line="240" w:lineRule="auto"/>
        <w:rPr>
          <w:rFonts w:ascii="Palatino Linotype" w:hAnsi="Palatino Linotype" w:cs="Tahoma"/>
          <w:sz w:val="22"/>
          <w:szCs w:val="22"/>
        </w:rPr>
      </w:pPr>
      <w:r w:rsidRPr="00BA317F">
        <w:rPr>
          <w:rFonts w:ascii="Palatino Linotype" w:hAnsi="Palatino Linotype" w:cs="Tahoma"/>
          <w:b/>
          <w:bCs/>
          <w:sz w:val="22"/>
          <w:szCs w:val="22"/>
        </w:rPr>
        <w:t xml:space="preserve">Artículo 2.- </w:t>
      </w:r>
      <w:r w:rsidRPr="00BA317F">
        <w:rPr>
          <w:rFonts w:ascii="Palatino Linotype" w:hAnsi="Palatino Linotype" w:cs="Tahoma"/>
          <w:sz w:val="22"/>
          <w:szCs w:val="22"/>
        </w:rPr>
        <w:t>Comuníquese al interesado, a la Administración Zonal</w:t>
      </w:r>
      <w:r w:rsidR="005D604B" w:rsidRPr="00BA317F">
        <w:rPr>
          <w:rFonts w:ascii="Palatino Linotype" w:hAnsi="Palatino Linotype" w:cs="Tahoma"/>
          <w:sz w:val="22"/>
          <w:szCs w:val="22"/>
        </w:rPr>
        <w:t xml:space="preserve"> que corresponda</w:t>
      </w:r>
      <w:r w:rsidRPr="00BA317F">
        <w:rPr>
          <w:rFonts w:ascii="Palatino Linotype" w:hAnsi="Palatino Linotype" w:cs="Tahoma"/>
          <w:sz w:val="22"/>
          <w:szCs w:val="22"/>
        </w:rPr>
        <w:t>; y, a la Empresa Pública Metropolitana de Movilidad y Obras Públicas, a fin de que se continúe con los trámites de Ley.</w:t>
      </w:r>
    </w:p>
    <w:p w:rsidR="00A12F55" w:rsidRPr="00BA317F" w:rsidRDefault="00A12F55" w:rsidP="00A12F55">
      <w:pPr>
        <w:autoSpaceDE w:val="0"/>
        <w:autoSpaceDN w:val="0"/>
        <w:adjustRightInd w:val="0"/>
        <w:spacing w:after="0" w:line="240" w:lineRule="auto"/>
        <w:rPr>
          <w:rFonts w:ascii="Palatino Linotype" w:hAnsi="Palatino Linotype" w:cs="Tahoma"/>
          <w:sz w:val="22"/>
          <w:szCs w:val="22"/>
        </w:rPr>
      </w:pPr>
    </w:p>
    <w:p w:rsidR="00A12F55" w:rsidRPr="00BA317F" w:rsidRDefault="00A12F55" w:rsidP="00A12F55">
      <w:pPr>
        <w:autoSpaceDE w:val="0"/>
        <w:autoSpaceDN w:val="0"/>
        <w:adjustRightInd w:val="0"/>
        <w:rPr>
          <w:rFonts w:ascii="Palatino Linotype" w:hAnsi="Palatino Linotype" w:cs="Tahoma"/>
          <w:bCs/>
          <w:sz w:val="22"/>
          <w:szCs w:val="22"/>
        </w:rPr>
      </w:pPr>
      <w:r w:rsidRPr="00BA317F">
        <w:rPr>
          <w:rFonts w:ascii="Palatino Linotype" w:hAnsi="Palatino Linotype" w:cs="Tahoma"/>
          <w:bCs/>
          <w:sz w:val="22"/>
          <w:szCs w:val="22"/>
        </w:rPr>
        <w:t>La presente Ordenanza se aprueba en base a los informes que son de exclusiva responsabilidad de los funcionarios que lo suscriben y realizan.</w:t>
      </w:r>
    </w:p>
    <w:p w:rsidR="00A12F55" w:rsidRPr="00BA317F" w:rsidRDefault="00A12F55" w:rsidP="00A12F55">
      <w:pPr>
        <w:autoSpaceDE w:val="0"/>
        <w:autoSpaceDN w:val="0"/>
        <w:adjustRightInd w:val="0"/>
        <w:spacing w:after="0" w:line="240" w:lineRule="auto"/>
        <w:rPr>
          <w:rFonts w:ascii="Palatino Linotype" w:hAnsi="Palatino Linotype" w:cs="Tahoma"/>
          <w:sz w:val="22"/>
          <w:szCs w:val="22"/>
        </w:rPr>
      </w:pPr>
      <w:r w:rsidRPr="00BA317F">
        <w:rPr>
          <w:rFonts w:ascii="Palatino Linotype" w:hAnsi="Palatino Linotype" w:cs="Tahoma"/>
          <w:sz w:val="22"/>
          <w:szCs w:val="22"/>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georeferenciada en formato digital.</w:t>
      </w:r>
    </w:p>
    <w:p w:rsidR="00A12F55" w:rsidRPr="00BA317F" w:rsidRDefault="005D604B" w:rsidP="00A12F55">
      <w:pPr>
        <w:autoSpaceDE w:val="0"/>
        <w:autoSpaceDN w:val="0"/>
        <w:adjustRightInd w:val="0"/>
        <w:spacing w:after="0" w:line="240" w:lineRule="auto"/>
        <w:rPr>
          <w:rFonts w:ascii="Palatino Linotype" w:hAnsi="Palatino Linotype" w:cs="Tahoma"/>
          <w:sz w:val="22"/>
          <w:szCs w:val="22"/>
        </w:rPr>
      </w:pPr>
      <w:r w:rsidRPr="00BA317F">
        <w:rPr>
          <w:rFonts w:ascii="Palatino Linotype" w:hAnsi="Palatino Linotype" w:cs="Tahoma"/>
          <w:sz w:val="22"/>
          <w:szCs w:val="22"/>
        </w:rPr>
        <w:t xml:space="preserve"> </w:t>
      </w:r>
    </w:p>
    <w:p w:rsidR="00A12F55" w:rsidRPr="00BA317F" w:rsidRDefault="00A12F55" w:rsidP="00A12F55">
      <w:pPr>
        <w:autoSpaceDE w:val="0"/>
        <w:autoSpaceDN w:val="0"/>
        <w:adjustRightInd w:val="0"/>
        <w:spacing w:after="0" w:line="240" w:lineRule="auto"/>
        <w:rPr>
          <w:rFonts w:ascii="Palatino Linotype" w:hAnsi="Palatino Linotype" w:cs="Tahoma"/>
          <w:sz w:val="22"/>
          <w:szCs w:val="22"/>
        </w:rPr>
      </w:pPr>
      <w:r w:rsidRPr="00BA317F">
        <w:rPr>
          <w:rFonts w:ascii="Palatino Linotype" w:hAnsi="Palatino Linotype" w:cs="Tahoma"/>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A12F55" w:rsidRPr="00BA317F" w:rsidRDefault="00A12F55" w:rsidP="00A12F55">
      <w:pPr>
        <w:autoSpaceDE w:val="0"/>
        <w:autoSpaceDN w:val="0"/>
        <w:adjustRightInd w:val="0"/>
        <w:spacing w:after="0" w:line="240" w:lineRule="auto"/>
        <w:rPr>
          <w:rFonts w:ascii="Palatino Linotype" w:hAnsi="Palatino Linotype" w:cs="Tahoma"/>
          <w:sz w:val="22"/>
          <w:szCs w:val="22"/>
        </w:rPr>
      </w:pPr>
    </w:p>
    <w:p w:rsidR="00A12F55" w:rsidRPr="001076F9" w:rsidRDefault="00A12F55" w:rsidP="00A12F55">
      <w:pPr>
        <w:autoSpaceDE w:val="0"/>
        <w:autoSpaceDN w:val="0"/>
        <w:adjustRightInd w:val="0"/>
        <w:rPr>
          <w:rFonts w:ascii="Palatino Linotype" w:hAnsi="Palatino Linotype" w:cs="Tahoma"/>
          <w:sz w:val="22"/>
          <w:szCs w:val="22"/>
        </w:rPr>
      </w:pPr>
      <w:r w:rsidRPr="003C1CA3">
        <w:rPr>
          <w:rFonts w:ascii="Palatino Linotype" w:hAnsi="Palatino Linotype" w:cs="Tahoma"/>
          <w:b/>
          <w:sz w:val="22"/>
          <w:szCs w:val="22"/>
        </w:rPr>
        <w:t>Disposición Final.-</w:t>
      </w:r>
      <w:r w:rsidRPr="001076F9">
        <w:rPr>
          <w:rFonts w:ascii="Palatino Linotype" w:hAnsi="Palatino Linotype" w:cs="Tahoma"/>
          <w:sz w:val="22"/>
          <w:szCs w:val="22"/>
        </w:rPr>
        <w:t xml:space="preserve"> Esta ordenanza entrará en  vigencia a partir de la fecha de su sanción, sin perjuicio de la publicación en la página web institucional de la Municipalidad.</w:t>
      </w:r>
    </w:p>
    <w:p w:rsidR="00A12F55" w:rsidRPr="00BA317F" w:rsidRDefault="00A12F55" w:rsidP="00A12F55">
      <w:pPr>
        <w:autoSpaceDE w:val="0"/>
        <w:autoSpaceDN w:val="0"/>
        <w:adjustRightInd w:val="0"/>
        <w:rPr>
          <w:rFonts w:ascii="Palatino Linotype" w:hAnsi="Palatino Linotype" w:cs="Tahoma"/>
          <w:b/>
          <w:sz w:val="22"/>
          <w:szCs w:val="22"/>
        </w:rPr>
      </w:pPr>
      <w:r w:rsidRPr="00BA317F">
        <w:rPr>
          <w:rFonts w:ascii="Palatino Linotype" w:hAnsi="Palatino Linotype" w:cs="Tahoma"/>
          <w:b/>
          <w:sz w:val="22"/>
          <w:szCs w:val="22"/>
        </w:rPr>
        <w:t xml:space="preserve">Dada, en la Sala de Sesiones del Concejo Metropolitano de Quito, </w:t>
      </w:r>
      <w:r w:rsidR="004E39AC">
        <w:rPr>
          <w:rFonts w:ascii="Palatino Linotype" w:hAnsi="Palatino Linotype" w:cs="Tahoma"/>
          <w:b/>
          <w:sz w:val="22"/>
          <w:szCs w:val="22"/>
        </w:rPr>
        <w:t>el … de … del 2023</w:t>
      </w:r>
      <w:r w:rsidRPr="00BA317F">
        <w:rPr>
          <w:rFonts w:ascii="Palatino Linotype" w:hAnsi="Palatino Linotype" w:cs="Tahoma"/>
          <w:b/>
          <w:sz w:val="22"/>
          <w:szCs w:val="22"/>
        </w:rPr>
        <w:t>.</w:t>
      </w:r>
    </w:p>
    <w:p w:rsidR="00A12F55" w:rsidRPr="00BA317F" w:rsidRDefault="00A12F55" w:rsidP="00A12F55">
      <w:pPr>
        <w:autoSpaceDE w:val="0"/>
        <w:autoSpaceDN w:val="0"/>
        <w:adjustRightInd w:val="0"/>
        <w:spacing w:after="0" w:line="240" w:lineRule="auto"/>
        <w:jc w:val="center"/>
        <w:rPr>
          <w:rFonts w:ascii="Palatino Linotype" w:hAnsi="Palatino Linotype" w:cs="Tahoma"/>
          <w:sz w:val="22"/>
          <w:szCs w:val="22"/>
        </w:rPr>
      </w:pPr>
    </w:p>
    <w:p w:rsidR="00A12F55" w:rsidRPr="00BA317F" w:rsidRDefault="00A12F55" w:rsidP="00A12F55">
      <w:pPr>
        <w:autoSpaceDE w:val="0"/>
        <w:autoSpaceDN w:val="0"/>
        <w:adjustRightInd w:val="0"/>
        <w:spacing w:after="0" w:line="240" w:lineRule="auto"/>
        <w:jc w:val="center"/>
        <w:rPr>
          <w:rFonts w:ascii="Palatino Linotype" w:hAnsi="Palatino Linotype" w:cs="Tahoma"/>
          <w:sz w:val="22"/>
          <w:szCs w:val="22"/>
        </w:rPr>
      </w:pPr>
    </w:p>
    <w:p w:rsidR="00A12F55" w:rsidRPr="00BA317F" w:rsidRDefault="00A12F55" w:rsidP="00A12F55">
      <w:pPr>
        <w:autoSpaceDE w:val="0"/>
        <w:autoSpaceDN w:val="0"/>
        <w:adjustRightInd w:val="0"/>
        <w:spacing w:after="0" w:line="240" w:lineRule="auto"/>
        <w:jc w:val="center"/>
        <w:rPr>
          <w:rFonts w:ascii="Palatino Linotype" w:hAnsi="Palatino Linotype" w:cs="Tahoma"/>
          <w:sz w:val="22"/>
          <w:szCs w:val="22"/>
        </w:rPr>
      </w:pPr>
    </w:p>
    <w:p w:rsidR="00A12F55" w:rsidRPr="00BA317F" w:rsidRDefault="00667AE2" w:rsidP="00A12F55">
      <w:pPr>
        <w:autoSpaceDE w:val="0"/>
        <w:autoSpaceDN w:val="0"/>
        <w:adjustRightInd w:val="0"/>
        <w:spacing w:after="0" w:line="240" w:lineRule="auto"/>
        <w:jc w:val="center"/>
        <w:rPr>
          <w:rFonts w:ascii="Palatino Linotype" w:hAnsi="Palatino Linotype" w:cs="Tahoma"/>
          <w:b/>
          <w:sz w:val="22"/>
          <w:szCs w:val="22"/>
        </w:rPr>
      </w:pPr>
      <w:r>
        <w:rPr>
          <w:rFonts w:ascii="Palatino Linotype" w:hAnsi="Palatino Linotype" w:cs="Tahoma"/>
          <w:b/>
          <w:sz w:val="22"/>
          <w:szCs w:val="22"/>
        </w:rPr>
        <w:t>SECRETARIA</w:t>
      </w:r>
      <w:r w:rsidR="00A12F55" w:rsidRPr="00BA317F">
        <w:rPr>
          <w:rFonts w:ascii="Palatino Linotype" w:hAnsi="Palatino Linotype" w:cs="Tahoma"/>
          <w:b/>
          <w:sz w:val="22"/>
          <w:szCs w:val="22"/>
        </w:rPr>
        <w:t xml:space="preserve"> GENERAL DEL CO</w:t>
      </w:r>
      <w:r w:rsidR="00EA2EF1">
        <w:rPr>
          <w:rFonts w:ascii="Palatino Linotype" w:hAnsi="Palatino Linotype" w:cs="Tahoma"/>
          <w:b/>
          <w:sz w:val="22"/>
          <w:szCs w:val="22"/>
        </w:rPr>
        <w:t>NCEJO METROPOLITANO DE QUITO</w:t>
      </w:r>
    </w:p>
    <w:p w:rsidR="00A12F55" w:rsidRPr="00BA317F" w:rsidRDefault="00A12F55" w:rsidP="00A12F55">
      <w:pPr>
        <w:autoSpaceDE w:val="0"/>
        <w:autoSpaceDN w:val="0"/>
        <w:adjustRightInd w:val="0"/>
        <w:spacing w:after="0" w:line="240" w:lineRule="auto"/>
        <w:jc w:val="center"/>
        <w:rPr>
          <w:rFonts w:ascii="Palatino Linotype" w:hAnsi="Palatino Linotype" w:cs="Tahoma"/>
          <w:b/>
          <w:sz w:val="22"/>
          <w:szCs w:val="22"/>
        </w:rPr>
      </w:pPr>
    </w:p>
    <w:p w:rsidR="00A12F55" w:rsidRPr="00BA317F" w:rsidRDefault="00A12F55" w:rsidP="00A12F55">
      <w:pPr>
        <w:autoSpaceDE w:val="0"/>
        <w:autoSpaceDN w:val="0"/>
        <w:adjustRightInd w:val="0"/>
        <w:spacing w:after="0" w:line="240" w:lineRule="auto"/>
        <w:jc w:val="center"/>
        <w:rPr>
          <w:rFonts w:ascii="Palatino Linotype" w:hAnsi="Palatino Linotype" w:cs="Tahoma"/>
          <w:b/>
          <w:sz w:val="22"/>
          <w:szCs w:val="22"/>
        </w:rPr>
      </w:pPr>
    </w:p>
    <w:p w:rsidR="00A12F55" w:rsidRPr="00BA317F" w:rsidRDefault="00A12F55" w:rsidP="00A12F55">
      <w:pPr>
        <w:autoSpaceDE w:val="0"/>
        <w:autoSpaceDN w:val="0"/>
        <w:adjustRightInd w:val="0"/>
        <w:spacing w:after="0" w:line="240" w:lineRule="auto"/>
        <w:jc w:val="center"/>
        <w:rPr>
          <w:rFonts w:ascii="Palatino Linotype" w:hAnsi="Palatino Linotype" w:cs="Tahoma"/>
          <w:b/>
          <w:sz w:val="22"/>
          <w:szCs w:val="22"/>
        </w:rPr>
      </w:pPr>
      <w:r w:rsidRPr="00BA317F">
        <w:rPr>
          <w:rFonts w:ascii="Palatino Linotype" w:hAnsi="Palatino Linotype" w:cs="Tahoma"/>
          <w:b/>
          <w:sz w:val="22"/>
          <w:szCs w:val="22"/>
        </w:rPr>
        <w:t>CERTIFICADO DE DISCUSIÓN</w:t>
      </w:r>
    </w:p>
    <w:p w:rsidR="00A12F55" w:rsidRPr="00BA317F" w:rsidRDefault="00A12F55" w:rsidP="00A12F55">
      <w:pPr>
        <w:autoSpaceDE w:val="0"/>
        <w:autoSpaceDN w:val="0"/>
        <w:adjustRightInd w:val="0"/>
        <w:spacing w:after="0" w:line="240" w:lineRule="auto"/>
        <w:rPr>
          <w:rFonts w:ascii="Palatino Linotype" w:hAnsi="Palatino Linotype" w:cs="Tahoma"/>
          <w:b/>
          <w:sz w:val="22"/>
          <w:szCs w:val="22"/>
        </w:rPr>
      </w:pPr>
    </w:p>
    <w:p w:rsidR="00A12F55" w:rsidRPr="00BA317F" w:rsidRDefault="00A12F55" w:rsidP="00A12F55">
      <w:pPr>
        <w:autoSpaceDE w:val="0"/>
        <w:autoSpaceDN w:val="0"/>
        <w:adjustRightInd w:val="0"/>
        <w:spacing w:after="0" w:line="240" w:lineRule="auto"/>
        <w:rPr>
          <w:rFonts w:ascii="Palatino Linotype" w:hAnsi="Palatino Linotype" w:cs="Tahoma"/>
          <w:b/>
          <w:sz w:val="22"/>
          <w:szCs w:val="22"/>
        </w:rPr>
      </w:pPr>
      <w:r w:rsidRPr="00BA317F">
        <w:rPr>
          <w:rFonts w:ascii="Palatino Linotype" w:hAnsi="Palatino Linotype" w:cs="Tahoma"/>
          <w:b/>
          <w:sz w:val="22"/>
          <w:szCs w:val="22"/>
        </w:rPr>
        <w:t>El infrascrito Secretario General del Concejo Metropolitano de Quito, certifica que la presente ordenanza fue discutida y aprobada en … debates, en</w:t>
      </w:r>
      <w:r w:rsidR="004E39AC">
        <w:rPr>
          <w:rFonts w:ascii="Palatino Linotype" w:hAnsi="Palatino Linotype" w:cs="Tahoma"/>
          <w:b/>
          <w:sz w:val="22"/>
          <w:szCs w:val="22"/>
        </w:rPr>
        <w:t xml:space="preserve"> sesiones de .. y … de … de 2023</w:t>
      </w:r>
      <w:r w:rsidRPr="00BA317F">
        <w:rPr>
          <w:rFonts w:ascii="Palatino Linotype" w:hAnsi="Palatino Linotype" w:cs="Tahoma"/>
          <w:b/>
          <w:sz w:val="22"/>
          <w:szCs w:val="22"/>
        </w:rPr>
        <w:t>.</w:t>
      </w:r>
    </w:p>
    <w:p w:rsidR="00A12F55" w:rsidRPr="00BA317F" w:rsidRDefault="00A12F55" w:rsidP="00A12F55">
      <w:pPr>
        <w:autoSpaceDE w:val="0"/>
        <w:autoSpaceDN w:val="0"/>
        <w:adjustRightInd w:val="0"/>
        <w:spacing w:after="0" w:line="240" w:lineRule="auto"/>
        <w:rPr>
          <w:rFonts w:ascii="Palatino Linotype" w:hAnsi="Palatino Linotype" w:cs="Tahoma"/>
          <w:b/>
          <w:sz w:val="22"/>
          <w:szCs w:val="22"/>
        </w:rPr>
      </w:pPr>
    </w:p>
    <w:p w:rsidR="00A12F55" w:rsidRPr="00BA317F" w:rsidRDefault="00A12F55" w:rsidP="00A12F55">
      <w:pPr>
        <w:autoSpaceDE w:val="0"/>
        <w:autoSpaceDN w:val="0"/>
        <w:adjustRightInd w:val="0"/>
        <w:spacing w:after="0" w:line="240" w:lineRule="auto"/>
        <w:rPr>
          <w:rFonts w:ascii="Palatino Linotype" w:hAnsi="Palatino Linotype" w:cs="Tahoma"/>
          <w:b/>
          <w:sz w:val="22"/>
          <w:szCs w:val="22"/>
        </w:rPr>
      </w:pPr>
    </w:p>
    <w:p w:rsidR="00A12F55" w:rsidRPr="00BA317F" w:rsidRDefault="00A12F55" w:rsidP="00A12F55">
      <w:pPr>
        <w:autoSpaceDE w:val="0"/>
        <w:autoSpaceDN w:val="0"/>
        <w:adjustRightInd w:val="0"/>
        <w:spacing w:after="0" w:line="240" w:lineRule="auto"/>
        <w:jc w:val="center"/>
        <w:rPr>
          <w:rFonts w:ascii="Palatino Linotype" w:hAnsi="Palatino Linotype" w:cs="Tahoma"/>
          <w:b/>
          <w:sz w:val="22"/>
          <w:szCs w:val="22"/>
        </w:rPr>
      </w:pPr>
      <w:r w:rsidRPr="00BA317F">
        <w:rPr>
          <w:rFonts w:ascii="Palatino Linotype" w:hAnsi="Palatino Linotype" w:cs="Tahoma"/>
          <w:b/>
          <w:sz w:val="22"/>
          <w:szCs w:val="22"/>
        </w:rPr>
        <w:t>SECRETARIA GENERAL DEL CO</w:t>
      </w:r>
      <w:r w:rsidR="00667AE2">
        <w:rPr>
          <w:rFonts w:ascii="Palatino Linotype" w:hAnsi="Palatino Linotype" w:cs="Tahoma"/>
          <w:b/>
          <w:sz w:val="22"/>
          <w:szCs w:val="22"/>
        </w:rPr>
        <w:t xml:space="preserve">NCEJO METROPOLITANO DE QUITO </w:t>
      </w:r>
    </w:p>
    <w:p w:rsidR="00A12F55" w:rsidRPr="00BA317F" w:rsidRDefault="00A12F55" w:rsidP="00A12F55">
      <w:pPr>
        <w:autoSpaceDE w:val="0"/>
        <w:autoSpaceDN w:val="0"/>
        <w:adjustRightInd w:val="0"/>
        <w:spacing w:after="0" w:line="240" w:lineRule="auto"/>
        <w:jc w:val="center"/>
        <w:rPr>
          <w:rFonts w:ascii="Palatino Linotype" w:hAnsi="Palatino Linotype" w:cs="Tahoma"/>
          <w:b/>
          <w:sz w:val="22"/>
          <w:szCs w:val="22"/>
        </w:rPr>
      </w:pPr>
    </w:p>
    <w:p w:rsidR="00A12F55" w:rsidRPr="00BA317F" w:rsidRDefault="00A12F55" w:rsidP="00A12F55">
      <w:pPr>
        <w:autoSpaceDE w:val="0"/>
        <w:autoSpaceDN w:val="0"/>
        <w:adjustRightInd w:val="0"/>
        <w:spacing w:after="0" w:line="240" w:lineRule="auto"/>
        <w:jc w:val="center"/>
        <w:rPr>
          <w:rFonts w:ascii="Palatino Linotype" w:hAnsi="Palatino Linotype" w:cs="Tahoma"/>
          <w:b/>
          <w:sz w:val="22"/>
          <w:szCs w:val="22"/>
        </w:rPr>
      </w:pPr>
    </w:p>
    <w:p w:rsidR="00A12F55" w:rsidRPr="00BA317F" w:rsidRDefault="00A12F55" w:rsidP="00A12F55">
      <w:pPr>
        <w:autoSpaceDE w:val="0"/>
        <w:autoSpaceDN w:val="0"/>
        <w:adjustRightInd w:val="0"/>
        <w:spacing w:after="0" w:line="240" w:lineRule="auto"/>
        <w:rPr>
          <w:rFonts w:ascii="Palatino Linotype" w:hAnsi="Palatino Linotype" w:cs="Tahoma"/>
          <w:b/>
          <w:sz w:val="22"/>
          <w:szCs w:val="22"/>
        </w:rPr>
      </w:pPr>
    </w:p>
    <w:p w:rsidR="00A12F55" w:rsidRPr="00BA317F" w:rsidRDefault="00A12F55" w:rsidP="00A12F55">
      <w:pPr>
        <w:autoSpaceDE w:val="0"/>
        <w:autoSpaceDN w:val="0"/>
        <w:adjustRightInd w:val="0"/>
        <w:spacing w:after="0" w:line="240" w:lineRule="auto"/>
        <w:rPr>
          <w:rFonts w:ascii="Palatino Linotype" w:hAnsi="Palatino Linotype" w:cs="Tahoma"/>
          <w:b/>
          <w:sz w:val="22"/>
          <w:szCs w:val="22"/>
        </w:rPr>
      </w:pPr>
      <w:r w:rsidRPr="00BA317F">
        <w:rPr>
          <w:rFonts w:ascii="Palatino Linotype" w:hAnsi="Palatino Linotype" w:cs="Tahoma"/>
          <w:b/>
          <w:sz w:val="22"/>
          <w:szCs w:val="22"/>
        </w:rPr>
        <w:lastRenderedPageBreak/>
        <w:t>ALCALDIA DEL DISTRITO METROPO</w:t>
      </w:r>
      <w:r w:rsidR="004F034B">
        <w:rPr>
          <w:rFonts w:ascii="Palatino Linotype" w:hAnsi="Palatino Linotype" w:cs="Tahoma"/>
          <w:b/>
          <w:sz w:val="22"/>
          <w:szCs w:val="22"/>
        </w:rPr>
        <w:t>LITANO DE QUITO, .. de… del 2023</w:t>
      </w:r>
      <w:r w:rsidRPr="00BA317F">
        <w:rPr>
          <w:rFonts w:ascii="Palatino Linotype" w:hAnsi="Palatino Linotype" w:cs="Tahoma"/>
          <w:b/>
          <w:sz w:val="22"/>
          <w:szCs w:val="22"/>
        </w:rPr>
        <w:t>.</w:t>
      </w:r>
    </w:p>
    <w:p w:rsidR="00A12F55" w:rsidRPr="00BA317F" w:rsidRDefault="00A12F55" w:rsidP="00A12F55">
      <w:pPr>
        <w:autoSpaceDE w:val="0"/>
        <w:autoSpaceDN w:val="0"/>
        <w:adjustRightInd w:val="0"/>
        <w:spacing w:after="0" w:line="240" w:lineRule="auto"/>
        <w:rPr>
          <w:rFonts w:ascii="Palatino Linotype" w:hAnsi="Palatino Linotype" w:cs="Tahoma"/>
          <w:b/>
          <w:sz w:val="22"/>
          <w:szCs w:val="22"/>
        </w:rPr>
      </w:pPr>
    </w:p>
    <w:p w:rsidR="00A12F55" w:rsidRPr="00BA317F" w:rsidRDefault="00A12F55" w:rsidP="00A12F55">
      <w:pPr>
        <w:autoSpaceDE w:val="0"/>
        <w:autoSpaceDN w:val="0"/>
        <w:adjustRightInd w:val="0"/>
        <w:spacing w:after="0" w:line="240" w:lineRule="auto"/>
        <w:rPr>
          <w:rFonts w:ascii="Palatino Linotype" w:hAnsi="Palatino Linotype" w:cs="Tahoma"/>
          <w:b/>
          <w:sz w:val="22"/>
          <w:szCs w:val="22"/>
        </w:rPr>
      </w:pPr>
      <w:r w:rsidRPr="00BA317F">
        <w:rPr>
          <w:rFonts w:ascii="Palatino Linotype" w:hAnsi="Palatino Linotype" w:cs="Tahoma"/>
          <w:b/>
          <w:sz w:val="22"/>
          <w:szCs w:val="22"/>
        </w:rPr>
        <w:tab/>
      </w:r>
      <w:r w:rsidRPr="00BA317F">
        <w:rPr>
          <w:rFonts w:ascii="Palatino Linotype" w:hAnsi="Palatino Linotype" w:cs="Tahoma"/>
          <w:b/>
          <w:sz w:val="22"/>
          <w:szCs w:val="22"/>
        </w:rPr>
        <w:tab/>
      </w:r>
      <w:r w:rsidRPr="00BA317F">
        <w:rPr>
          <w:rFonts w:ascii="Palatino Linotype" w:hAnsi="Palatino Linotype" w:cs="Tahoma"/>
          <w:b/>
          <w:sz w:val="22"/>
          <w:szCs w:val="22"/>
        </w:rPr>
        <w:tab/>
      </w:r>
      <w:r w:rsidRPr="00BA317F">
        <w:rPr>
          <w:rFonts w:ascii="Palatino Linotype" w:hAnsi="Palatino Linotype" w:cs="Tahoma"/>
          <w:b/>
          <w:sz w:val="22"/>
          <w:szCs w:val="22"/>
        </w:rPr>
        <w:tab/>
        <w:t xml:space="preserve">      EJECUTESE</w:t>
      </w:r>
    </w:p>
    <w:p w:rsidR="00A12F55" w:rsidRPr="00BA317F" w:rsidRDefault="00A12F55" w:rsidP="00A12F55">
      <w:pPr>
        <w:autoSpaceDE w:val="0"/>
        <w:autoSpaceDN w:val="0"/>
        <w:adjustRightInd w:val="0"/>
        <w:spacing w:after="0" w:line="240" w:lineRule="auto"/>
        <w:rPr>
          <w:rFonts w:ascii="Palatino Linotype" w:hAnsi="Palatino Linotype" w:cs="Tahoma"/>
          <w:b/>
          <w:sz w:val="22"/>
          <w:szCs w:val="22"/>
        </w:rPr>
      </w:pPr>
    </w:p>
    <w:p w:rsidR="00A12F55" w:rsidRPr="00BA317F" w:rsidRDefault="00A12F55" w:rsidP="00A12F55">
      <w:pPr>
        <w:autoSpaceDE w:val="0"/>
        <w:autoSpaceDN w:val="0"/>
        <w:adjustRightInd w:val="0"/>
        <w:spacing w:after="0" w:line="240" w:lineRule="auto"/>
        <w:rPr>
          <w:rFonts w:ascii="Palatino Linotype" w:hAnsi="Palatino Linotype" w:cs="Tahoma"/>
          <w:b/>
          <w:sz w:val="22"/>
          <w:szCs w:val="22"/>
        </w:rPr>
      </w:pPr>
    </w:p>
    <w:p w:rsidR="00A12F55" w:rsidRPr="00BA317F" w:rsidRDefault="00A12F55" w:rsidP="00A12F55">
      <w:pPr>
        <w:autoSpaceDE w:val="0"/>
        <w:autoSpaceDN w:val="0"/>
        <w:adjustRightInd w:val="0"/>
        <w:spacing w:after="0" w:line="240" w:lineRule="auto"/>
        <w:rPr>
          <w:rFonts w:ascii="Palatino Linotype" w:hAnsi="Palatino Linotype" w:cs="Tahoma"/>
          <w:b/>
          <w:sz w:val="22"/>
          <w:szCs w:val="22"/>
        </w:rPr>
      </w:pPr>
      <w:r w:rsidRPr="00BA317F">
        <w:rPr>
          <w:rFonts w:ascii="Palatino Linotype" w:hAnsi="Palatino Linotype" w:cs="Tahoma"/>
          <w:b/>
          <w:sz w:val="22"/>
          <w:szCs w:val="22"/>
        </w:rPr>
        <w:tab/>
      </w:r>
      <w:r w:rsidRPr="00BA317F">
        <w:rPr>
          <w:rFonts w:ascii="Palatino Linotype" w:hAnsi="Palatino Linotype" w:cs="Tahoma"/>
          <w:b/>
          <w:sz w:val="22"/>
          <w:szCs w:val="22"/>
        </w:rPr>
        <w:tab/>
        <w:t>ALCALDE DEL DISTRITO EMTROPOLITANO DE QUITO</w:t>
      </w:r>
    </w:p>
    <w:p w:rsidR="00A12F55" w:rsidRPr="00BA317F" w:rsidRDefault="00A12F55" w:rsidP="00A12F55">
      <w:pPr>
        <w:autoSpaceDE w:val="0"/>
        <w:autoSpaceDN w:val="0"/>
        <w:adjustRightInd w:val="0"/>
        <w:spacing w:after="0" w:line="240" w:lineRule="auto"/>
        <w:rPr>
          <w:rFonts w:ascii="Palatino Linotype" w:hAnsi="Palatino Linotype" w:cs="Tahoma"/>
          <w:b/>
          <w:sz w:val="22"/>
          <w:szCs w:val="22"/>
        </w:rPr>
      </w:pPr>
    </w:p>
    <w:p w:rsidR="00A12F55" w:rsidRPr="00BA317F" w:rsidRDefault="00A12F55" w:rsidP="00A12F55">
      <w:pPr>
        <w:autoSpaceDE w:val="0"/>
        <w:autoSpaceDN w:val="0"/>
        <w:adjustRightInd w:val="0"/>
        <w:spacing w:after="0" w:line="240" w:lineRule="auto"/>
        <w:rPr>
          <w:rFonts w:ascii="Palatino Linotype" w:hAnsi="Palatino Linotype" w:cs="Tahoma"/>
          <w:b/>
          <w:sz w:val="22"/>
          <w:szCs w:val="22"/>
        </w:rPr>
      </w:pPr>
      <w:r w:rsidRPr="00BA317F">
        <w:rPr>
          <w:rFonts w:ascii="Palatino Linotype" w:hAnsi="Palatino Linotype" w:cs="Tahoma"/>
          <w:b/>
          <w:sz w:val="22"/>
          <w:szCs w:val="22"/>
        </w:rPr>
        <w:t xml:space="preserve">CERTIFICO, que la presente ordenanza fue sancionada por el </w:t>
      </w:r>
      <w:r w:rsidR="004F034B">
        <w:rPr>
          <w:rFonts w:ascii="Palatino Linotype" w:hAnsi="Palatino Linotype" w:cs="Tahoma"/>
          <w:b/>
          <w:sz w:val="22"/>
          <w:szCs w:val="22"/>
        </w:rPr>
        <w:t>xxxx</w:t>
      </w:r>
      <w:r w:rsidRPr="00BA317F">
        <w:rPr>
          <w:rFonts w:ascii="Palatino Linotype" w:hAnsi="Palatino Linotype" w:cs="Tahoma"/>
          <w:b/>
          <w:sz w:val="22"/>
          <w:szCs w:val="22"/>
        </w:rPr>
        <w:t>, Alcalde del Distrito Metropolitano de Quito, el … de … de …2022.</w:t>
      </w:r>
    </w:p>
    <w:p w:rsidR="00A12F55" w:rsidRPr="00BA317F" w:rsidRDefault="00A12F55" w:rsidP="00A12F55">
      <w:pPr>
        <w:autoSpaceDE w:val="0"/>
        <w:autoSpaceDN w:val="0"/>
        <w:adjustRightInd w:val="0"/>
        <w:spacing w:after="0" w:line="240" w:lineRule="auto"/>
        <w:jc w:val="center"/>
        <w:rPr>
          <w:rFonts w:ascii="Palatino Linotype" w:hAnsi="Palatino Linotype" w:cs="Tahoma"/>
          <w:b/>
          <w:sz w:val="22"/>
          <w:szCs w:val="22"/>
        </w:rPr>
      </w:pPr>
    </w:p>
    <w:p w:rsidR="00A12F55" w:rsidRPr="00BA317F" w:rsidRDefault="00A12F55" w:rsidP="00A12F55">
      <w:pPr>
        <w:autoSpaceDE w:val="0"/>
        <w:autoSpaceDN w:val="0"/>
        <w:adjustRightInd w:val="0"/>
        <w:spacing w:after="0" w:line="240" w:lineRule="auto"/>
        <w:jc w:val="center"/>
        <w:rPr>
          <w:rFonts w:ascii="Palatino Linotype" w:hAnsi="Palatino Linotype" w:cs="Tahoma"/>
          <w:b/>
          <w:sz w:val="22"/>
          <w:szCs w:val="22"/>
        </w:rPr>
      </w:pPr>
    </w:p>
    <w:p w:rsidR="00A12F55" w:rsidRPr="00BA317F" w:rsidRDefault="00A12F55" w:rsidP="00A12F55">
      <w:pPr>
        <w:autoSpaceDE w:val="0"/>
        <w:autoSpaceDN w:val="0"/>
        <w:adjustRightInd w:val="0"/>
        <w:spacing w:after="0" w:line="240" w:lineRule="auto"/>
        <w:jc w:val="center"/>
        <w:rPr>
          <w:rFonts w:ascii="Palatino Linotype" w:hAnsi="Palatino Linotype" w:cs="Tahoma"/>
          <w:b/>
          <w:sz w:val="22"/>
          <w:szCs w:val="22"/>
        </w:rPr>
      </w:pPr>
    </w:p>
    <w:p w:rsidR="00A12F55" w:rsidRPr="00BA317F" w:rsidRDefault="00A12F55" w:rsidP="00A12F55">
      <w:pPr>
        <w:autoSpaceDE w:val="0"/>
        <w:autoSpaceDN w:val="0"/>
        <w:adjustRightInd w:val="0"/>
        <w:spacing w:after="0" w:line="240" w:lineRule="auto"/>
        <w:jc w:val="center"/>
        <w:rPr>
          <w:rFonts w:ascii="Palatino Linotype" w:hAnsi="Palatino Linotype" w:cs="Tahoma"/>
          <w:b/>
          <w:sz w:val="22"/>
          <w:szCs w:val="22"/>
        </w:rPr>
      </w:pPr>
    </w:p>
    <w:p w:rsidR="00A12F55" w:rsidRPr="00BA317F" w:rsidRDefault="00A12F55" w:rsidP="00A12F55">
      <w:pPr>
        <w:autoSpaceDE w:val="0"/>
        <w:autoSpaceDN w:val="0"/>
        <w:adjustRightInd w:val="0"/>
        <w:spacing w:after="0" w:line="240" w:lineRule="auto"/>
        <w:jc w:val="center"/>
        <w:rPr>
          <w:rFonts w:ascii="Palatino Linotype" w:hAnsi="Palatino Linotype" w:cs="Tahoma"/>
          <w:b/>
          <w:sz w:val="22"/>
          <w:szCs w:val="22"/>
        </w:rPr>
      </w:pPr>
      <w:r w:rsidRPr="00BA317F">
        <w:rPr>
          <w:rFonts w:ascii="Palatino Linotype" w:hAnsi="Palatino Linotype" w:cs="Tahoma"/>
          <w:b/>
          <w:sz w:val="22"/>
          <w:szCs w:val="22"/>
        </w:rPr>
        <w:t>SECRETARIA GENERAL DEL CO</w:t>
      </w:r>
      <w:r w:rsidR="002E27CD">
        <w:rPr>
          <w:rFonts w:ascii="Palatino Linotype" w:hAnsi="Palatino Linotype" w:cs="Tahoma"/>
          <w:b/>
          <w:sz w:val="22"/>
          <w:szCs w:val="22"/>
        </w:rPr>
        <w:t>NCEJO METROPOLITANO DE QUITO</w:t>
      </w:r>
      <w:r w:rsidR="009E1E53">
        <w:rPr>
          <w:rFonts w:ascii="Palatino Linotype" w:hAnsi="Palatino Linotype" w:cs="Tahoma"/>
          <w:b/>
          <w:sz w:val="22"/>
          <w:szCs w:val="22"/>
        </w:rPr>
        <w:t xml:space="preserve"> </w:t>
      </w:r>
      <w:bookmarkStart w:id="0" w:name="_GoBack"/>
      <w:bookmarkEnd w:id="0"/>
    </w:p>
    <w:p w:rsidR="000505D5" w:rsidRPr="00BA317F" w:rsidRDefault="000505D5" w:rsidP="00A12F55">
      <w:pPr>
        <w:tabs>
          <w:tab w:val="center" w:pos="4252"/>
          <w:tab w:val="right" w:pos="9720"/>
        </w:tabs>
        <w:ind w:right="-1"/>
        <w:rPr>
          <w:rFonts w:ascii="Palatino Linotype" w:hAnsi="Palatino Linotype" w:cs="Tahoma"/>
          <w:b/>
          <w:sz w:val="22"/>
          <w:szCs w:val="22"/>
        </w:rPr>
      </w:pPr>
    </w:p>
    <w:sectPr w:rsidR="000505D5" w:rsidRPr="00BA317F" w:rsidSect="00581046">
      <w:pgSz w:w="11906" w:h="16838"/>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13F" w:rsidRDefault="00DF613F" w:rsidP="00BC2486">
      <w:pPr>
        <w:spacing w:after="0" w:line="240" w:lineRule="auto"/>
      </w:pPr>
      <w:r>
        <w:separator/>
      </w:r>
    </w:p>
  </w:endnote>
  <w:endnote w:type="continuationSeparator" w:id="0">
    <w:p w:rsidR="00DF613F" w:rsidRDefault="00DF613F"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Italic">
    <w:altName w:val="Times New Roman"/>
    <w:panose1 w:val="00000000000000000000"/>
    <w:charset w:val="A3"/>
    <w:family w:val="auto"/>
    <w:notTrueType/>
    <w:pitch w:val="default"/>
    <w:sig w:usb0="20000003" w:usb1="00000000" w:usb2="00000000" w:usb3="00000000" w:csb0="000001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13F" w:rsidRDefault="00DF613F" w:rsidP="00BC2486">
      <w:pPr>
        <w:spacing w:after="0" w:line="240" w:lineRule="auto"/>
      </w:pPr>
      <w:r>
        <w:separator/>
      </w:r>
    </w:p>
  </w:footnote>
  <w:footnote w:type="continuationSeparator" w:id="0">
    <w:p w:rsidR="00DF613F" w:rsidRDefault="00DF613F" w:rsidP="00BC2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 w15:restartNumberingAfterBreak="0">
    <w:nsid w:val="75E80DA0"/>
    <w:multiLevelType w:val="hybridMultilevel"/>
    <w:tmpl w:val="EF5EA13A"/>
    <w:lvl w:ilvl="0" w:tplc="E4982A44">
      <w:start w:val="1"/>
      <w:numFmt w:val="decimal"/>
      <w:lvlText w:val="%1."/>
      <w:lvlJc w:val="left"/>
      <w:pPr>
        <w:ind w:left="720" w:hanging="360"/>
      </w:pPr>
      <w:rPr>
        <w:rFonts w:ascii="Palatino Linotype" w:hAnsi="Palatino Linotype" w:cs="Times New Roman"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2D87"/>
    <w:rsid w:val="00041AAA"/>
    <w:rsid w:val="000505D5"/>
    <w:rsid w:val="00077D0A"/>
    <w:rsid w:val="00080123"/>
    <w:rsid w:val="0008335A"/>
    <w:rsid w:val="001076F9"/>
    <w:rsid w:val="00155E58"/>
    <w:rsid w:val="0015725B"/>
    <w:rsid w:val="00163A9F"/>
    <w:rsid w:val="0017681E"/>
    <w:rsid w:val="00196CC7"/>
    <w:rsid w:val="001A52A8"/>
    <w:rsid w:val="001C0DB3"/>
    <w:rsid w:val="001E533D"/>
    <w:rsid w:val="00247369"/>
    <w:rsid w:val="0027216C"/>
    <w:rsid w:val="00283EE8"/>
    <w:rsid w:val="002C0409"/>
    <w:rsid w:val="002E27CD"/>
    <w:rsid w:val="002E5FBB"/>
    <w:rsid w:val="0032574D"/>
    <w:rsid w:val="00343959"/>
    <w:rsid w:val="00352D87"/>
    <w:rsid w:val="00362C2B"/>
    <w:rsid w:val="003B4BDB"/>
    <w:rsid w:val="003C143B"/>
    <w:rsid w:val="003C1CA3"/>
    <w:rsid w:val="003C31A7"/>
    <w:rsid w:val="003D7C9B"/>
    <w:rsid w:val="003F6E01"/>
    <w:rsid w:val="00404796"/>
    <w:rsid w:val="00410179"/>
    <w:rsid w:val="00410BE2"/>
    <w:rsid w:val="004150AC"/>
    <w:rsid w:val="00473D2B"/>
    <w:rsid w:val="004A39EC"/>
    <w:rsid w:val="004B32A9"/>
    <w:rsid w:val="004B7475"/>
    <w:rsid w:val="004E39AC"/>
    <w:rsid w:val="004F034B"/>
    <w:rsid w:val="004F5A4B"/>
    <w:rsid w:val="005022D3"/>
    <w:rsid w:val="00524907"/>
    <w:rsid w:val="00535359"/>
    <w:rsid w:val="00555D0C"/>
    <w:rsid w:val="005750D4"/>
    <w:rsid w:val="00581046"/>
    <w:rsid w:val="00590A33"/>
    <w:rsid w:val="005B1388"/>
    <w:rsid w:val="005B1B6E"/>
    <w:rsid w:val="005B35A3"/>
    <w:rsid w:val="005C4831"/>
    <w:rsid w:val="005D604B"/>
    <w:rsid w:val="005D6D9E"/>
    <w:rsid w:val="005F3F9E"/>
    <w:rsid w:val="006103EE"/>
    <w:rsid w:val="00615D5D"/>
    <w:rsid w:val="0066132C"/>
    <w:rsid w:val="00667AE2"/>
    <w:rsid w:val="006749C2"/>
    <w:rsid w:val="00675633"/>
    <w:rsid w:val="00676CFB"/>
    <w:rsid w:val="00676F16"/>
    <w:rsid w:val="006A614F"/>
    <w:rsid w:val="006E7DAD"/>
    <w:rsid w:val="006F7E96"/>
    <w:rsid w:val="0070354B"/>
    <w:rsid w:val="00710159"/>
    <w:rsid w:val="00766312"/>
    <w:rsid w:val="00770620"/>
    <w:rsid w:val="00772E09"/>
    <w:rsid w:val="00780C2F"/>
    <w:rsid w:val="007819CC"/>
    <w:rsid w:val="00791962"/>
    <w:rsid w:val="007E2AE4"/>
    <w:rsid w:val="008820B0"/>
    <w:rsid w:val="008B0317"/>
    <w:rsid w:val="008C08AE"/>
    <w:rsid w:val="008C35C9"/>
    <w:rsid w:val="008C6B37"/>
    <w:rsid w:val="008F66A1"/>
    <w:rsid w:val="009957AE"/>
    <w:rsid w:val="009A4D61"/>
    <w:rsid w:val="009C115D"/>
    <w:rsid w:val="009E1E53"/>
    <w:rsid w:val="009F0464"/>
    <w:rsid w:val="00A12F55"/>
    <w:rsid w:val="00A223DF"/>
    <w:rsid w:val="00A67F57"/>
    <w:rsid w:val="00AB093D"/>
    <w:rsid w:val="00AD0921"/>
    <w:rsid w:val="00AF475C"/>
    <w:rsid w:val="00B25559"/>
    <w:rsid w:val="00B44586"/>
    <w:rsid w:val="00B532B3"/>
    <w:rsid w:val="00B67266"/>
    <w:rsid w:val="00B81C42"/>
    <w:rsid w:val="00BA0267"/>
    <w:rsid w:val="00BA317F"/>
    <w:rsid w:val="00BC1EC8"/>
    <w:rsid w:val="00BC231E"/>
    <w:rsid w:val="00BC2486"/>
    <w:rsid w:val="00BD3013"/>
    <w:rsid w:val="00BD64B8"/>
    <w:rsid w:val="00BE2ADB"/>
    <w:rsid w:val="00BE744C"/>
    <w:rsid w:val="00C0518A"/>
    <w:rsid w:val="00C57023"/>
    <w:rsid w:val="00C90C98"/>
    <w:rsid w:val="00C93B7B"/>
    <w:rsid w:val="00CA3D0D"/>
    <w:rsid w:val="00CD44EA"/>
    <w:rsid w:val="00CE2953"/>
    <w:rsid w:val="00D01797"/>
    <w:rsid w:val="00D27910"/>
    <w:rsid w:val="00D67511"/>
    <w:rsid w:val="00D904EB"/>
    <w:rsid w:val="00DA5989"/>
    <w:rsid w:val="00DB1961"/>
    <w:rsid w:val="00DC17FC"/>
    <w:rsid w:val="00DF613F"/>
    <w:rsid w:val="00E06A53"/>
    <w:rsid w:val="00E07324"/>
    <w:rsid w:val="00EA2EF1"/>
    <w:rsid w:val="00ED3E49"/>
    <w:rsid w:val="00F310A3"/>
    <w:rsid w:val="00F356F0"/>
    <w:rsid w:val="00F47547"/>
    <w:rsid w:val="00F50F43"/>
    <w:rsid w:val="00F7741F"/>
    <w:rsid w:val="00F86F22"/>
    <w:rsid w:val="00F924B5"/>
    <w:rsid w:val="00FA479C"/>
    <w:rsid w:val="00FA4BD7"/>
    <w:rsid w:val="00FC408D"/>
    <w:rsid w:val="00FC549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B3A4"/>
  <w15:docId w15:val="{C5097290-D881-4066-8821-A758150B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077D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86097-7268-43FF-A9C8-488D2F93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2561</Words>
  <Characters>13218</Characters>
  <Application>Microsoft Office Word</Application>
  <DocSecurity>0</DocSecurity>
  <Lines>377</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Marisela Caleno</cp:lastModifiedBy>
  <cp:revision>84</cp:revision>
  <cp:lastPrinted>2022-09-13T14:52:00Z</cp:lastPrinted>
  <dcterms:created xsi:type="dcterms:W3CDTF">2022-09-13T12:55:00Z</dcterms:created>
  <dcterms:modified xsi:type="dcterms:W3CDTF">2023-08-09T20:37:00Z</dcterms:modified>
</cp:coreProperties>
</file>