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Tahoma" w:hAnsi="Tahoma" w:cs="Tahoma"/>
          <w:b/>
        </w:rPr>
      </w:pPr>
      <w:r>
        <w:rPr>
          <w:rFonts w:ascii="Tahoma" w:hAnsi="Tahoma" w:cs="Tahoma"/>
          <w:b/>
        </w:rPr>
        <w:t>EL CONCEJO METROPOLITANO DE QUITO</w:t>
      </w:r>
    </w:p>
    <w:p>
      <w:pPr>
        <w:jc w:val="center"/>
        <w:rPr>
          <w:rFonts w:ascii="Tahoma" w:hAnsi="Tahoma" w:cs="Tahoma"/>
          <w:b/>
        </w:rPr>
      </w:pPr>
      <w:r>
        <w:rPr>
          <w:rFonts w:ascii="Tahoma" w:hAnsi="Tahoma" w:cs="Tahoma"/>
          <w:b/>
        </w:rPr>
        <w:t>EXPOSICIÓN DE MOTIVOS</w:t>
      </w:r>
    </w:p>
    <w:p>
      <w:pPr>
        <w:tabs>
          <w:tab w:val="center" w:pos="4252"/>
          <w:tab w:val="right" w:pos="9720"/>
        </w:tabs>
        <w:ind w:right="-1"/>
        <w:rPr>
          <w:rFonts w:ascii="Tahoma" w:hAnsi="Tahoma" w:cs="Tahoma"/>
        </w:rPr>
      </w:pPr>
      <w:r>
        <w:rPr>
          <w:rFonts w:ascii="Tahoma" w:hAnsi="Tahoma" w:cs="Tahoma"/>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pPr>
        <w:tabs>
          <w:tab w:val="center" w:pos="4252"/>
          <w:tab w:val="right" w:pos="9720"/>
        </w:tabs>
        <w:ind w:right="-1"/>
        <w:rPr>
          <w:rFonts w:ascii="Tahoma" w:hAnsi="Tahoma" w:cs="Tahoma"/>
        </w:rPr>
      </w:pPr>
      <w:r>
        <w:rPr>
          <w:rFonts w:ascii="Tahoma" w:hAnsi="Tahoma" w:cs="Tahoma"/>
        </w:rPr>
        <w:t>Mediante Informe Técnico Favorable Nro. AZQ-DGT-UTV-IT-2022-187 de fecha 12 de diciembre de 2022, suscrito por el Ing. Víctor Cando, Técnico de la Unidad; y, la Ing. Ana Abarca, Jefa Zonal de la Unidad de Territorio y Vivienda de la Administración Zonal, concluye:</w:t>
      </w:r>
    </w:p>
    <w:p>
      <w:pPr>
        <w:tabs>
          <w:tab w:val="center" w:pos="4252"/>
          <w:tab w:val="right" w:pos="9720"/>
        </w:tabs>
        <w:ind w:right="-1"/>
        <w:rPr>
          <w:rFonts w:ascii="Tahoma" w:hAnsi="Tahoma" w:cs="Tahoma"/>
          <w:i/>
        </w:rPr>
      </w:pPr>
      <w:r>
        <w:rPr>
          <w:rFonts w:ascii="Tahoma" w:hAnsi="Tahoma" w:cs="Tahoma"/>
          <w:i/>
        </w:rPr>
        <w:t xml:space="preserve">“(…) 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Guamaní”,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 Particular que comunico para los fines pertinentes (…)”.  </w:t>
      </w:r>
    </w:p>
    <w:p>
      <w:pPr>
        <w:spacing w:after="0" w:line="240" w:lineRule="auto"/>
        <w:rPr>
          <w:rFonts w:ascii="Tahoma" w:hAnsi="Tahoma" w:cs="Tahoma"/>
          <w:i/>
        </w:rPr>
      </w:pPr>
      <w:r>
        <w:rPr>
          <w:rFonts w:ascii="Tahoma" w:hAnsi="Tahoma" w:cs="Tahoma"/>
        </w:rPr>
        <w:t>Con Informe Legal contenido en el Memorando</w:t>
      </w:r>
      <w:r>
        <w:rPr>
          <w:rFonts w:ascii="Tahoma" w:hAnsi="Tahoma" w:cs="Tahoma"/>
          <w:b/>
          <w:bCs/>
          <w:color w:val="000000"/>
        </w:rPr>
        <w:t xml:space="preserve"> </w:t>
      </w:r>
      <w:r>
        <w:rPr>
          <w:rFonts w:ascii="Tahoma" w:hAnsi="Tahoma" w:cs="Tahoma"/>
          <w:bCs/>
          <w:color w:val="000000"/>
        </w:rPr>
        <w:t>Nro. GADDMQ-AZQ-DAJ-2022-1249-M</w:t>
      </w:r>
      <w:r>
        <w:rPr>
          <w:rFonts w:ascii="Tahoma" w:hAnsi="Tahoma" w:cs="Tahoma"/>
          <w:b/>
          <w:bCs/>
          <w:color w:val="000000"/>
        </w:rPr>
        <w:t xml:space="preserve"> </w:t>
      </w:r>
      <w:r>
        <w:rPr>
          <w:rFonts w:ascii="Tahoma" w:hAnsi="Tahoma" w:cs="Tahoma"/>
          <w:iCs/>
        </w:rPr>
        <w:t>de 20</w:t>
      </w:r>
      <w:r>
        <w:rPr>
          <w:rFonts w:ascii="Tahoma" w:hAnsi="Tahoma" w:cs="Tahoma"/>
          <w:iCs/>
          <w:color w:val="FF0000"/>
        </w:rPr>
        <w:t xml:space="preserve"> </w:t>
      </w:r>
      <w:r>
        <w:rPr>
          <w:rFonts w:ascii="Tahoma" w:hAnsi="Tahoma" w:cs="Tahoma"/>
          <w:color w:val="000000" w:themeColor="text1"/>
          <w14:textFill>
            <w14:solidFill>
              <w14:schemeClr w14:val="tx1"/>
            </w14:solidFill>
          </w14:textFill>
        </w:rPr>
        <w:t xml:space="preserve">de diciembre de </w:t>
      </w:r>
      <w:r>
        <w:rPr>
          <w:rFonts w:ascii="Tahoma" w:hAnsi="Tahoma" w:cs="Tahoma"/>
          <w:iCs/>
          <w:color w:val="000000" w:themeColor="text1"/>
          <w14:textFill>
            <w14:solidFill>
              <w14:schemeClr w14:val="tx1"/>
            </w14:solidFill>
          </w14:textFill>
        </w:rPr>
        <w:t>2022</w:t>
      </w:r>
      <w:r>
        <w:rPr>
          <w:rFonts w:ascii="Tahoma" w:hAnsi="Tahoma" w:cs="Tahoma"/>
        </w:rPr>
        <w:t xml:space="preserve">, suscrito por  la Abg. Gabriela Villegas, Directora de Asesoría Jurídica de la Administración Zonal Quitumbe, menciona: </w:t>
      </w:r>
      <w:r>
        <w:rPr>
          <w:rFonts w:ascii="Tahoma" w:hAnsi="Tahoma" w:cs="Tahoma"/>
          <w:i/>
        </w:rPr>
        <w:t xml:space="preserve">“(…) 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Pr>
          <w:rFonts w:ascii="Tahoma" w:hAnsi="Tahoma" w:cs="Tahoma"/>
          <w:b/>
          <w:i/>
        </w:rPr>
        <w:t xml:space="preserve">INFORME LEGAL FAVORABLE </w:t>
      </w:r>
      <w:r>
        <w:rPr>
          <w:rFonts w:ascii="Tahoma" w:hAnsi="Tahoma" w:cs="Tahoma"/>
          <w:i/>
        </w:rPr>
        <w:t>para la</w:t>
      </w:r>
      <w:r>
        <w:rPr>
          <w:rFonts w:ascii="Tahoma" w:hAnsi="Tahoma" w:cs="Tahoma"/>
          <w:b/>
          <w:i/>
        </w:rPr>
        <w:t xml:space="preserve"> </w:t>
      </w:r>
      <w:r>
        <w:rPr>
          <w:i/>
        </w:rPr>
        <w:t>REGULARIZACIÓN DEL TRAZADO VIAL DE LA CALLE S/N (S52D), DESDE LA ABSCISA 0+000.00 A LA ABSCISA 0+144.00 DEL BARRIO/SECTOR HEMISFERIO SUR, PARROQUIA GUAMANÍ</w:t>
      </w:r>
      <w:r>
        <w:rPr>
          <w:rFonts w:ascii="Tahoma" w:hAnsi="Tahoma" w:cs="Tahoma"/>
          <w:i/>
        </w:rPr>
        <w:t xml:space="preserve">, salvo decisión del Concejo Metropolitano de Quito si este considerare procedente cambiar la estructura vial existente (…)”. </w:t>
      </w:r>
    </w:p>
    <w:p>
      <w:pPr>
        <w:spacing w:after="160" w:line="259" w:lineRule="auto"/>
        <w:jc w:val="left"/>
        <w:rPr>
          <w:rFonts w:ascii="Tahoma" w:hAnsi="Tahoma" w:eastAsia="Arial" w:cs="Tahoma"/>
          <w:b/>
          <w:bCs/>
          <w:lang w:val="es-ES"/>
        </w:rPr>
      </w:pPr>
    </w:p>
    <w:p>
      <w:pPr>
        <w:pStyle w:val="2"/>
        <w:jc w:val="both"/>
        <w:rPr>
          <w:rFonts w:ascii="Tahoma" w:hAnsi="Tahoma" w:cs="Tahoma"/>
          <w:sz w:val="20"/>
          <w:szCs w:val="20"/>
        </w:rPr>
      </w:pPr>
      <w:r>
        <w:rPr>
          <w:rFonts w:ascii="Tahoma" w:hAnsi="Tahoma" w:cs="Tahoma"/>
          <w:sz w:val="20"/>
          <w:szCs w:val="20"/>
        </w:rPr>
        <w:t xml:space="preserve">                                                  CONSIDERANDO:</w:t>
      </w:r>
    </w:p>
    <w:p>
      <w:pPr>
        <w:pStyle w:val="2"/>
        <w:ind w:left="1878"/>
        <w:rPr>
          <w:rFonts w:ascii="Tahoma" w:hAnsi="Tahoma" w:cs="Tahoma"/>
          <w:sz w:val="20"/>
          <w:szCs w:val="20"/>
        </w:rPr>
      </w:pPr>
    </w:p>
    <w:p>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r>
      <w:r>
        <w:rPr>
          <w:rFonts w:ascii="Tahoma" w:hAnsi="Tahoma" w:cs="Tahoma"/>
        </w:rPr>
        <w:t xml:space="preserve"> el artículo 240 de la Constitución de República del Ecuador, en adelante Constitución, establece: “Los</w:t>
      </w:r>
      <w:r>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r>
      <w:r>
        <w:rPr>
          <w:rFonts w:ascii="Tahoma" w:hAnsi="Tahoma" w:cs="Tahoma"/>
        </w:rPr>
        <w:t>el artículo 241 de la Constitución, determina: “</w:t>
      </w:r>
      <w:r>
        <w:rPr>
          <w:rFonts w:ascii="Tahoma" w:hAnsi="Tahoma" w:cs="Tahoma"/>
          <w:i/>
          <w:iCs/>
        </w:rPr>
        <w:t xml:space="preserve">La planificación garantizará el ordenamiento territorial y será obligatoria en todos los gobiernos autónomos descentralizados” </w:t>
      </w:r>
    </w:p>
    <w:p>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r>
      <w:r>
        <w:rPr>
          <w:rFonts w:ascii="Tahoma" w:hAnsi="Tahoma" w:cs="Tahoma"/>
        </w:rPr>
        <w:t xml:space="preserve">los numerales 1,2 y 3 del artículo 264 de la Constitución, determinan que serán competencias exclusivas de los gobiernos municipales, sin perjuicio de otras que determine la ley: </w:t>
      </w:r>
      <w:r>
        <w:rPr>
          <w:rFonts w:ascii="Tahoma" w:hAnsi="Tahoma" w:cs="Tahoma"/>
          <w:i/>
        </w:rPr>
        <w:t xml:space="preserve">"1. </w:t>
      </w:r>
      <w:r>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pPr>
        <w:autoSpaceDE w:val="0"/>
        <w:autoSpaceDN w:val="0"/>
        <w:adjustRightInd w:val="0"/>
        <w:spacing w:after="0" w:line="240" w:lineRule="auto"/>
        <w:ind w:left="709" w:hanging="709"/>
        <w:rPr>
          <w:rFonts w:ascii="Tahoma" w:hAnsi="Tahoma" w:cs="Tahoma"/>
          <w:i/>
          <w:iCs/>
        </w:rPr>
      </w:pPr>
    </w:p>
    <w:p>
      <w:pPr>
        <w:autoSpaceDE w:val="0"/>
        <w:autoSpaceDN w:val="0"/>
        <w:adjustRightInd w:val="0"/>
        <w:ind w:left="709" w:hanging="709"/>
        <w:rPr>
          <w:rFonts w:ascii="Tahoma" w:hAnsi="Tahoma" w:cs="Tahoma"/>
        </w:rPr>
      </w:pPr>
      <w:r>
        <w:rPr>
          <w:rFonts w:ascii="Tahoma" w:hAnsi="Tahoma" w:cs="Tahoma"/>
        </w:rPr>
        <w:t xml:space="preserve">Que, </w:t>
      </w:r>
      <w:r>
        <w:rPr>
          <w:rFonts w:ascii="Tahoma" w:hAnsi="Tahoma" w:cs="Tahoma"/>
        </w:rPr>
        <w:tab/>
      </w:r>
      <w:r>
        <w:rPr>
          <w:rFonts w:ascii="Tahoma" w:hAnsi="Tahoma" w:cs="Tahoma"/>
        </w:rPr>
        <w:t xml:space="preserve">el artículo 266 de la Constitución, determina: </w:t>
      </w:r>
      <w:r>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Tahoma" w:hAnsi="Tahoma" w:cs="Tahoma"/>
        </w:rPr>
        <w:t>;</w:t>
      </w:r>
    </w:p>
    <w:p>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r>
      <w:r>
        <w:rPr>
          <w:rFonts w:ascii="Tahoma" w:hAnsi="Tahoma" w:cs="Tahoma"/>
        </w:rPr>
        <w:t>el artículo 85 del COOTAD, estableciendo las competencias exclusivas de los distritos metropolitanos, señala: “</w:t>
      </w:r>
      <w:r>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 los literales a), d) y v) del artículo 87 del COOTAD, establecen como atribuciones del Concejo Metropolitano: “</w:t>
      </w:r>
      <w:r>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pPr>
        <w:autoSpaceDE w:val="0"/>
        <w:autoSpaceDN w:val="0"/>
        <w:adjustRightInd w:val="0"/>
        <w:spacing w:after="0" w:line="240" w:lineRule="auto"/>
        <w:ind w:left="709" w:hanging="709"/>
        <w:rPr>
          <w:rFonts w:ascii="Tahoma" w:hAnsi="Tahoma" w:cs="Tahoma"/>
          <w:i/>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quinto inciso del artículo 129 del Código Orgánico de Organización Territorial, en adelante "COOTAD" dispone: </w:t>
      </w:r>
      <w:r>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pPr>
        <w:autoSpaceDE w:val="0"/>
        <w:autoSpaceDN w:val="0"/>
        <w:adjustRightInd w:val="0"/>
        <w:spacing w:after="0" w:line="240" w:lineRule="auto"/>
        <w:ind w:left="709" w:hanging="709"/>
        <w:rPr>
          <w:rFonts w:ascii="Tahoma" w:hAnsi="Tahoma" w:cs="Tahoma"/>
          <w:i/>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artículo </w:t>
      </w:r>
      <w:r>
        <w:rPr>
          <w:rFonts w:ascii="Tahoma" w:hAnsi="Tahoma" w:cs="Tahoma"/>
          <w:bCs/>
          <w:color w:val="000000"/>
        </w:rPr>
        <w:t>2191</w:t>
      </w:r>
      <w:r>
        <w:rPr>
          <w:rFonts w:ascii="Tahoma" w:hAnsi="Tahoma" w:cs="Tahoma"/>
        </w:rPr>
        <w:t xml:space="preserve"> del Código Municipal para el Distrito Metropolitano de Quito, en adelante Código Municipal, señala que: </w:t>
      </w:r>
      <w:r>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Pr>
          <w:rFonts w:ascii="Tahoma" w:hAnsi="Tahoma" w:cs="Tahoma"/>
        </w:rPr>
        <w:t xml:space="preserve">el numeral 5 ibídem, señala que: </w:t>
      </w:r>
      <w:r>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i/>
        </w:rPr>
      </w:pPr>
      <w:r>
        <w:rPr>
          <w:rFonts w:ascii="Tahoma" w:hAnsi="Tahoma" w:cs="Tahoma"/>
        </w:rPr>
        <w:t xml:space="preserve">Que, el artículo 2192 del Código Municipal, determina: </w:t>
      </w:r>
      <w:r>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pPr>
        <w:autoSpaceDE w:val="0"/>
        <w:autoSpaceDN w:val="0"/>
        <w:adjustRightInd w:val="0"/>
        <w:spacing w:after="0" w:line="240" w:lineRule="auto"/>
        <w:ind w:left="709" w:hanging="709"/>
        <w:rPr>
          <w:rFonts w:ascii="Tahoma" w:hAnsi="Tahoma" w:cs="Tahoma"/>
        </w:rPr>
      </w:pPr>
    </w:p>
    <w:p>
      <w:pPr>
        <w:ind w:left="709" w:hanging="709"/>
        <w:rPr>
          <w:rFonts w:ascii="Tahoma" w:hAnsi="Tahoma" w:cs="Tahoma"/>
        </w:rPr>
      </w:pPr>
      <w:r>
        <w:rPr>
          <w:rFonts w:ascii="Tahoma" w:hAnsi="Tahoma" w:cs="Tahoma"/>
        </w:rPr>
        <w:t xml:space="preserve">Que, </w:t>
      </w:r>
      <w:r>
        <w:rPr>
          <w:rFonts w:ascii="Tahoma" w:hAnsi="Tahoma" w:cs="Tahoma"/>
        </w:rPr>
        <w:tab/>
      </w:r>
      <w:r>
        <w:rPr>
          <w:rFonts w:ascii="Tahoma" w:hAnsi="Tahoma" w:cs="Tahoma"/>
        </w:rPr>
        <w:t xml:space="preserve">conforme la Resolución Nro. 062-CUS-2022, en el que manifiesta: “(…) </w:t>
      </w:r>
      <w:r>
        <w:rPr>
          <w:rStyle w:val="9"/>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Pr>
          <w:rFonts w:ascii="Tahoma" w:hAnsi="Tahoma" w:cs="Tahoma"/>
        </w:rPr>
        <w:t>”.</w:t>
      </w:r>
    </w:p>
    <w:p>
      <w:pPr>
        <w:ind w:left="709" w:hanging="709"/>
        <w:rPr>
          <w:rFonts w:ascii="Tahoma" w:hAnsi="Tahoma" w:cs="Tahoma"/>
          <w:i/>
        </w:rPr>
      </w:pPr>
      <w:r>
        <w:rPr>
          <w:rFonts w:ascii="Tahoma" w:hAnsi="Tahoma" w:cs="Tahoma"/>
        </w:rPr>
        <w:t>Que,     mediante informe técnico Nro. AZQ-DGT-UTV-IT-2022-187, de fecha 12 de diciembre de 2022, suscrito por el Ing. Víctor Cando, Técnico de la Unidad; y, la Ing. Ana Abarca, Jefa Zonal de la Unidad de Territorio y Vivienda de la Administración Zonal, señala: “</w:t>
      </w:r>
      <w:r>
        <w:rPr>
          <w:rFonts w:ascii="Tahoma" w:hAnsi="Tahoma" w:cs="Tahoma"/>
          <w:i/>
        </w:rPr>
        <w:t>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Guamaní”,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 Particular que comunico para los fines pertinentes (…)” .</w:t>
      </w:r>
    </w:p>
    <w:p>
      <w:pPr>
        <w:spacing w:after="0" w:line="240" w:lineRule="auto"/>
        <w:ind w:left="709" w:hanging="709"/>
        <w:rPr>
          <w:rFonts w:ascii="Tahoma" w:hAnsi="Tahoma" w:cs="Tahoma"/>
          <w:i/>
        </w:rPr>
      </w:pPr>
      <w:r>
        <w:rPr>
          <w:rFonts w:ascii="Tahoma" w:hAnsi="Tahoma" w:cs="Tahoma"/>
        </w:rPr>
        <w:t>Que,</w:t>
      </w:r>
      <w:r>
        <w:rPr>
          <w:rFonts w:ascii="Tahoma" w:hAnsi="Tahoma" w:cs="Tahoma"/>
          <w:i/>
        </w:rPr>
        <w:t xml:space="preserve">   </w:t>
      </w:r>
      <w:r>
        <w:rPr>
          <w:rFonts w:ascii="Tahoma" w:hAnsi="Tahoma" w:cs="Tahoma"/>
        </w:rPr>
        <w:t xml:space="preserve">mediante informe legal Nro. </w:t>
      </w:r>
      <w:r>
        <w:rPr>
          <w:rFonts w:ascii="Tahoma" w:hAnsi="Tahoma" w:cs="Tahoma"/>
          <w:bCs/>
          <w:color w:val="000000"/>
        </w:rPr>
        <w:t>GADDMQ-AZQ-DAJ-2022-1249-M</w:t>
      </w:r>
      <w:r>
        <w:rPr>
          <w:rFonts w:ascii="Tahoma" w:hAnsi="Tahoma" w:cs="Tahoma"/>
          <w:b/>
          <w:bCs/>
          <w:color w:val="000000"/>
        </w:rPr>
        <w:t xml:space="preserve"> </w:t>
      </w:r>
      <w:r>
        <w:rPr>
          <w:rFonts w:ascii="Tahoma" w:hAnsi="Tahoma" w:cs="Tahoma"/>
          <w:iCs/>
        </w:rPr>
        <w:t>de 20</w:t>
      </w:r>
      <w:r>
        <w:rPr>
          <w:rFonts w:ascii="Tahoma" w:hAnsi="Tahoma" w:cs="Tahoma"/>
          <w:iCs/>
          <w:color w:val="FF0000"/>
        </w:rPr>
        <w:t xml:space="preserve"> </w:t>
      </w:r>
      <w:r>
        <w:rPr>
          <w:rFonts w:ascii="Tahoma" w:hAnsi="Tahoma" w:cs="Tahoma"/>
          <w:color w:val="000000" w:themeColor="text1"/>
          <w14:textFill>
            <w14:solidFill>
              <w14:schemeClr w14:val="tx1"/>
            </w14:solidFill>
          </w14:textFill>
        </w:rPr>
        <w:t xml:space="preserve">de diciembre de </w:t>
      </w:r>
      <w:r>
        <w:rPr>
          <w:rFonts w:ascii="Tahoma" w:hAnsi="Tahoma" w:cs="Tahoma"/>
          <w:iCs/>
          <w:color w:val="000000" w:themeColor="text1"/>
          <w14:textFill>
            <w14:solidFill>
              <w14:schemeClr w14:val="tx1"/>
            </w14:solidFill>
          </w14:textFill>
        </w:rPr>
        <w:t>2022</w:t>
      </w:r>
      <w:r>
        <w:rPr>
          <w:rFonts w:ascii="Tahoma" w:hAnsi="Tahoma" w:cs="Tahoma"/>
        </w:rPr>
        <w:t>, suscrito por  la Abg. Gabriela Villegas, Directora de Asesoría Jurídica de la Administración Zonal Quitumbe, señala: “</w:t>
      </w:r>
      <w:r>
        <w:rPr>
          <w:rFonts w:ascii="Tahoma" w:hAnsi="Tahoma" w:cs="Tahoma"/>
          <w:i/>
        </w:rPr>
        <w:t xml:space="preserve">(…) 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Pr>
          <w:rFonts w:ascii="Tahoma" w:hAnsi="Tahoma" w:cs="Tahoma"/>
          <w:b/>
          <w:i/>
        </w:rPr>
        <w:t xml:space="preserve">INFORME LEGAL FAVORABLE </w:t>
      </w:r>
      <w:r>
        <w:rPr>
          <w:rFonts w:ascii="Tahoma" w:hAnsi="Tahoma" w:cs="Tahoma"/>
          <w:i/>
        </w:rPr>
        <w:t>para la</w:t>
      </w:r>
      <w:r>
        <w:rPr>
          <w:rFonts w:ascii="Tahoma" w:hAnsi="Tahoma" w:cs="Tahoma"/>
          <w:b/>
          <w:i/>
        </w:rPr>
        <w:t xml:space="preserve"> </w:t>
      </w:r>
      <w:r>
        <w:rPr>
          <w:i/>
        </w:rPr>
        <w:t>REGULARIZACIÓN DEL TRAZADO VIAL DE LA CALLE S/N (S52D), DESDE LA ABSCISA 0+000.00 A LA ABSCISA 0+144.00 DEL BARRIO/SECTOR HEMISFERIO SUR, PARROQUIA GUAMANÍ</w:t>
      </w:r>
      <w:r>
        <w:rPr>
          <w:rFonts w:ascii="Tahoma" w:hAnsi="Tahoma" w:cs="Tahoma"/>
          <w:i/>
        </w:rPr>
        <w:t>, salvo decisión del Concejo Metropolitano de Quito si este considerare procedente cambiar la estructura vial existente (…)”;</w:t>
      </w:r>
    </w:p>
    <w:p>
      <w:pPr>
        <w:spacing w:after="0" w:line="240" w:lineRule="auto"/>
        <w:rPr>
          <w:rFonts w:ascii="Tahoma" w:hAnsi="Tahoma" w:cs="Tahoma"/>
          <w:i/>
        </w:rPr>
      </w:pPr>
    </w:p>
    <w:p>
      <w:pPr>
        <w:autoSpaceDE w:val="0"/>
        <w:autoSpaceDN w:val="0"/>
        <w:adjustRightInd w:val="0"/>
        <w:spacing w:after="0" w:line="240" w:lineRule="auto"/>
        <w:ind w:left="709" w:hanging="709"/>
        <w:rPr>
          <w:rFonts w:ascii="Tahoma" w:hAnsi="Tahoma" w:cs="Tahoma"/>
        </w:rPr>
      </w:pPr>
      <w:r>
        <w:rPr>
          <w:rFonts w:ascii="Tahoma" w:hAnsi="Tahoma" w:cs="Tahoma"/>
          <w:iCs/>
        </w:rPr>
        <w:t xml:space="preserve">Que, </w:t>
      </w:r>
      <w:r>
        <w:rPr>
          <w:rFonts w:ascii="Tahoma" w:hAnsi="Tahoma" w:cs="Tahoma"/>
        </w:rPr>
        <w:tab/>
      </w:r>
      <w:r>
        <w:rPr>
          <w:rFonts w:ascii="Tahoma" w:hAnsi="Tahoma" w:cs="Tahoma"/>
        </w:rPr>
        <w:t xml:space="preserve">mediante oficio No. </w:t>
      </w:r>
      <w:r>
        <w:t>STHV-DMGT-2023-0302-O</w:t>
      </w:r>
      <w:r>
        <w:rPr>
          <w:rFonts w:ascii="Tahoma" w:hAnsi="Tahoma" w:cs="Tahoma"/>
        </w:rPr>
        <w:t xml:space="preserve">, de 24 de enero de 2023, el Ing. Darío Vidal Gudiño Carvajal, Director Metropolitano de Gestión Territorial, emitió el informe técnico correspondiente. </w:t>
      </w:r>
    </w:p>
    <w:p>
      <w:pPr>
        <w:autoSpaceDE w:val="0"/>
        <w:autoSpaceDN w:val="0"/>
        <w:adjustRightInd w:val="0"/>
        <w:spacing w:after="0" w:line="240" w:lineRule="auto"/>
        <w:ind w:left="709" w:hanging="709"/>
        <w:rPr>
          <w:rFonts w:ascii="Tahoma" w:hAnsi="Tahoma" w:cs="Tahoma"/>
          <w:b/>
          <w:i/>
        </w:rPr>
      </w:pPr>
    </w:p>
    <w:p>
      <w:pPr>
        <w:autoSpaceDE w:val="0"/>
        <w:autoSpaceDN w:val="0"/>
        <w:adjustRightInd w:val="0"/>
        <w:spacing w:after="0" w:line="240" w:lineRule="auto"/>
        <w:ind w:left="709" w:hanging="709"/>
        <w:rPr>
          <w:rFonts w:ascii="Tahoma" w:hAnsi="Tahoma" w:cs="Tahoma"/>
        </w:rPr>
      </w:pPr>
      <w:r>
        <w:rPr>
          <w:rFonts w:ascii="Tahoma" w:hAnsi="Tahoma" w:cs="Tahoma"/>
        </w:rPr>
        <w:t xml:space="preserve">Que, </w:t>
      </w:r>
      <w:r>
        <w:rPr>
          <w:rFonts w:ascii="Tahoma" w:hAnsi="Tahoma" w:cs="Tahoma"/>
        </w:rPr>
        <w:tab/>
      </w:r>
      <w:r>
        <w:rPr>
          <w:rFonts w:ascii="Tahoma" w:hAnsi="Tahoma" w:cs="Tahoma"/>
        </w:rPr>
        <w:t xml:space="preserve">la Comisión de Uso de Suelo en sesión ordinaria Nro. 196, de 06 de marzo de 2023, analizó los informes técnicos y legales que reposan en el expediente, y emitió dictamen para conocimiento del Concejo Metropolitano de Quito; </w:t>
      </w:r>
    </w:p>
    <w:p>
      <w:pPr>
        <w:autoSpaceDE w:val="0"/>
        <w:autoSpaceDN w:val="0"/>
        <w:adjustRightInd w:val="0"/>
        <w:spacing w:after="0" w:line="240" w:lineRule="auto"/>
        <w:ind w:left="709" w:hanging="709"/>
        <w:rPr>
          <w:rFonts w:ascii="Tahoma" w:hAnsi="Tahoma" w:cs="Tahoma"/>
        </w:rPr>
      </w:pPr>
    </w:p>
    <w:p>
      <w:pPr>
        <w:autoSpaceDE w:val="0"/>
        <w:autoSpaceDN w:val="0"/>
        <w:adjustRightInd w:val="0"/>
        <w:spacing w:after="0" w:line="240" w:lineRule="auto"/>
        <w:ind w:left="709" w:hanging="709"/>
        <w:rPr>
          <w:rFonts w:ascii="Tahoma" w:hAnsi="Tahoma" w:cs="Tahoma"/>
        </w:rPr>
      </w:pPr>
      <w:r>
        <w:rPr>
          <w:rFonts w:ascii="Tahoma" w:hAnsi="Tahoma" w:cs="Tahoma"/>
        </w:rPr>
        <w:t xml:space="preserve">Que, el Concejo Metropolitano de Quito, en sesión pública ordinaria realizada el </w:t>
      </w:r>
      <w:r>
        <w:rPr>
          <w:rFonts w:ascii="Tahoma" w:hAnsi="Tahoma" w:cs="Tahoma"/>
          <w:iCs/>
        </w:rPr>
        <w:t>…</w:t>
      </w:r>
      <w:r>
        <w:rPr>
          <w:rFonts w:ascii="Tahoma" w:hAnsi="Tahoma" w:cs="Tahoma"/>
        </w:rPr>
        <w:t xml:space="preserve"> de </w:t>
      </w:r>
      <w:r>
        <w:rPr>
          <w:rFonts w:ascii="Tahoma" w:hAnsi="Tahoma" w:cs="Tahoma"/>
          <w:iCs/>
        </w:rPr>
        <w:t xml:space="preserve">… </w:t>
      </w:r>
      <w:r>
        <w:rPr>
          <w:rFonts w:ascii="Tahoma" w:hAnsi="Tahoma" w:cs="Tahoma"/>
        </w:rPr>
        <w:t xml:space="preserve">de </w:t>
      </w:r>
      <w:r>
        <w:rPr>
          <w:rFonts w:ascii="Tahoma" w:hAnsi="Tahoma" w:cs="Tahoma"/>
          <w:iCs/>
        </w:rPr>
        <w:t>…</w:t>
      </w:r>
      <w:r>
        <w:rPr>
          <w:rFonts w:ascii="Tahoma" w:hAnsi="Tahoma" w:cs="Tahoma"/>
        </w:rPr>
        <w:t>, analizó el informe No. IC-O-CUS-2023-005, emitido por la Comisión de Uso de Suelo; y,</w:t>
      </w:r>
    </w:p>
    <w:p>
      <w:pPr>
        <w:ind w:left="709" w:hanging="709"/>
        <w:rPr>
          <w:rFonts w:ascii="Tahoma" w:hAnsi="Tahoma" w:cs="Tahoma"/>
        </w:rPr>
      </w:pPr>
    </w:p>
    <w:p>
      <w:pPr>
        <w:autoSpaceDE w:val="0"/>
        <w:autoSpaceDN w:val="0"/>
        <w:adjustRightInd w:val="0"/>
        <w:spacing w:after="0" w:line="240" w:lineRule="auto"/>
        <w:rPr>
          <w:rFonts w:ascii="Tahoma" w:hAnsi="Tahoma" w:cs="Tahoma"/>
          <w:b/>
          <w:bCs/>
        </w:rPr>
      </w:pPr>
      <w:r>
        <w:rPr>
          <w:rFonts w:ascii="Tahoma" w:hAnsi="Tahoma" w:cs="Tahoma"/>
          <w:b/>
          <w:bCs/>
        </w:rPr>
        <w:t xml:space="preserve">En ejercicio de sus atribuciones previstas en el artículo 240 de la Constitución de la República y artículos 87 letra a); y, 323 del Código Orgánico de Organización Territorial, Autonomía y Descentralización. </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EXPIDE LA SIGUIENTE</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
          <w:bCs/>
          <w:strike/>
          <w:color w:val="FF0000"/>
        </w:rPr>
      </w:pPr>
      <w:r>
        <w:rPr>
          <w:rFonts w:ascii="Tahoma" w:hAnsi="Tahoma" w:cs="Tahoma"/>
          <w:b/>
          <w:bCs/>
        </w:rPr>
        <w:t xml:space="preserve">ORDENANZA PARA LA </w:t>
      </w:r>
      <w:r>
        <w:rPr>
          <w:rFonts w:ascii="Tahoma" w:hAnsi="Tahoma" w:cs="Tahoma"/>
          <w:b/>
        </w:rPr>
        <w:t>REGULARIZACIÓN DEL TRAZADO VIAL DE LA CALLE S/N (S52D), DESDE LA ABSCISA 0+000.00 A LA ABSCISA 0+144.00 DEL BARRIO/SECTOR HEMISFERIO SUR, PARROQUIA GUAMANÍ</w:t>
      </w:r>
    </w:p>
    <w:p>
      <w:pPr>
        <w:rPr>
          <w:rFonts w:ascii="Tahoma" w:hAnsi="Tahoma" w:cs="Tahoma"/>
          <w:b/>
          <w:bCs/>
        </w:rPr>
      </w:pPr>
    </w:p>
    <w:p>
      <w:pPr>
        <w:autoSpaceDE w:val="0"/>
        <w:autoSpaceDN w:val="0"/>
        <w:adjustRightInd w:val="0"/>
        <w:spacing w:after="0" w:line="240" w:lineRule="auto"/>
        <w:rPr>
          <w:rFonts w:ascii="Tahoma" w:hAnsi="Tahoma" w:cs="Tahoma"/>
          <w:bCs/>
          <w:strike/>
          <w:color w:val="FF0000"/>
        </w:rPr>
      </w:pPr>
      <w:r>
        <w:rPr>
          <w:rFonts w:ascii="Tahoma" w:hAnsi="Tahoma" w:cs="Tahoma"/>
          <w:b/>
          <w:bCs/>
        </w:rPr>
        <w:t xml:space="preserve">Artículo 1.- </w:t>
      </w:r>
      <w:r>
        <w:rPr>
          <w:rFonts w:ascii="Tahoma" w:hAnsi="Tahoma" w:cs="Tahoma"/>
          <w:bCs/>
        </w:rPr>
        <w:t xml:space="preserve">Apruébese la </w:t>
      </w:r>
      <w:r>
        <w:rPr>
          <w:rFonts w:ascii="Tahoma" w:hAnsi="Tahoma" w:cs="Tahoma"/>
        </w:rPr>
        <w:t>regularización del trazado vial de la calle s/n (S52D), desde la abscisa 0+000.00 a la abscisa 0+144.00 del barrio/sector Hemisferio Sur, Parroquia Guamaní</w:t>
      </w:r>
      <w:r>
        <w:rPr>
          <w:rFonts w:ascii="Tahoma" w:hAnsi="Tahoma" w:cs="Tahoma"/>
          <w:iCs/>
          <w:color w:val="000000" w:themeColor="text1"/>
          <w14:textFill>
            <w14:solidFill>
              <w14:schemeClr w14:val="tx1"/>
            </w14:solidFill>
          </w14:textFill>
        </w:rPr>
        <w:t xml:space="preserve">, de acuerdo a las siguientes especificaciones técnicas:   </w:t>
      </w:r>
    </w:p>
    <w:p>
      <w:pPr>
        <w:autoSpaceDE w:val="0"/>
        <w:autoSpaceDN w:val="0"/>
        <w:adjustRightInd w:val="0"/>
        <w:spacing w:after="0" w:line="240" w:lineRule="auto"/>
        <w:rPr>
          <w:rFonts w:ascii="Tahoma" w:hAnsi="Tahoma" w:cs="Tahoma"/>
          <w:highlight w:val="yellow"/>
        </w:rPr>
      </w:pPr>
    </w:p>
    <w:p>
      <w:pPr>
        <w:autoSpaceDE w:val="0"/>
        <w:autoSpaceDN w:val="0"/>
        <w:adjustRightInd w:val="0"/>
        <w:spacing w:after="0" w:line="240" w:lineRule="auto"/>
        <w:rPr>
          <w:rFonts w:ascii="Tahoma" w:hAnsi="Tahoma" w:cs="Tahoma"/>
        </w:rPr>
      </w:pPr>
      <w:r>
        <w:rPr>
          <w:rFonts w:ascii="Tahoma" w:hAnsi="Tahoma" w:cs="Tahoma"/>
          <w:b/>
          <w:bCs/>
        </w:rPr>
        <w:t xml:space="preserve">1. Calle S/N (S52D) </w:t>
      </w:r>
      <w:r>
        <w:rPr>
          <w:rFonts w:ascii="Tahoma" w:hAnsi="Tahoma" w:cs="Tahoma"/>
          <w:b/>
        </w:rPr>
        <w:t xml:space="preserve">– tramo desde la abscisa 0+000.00 a la abscisa 0+144.00 </w:t>
      </w:r>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b/>
        </w:rPr>
      </w:pPr>
      <w:r>
        <w:rPr>
          <w:rFonts w:ascii="Tahoma" w:hAnsi="Tahoma" w:cs="Tahoma"/>
          <w:b/>
        </w:rPr>
        <w:t xml:space="preserve">Longitud: </w:t>
      </w:r>
      <w:r>
        <w:rPr>
          <w:rFonts w:ascii="Tahoma" w:hAnsi="Tahoma" w:cs="Tahoma"/>
          <w:b/>
        </w:rPr>
        <w:tab/>
      </w:r>
      <w:r>
        <w:rPr>
          <w:rFonts w:ascii="Tahoma" w:hAnsi="Tahoma" w:cs="Tahoma"/>
          <w:b/>
        </w:rPr>
        <w:t xml:space="preserve">144.00 metros </w:t>
      </w:r>
    </w:p>
    <w:p>
      <w:pPr>
        <w:autoSpaceDE w:val="0"/>
        <w:autoSpaceDN w:val="0"/>
        <w:adjustRightInd w:val="0"/>
        <w:spacing w:after="0" w:line="240" w:lineRule="auto"/>
        <w:rPr>
          <w:rFonts w:ascii="Tahoma" w:hAnsi="Tahoma" w:cs="Tahoma"/>
          <w:b/>
        </w:rPr>
      </w:pPr>
      <w:r>
        <w:rPr>
          <w:rFonts w:ascii="Tahoma" w:hAnsi="Tahoma" w:cs="Tahoma"/>
          <w:b/>
        </w:rPr>
        <w:t xml:space="preserve">Sección transversal total: </w:t>
      </w:r>
      <w:r>
        <w:rPr>
          <w:rFonts w:ascii="Tahoma" w:hAnsi="Tahoma" w:cs="Tahoma"/>
          <w:b/>
        </w:rPr>
        <w:tab/>
      </w:r>
      <w:r>
        <w:rPr>
          <w:rFonts w:ascii="Tahoma" w:hAnsi="Tahoma" w:cs="Tahoma"/>
          <w:b/>
        </w:rPr>
        <w:t>8.00 metros</w:t>
      </w:r>
    </w:p>
    <w:p>
      <w:pPr>
        <w:autoSpaceDE w:val="0"/>
        <w:autoSpaceDN w:val="0"/>
        <w:adjustRightInd w:val="0"/>
        <w:spacing w:after="0" w:line="240" w:lineRule="auto"/>
        <w:rPr>
          <w:rFonts w:ascii="Tahoma" w:hAnsi="Tahoma" w:cs="Tahoma"/>
          <w:b/>
        </w:rPr>
      </w:pPr>
      <w:r>
        <w:rPr>
          <w:rFonts w:ascii="Tahoma" w:hAnsi="Tahoma" w:cs="Tahoma"/>
          <w:b/>
        </w:rPr>
        <w:t xml:space="preserve">Calzada: </w:t>
      </w:r>
      <w:r>
        <w:rPr>
          <w:rFonts w:ascii="Tahoma" w:hAnsi="Tahoma" w:cs="Tahoma"/>
          <w:b/>
        </w:rPr>
        <w:tab/>
      </w:r>
      <w:r>
        <w:rPr>
          <w:rFonts w:ascii="Tahoma" w:hAnsi="Tahoma" w:cs="Tahoma"/>
          <w:b/>
        </w:rPr>
        <w:tab/>
      </w:r>
      <w:r>
        <w:rPr>
          <w:rFonts w:ascii="Tahoma" w:hAnsi="Tahoma" w:cs="Tahoma"/>
          <w:b/>
        </w:rPr>
        <w:tab/>
      </w:r>
      <w:r>
        <w:rPr>
          <w:rFonts w:ascii="Tahoma" w:hAnsi="Tahoma" w:cs="Tahoma"/>
          <w:b/>
        </w:rPr>
        <w:t>5.60 metros</w:t>
      </w:r>
    </w:p>
    <w:p>
      <w:pPr>
        <w:autoSpaceDE w:val="0"/>
        <w:autoSpaceDN w:val="0"/>
        <w:adjustRightInd w:val="0"/>
        <w:spacing w:after="0" w:line="240" w:lineRule="auto"/>
        <w:rPr>
          <w:rFonts w:ascii="Tahoma" w:hAnsi="Tahoma" w:cs="Tahoma"/>
          <w:b/>
        </w:rPr>
      </w:pPr>
      <w:r>
        <w:rPr>
          <w:rFonts w:ascii="Tahoma" w:hAnsi="Tahoma" w:cs="Tahoma"/>
          <w:b/>
        </w:rPr>
        <w:t xml:space="preserve">Aceras: </w:t>
      </w: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1.20 metros a cada lado </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bCs/>
        </w:rPr>
      </w:pPr>
      <w:r>
        <w:rPr>
          <w:rFonts w:ascii="Tahoma" w:hAnsi="Tahoma" w:cs="Tahoma"/>
          <w:b/>
          <w:bCs/>
        </w:rPr>
        <w:t>Artículo 2</w:t>
      </w:r>
      <w:r>
        <w:rPr>
          <w:rFonts w:ascii="Tahoma" w:hAnsi="Tahoma" w:cs="Tahoma"/>
          <w:bCs/>
        </w:rPr>
        <w:t>.- Los Planos de Diseño Vial son dos</w:t>
      </w:r>
      <w:r>
        <w:rPr>
          <w:rFonts w:hint="default" w:ascii="Tahoma" w:hAnsi="Tahoma" w:cs="Tahoma"/>
          <w:bCs/>
          <w:lang w:val="es-EC"/>
        </w:rPr>
        <w:t xml:space="preserve">, uno </w:t>
      </w:r>
      <w:r>
        <w:rPr>
          <w:rFonts w:ascii="Tahoma" w:hAnsi="Tahoma" w:cs="Tahoma"/>
          <w:bCs/>
        </w:rPr>
        <w:t>en archivo pdf y uno en archivo pwg</w:t>
      </w:r>
      <w:r>
        <w:rPr>
          <w:rFonts w:hint="default" w:ascii="Tahoma" w:hAnsi="Tahoma" w:cs="Tahoma"/>
          <w:bCs/>
          <w:lang w:val="es-EC"/>
        </w:rPr>
        <w:t>,</w:t>
      </w:r>
      <w:r>
        <w:rPr>
          <w:rFonts w:ascii="Tahoma" w:hAnsi="Tahoma" w:cs="Tahoma"/>
          <w:bCs/>
        </w:rPr>
        <w:t xml:space="preserve">  adjunto</w:t>
      </w:r>
      <w:r>
        <w:rPr>
          <w:rFonts w:hint="default" w:ascii="Tahoma" w:hAnsi="Tahoma" w:cs="Tahoma"/>
          <w:bCs/>
          <w:lang w:val="es-EC"/>
        </w:rPr>
        <w:t>s</w:t>
      </w:r>
      <w:r>
        <w:rPr>
          <w:rFonts w:ascii="Tahoma" w:hAnsi="Tahoma" w:cs="Tahoma"/>
          <w:bCs/>
        </w:rPr>
        <w:t xml:space="preserve"> al oficio No. </w:t>
      </w:r>
      <w:r>
        <w:rPr>
          <w:rFonts w:hint="default" w:ascii="Tahoma" w:hAnsi="Tahoma" w:cs="Tahoma"/>
          <w:bCs/>
        </w:rPr>
        <w:t>STHV-DMGT-2023-0302-O</w:t>
      </w:r>
      <w:r>
        <w:rPr>
          <w:rFonts w:ascii="Tahoma" w:hAnsi="Tahoma" w:cs="Tahoma"/>
          <w:bCs/>
        </w:rPr>
        <w:t>, se anexa</w:t>
      </w:r>
      <w:r>
        <w:rPr>
          <w:rFonts w:hint="default" w:ascii="Tahoma" w:hAnsi="Tahoma" w:cs="Tahoma"/>
          <w:bCs/>
          <w:lang w:val="es-EC"/>
        </w:rPr>
        <w:t>n</w:t>
      </w:r>
      <w:r>
        <w:rPr>
          <w:rFonts w:ascii="Tahoma" w:hAnsi="Tahoma" w:cs="Tahoma"/>
          <w:bCs/>
        </w:rPr>
        <w:t xml:space="preserve"> como parte integrante de la presente ordenanza. </w:t>
      </w:r>
      <w:bookmarkStart w:id="0" w:name="_GoBack"/>
      <w:bookmarkEnd w:id="0"/>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bCs/>
        </w:rPr>
      </w:pPr>
      <w:r>
        <w:rPr>
          <w:rFonts w:ascii="Tahoma" w:hAnsi="Tahoma" w:cs="Tahoma"/>
          <w:b/>
          <w:bCs/>
        </w:rPr>
        <w:t xml:space="preserve">Disposición general única: </w:t>
      </w:r>
      <w:r>
        <w:rPr>
          <w:rFonts w:ascii="Tahoma" w:hAnsi="Tahoma" w:cs="Tahoma"/>
          <w:bCs/>
        </w:rPr>
        <w:t>La presente Ordenanza se aprueba con base en los informes que son de exclusiva responsabilidad de los funcionarios que lo suscriben y realizan.</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hint="default" w:ascii="Tahoma" w:hAnsi="Tahoma" w:cs="Tahoma"/>
          <w:b/>
          <w:bCs/>
          <w:lang w:val="es-EC"/>
        </w:rPr>
      </w:pPr>
      <w:r>
        <w:rPr>
          <w:rFonts w:ascii="Tahoma" w:hAnsi="Tahoma" w:cs="Tahoma"/>
          <w:b/>
          <w:bCs/>
        </w:rPr>
        <w:t>Disposiciones transitoria</w:t>
      </w:r>
      <w:r>
        <w:rPr>
          <w:rFonts w:hint="default" w:ascii="Tahoma" w:hAnsi="Tahoma" w:cs="Tahoma"/>
          <w:b/>
          <w:bCs/>
          <w:lang w:val="es-EC"/>
        </w:rPr>
        <w:t xml:space="preserve">s: </w:t>
      </w:r>
    </w:p>
    <w:p>
      <w:pPr>
        <w:autoSpaceDE w:val="0"/>
        <w:autoSpaceDN w:val="0"/>
        <w:adjustRightInd w:val="0"/>
        <w:spacing w:after="0" w:line="240" w:lineRule="auto"/>
        <w:rPr>
          <w:rFonts w:ascii="Tahoma" w:hAnsi="Tahoma" w:cs="Tahoma"/>
          <w:b/>
          <w:bCs/>
        </w:rPr>
      </w:pPr>
    </w:p>
    <w:p>
      <w:pPr>
        <w:autoSpaceDE w:val="0"/>
        <w:autoSpaceDN w:val="0"/>
        <w:adjustRightInd w:val="0"/>
        <w:spacing w:after="0" w:line="240" w:lineRule="auto"/>
        <w:rPr>
          <w:rFonts w:ascii="Tahoma" w:hAnsi="Tahoma" w:cs="Tahoma"/>
        </w:rPr>
      </w:pPr>
      <w:r>
        <w:rPr>
          <w:rFonts w:ascii="Tahoma" w:hAnsi="Tahoma" w:cs="Tahoma"/>
          <w:b/>
          <w:bCs/>
        </w:rPr>
        <w:t xml:space="preserve">Primera: </w:t>
      </w:r>
      <w:r>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rPr>
      </w:pPr>
      <w:r>
        <w:rPr>
          <w:rFonts w:ascii="Tahoma" w:hAnsi="Tahoma" w:cs="Tahoma"/>
          <w:b/>
        </w:rPr>
        <w:t xml:space="preserve">Segunda: </w:t>
      </w:r>
      <w:r>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pPr>
        <w:autoSpaceDE w:val="0"/>
        <w:autoSpaceDN w:val="0"/>
        <w:adjustRightInd w:val="0"/>
        <w:spacing w:after="0" w:line="240" w:lineRule="auto"/>
        <w:rPr>
          <w:rFonts w:ascii="Tahoma" w:hAnsi="Tahoma" w:cs="Tahoma"/>
        </w:rPr>
      </w:pPr>
    </w:p>
    <w:p>
      <w:pPr>
        <w:autoSpaceDE w:val="0"/>
        <w:autoSpaceDN w:val="0"/>
        <w:adjustRightInd w:val="0"/>
        <w:spacing w:after="0" w:line="240" w:lineRule="auto"/>
        <w:rPr>
          <w:rFonts w:ascii="Tahoma" w:hAnsi="Tahoma" w:cs="Tahoma"/>
        </w:rPr>
      </w:pPr>
      <w:r>
        <w:rPr>
          <w:rFonts w:ascii="Tahoma" w:hAnsi="Tahoma" w:cs="Tahoma"/>
          <w:b/>
        </w:rPr>
        <w:t xml:space="preserve">Tercera: </w:t>
      </w:r>
      <w:r>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pPr>
        <w:autoSpaceDE w:val="0"/>
        <w:autoSpaceDN w:val="0"/>
        <w:adjustRightInd w:val="0"/>
        <w:spacing w:after="0" w:line="240" w:lineRule="auto"/>
        <w:rPr>
          <w:rFonts w:ascii="Tahoma" w:hAnsi="Tahoma" w:cs="Tahoma"/>
        </w:rPr>
      </w:pPr>
    </w:p>
    <w:p>
      <w:pPr>
        <w:autoSpaceDE w:val="0"/>
        <w:autoSpaceDN w:val="0"/>
        <w:adjustRightInd w:val="0"/>
        <w:rPr>
          <w:rFonts w:ascii="Tahoma" w:hAnsi="Tahoma" w:cs="Tahoma"/>
        </w:rPr>
      </w:pPr>
      <w:r>
        <w:rPr>
          <w:rFonts w:ascii="Tahoma" w:hAnsi="Tahoma" w:cs="Tahoma"/>
          <w:b/>
        </w:rPr>
        <w:t xml:space="preserve">Disposición Final.- </w:t>
      </w:r>
      <w:r>
        <w:rPr>
          <w:rFonts w:ascii="Tahoma" w:hAnsi="Tahoma" w:cs="Tahoma"/>
        </w:rPr>
        <w:t>Esta ordenanza entrará en  vigencia a partir de la fecha de su sanción, sin perjuicio de la publicación en la página web institucional de la Municipalidad.</w:t>
      </w:r>
    </w:p>
    <w:p>
      <w:pPr>
        <w:autoSpaceDE w:val="0"/>
        <w:autoSpaceDN w:val="0"/>
        <w:adjustRightInd w:val="0"/>
        <w:rPr>
          <w:rFonts w:ascii="Tahoma" w:hAnsi="Tahoma" w:cs="Tahoma"/>
          <w:b/>
        </w:rPr>
      </w:pPr>
      <w:r>
        <w:rPr>
          <w:rFonts w:ascii="Tahoma" w:hAnsi="Tahoma" w:cs="Tahoma"/>
          <w:b/>
        </w:rPr>
        <w:t>Dada, en la Sala de Sesiones del Concejo Metropolitano de Quito, el … de … del 2023.</w:t>
      </w: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p>
    <w:p>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pPr>
        <w:autoSpaceDE w:val="0"/>
        <w:autoSpaceDN w:val="0"/>
        <w:adjustRightInd w:val="0"/>
        <w:spacing w:after="0" w:line="240" w:lineRule="auto"/>
        <w:jc w:val="center"/>
        <w:rPr>
          <w:rFonts w:ascii="Tahoma" w:hAnsi="Tahoma" w:cs="Tahoma"/>
          <w:b/>
        </w:rPr>
      </w:pPr>
      <w:r>
        <w:rPr>
          <w:rFonts w:ascii="Tahoma" w:hAnsi="Tahoma" w:cs="Tahoma"/>
          <w:b/>
        </w:rPr>
        <w:t>SECRETARIA GENERAL DEL CONCEJO METROPOLITANO DE QUITO</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r>
        <w:rPr>
          <w:rFonts w:ascii="Tahoma" w:hAnsi="Tahoma" w:cs="Tahoma"/>
          <w:b/>
        </w:rPr>
        <w:t>CERTIFICADO DE DISCUSIÓN</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El infrascrito Secretario General del Concejo Metropolitano de Quito, certifica que la presente ordenanza fue discutida y aprobada en … debates, en sesiones de .. y … de … de 2022.</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jc w:val="center"/>
        <w:rPr>
          <w:rFonts w:ascii="Tahoma" w:hAnsi="Tahoma" w:cs="Tahoma"/>
        </w:rPr>
      </w:pPr>
      <w:r>
        <w:rPr>
          <w:rFonts w:ascii="Tahoma" w:hAnsi="Tahoma" w:cs="Tahoma"/>
          <w:b/>
        </w:rPr>
        <w:tab/>
      </w:r>
      <w:r>
        <w:rPr>
          <w:rFonts w:ascii="Tahoma" w:hAnsi="Tahoma" w:cs="Tahoma"/>
        </w:rPr>
        <w:t xml:space="preserve">Abg. Pablo Antonio Santillán Paredes </w:t>
      </w:r>
    </w:p>
    <w:p>
      <w:pPr>
        <w:autoSpaceDE w:val="0"/>
        <w:autoSpaceDN w:val="0"/>
        <w:adjustRightInd w:val="0"/>
        <w:spacing w:after="0" w:line="240" w:lineRule="auto"/>
        <w:jc w:val="center"/>
        <w:rPr>
          <w:rFonts w:ascii="Tahoma" w:hAnsi="Tahoma" w:cs="Tahoma"/>
          <w:b/>
        </w:rPr>
      </w:pPr>
      <w:r>
        <w:rPr>
          <w:rFonts w:ascii="Tahoma" w:hAnsi="Tahoma" w:cs="Tahoma"/>
          <w:b/>
        </w:rPr>
        <w:t xml:space="preserve">SECRETARIA GENERAL DEL CONCEJO METROPOLITANO DE QUITO </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ALCALDIA DEL DISTRITO METROPOLITANO DE QUITO, .. de… del 2022.</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EJECÚTESE</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Dr. Santiago Guarderas</w:t>
      </w:r>
    </w:p>
    <w:p>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ALCALDE DEL DISTRITO EMTROPOLITANO DE QUITO</w:t>
      </w:r>
    </w:p>
    <w:p>
      <w:pPr>
        <w:autoSpaceDE w:val="0"/>
        <w:autoSpaceDN w:val="0"/>
        <w:adjustRightInd w:val="0"/>
        <w:spacing w:after="0" w:line="240" w:lineRule="auto"/>
        <w:rPr>
          <w:rFonts w:ascii="Tahoma" w:hAnsi="Tahoma" w:cs="Tahoma"/>
          <w:b/>
        </w:rPr>
      </w:pPr>
    </w:p>
    <w:p>
      <w:pPr>
        <w:autoSpaceDE w:val="0"/>
        <w:autoSpaceDN w:val="0"/>
        <w:adjustRightInd w:val="0"/>
        <w:spacing w:after="0" w:line="240" w:lineRule="auto"/>
        <w:rPr>
          <w:rFonts w:ascii="Tahoma" w:hAnsi="Tahoma" w:cs="Tahoma"/>
          <w:b/>
        </w:rPr>
      </w:pPr>
      <w:r>
        <w:rPr>
          <w:rFonts w:ascii="Tahoma" w:hAnsi="Tahoma" w:cs="Tahoma"/>
          <w:b/>
        </w:rPr>
        <w:t>CERTIFICO, que la presente ordenanza fue sancionada por el Dr. Santiago Guarderas, Alcalde del Distrito Metropolitano de Quito, el … de … de …2022.</w:t>
      </w: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b/>
        </w:rPr>
      </w:pPr>
    </w:p>
    <w:p>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pPr>
        <w:autoSpaceDE w:val="0"/>
        <w:autoSpaceDN w:val="0"/>
        <w:adjustRightInd w:val="0"/>
        <w:spacing w:after="0" w:line="240" w:lineRule="auto"/>
        <w:jc w:val="center"/>
        <w:rPr>
          <w:rFonts w:ascii="Tahoma" w:hAnsi="Tahoma" w:cs="Tahoma"/>
          <w:b/>
        </w:rPr>
      </w:pPr>
      <w:r>
        <w:rPr>
          <w:rFonts w:ascii="Tahoma" w:hAnsi="Tahoma" w:cs="Tahoma"/>
          <w:b/>
        </w:rPr>
        <w:t xml:space="preserve">SECRETARIA GENERAL DEL CONCEJO METROPOLITANO DE QUITO </w:t>
      </w:r>
    </w:p>
    <w:sectPr>
      <w:headerReference r:id="rId5" w:type="default"/>
      <w:footerReference r:id="rId6" w:type="default"/>
      <w:pgSz w:w="11906" w:h="16838"/>
      <w:pgMar w:top="2836"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6847799"/>
      <w:docPartObj>
        <w:docPartGallery w:val="AutoText"/>
      </w:docPartObj>
    </w:sdtPr>
    <w:sdtContent>
      <w:p>
        <w:pPr>
          <w:pStyle w:val="10"/>
          <w:jc w:val="right"/>
        </w:pPr>
        <w:r>
          <w:fldChar w:fldCharType="begin"/>
        </w:r>
        <w:r>
          <w:instrText xml:space="preserve">PAGE   \* MERGEFORMAT</w:instrText>
        </w:r>
        <w:r>
          <w:fldChar w:fldCharType="separate"/>
        </w:r>
        <w:r>
          <w:rPr>
            <w:lang w:val="es-ES"/>
          </w:rPr>
          <w:t>5</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Palatino Linotype" w:hAnsi="Palatino Linotype"/>
        <w:b/>
        <w:lang w:eastAsia="es-EC"/>
      </w:rPr>
      <w:drawing>
        <wp:anchor distT="0" distB="0" distL="114300" distR="114300" simplePos="0" relativeHeight="251659264" behindDoc="0" locked="0" layoutInCell="1" allowOverlap="1">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pPr>
      <w:pStyle w:val="2"/>
      <w:rPr>
        <w:rFonts w:ascii="Palatino Linotype" w:hAnsi="Palatino Linotype"/>
        <w:color w:val="000000" w:themeColor="text1"/>
        <w:sz w:val="22"/>
        <w:szCs w:val="22"/>
        <w14:textFill>
          <w14:solidFill>
            <w14:schemeClr w14:val="tx1"/>
          </w14:solidFill>
        </w14:textFill>
      </w:rPr>
    </w:pPr>
  </w:p>
  <w:p>
    <w:pPr>
      <w:pStyle w:val="2"/>
      <w:rPr>
        <w:rFonts w:ascii="Palatino Linotype" w:hAnsi="Palatino Linotype"/>
        <w:color w:val="000000" w:themeColor="text1"/>
        <w:sz w:val="22"/>
        <w:szCs w:val="22"/>
        <w14:textFill>
          <w14:solidFill>
            <w14:schemeClr w14:val="tx1"/>
          </w14:solidFill>
        </w14:textFill>
      </w:rPr>
    </w:pPr>
  </w:p>
  <w:p>
    <w:pPr>
      <w:pStyle w:val="2"/>
      <w:rPr>
        <w:rFonts w:ascii="Palatino Linotype" w:hAnsi="Palatino Linotype"/>
        <w:color w:val="000000" w:themeColor="text1"/>
        <w:sz w:val="22"/>
        <w:szCs w:val="22"/>
        <w14:textFill>
          <w14:solidFill>
            <w14:schemeClr w14:val="tx1"/>
          </w14:solidFill>
        </w14:textFill>
      </w:rPr>
    </w:pPr>
  </w:p>
  <w:p>
    <w:pPr>
      <w:pStyle w:val="2"/>
      <w:rPr>
        <w:rFonts w:ascii="Palatino Linotype" w:hAnsi="Palatino Linotype"/>
        <w:b w:val="0"/>
        <w:bCs w:val="0"/>
        <w:color w:val="000000" w:themeColor="text1"/>
        <w:sz w:val="22"/>
        <w:szCs w:val="22"/>
        <w14:textFill>
          <w14:solidFill>
            <w14:schemeClr w14:val="tx1"/>
          </w14:solidFill>
        </w14:textFill>
      </w:rPr>
    </w:pPr>
    <w:r>
      <w:rPr>
        <w:rFonts w:ascii="Palatino Linotype" w:hAnsi="Palatino Linotype"/>
        <w:color w:val="000000" w:themeColor="text1"/>
        <w:sz w:val="22"/>
        <w:szCs w:val="22"/>
        <w14:textFill>
          <w14:solidFill>
            <w14:schemeClr w14:val="tx1"/>
          </w14:solidFill>
        </w14:textFill>
      </w:rPr>
      <w:t xml:space="preserve">                             ORDENANZA METROPOLITANA No. xxxxx</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4B0"/>
    <w:rsid w:val="0004206C"/>
    <w:rsid w:val="000505D5"/>
    <w:rsid w:val="00054343"/>
    <w:rsid w:val="00076B6F"/>
    <w:rsid w:val="0008335A"/>
    <w:rsid w:val="000F4E77"/>
    <w:rsid w:val="000F79D4"/>
    <w:rsid w:val="00116EE6"/>
    <w:rsid w:val="00155526"/>
    <w:rsid w:val="00155E58"/>
    <w:rsid w:val="001834B8"/>
    <w:rsid w:val="00196CC7"/>
    <w:rsid w:val="001A52A8"/>
    <w:rsid w:val="001D15EE"/>
    <w:rsid w:val="001E10A9"/>
    <w:rsid w:val="001F7F17"/>
    <w:rsid w:val="0022797A"/>
    <w:rsid w:val="00234189"/>
    <w:rsid w:val="00247369"/>
    <w:rsid w:val="00283EE8"/>
    <w:rsid w:val="00291FCF"/>
    <w:rsid w:val="002C06F9"/>
    <w:rsid w:val="002E5FBB"/>
    <w:rsid w:val="002F198A"/>
    <w:rsid w:val="002F32F0"/>
    <w:rsid w:val="002F509F"/>
    <w:rsid w:val="00302676"/>
    <w:rsid w:val="00352D87"/>
    <w:rsid w:val="00372D6B"/>
    <w:rsid w:val="003B4BDB"/>
    <w:rsid w:val="003B4F3F"/>
    <w:rsid w:val="003D7C9B"/>
    <w:rsid w:val="003F6E01"/>
    <w:rsid w:val="00410179"/>
    <w:rsid w:val="004A0DB6"/>
    <w:rsid w:val="004A39EC"/>
    <w:rsid w:val="004B7475"/>
    <w:rsid w:val="004D6B65"/>
    <w:rsid w:val="005302DC"/>
    <w:rsid w:val="00555C66"/>
    <w:rsid w:val="00584A13"/>
    <w:rsid w:val="00585E42"/>
    <w:rsid w:val="005878A4"/>
    <w:rsid w:val="00587F4C"/>
    <w:rsid w:val="00592AFD"/>
    <w:rsid w:val="005B1388"/>
    <w:rsid w:val="005B1B6E"/>
    <w:rsid w:val="005C4831"/>
    <w:rsid w:val="005D6D9E"/>
    <w:rsid w:val="005F3F9E"/>
    <w:rsid w:val="006103EE"/>
    <w:rsid w:val="006361F4"/>
    <w:rsid w:val="00676CFB"/>
    <w:rsid w:val="0069338B"/>
    <w:rsid w:val="006A0D8E"/>
    <w:rsid w:val="006A614F"/>
    <w:rsid w:val="00700B25"/>
    <w:rsid w:val="00703AEF"/>
    <w:rsid w:val="00710159"/>
    <w:rsid w:val="00733262"/>
    <w:rsid w:val="00742379"/>
    <w:rsid w:val="00746B84"/>
    <w:rsid w:val="00766312"/>
    <w:rsid w:val="007819CC"/>
    <w:rsid w:val="00796337"/>
    <w:rsid w:val="007D7B2E"/>
    <w:rsid w:val="007E4EF2"/>
    <w:rsid w:val="00822C54"/>
    <w:rsid w:val="008908E6"/>
    <w:rsid w:val="008B0317"/>
    <w:rsid w:val="008C08AE"/>
    <w:rsid w:val="008C24F1"/>
    <w:rsid w:val="008C7F74"/>
    <w:rsid w:val="00912906"/>
    <w:rsid w:val="00962E13"/>
    <w:rsid w:val="00983F0B"/>
    <w:rsid w:val="009A302B"/>
    <w:rsid w:val="009E3B28"/>
    <w:rsid w:val="009E41B8"/>
    <w:rsid w:val="00A13FEB"/>
    <w:rsid w:val="00A223DF"/>
    <w:rsid w:val="00A562E5"/>
    <w:rsid w:val="00A62768"/>
    <w:rsid w:val="00A67F57"/>
    <w:rsid w:val="00A87D5F"/>
    <w:rsid w:val="00A91745"/>
    <w:rsid w:val="00AB093D"/>
    <w:rsid w:val="00AC1397"/>
    <w:rsid w:val="00B10935"/>
    <w:rsid w:val="00B2522E"/>
    <w:rsid w:val="00B25559"/>
    <w:rsid w:val="00B44586"/>
    <w:rsid w:val="00B532B3"/>
    <w:rsid w:val="00B6599A"/>
    <w:rsid w:val="00B7170E"/>
    <w:rsid w:val="00B81C42"/>
    <w:rsid w:val="00B92403"/>
    <w:rsid w:val="00B94366"/>
    <w:rsid w:val="00BB20A4"/>
    <w:rsid w:val="00BC2486"/>
    <w:rsid w:val="00BD3013"/>
    <w:rsid w:val="00BE6E4E"/>
    <w:rsid w:val="00BF3EC5"/>
    <w:rsid w:val="00BF42BF"/>
    <w:rsid w:val="00C30341"/>
    <w:rsid w:val="00C3515F"/>
    <w:rsid w:val="00C50C47"/>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 w:val="00FF3B18"/>
    <w:rsid w:val="697132D8"/>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HAnsi" w:cstheme="minorBidi"/>
      <w:sz w:val="20"/>
      <w:szCs w:val="20"/>
      <w:lang w:val="es-EC" w:eastAsia="en-US" w:bidi="ar-SA"/>
    </w:rPr>
  </w:style>
  <w:style w:type="paragraph" w:styleId="2">
    <w:name w:val="heading 1"/>
    <w:basedOn w:val="1"/>
    <w:next w:val="1"/>
    <w:link w:val="21"/>
    <w:qFormat/>
    <w:uiPriority w:val="1"/>
    <w:pPr>
      <w:widowControl w:val="0"/>
      <w:autoSpaceDE w:val="0"/>
      <w:autoSpaceDN w:val="0"/>
      <w:spacing w:before="79" w:after="0" w:line="240" w:lineRule="auto"/>
      <w:ind w:left="120" w:right="2101"/>
      <w:jc w:val="center"/>
      <w:outlineLvl w:val="0"/>
    </w:pPr>
    <w:rPr>
      <w:rFonts w:ascii="Arial" w:hAnsi="Arial" w:eastAsia="Arial" w:cs="Arial"/>
      <w:b/>
      <w:bCs/>
      <w:sz w:val="24"/>
      <w:szCs w:val="24"/>
      <w:lang w:val="es-E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uiPriority w:val="99"/>
    <w:pPr>
      <w:spacing w:after="0" w:line="240" w:lineRule="auto"/>
    </w:pPr>
    <w:rPr>
      <w:rFonts w:ascii="Segoe UI" w:hAnsi="Segoe UI" w:cs="Segoe UI"/>
      <w:sz w:val="18"/>
      <w:szCs w:val="18"/>
    </w:rPr>
  </w:style>
  <w:style w:type="character" w:styleId="6">
    <w:name w:val="annotation reference"/>
    <w:basedOn w:val="3"/>
    <w:semiHidden/>
    <w:unhideWhenUsed/>
    <w:uiPriority w:val="99"/>
    <w:rPr>
      <w:sz w:val="16"/>
      <w:szCs w:val="16"/>
    </w:rPr>
  </w:style>
  <w:style w:type="paragraph" w:styleId="7">
    <w:name w:val="annotation text"/>
    <w:basedOn w:val="1"/>
    <w:link w:val="15"/>
    <w:semiHidden/>
    <w:unhideWhenUsed/>
    <w:uiPriority w:val="99"/>
    <w:pPr>
      <w:spacing w:line="240" w:lineRule="auto"/>
    </w:pPr>
  </w:style>
  <w:style w:type="paragraph" w:styleId="8">
    <w:name w:val="annotation subject"/>
    <w:basedOn w:val="7"/>
    <w:next w:val="7"/>
    <w:link w:val="16"/>
    <w:semiHidden/>
    <w:unhideWhenUsed/>
    <w:uiPriority w:val="99"/>
    <w:rPr>
      <w:b/>
      <w:bCs/>
    </w:rPr>
  </w:style>
  <w:style w:type="character" w:styleId="9">
    <w:name w:val="Emphasis"/>
    <w:basedOn w:val="3"/>
    <w:qFormat/>
    <w:uiPriority w:val="20"/>
    <w:rPr>
      <w:i/>
      <w:iCs/>
    </w:rPr>
  </w:style>
  <w:style w:type="paragraph" w:styleId="10">
    <w:name w:val="footer"/>
    <w:basedOn w:val="1"/>
    <w:link w:val="14"/>
    <w:unhideWhenUsed/>
    <w:uiPriority w:val="99"/>
    <w:pPr>
      <w:tabs>
        <w:tab w:val="center" w:pos="4252"/>
        <w:tab w:val="right" w:pos="8504"/>
      </w:tabs>
      <w:spacing w:after="0" w:line="240" w:lineRule="auto"/>
    </w:pPr>
  </w:style>
  <w:style w:type="paragraph" w:styleId="11">
    <w:name w:val="header"/>
    <w:basedOn w:val="1"/>
    <w:link w:val="13"/>
    <w:unhideWhenUsed/>
    <w:uiPriority w:val="99"/>
    <w:pPr>
      <w:tabs>
        <w:tab w:val="center" w:pos="4252"/>
        <w:tab w:val="right" w:pos="8504"/>
      </w:tabs>
      <w:spacing w:after="0" w:line="240" w:lineRule="auto"/>
    </w:pPr>
  </w:style>
  <w:style w:type="character" w:styleId="12">
    <w:name w:val="Strong"/>
    <w:basedOn w:val="3"/>
    <w:qFormat/>
    <w:uiPriority w:val="22"/>
    <w:rPr>
      <w:b/>
      <w:bCs/>
    </w:rPr>
  </w:style>
  <w:style w:type="character" w:customStyle="1" w:styleId="13">
    <w:name w:val="Encabezado Car"/>
    <w:basedOn w:val="3"/>
    <w:link w:val="11"/>
    <w:uiPriority w:val="99"/>
    <w:rPr>
      <w:sz w:val="20"/>
      <w:szCs w:val="20"/>
      <w:lang w:val="es-EC"/>
    </w:rPr>
  </w:style>
  <w:style w:type="character" w:customStyle="1" w:styleId="14">
    <w:name w:val="Pie de página Car"/>
    <w:basedOn w:val="3"/>
    <w:link w:val="10"/>
    <w:uiPriority w:val="99"/>
    <w:rPr>
      <w:sz w:val="20"/>
      <w:szCs w:val="20"/>
      <w:lang w:val="es-EC"/>
    </w:rPr>
  </w:style>
  <w:style w:type="character" w:customStyle="1" w:styleId="15">
    <w:name w:val="Texto comentario Car"/>
    <w:basedOn w:val="3"/>
    <w:link w:val="7"/>
    <w:semiHidden/>
    <w:uiPriority w:val="99"/>
    <w:rPr>
      <w:sz w:val="20"/>
      <w:szCs w:val="20"/>
      <w:lang w:val="es-EC"/>
    </w:rPr>
  </w:style>
  <w:style w:type="character" w:customStyle="1" w:styleId="16">
    <w:name w:val="Asunto del comentario Car"/>
    <w:basedOn w:val="15"/>
    <w:link w:val="8"/>
    <w:semiHidden/>
    <w:uiPriority w:val="99"/>
    <w:rPr>
      <w:b/>
      <w:bCs/>
      <w:sz w:val="20"/>
      <w:szCs w:val="20"/>
      <w:lang w:val="es-EC"/>
    </w:rPr>
  </w:style>
  <w:style w:type="character" w:customStyle="1" w:styleId="17">
    <w:name w:val="Texto de globo Car"/>
    <w:basedOn w:val="3"/>
    <w:link w:val="5"/>
    <w:semiHidden/>
    <w:uiPriority w:val="99"/>
    <w:rPr>
      <w:rFonts w:ascii="Segoe UI" w:hAnsi="Segoe UI" w:cs="Segoe UI"/>
      <w:sz w:val="18"/>
      <w:szCs w:val="18"/>
      <w:lang w:val="es-EC"/>
    </w:rPr>
  </w:style>
  <w:style w:type="paragraph" w:styleId="18">
    <w:name w:val="List Paragraph"/>
    <w:basedOn w:val="1"/>
    <w:link w:val="19"/>
    <w:qFormat/>
    <w:uiPriority w:val="34"/>
    <w:pPr>
      <w:suppressAutoHyphens/>
      <w:spacing w:after="0" w:line="240" w:lineRule="auto"/>
      <w:ind w:left="708"/>
      <w:jc w:val="left"/>
    </w:pPr>
    <w:rPr>
      <w:rFonts w:ascii="Times New Roman" w:hAnsi="Times New Roman" w:eastAsia="Times New Roman" w:cs="Times New Roman"/>
      <w:sz w:val="24"/>
      <w:szCs w:val="24"/>
      <w:lang w:eastAsia="ar-SA"/>
    </w:rPr>
  </w:style>
  <w:style w:type="character" w:customStyle="1" w:styleId="19">
    <w:name w:val="Párrafo de lista Car"/>
    <w:basedOn w:val="3"/>
    <w:link w:val="18"/>
    <w:qFormat/>
    <w:uiPriority w:val="34"/>
    <w:rPr>
      <w:rFonts w:ascii="Times New Roman" w:hAnsi="Times New Roman" w:eastAsia="Times New Roman" w:cs="Times New Roman"/>
      <w:sz w:val="24"/>
      <w:szCs w:val="24"/>
      <w:lang w:val="es-EC" w:eastAsia="ar-SA"/>
    </w:rPr>
  </w:style>
  <w:style w:type="character" w:customStyle="1" w:styleId="20">
    <w:name w:val="leidos"/>
    <w:basedOn w:val="3"/>
    <w:uiPriority w:val="0"/>
  </w:style>
  <w:style w:type="character" w:customStyle="1" w:styleId="21">
    <w:name w:val="Título 1 Car"/>
    <w:basedOn w:val="3"/>
    <w:link w:val="2"/>
    <w:uiPriority w:val="1"/>
    <w:rPr>
      <w:rFonts w:ascii="Arial" w:hAnsi="Arial" w:eastAsia="Arial" w:cs="Arial"/>
      <w:b/>
      <w:bCs/>
      <w:sz w:val="24"/>
      <w:szCs w:val="24"/>
      <w:lang w:val="es-E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39CA-FCF8-4C9B-A0AE-54EBD530AC98}">
  <ds:schemaRefs/>
</ds:datastoreItem>
</file>

<file path=docProps/app.xml><?xml version="1.0" encoding="utf-8"?>
<Properties xmlns="http://schemas.openxmlformats.org/officeDocument/2006/extended-properties" xmlns:vt="http://schemas.openxmlformats.org/officeDocument/2006/docPropsVTypes">
  <Template>Normal</Template>
  <Pages>6</Pages>
  <Words>2383</Words>
  <Characters>13109</Characters>
  <Lines>109</Lines>
  <Paragraphs>30</Paragraphs>
  <TotalTime>15</TotalTime>
  <ScaleCrop>false</ScaleCrop>
  <LinksUpToDate>false</LinksUpToDate>
  <CharactersWithSpaces>15462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2023-02-01T14:41:00Z</dcterms:created>
  <dc:creator>María Sol Mera</dc:creator>
  <cp:lastModifiedBy>mcaleno</cp:lastModifiedBy>
  <cp:lastPrinted>2022-12-09T21:29:00Z</cp:lastPrinted>
  <dcterms:modified xsi:type="dcterms:W3CDTF">2023-08-03T21:09:43Z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BA29F098085947C0A0D59696FB45D055</vt:lpwstr>
  </property>
</Properties>
</file>