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8BD5" w14:textId="77777777" w:rsidR="00BF0610" w:rsidRPr="00E27D20" w:rsidRDefault="00BF0610" w:rsidP="00BF0610">
      <w:pPr>
        <w:autoSpaceDE w:val="0"/>
        <w:autoSpaceDN w:val="0"/>
        <w:adjustRightInd w:val="0"/>
        <w:jc w:val="center"/>
        <w:rPr>
          <w:rFonts w:ascii="Century Gothic" w:hAnsi="Century Gothic"/>
          <w:sz w:val="22"/>
          <w:szCs w:val="22"/>
        </w:rPr>
      </w:pPr>
      <w:r>
        <w:rPr>
          <w:rFonts w:ascii="Century Gothic" w:hAnsi="Century Gothic"/>
          <w:sz w:val="22"/>
          <w:szCs w:val="22"/>
        </w:rPr>
        <w:t>RESOLUCIÓN No. C XXX - 2022</w:t>
      </w:r>
      <w:r w:rsidRPr="00E27D20">
        <w:rPr>
          <w:rFonts w:ascii="Century Gothic" w:hAnsi="Century Gothic"/>
          <w:sz w:val="22"/>
          <w:szCs w:val="22"/>
        </w:rPr>
        <w:t xml:space="preserve"> </w:t>
      </w:r>
    </w:p>
    <w:p w14:paraId="7B0241D1" w14:textId="77777777" w:rsidR="00BF0610" w:rsidRPr="00E27D20" w:rsidRDefault="00BF0610" w:rsidP="00BF0610">
      <w:pPr>
        <w:autoSpaceDE w:val="0"/>
        <w:autoSpaceDN w:val="0"/>
        <w:adjustRightInd w:val="0"/>
        <w:jc w:val="center"/>
        <w:rPr>
          <w:rFonts w:ascii="Century Gothic" w:hAnsi="Century Gothic"/>
          <w:sz w:val="22"/>
          <w:szCs w:val="22"/>
        </w:rPr>
      </w:pPr>
    </w:p>
    <w:p w14:paraId="20A3EE28" w14:textId="77777777" w:rsidR="00BF0610" w:rsidRPr="00E27D20" w:rsidRDefault="00BF0610" w:rsidP="00BF0610">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14:paraId="4BF4387E" w14:textId="77777777" w:rsidR="00BF0610" w:rsidRPr="00E27D20" w:rsidRDefault="00BF0610" w:rsidP="00BF0610">
      <w:pPr>
        <w:autoSpaceDE w:val="0"/>
        <w:autoSpaceDN w:val="0"/>
        <w:adjustRightInd w:val="0"/>
        <w:jc w:val="center"/>
        <w:rPr>
          <w:rFonts w:ascii="Century Gothic" w:hAnsi="Century Gothic"/>
          <w:sz w:val="22"/>
          <w:szCs w:val="22"/>
        </w:rPr>
      </w:pPr>
    </w:p>
    <w:p w14:paraId="732809F2" w14:textId="77777777" w:rsidR="00BF0610" w:rsidRPr="00E27D20" w:rsidRDefault="00BF0610" w:rsidP="00BF0610">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14:paraId="62127063" w14:textId="77777777" w:rsidR="00BF0610" w:rsidRPr="00E27D20" w:rsidRDefault="00BF0610" w:rsidP="00BF0610">
      <w:pPr>
        <w:autoSpaceDE w:val="0"/>
        <w:autoSpaceDN w:val="0"/>
        <w:adjustRightInd w:val="0"/>
        <w:jc w:val="center"/>
        <w:rPr>
          <w:rFonts w:ascii="Century Gothic" w:hAnsi="Century Gothic"/>
          <w:sz w:val="22"/>
          <w:szCs w:val="22"/>
        </w:rPr>
      </w:pPr>
    </w:p>
    <w:p w14:paraId="786E8052" w14:textId="77777777" w:rsidR="00BF0610" w:rsidRPr="00E27D20" w:rsidRDefault="00BF0610" w:rsidP="00BF0610">
      <w:pPr>
        <w:autoSpaceDE w:val="0"/>
        <w:autoSpaceDN w:val="0"/>
        <w:adjustRightInd w:val="0"/>
        <w:ind w:left="709" w:hanging="709"/>
        <w:jc w:val="both"/>
        <w:rPr>
          <w:rFonts w:ascii="Century Gothic" w:eastAsiaTheme="minorHAnsi" w:hAnsi="Century Gothic"/>
          <w:sz w:val="22"/>
          <w:szCs w:val="22"/>
          <w:lang w:val="es-EC" w:eastAsia="en-US"/>
        </w:rPr>
      </w:pPr>
    </w:p>
    <w:p w14:paraId="423DBB61" w14:textId="77777777" w:rsidR="00BF0610" w:rsidRPr="00E27D20" w:rsidRDefault="00BF0610" w:rsidP="00BF0610">
      <w:pPr>
        <w:ind w:left="700" w:hanging="700"/>
        <w:jc w:val="both"/>
        <w:rPr>
          <w:rFonts w:ascii="Century Gothic" w:hAnsi="Century Gothic"/>
          <w:sz w:val="22"/>
          <w:szCs w:val="22"/>
          <w:lang w:val="es-ES_tradnl" w:eastAsia="ar-SA"/>
        </w:rPr>
      </w:pPr>
      <w:r w:rsidRPr="00E27D20">
        <w:rPr>
          <w:rFonts w:ascii="Century Gothic" w:hAnsi="Century Gothic"/>
          <w:b/>
          <w:bCs/>
          <w:sz w:val="22"/>
          <w:szCs w:val="22"/>
          <w:lang w:val="es-ES_tradnl" w:eastAsia="ar-SA"/>
        </w:rPr>
        <w:t>Que,</w:t>
      </w:r>
      <w:r w:rsidRPr="00E27D20">
        <w:rPr>
          <w:rFonts w:ascii="Century Gothic" w:hAnsi="Century Gothic"/>
          <w:sz w:val="22"/>
          <w:szCs w:val="22"/>
          <w:lang w:val="es-ES_tradnl" w:eastAsia="ar-SA"/>
        </w:rPr>
        <w:tab/>
        <w:t>el art. 226 de la Constitución de la República (la «</w:t>
      </w:r>
      <w:r w:rsidRPr="00E27D20">
        <w:rPr>
          <w:rFonts w:ascii="Century Gothic" w:hAnsi="Century Gothic"/>
          <w:sz w:val="22"/>
          <w:szCs w:val="22"/>
          <w:u w:val="single"/>
          <w:lang w:val="es-ES_tradnl" w:eastAsia="ar-SA"/>
        </w:rPr>
        <w:t>Constitución</w:t>
      </w:r>
      <w:r w:rsidRPr="00E27D20">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14:paraId="554A602A" w14:textId="77777777" w:rsidR="00BF0610" w:rsidRPr="00E27D20" w:rsidRDefault="00BF0610" w:rsidP="00BF0610">
      <w:pPr>
        <w:ind w:left="700" w:hanging="700"/>
        <w:jc w:val="both"/>
        <w:rPr>
          <w:rFonts w:ascii="Century Gothic" w:hAnsi="Century Gothic"/>
          <w:sz w:val="22"/>
          <w:szCs w:val="22"/>
          <w:lang w:val="es-ES_tradnl" w:eastAsia="ar-SA"/>
        </w:rPr>
      </w:pPr>
    </w:p>
    <w:p w14:paraId="215802A0" w14:textId="77777777" w:rsidR="00BF0610" w:rsidRPr="00E27D20" w:rsidRDefault="00BF0610" w:rsidP="00BF0610">
      <w:pPr>
        <w:ind w:left="700" w:hanging="700"/>
        <w:jc w:val="both"/>
        <w:rPr>
          <w:rFonts w:ascii="Century Gothic" w:hAnsi="Century Gothic"/>
          <w:iCs/>
          <w:sz w:val="22"/>
          <w:szCs w:val="22"/>
          <w:lang w:val="es-ES_tradnl" w:eastAsia="ar-SA"/>
        </w:rPr>
      </w:pPr>
      <w:r w:rsidRPr="00E27D20">
        <w:rPr>
          <w:rFonts w:ascii="Century Gothic" w:hAnsi="Century Gothic"/>
          <w:b/>
          <w:bCs/>
          <w:sz w:val="22"/>
          <w:szCs w:val="22"/>
          <w:lang w:val="es-ES_tradnl" w:eastAsia="ar-SA"/>
        </w:rPr>
        <w:t>Que,</w:t>
      </w:r>
      <w:r w:rsidRPr="00E27D20">
        <w:rPr>
          <w:rFonts w:ascii="Century Gothic" w:hAnsi="Century Gothic"/>
          <w:sz w:val="22"/>
          <w:szCs w:val="22"/>
          <w:lang w:val="es-ES_tradnl" w:eastAsia="ar-SA"/>
        </w:rPr>
        <w:t xml:space="preserve"> </w:t>
      </w:r>
      <w:r w:rsidRPr="00E27D20">
        <w:rPr>
          <w:rFonts w:ascii="Century Gothic" w:hAnsi="Century Gothic"/>
          <w:sz w:val="22"/>
          <w:szCs w:val="22"/>
          <w:lang w:val="es-ES_tradnl" w:eastAsia="ar-SA"/>
        </w:rPr>
        <w:tab/>
        <w:t xml:space="preserve">de acuerdo con el art. 227 de la Constitución, </w:t>
      </w:r>
      <w:r w:rsidRPr="00E27D20">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14:paraId="48698605" w14:textId="77777777" w:rsidR="00BF0610" w:rsidRPr="00E27D20" w:rsidRDefault="00BF0610" w:rsidP="00BF0610">
      <w:pPr>
        <w:ind w:left="700" w:hanging="700"/>
        <w:jc w:val="both"/>
        <w:rPr>
          <w:rFonts w:ascii="Century Gothic" w:hAnsi="Century Gothic"/>
          <w:iCs/>
          <w:sz w:val="22"/>
          <w:szCs w:val="22"/>
          <w:lang w:val="es-ES_tradnl" w:eastAsia="ar-SA"/>
        </w:rPr>
      </w:pPr>
    </w:p>
    <w:p w14:paraId="13475C1D" w14:textId="77777777" w:rsidR="00BF0610" w:rsidRPr="00E27D20" w:rsidRDefault="00BF0610" w:rsidP="00BF0610">
      <w:pPr>
        <w:ind w:left="700" w:hanging="700"/>
        <w:jc w:val="both"/>
        <w:rPr>
          <w:rFonts w:ascii="Century Gothic" w:hAnsi="Century Gothic"/>
          <w:iCs/>
          <w:sz w:val="22"/>
          <w:szCs w:val="22"/>
          <w:lang w:val="es-ES_tradnl" w:eastAsia="ar-SA"/>
        </w:rPr>
      </w:pPr>
      <w:proofErr w:type="gramStart"/>
      <w:r w:rsidRPr="00E27D20">
        <w:rPr>
          <w:rFonts w:ascii="Century Gothic" w:hAnsi="Century Gothic"/>
          <w:b/>
          <w:bCs/>
          <w:sz w:val="22"/>
          <w:szCs w:val="22"/>
          <w:lang w:val="es-ES_tradnl" w:eastAsia="ar-SA"/>
        </w:rPr>
        <w:t xml:space="preserve">Que,  </w:t>
      </w:r>
      <w:r w:rsidRPr="00E27D20">
        <w:rPr>
          <w:rFonts w:ascii="Century Gothic" w:hAnsi="Century Gothic"/>
          <w:bCs/>
          <w:sz w:val="22"/>
          <w:szCs w:val="22"/>
          <w:lang w:val="es-ES_tradnl" w:eastAsia="ar-SA"/>
        </w:rPr>
        <w:t>el</w:t>
      </w:r>
      <w:proofErr w:type="gramEnd"/>
      <w:r w:rsidRPr="00E27D20">
        <w:rPr>
          <w:rFonts w:ascii="Century Gothic" w:hAnsi="Century Gothic"/>
          <w:bCs/>
          <w:sz w:val="22"/>
          <w:szCs w:val="22"/>
          <w:lang w:val="es-ES_tradnl" w:eastAsia="ar-SA"/>
        </w:rPr>
        <w:t xml:space="preserve"> art. 240 de la Constitución, los gobiernos autónomos descentralizados de los distritos metropolitanos tendrán facultades legislativas en el ámbito de sus competencias y jurisdicciones territoriales. </w:t>
      </w:r>
    </w:p>
    <w:p w14:paraId="33A58666" w14:textId="77777777" w:rsidR="00BF0610" w:rsidRPr="00E27D20" w:rsidRDefault="00BF0610" w:rsidP="00BF0610">
      <w:pPr>
        <w:autoSpaceDE w:val="0"/>
        <w:autoSpaceDN w:val="0"/>
        <w:adjustRightInd w:val="0"/>
        <w:ind w:left="709" w:hanging="709"/>
        <w:jc w:val="both"/>
        <w:rPr>
          <w:rFonts w:ascii="Century Gothic" w:eastAsiaTheme="minorHAnsi" w:hAnsi="Century Gothic"/>
          <w:sz w:val="22"/>
          <w:szCs w:val="22"/>
          <w:lang w:val="es-EC" w:eastAsia="en-US"/>
        </w:rPr>
      </w:pPr>
    </w:p>
    <w:p w14:paraId="7021C3EE"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r w:rsidRPr="00B966B5">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 xml:space="preserve"> </w:t>
      </w:r>
      <w:r w:rsidRPr="00E27D20">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E27D20">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14:paraId="5A66693C"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p>
    <w:p w14:paraId="25E012AB" w14:textId="77777777" w:rsidR="00BF0610" w:rsidRPr="00E27D20" w:rsidRDefault="00BF0610" w:rsidP="00BF0610">
      <w:pPr>
        <w:autoSpaceDE w:val="0"/>
        <w:autoSpaceDN w:val="0"/>
        <w:adjustRightInd w:val="0"/>
        <w:ind w:left="709" w:hanging="709"/>
        <w:jc w:val="both"/>
        <w:rPr>
          <w:rFonts w:ascii="Century Gothic" w:hAnsi="Century Gothic"/>
          <w:sz w:val="22"/>
          <w:szCs w:val="22"/>
        </w:rPr>
      </w:pPr>
      <w:r w:rsidRPr="00B966B5">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 xml:space="preserve"> </w:t>
      </w:r>
      <w:r w:rsidRPr="00E27D20">
        <w:rPr>
          <w:rFonts w:ascii="Century Gothic" w:eastAsiaTheme="minorHAnsi" w:hAnsi="Century Gothic"/>
          <w:sz w:val="22"/>
          <w:szCs w:val="22"/>
          <w:lang w:val="es-EC" w:eastAsia="en-US"/>
        </w:rPr>
        <w:tab/>
        <w:t>el artículo 266 de la Constitución dispone: “</w:t>
      </w:r>
      <w:r w:rsidRPr="00E27D20">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2038E4DE" w14:textId="77777777" w:rsidR="00BF0610" w:rsidRPr="00E27D20" w:rsidRDefault="00BF0610" w:rsidP="00BF0610">
      <w:pPr>
        <w:autoSpaceDE w:val="0"/>
        <w:autoSpaceDN w:val="0"/>
        <w:adjustRightInd w:val="0"/>
        <w:ind w:left="709" w:hanging="709"/>
        <w:jc w:val="both"/>
        <w:rPr>
          <w:rFonts w:ascii="Century Gothic" w:hAnsi="Century Gothic"/>
          <w:sz w:val="22"/>
          <w:szCs w:val="22"/>
        </w:rPr>
      </w:pPr>
    </w:p>
    <w:p w14:paraId="41B0DBB6" w14:textId="77777777" w:rsidR="00BF0610" w:rsidRPr="00E27D20" w:rsidRDefault="00BF0610" w:rsidP="00BF0610">
      <w:pPr>
        <w:pStyle w:val="Sinespaciado"/>
        <w:ind w:left="709" w:hanging="709"/>
        <w:rPr>
          <w:rFonts w:ascii="Century Gothic" w:hAnsi="Century Gothic" w:cs="Times New Roman"/>
        </w:rPr>
      </w:pPr>
      <w:r w:rsidRPr="00B966B5">
        <w:rPr>
          <w:rFonts w:ascii="Century Gothic" w:hAnsi="Century Gothic" w:cs="Times New Roman"/>
          <w:b/>
        </w:rPr>
        <w:t>Que,</w:t>
      </w:r>
      <w:r w:rsidRPr="00E27D20">
        <w:rPr>
          <w:rFonts w:ascii="Century Gothic" w:hAnsi="Century Gothic" w:cs="Times New Roman"/>
        </w:rPr>
        <w:t xml:space="preserve"> </w:t>
      </w:r>
      <w:r w:rsidRPr="00E27D20">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38E99E66" w14:textId="77777777" w:rsidR="00BF0610" w:rsidRPr="00E27D20" w:rsidRDefault="00BF0610" w:rsidP="00BF0610">
      <w:pPr>
        <w:pStyle w:val="Sinespaciado"/>
        <w:ind w:left="709" w:hanging="709"/>
        <w:rPr>
          <w:rFonts w:ascii="Century Gothic" w:hAnsi="Century Gothic" w:cs="Times New Roman"/>
        </w:rPr>
      </w:pPr>
    </w:p>
    <w:p w14:paraId="756E7B41" w14:textId="77777777" w:rsidR="00BF0610" w:rsidRPr="00E27D20" w:rsidRDefault="00BF0610" w:rsidP="00BF0610">
      <w:pPr>
        <w:pStyle w:val="Sinespaciado"/>
        <w:ind w:left="709" w:hanging="709"/>
        <w:rPr>
          <w:rFonts w:ascii="Century Gothic" w:hAnsi="Century Gothic" w:cs="Times New Roman"/>
        </w:rPr>
      </w:pPr>
      <w:r w:rsidRPr="00B966B5">
        <w:rPr>
          <w:rFonts w:ascii="Century Gothic" w:hAnsi="Century Gothic" w:cs="Times New Roman"/>
          <w:b/>
        </w:rPr>
        <w:t>Que,</w:t>
      </w:r>
      <w:r w:rsidRPr="00E27D20">
        <w:rPr>
          <w:rFonts w:ascii="Century Gothic" w:hAnsi="Century Gothic" w:cs="Times New Roman"/>
        </w:rPr>
        <w:t xml:space="preserve"> </w:t>
      </w:r>
      <w:r w:rsidRPr="00E27D20">
        <w:rPr>
          <w:rFonts w:ascii="Century Gothic" w:hAnsi="Century Gothic" w:cs="Times New Roman"/>
        </w:rPr>
        <w:tab/>
        <w:t xml:space="preserve">los literales a) y d) del artículo 87 del Código Orgánico de Organización Territorial, Autonomía y Descentralización, </w:t>
      </w:r>
      <w:r>
        <w:rPr>
          <w:rFonts w:ascii="Century Gothic" w:hAnsi="Century Gothic" w:cs="Times New Roman"/>
        </w:rPr>
        <w:t>(</w:t>
      </w:r>
      <w:r w:rsidRPr="00E27D20">
        <w:rPr>
          <w:rFonts w:ascii="Century Gothic" w:hAnsi="Century Gothic" w:cs="Times New Roman"/>
        </w:rPr>
        <w:t>en adelante,</w:t>
      </w:r>
      <w:r>
        <w:rPr>
          <w:rFonts w:ascii="Century Gothic" w:hAnsi="Century Gothic" w:cs="Times New Roman"/>
        </w:rPr>
        <w:t xml:space="preserve"> «COOTAD</w:t>
      </w:r>
      <w:r w:rsidRPr="00CF4C6E">
        <w:rPr>
          <w:rFonts w:ascii="Century Gothic" w:hAnsi="Century Gothic" w:cs="Times New Roman"/>
        </w:rPr>
        <w:t>»)</w:t>
      </w:r>
      <w:r w:rsidRPr="00E27D20">
        <w:rPr>
          <w:rFonts w:ascii="Century Gothic" w:hAnsi="Century Gothic" w:cs="Times New Roman"/>
        </w:rPr>
        <w:t xml:space="preserve">, establecen como atribuciones del Concejo Metropolitano: “a) Ejercer la facultad normativa en las materias de competencia del gobierno autónomo descentralizado metropolitano, mediante la expedición de </w:t>
      </w:r>
      <w:r w:rsidRPr="00E27D20">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14:paraId="2A7B6267" w14:textId="77777777" w:rsidR="00BF0610" w:rsidRPr="00E27D20" w:rsidRDefault="00BF0610" w:rsidP="00BF0610">
      <w:pPr>
        <w:pStyle w:val="Sinespaciado"/>
        <w:ind w:left="709" w:hanging="709"/>
        <w:rPr>
          <w:rFonts w:ascii="Century Gothic" w:hAnsi="Century Gothic" w:cs="Times New Roman"/>
        </w:rPr>
      </w:pPr>
    </w:p>
    <w:p w14:paraId="5A7AD193" w14:textId="77777777" w:rsidR="00BF0610" w:rsidRPr="00E27D20" w:rsidRDefault="00BF0610" w:rsidP="00BF0610">
      <w:pPr>
        <w:pStyle w:val="Sinespaciado"/>
        <w:ind w:left="709" w:hanging="709"/>
        <w:rPr>
          <w:rFonts w:ascii="Century Gothic" w:hAnsi="Century Gothic" w:cs="Times New Roman"/>
        </w:rPr>
      </w:pPr>
      <w:r w:rsidRPr="00B966B5">
        <w:rPr>
          <w:rFonts w:ascii="Century Gothic" w:hAnsi="Century Gothic" w:cs="Times New Roman"/>
          <w:b/>
        </w:rPr>
        <w:t>Que,</w:t>
      </w:r>
      <w:r w:rsidRPr="00E27D20">
        <w:rPr>
          <w:rFonts w:ascii="Century Gothic" w:hAnsi="Century Gothic" w:cs="Times New Roman"/>
        </w:rPr>
        <w:t xml:space="preserve"> </w:t>
      </w:r>
      <w:r w:rsidRPr="00E27D20">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14:paraId="34C6CB2C" w14:textId="77777777" w:rsidR="00BF0610" w:rsidRPr="00E27D20" w:rsidRDefault="00BF0610" w:rsidP="00BF0610">
      <w:pPr>
        <w:pStyle w:val="Sinespaciado"/>
        <w:ind w:left="709" w:hanging="709"/>
        <w:rPr>
          <w:rFonts w:ascii="Century Gothic" w:hAnsi="Century Gothic" w:cs="Times New Roman"/>
        </w:rPr>
      </w:pPr>
    </w:p>
    <w:p w14:paraId="496D177F"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r w:rsidRPr="00B966B5">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ab/>
        <w:t xml:space="preserve">el artículo 415 del COOTAD, establece que: </w:t>
      </w:r>
      <w:r w:rsidRPr="00E27D20">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92B4C08"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p>
    <w:p w14:paraId="0D10DA80" w14:textId="77777777" w:rsidR="00BF0610" w:rsidRPr="005060A9" w:rsidRDefault="00BF0610" w:rsidP="00BF0610">
      <w:pPr>
        <w:autoSpaceDE w:val="0"/>
        <w:autoSpaceDN w:val="0"/>
        <w:adjustRightInd w:val="0"/>
        <w:jc w:val="both"/>
        <w:rPr>
          <w:rFonts w:eastAsiaTheme="minorHAnsi"/>
          <w:i/>
          <w:sz w:val="22"/>
          <w:szCs w:val="22"/>
          <w:lang w:val="es-EC" w:eastAsia="en-US"/>
        </w:rPr>
      </w:pPr>
    </w:p>
    <w:p w14:paraId="5A9B2343"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r w:rsidRPr="00B966B5">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 xml:space="preserve"> </w:t>
      </w:r>
      <w:r w:rsidRPr="00E27D20">
        <w:rPr>
          <w:rFonts w:ascii="Century Gothic" w:eastAsiaTheme="minorHAnsi" w:hAnsi="Century Gothic"/>
          <w:sz w:val="22"/>
          <w:szCs w:val="22"/>
          <w:lang w:val="es-EC" w:eastAsia="en-US"/>
        </w:rPr>
        <w:tab/>
        <w:t xml:space="preserve">el artículo 419 del COOTAD, indica que: </w:t>
      </w:r>
      <w:r w:rsidRPr="00E27D20">
        <w:rPr>
          <w:rFonts w:ascii="Century Gothic" w:eastAsiaTheme="minorHAnsi" w:hAnsi="Century Gothic"/>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14:paraId="0CA4951D" w14:textId="77777777" w:rsidR="00BF0610" w:rsidRPr="005060A9" w:rsidRDefault="00BF0610" w:rsidP="00BF0610">
      <w:pPr>
        <w:autoSpaceDE w:val="0"/>
        <w:autoSpaceDN w:val="0"/>
        <w:adjustRightInd w:val="0"/>
        <w:ind w:left="709" w:hanging="709"/>
        <w:jc w:val="both"/>
        <w:rPr>
          <w:rFonts w:eastAsiaTheme="minorHAnsi"/>
          <w:i/>
          <w:sz w:val="22"/>
          <w:szCs w:val="22"/>
          <w:lang w:val="es-EC" w:eastAsia="en-US"/>
        </w:rPr>
      </w:pPr>
    </w:p>
    <w:p w14:paraId="20F92FDC" w14:textId="77777777" w:rsidR="00BF0610" w:rsidRPr="00E27D20" w:rsidRDefault="00BF0610" w:rsidP="00BF0610">
      <w:pPr>
        <w:autoSpaceDE w:val="0"/>
        <w:autoSpaceDN w:val="0"/>
        <w:adjustRightInd w:val="0"/>
        <w:ind w:left="709" w:hanging="709"/>
        <w:jc w:val="both"/>
        <w:rPr>
          <w:rFonts w:ascii="Century Gothic" w:eastAsiaTheme="minorHAnsi" w:hAnsi="Century Gothic"/>
          <w:i/>
          <w:sz w:val="22"/>
          <w:szCs w:val="22"/>
          <w:lang w:val="es-EC" w:eastAsia="en-US"/>
        </w:rPr>
      </w:pPr>
      <w:r w:rsidRPr="008F3C99">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 xml:space="preserve"> </w:t>
      </w:r>
      <w:r w:rsidRPr="00E27D20">
        <w:rPr>
          <w:rFonts w:ascii="Century Gothic" w:eastAsiaTheme="minorHAnsi" w:hAnsi="Century Gothic"/>
          <w:sz w:val="22"/>
          <w:szCs w:val="22"/>
          <w:lang w:val="es-EC" w:eastAsia="en-US"/>
        </w:rPr>
        <w:tab/>
      </w:r>
      <w:r w:rsidRPr="00E27D20">
        <w:rPr>
          <w:rFonts w:ascii="Century Gothic" w:hAnsi="Century Gothic"/>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14:paraId="12ADD8DA" w14:textId="77777777" w:rsidR="00BF0610" w:rsidRPr="005060A9" w:rsidRDefault="00BF0610" w:rsidP="00BF0610">
      <w:pPr>
        <w:autoSpaceDE w:val="0"/>
        <w:autoSpaceDN w:val="0"/>
        <w:adjustRightInd w:val="0"/>
        <w:ind w:left="709" w:hanging="709"/>
        <w:jc w:val="both"/>
        <w:rPr>
          <w:rFonts w:eastAsiaTheme="minorHAnsi"/>
          <w:i/>
          <w:sz w:val="22"/>
          <w:szCs w:val="22"/>
          <w:lang w:val="es-EC" w:eastAsia="en-US"/>
        </w:rPr>
      </w:pPr>
    </w:p>
    <w:p w14:paraId="3264D313" w14:textId="77777777" w:rsidR="00BF0610" w:rsidRPr="00E27D20" w:rsidRDefault="00BF0610" w:rsidP="00BF0610">
      <w:pPr>
        <w:autoSpaceDE w:val="0"/>
        <w:autoSpaceDN w:val="0"/>
        <w:adjustRightInd w:val="0"/>
        <w:ind w:left="705" w:hanging="705"/>
        <w:jc w:val="both"/>
        <w:rPr>
          <w:rFonts w:ascii="Century Gothic" w:eastAsiaTheme="minorHAnsi" w:hAnsi="Century Gothic"/>
          <w:i/>
          <w:sz w:val="22"/>
          <w:szCs w:val="22"/>
          <w:lang w:val="es-EC" w:eastAsia="en-US"/>
        </w:rPr>
      </w:pPr>
      <w:r w:rsidRPr="00B966B5">
        <w:rPr>
          <w:rFonts w:ascii="Century Gothic" w:eastAsiaTheme="minorHAnsi" w:hAnsi="Century Gothic"/>
          <w:b/>
          <w:sz w:val="22"/>
          <w:szCs w:val="22"/>
          <w:lang w:val="es-EC" w:eastAsia="en-US"/>
        </w:rPr>
        <w:t>Que,</w:t>
      </w:r>
      <w:r w:rsidRPr="00E27D20">
        <w:rPr>
          <w:rFonts w:ascii="Century Gothic" w:eastAsiaTheme="minorHAnsi" w:hAnsi="Century Gothic"/>
          <w:sz w:val="22"/>
          <w:szCs w:val="22"/>
          <w:lang w:val="es-EC" w:eastAsia="en-US"/>
        </w:rPr>
        <w:t xml:space="preserve"> </w:t>
      </w:r>
      <w:r w:rsidRPr="00E27D20">
        <w:rPr>
          <w:rFonts w:ascii="Century Gothic" w:eastAsiaTheme="minorHAnsi" w:hAnsi="Century Gothic"/>
          <w:sz w:val="22"/>
          <w:szCs w:val="22"/>
          <w:lang w:val="es-EC" w:eastAsia="en-US"/>
        </w:rPr>
        <w:tab/>
        <w:t xml:space="preserve">el artículo 436 del COOTAD, dispone que: </w:t>
      </w:r>
      <w:r w:rsidRPr="00E27D20">
        <w:rPr>
          <w:rFonts w:ascii="Century Gothic" w:eastAsiaTheme="minorHAnsi" w:hAnsi="Century Gothic"/>
          <w:i/>
          <w:sz w:val="22"/>
          <w:szCs w:val="22"/>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14:paraId="61025C5D" w14:textId="77777777" w:rsidR="00BF0610" w:rsidRPr="005060A9" w:rsidRDefault="00BF0610" w:rsidP="00BF0610">
      <w:pPr>
        <w:autoSpaceDE w:val="0"/>
        <w:autoSpaceDN w:val="0"/>
        <w:adjustRightInd w:val="0"/>
        <w:ind w:left="705" w:hanging="705"/>
        <w:jc w:val="both"/>
        <w:rPr>
          <w:rFonts w:eastAsiaTheme="minorHAnsi"/>
          <w:sz w:val="22"/>
          <w:szCs w:val="22"/>
          <w:lang w:val="es-EC" w:eastAsia="en-US"/>
        </w:rPr>
      </w:pPr>
    </w:p>
    <w:p w14:paraId="329E3B2C" w14:textId="77777777" w:rsidR="00BF0610" w:rsidRPr="00CF4C6E" w:rsidRDefault="00BF0610" w:rsidP="00BF0610">
      <w:pPr>
        <w:autoSpaceDE w:val="0"/>
        <w:autoSpaceDN w:val="0"/>
        <w:adjustRightInd w:val="0"/>
        <w:ind w:left="705" w:hanging="705"/>
        <w:jc w:val="both"/>
        <w:rPr>
          <w:rFonts w:ascii="Century Gothic" w:hAnsi="Century Gothic"/>
          <w:sz w:val="22"/>
          <w:szCs w:val="22"/>
        </w:rPr>
      </w:pPr>
      <w:r w:rsidRPr="00B966B5">
        <w:rPr>
          <w:rFonts w:ascii="Century Gothic" w:eastAsiaTheme="minorHAnsi" w:hAnsi="Century Gothic"/>
          <w:b/>
          <w:sz w:val="22"/>
          <w:szCs w:val="22"/>
          <w:lang w:val="es-EC" w:eastAsia="en-US"/>
        </w:rPr>
        <w:t>Que,</w:t>
      </w:r>
      <w:r w:rsidRPr="00CF4C6E">
        <w:rPr>
          <w:rFonts w:ascii="Century Gothic" w:eastAsiaTheme="minorHAnsi" w:hAnsi="Century Gothic"/>
          <w:sz w:val="22"/>
          <w:szCs w:val="22"/>
          <w:lang w:val="es-EC" w:eastAsia="en-US"/>
        </w:rPr>
        <w:t xml:space="preserve"> </w:t>
      </w:r>
      <w:r w:rsidRPr="00CF4C6E">
        <w:rPr>
          <w:rFonts w:ascii="Century Gothic" w:eastAsiaTheme="minorHAnsi" w:hAnsi="Century Gothic"/>
          <w:sz w:val="22"/>
          <w:szCs w:val="22"/>
          <w:lang w:val="es-EC" w:eastAsia="en-US"/>
        </w:rPr>
        <w:tab/>
      </w:r>
      <w:r w:rsidRPr="00CF4C6E">
        <w:rPr>
          <w:rFonts w:ascii="Century Gothic" w:hAnsi="Century Gothic"/>
          <w:sz w:val="22"/>
          <w:szCs w:val="22"/>
        </w:rPr>
        <w:t xml:space="preserve">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w:t>
      </w:r>
      <w:r w:rsidRPr="00CF4C6E">
        <w:rPr>
          <w:rFonts w:ascii="Century Gothic" w:hAnsi="Century Gothic"/>
          <w:sz w:val="22"/>
          <w:szCs w:val="22"/>
        </w:rPr>
        <w:lastRenderedPageBreak/>
        <w:t>utilizarse en el futuro para satisfacer una necesidad concreta del gobierno autónomo descentralizado (…).”;</w:t>
      </w:r>
    </w:p>
    <w:p w14:paraId="7B50C339" w14:textId="77777777" w:rsidR="00BF0610" w:rsidRPr="005060A9" w:rsidRDefault="00BF0610" w:rsidP="00BF0610">
      <w:pPr>
        <w:autoSpaceDE w:val="0"/>
        <w:autoSpaceDN w:val="0"/>
        <w:adjustRightInd w:val="0"/>
        <w:ind w:left="705" w:hanging="705"/>
        <w:jc w:val="both"/>
        <w:rPr>
          <w:sz w:val="22"/>
          <w:szCs w:val="22"/>
        </w:rPr>
      </w:pPr>
    </w:p>
    <w:p w14:paraId="645E6368" w14:textId="77777777" w:rsidR="00BF0610" w:rsidRPr="00CF4C6E" w:rsidRDefault="00BF0610" w:rsidP="00BF0610">
      <w:pPr>
        <w:autoSpaceDE w:val="0"/>
        <w:autoSpaceDN w:val="0"/>
        <w:adjustRightInd w:val="0"/>
        <w:ind w:left="705" w:hanging="705"/>
        <w:jc w:val="both"/>
        <w:rPr>
          <w:rFonts w:ascii="Century Gothic" w:eastAsiaTheme="minorHAnsi" w:hAnsi="Century Gothic"/>
          <w:i/>
          <w:sz w:val="22"/>
          <w:szCs w:val="22"/>
          <w:lang w:val="es-EC" w:eastAsia="en-US"/>
        </w:rPr>
      </w:pPr>
      <w:r w:rsidRPr="00B966B5">
        <w:rPr>
          <w:rFonts w:ascii="Century Gothic" w:eastAsiaTheme="minorHAnsi" w:hAnsi="Century Gothic"/>
          <w:b/>
          <w:sz w:val="22"/>
          <w:szCs w:val="22"/>
          <w:lang w:val="es-EC" w:eastAsia="en-US"/>
        </w:rPr>
        <w:t>Que,</w:t>
      </w:r>
      <w:r w:rsidRPr="00CF4C6E">
        <w:rPr>
          <w:rFonts w:ascii="Century Gothic" w:eastAsiaTheme="minorHAnsi" w:hAnsi="Century Gothic"/>
          <w:sz w:val="22"/>
          <w:szCs w:val="22"/>
          <w:lang w:val="es-EC" w:eastAsia="en-US"/>
        </w:rPr>
        <w:t xml:space="preserve"> </w:t>
      </w:r>
      <w:r w:rsidRPr="00CF4C6E">
        <w:rPr>
          <w:rFonts w:ascii="Century Gothic" w:eastAsiaTheme="minorHAnsi" w:hAnsi="Century Gothic"/>
          <w:sz w:val="22"/>
          <w:szCs w:val="22"/>
          <w:lang w:val="es-EC" w:eastAsia="en-US"/>
        </w:rPr>
        <w:tab/>
      </w:r>
      <w:r w:rsidRPr="00CF4C6E">
        <w:rPr>
          <w:rFonts w:ascii="Century Gothic" w:hAnsi="Century Gothic"/>
          <w:sz w:val="22"/>
          <w:szCs w:val="22"/>
        </w:rPr>
        <w:t>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14:paraId="141876CF" w14:textId="77777777" w:rsidR="00BF0610" w:rsidRPr="00CF4C6E" w:rsidRDefault="00BF0610" w:rsidP="00BF0610">
      <w:pPr>
        <w:autoSpaceDE w:val="0"/>
        <w:autoSpaceDN w:val="0"/>
        <w:adjustRightInd w:val="0"/>
        <w:ind w:left="705" w:hanging="705"/>
        <w:jc w:val="both"/>
        <w:rPr>
          <w:rFonts w:ascii="Century Gothic" w:eastAsiaTheme="minorHAnsi" w:hAnsi="Century Gothic"/>
          <w:i/>
          <w:sz w:val="22"/>
          <w:szCs w:val="22"/>
          <w:lang w:val="es-EC" w:eastAsia="en-US"/>
        </w:rPr>
      </w:pPr>
    </w:p>
    <w:p w14:paraId="09929781" w14:textId="77777777" w:rsidR="00BF0610" w:rsidRDefault="00BF0610" w:rsidP="00BF0610">
      <w:pPr>
        <w:autoSpaceDE w:val="0"/>
        <w:autoSpaceDN w:val="0"/>
        <w:adjustRightInd w:val="0"/>
        <w:ind w:left="705" w:hanging="705"/>
        <w:jc w:val="both"/>
        <w:rPr>
          <w:rFonts w:ascii="Century Gothic" w:hAnsi="Century Gothic"/>
          <w:sz w:val="22"/>
          <w:szCs w:val="22"/>
        </w:rPr>
      </w:pPr>
      <w:r w:rsidRPr="00B966B5">
        <w:rPr>
          <w:rFonts w:ascii="Century Gothic" w:hAnsi="Century Gothic"/>
          <w:b/>
          <w:sz w:val="22"/>
          <w:szCs w:val="22"/>
        </w:rPr>
        <w:t>Que,</w:t>
      </w:r>
      <w:r w:rsidRPr="00CF4C6E">
        <w:rPr>
          <w:rFonts w:ascii="Century Gothic" w:hAnsi="Century Gothic"/>
          <w:sz w:val="22"/>
          <w:szCs w:val="22"/>
        </w:rPr>
        <w:tab/>
        <w:t>el artículo 3465 del Código Municipal para el Distrito Metropolitano de Quito, (en adelante, «Código Municipal»)</w:t>
      </w:r>
      <w:r>
        <w:rPr>
          <w:rFonts w:ascii="Century Gothic" w:hAnsi="Century Gothic"/>
          <w:sz w:val="22"/>
          <w:szCs w:val="22"/>
        </w:rPr>
        <w:t xml:space="preserve"> </w:t>
      </w:r>
      <w:r w:rsidRPr="00CF4C6E">
        <w:rPr>
          <w:rFonts w:ascii="Century Gothic" w:hAnsi="Century Gothic"/>
          <w:sz w:val="22"/>
          <w:szCs w:val="22"/>
        </w:rPr>
        <w:t>señala que: "La adjudicación de una faja de terreno solamente se podrá hacer en favor de uno o varios de los propietarios colindantes a la misma. La inobservancia de esta norma determinará la nulidad de la adjudicación.";</w:t>
      </w:r>
    </w:p>
    <w:p w14:paraId="57CADB19" w14:textId="77777777" w:rsidR="00BF0610" w:rsidRDefault="00BF0610" w:rsidP="00BF0610">
      <w:pPr>
        <w:autoSpaceDE w:val="0"/>
        <w:autoSpaceDN w:val="0"/>
        <w:adjustRightInd w:val="0"/>
        <w:ind w:left="705" w:hanging="705"/>
        <w:jc w:val="both"/>
        <w:rPr>
          <w:rFonts w:ascii="Century Gothic" w:hAnsi="Century Gothic"/>
          <w:sz w:val="22"/>
          <w:szCs w:val="22"/>
        </w:rPr>
      </w:pPr>
    </w:p>
    <w:p w14:paraId="1C442081" w14:textId="77777777" w:rsidR="00BF0610" w:rsidRDefault="00BF0610" w:rsidP="00BF0610">
      <w:pPr>
        <w:autoSpaceDE w:val="0"/>
        <w:autoSpaceDN w:val="0"/>
        <w:adjustRightInd w:val="0"/>
        <w:ind w:left="705" w:hanging="705"/>
        <w:jc w:val="both"/>
        <w:rPr>
          <w:rFonts w:ascii="Century Gothic" w:hAnsi="Century Gothic"/>
        </w:rPr>
      </w:pPr>
      <w:r w:rsidRPr="00B966B5">
        <w:rPr>
          <w:rFonts w:ascii="Century Gothic" w:hAnsi="Century Gothic"/>
          <w:b/>
        </w:rPr>
        <w:t>Que,</w:t>
      </w:r>
      <w:r w:rsidRPr="00CF4C6E">
        <w:rPr>
          <w:rFonts w:ascii="Century Gothic" w:hAnsi="Century Gothic"/>
        </w:rPr>
        <w:tab/>
        <w:t>el artículo 3470 del Código Municipal,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w:t>
      </w:r>
    </w:p>
    <w:p w14:paraId="7C9FC735" w14:textId="77777777" w:rsidR="00BF0610" w:rsidRDefault="00BF0610" w:rsidP="00CA2DEC">
      <w:pPr>
        <w:autoSpaceDE w:val="0"/>
        <w:autoSpaceDN w:val="0"/>
        <w:adjustRightInd w:val="0"/>
        <w:jc w:val="both"/>
        <w:rPr>
          <w:rFonts w:ascii="Century Gothic" w:hAnsi="Century Gothic"/>
        </w:rPr>
      </w:pPr>
    </w:p>
    <w:p w14:paraId="18AA2DFF" w14:textId="77777777" w:rsidR="00BF0610" w:rsidRDefault="00BF0610" w:rsidP="00BF0610">
      <w:pPr>
        <w:autoSpaceDE w:val="0"/>
        <w:autoSpaceDN w:val="0"/>
        <w:adjustRightInd w:val="0"/>
        <w:ind w:left="705" w:hanging="705"/>
        <w:jc w:val="both"/>
        <w:rPr>
          <w:rFonts w:ascii="Century Gothic" w:hAnsi="Century Gothic"/>
        </w:rPr>
      </w:pPr>
      <w:r>
        <w:rPr>
          <w:rFonts w:ascii="Century Gothic" w:hAnsi="Century Gothic"/>
          <w:b/>
        </w:rPr>
        <w:t xml:space="preserve">Que, </w:t>
      </w:r>
      <w:r w:rsidRPr="00495A20">
        <w:rPr>
          <w:rFonts w:ascii="Century Gothic" w:hAnsi="Century Gothic"/>
        </w:rPr>
        <w:t xml:space="preserve">el señor </w:t>
      </w:r>
      <w:r>
        <w:rPr>
          <w:rFonts w:ascii="Century Gothic" w:hAnsi="Century Gothic"/>
        </w:rPr>
        <w:t xml:space="preserve">Nicolalde López Carlos Xavier y otros, solicitan la adjudicación de una franja de relleno de quebrada (faja 3) que colinda con su propiedad, signada con el número de predio 680157, clave catastral No.13108-02-012, ubicada en la parroquia Comité del Pueblo. </w:t>
      </w:r>
    </w:p>
    <w:p w14:paraId="53B35F49" w14:textId="77777777" w:rsidR="00CA2DEC" w:rsidRDefault="00CA2DEC" w:rsidP="004D7A8E">
      <w:pPr>
        <w:autoSpaceDE w:val="0"/>
        <w:autoSpaceDN w:val="0"/>
        <w:adjustRightInd w:val="0"/>
        <w:jc w:val="both"/>
        <w:rPr>
          <w:rFonts w:ascii="Century Gothic" w:hAnsi="Century Gothic"/>
        </w:rPr>
      </w:pPr>
    </w:p>
    <w:p w14:paraId="235B5095" w14:textId="77777777" w:rsidR="00B31DF4" w:rsidRDefault="00B31DF4" w:rsidP="00B31DF4">
      <w:pPr>
        <w:autoSpaceDE w:val="0"/>
        <w:autoSpaceDN w:val="0"/>
        <w:adjustRightInd w:val="0"/>
        <w:ind w:left="705" w:hanging="705"/>
        <w:jc w:val="both"/>
        <w:rPr>
          <w:rFonts w:ascii="Century Gothic" w:hAnsi="Century Gothic"/>
        </w:rPr>
      </w:pPr>
      <w:r>
        <w:rPr>
          <w:rFonts w:ascii="Century Gothic" w:hAnsi="Century Gothic"/>
          <w:b/>
        </w:rPr>
        <w:t xml:space="preserve">Que, </w:t>
      </w:r>
      <w:r w:rsidRPr="00CA2DEC">
        <w:rPr>
          <w:rFonts w:ascii="Century Gothic" w:hAnsi="Century Gothic"/>
        </w:rPr>
        <w:t>mediante Oficio No. AZLD-DJ-13-2019-00000357 de 25 de enero de 2019, el Administrador Zonal La Delicia, en base al memorando UGT-2018-166 de 17 de diciembre del 2018, correspondiente al informe técnico</w:t>
      </w:r>
      <w:r w:rsidR="004D7A8E">
        <w:rPr>
          <w:rFonts w:ascii="Century Gothic" w:hAnsi="Century Gothic"/>
        </w:rPr>
        <w:t xml:space="preserve">, en el cual se menciona que existe la renuncia a </w:t>
      </w:r>
      <w:r w:rsidR="00EE203B">
        <w:rPr>
          <w:rFonts w:ascii="Century Gothic" w:hAnsi="Century Gothic"/>
        </w:rPr>
        <w:t>la posible adjudicación al predio 18989 de propiedad</w:t>
      </w:r>
      <w:r w:rsidR="004D7A8E">
        <w:rPr>
          <w:rFonts w:ascii="Century Gothic" w:hAnsi="Century Gothic"/>
        </w:rPr>
        <w:t xml:space="preserve"> del Sr. Pablo </w:t>
      </w:r>
      <w:proofErr w:type="spellStart"/>
      <w:r w:rsidR="004D7A8E">
        <w:rPr>
          <w:rFonts w:ascii="Century Gothic" w:hAnsi="Century Gothic"/>
        </w:rPr>
        <w:t>Charpantier</w:t>
      </w:r>
      <w:proofErr w:type="spellEnd"/>
      <w:r w:rsidR="004D7A8E">
        <w:rPr>
          <w:rFonts w:ascii="Century Gothic" w:hAnsi="Century Gothic"/>
        </w:rPr>
        <w:t xml:space="preserve"> Rodríguez, </w:t>
      </w:r>
      <w:r w:rsidR="00EE203B">
        <w:rPr>
          <w:rFonts w:ascii="Century Gothic" w:hAnsi="Century Gothic"/>
        </w:rPr>
        <w:t>y que al existir solo un colindante a la faja N°3 emite criterio técnico favorable</w:t>
      </w:r>
      <w:r w:rsidRPr="00CA2DEC">
        <w:rPr>
          <w:rFonts w:ascii="Century Gothic" w:hAnsi="Century Gothic"/>
        </w:rPr>
        <w:t xml:space="preserve">; y al memorando No. 651-DJ-2018 de 4 de septiembre del 2018, </w:t>
      </w:r>
      <w:r w:rsidR="00385809" w:rsidRPr="00CA2DEC">
        <w:rPr>
          <w:rFonts w:ascii="Century Gothic" w:hAnsi="Century Gothic"/>
        </w:rPr>
        <w:t>correspondiente</w:t>
      </w:r>
      <w:r w:rsidRPr="00CA2DEC">
        <w:rPr>
          <w:rFonts w:ascii="Century Gothic" w:hAnsi="Century Gothic"/>
        </w:rPr>
        <w:t xml:space="preserve"> al informe legal; emite INFORME FAVORABLE, para que se ponga en conocimiento </w:t>
      </w:r>
      <w:r w:rsidRPr="00CA2DEC">
        <w:rPr>
          <w:rFonts w:ascii="Century Gothic" w:hAnsi="Century Gothic"/>
        </w:rPr>
        <w:lastRenderedPageBreak/>
        <w:t xml:space="preserve">de la comisión pertinente y posterior aprobación del Concejo Metropolitano la adjudicación de la Faja signada con el No. 3. </w:t>
      </w:r>
    </w:p>
    <w:p w14:paraId="012F2E89" w14:textId="77777777" w:rsidR="00A0064A" w:rsidRDefault="00A0064A" w:rsidP="00B31DF4">
      <w:pPr>
        <w:autoSpaceDE w:val="0"/>
        <w:autoSpaceDN w:val="0"/>
        <w:adjustRightInd w:val="0"/>
        <w:ind w:left="705" w:hanging="705"/>
        <w:jc w:val="both"/>
        <w:rPr>
          <w:rFonts w:ascii="Century Gothic" w:hAnsi="Century Gothic"/>
        </w:rPr>
      </w:pPr>
    </w:p>
    <w:p w14:paraId="0A18FF69" w14:textId="77777777" w:rsidR="00A0064A" w:rsidRPr="00CA2DEC" w:rsidRDefault="00A0064A" w:rsidP="00B31DF4">
      <w:pPr>
        <w:autoSpaceDE w:val="0"/>
        <w:autoSpaceDN w:val="0"/>
        <w:adjustRightInd w:val="0"/>
        <w:ind w:left="705" w:hanging="705"/>
        <w:jc w:val="both"/>
        <w:rPr>
          <w:rFonts w:ascii="Century Gothic" w:hAnsi="Century Gothic"/>
        </w:rPr>
      </w:pPr>
      <w:r>
        <w:rPr>
          <w:rFonts w:ascii="Century Gothic" w:hAnsi="Century Gothic"/>
          <w:b/>
        </w:rPr>
        <w:t xml:space="preserve">Que, </w:t>
      </w:r>
      <w:r w:rsidRPr="00A0064A">
        <w:rPr>
          <w:rFonts w:ascii="Century Gothic" w:hAnsi="Century Gothic"/>
        </w:rPr>
        <w:t>mediante expediente PRO-2019-00246 de 05 de febrero de 2019, la Procuraduría Metropolitana menciona que previo a emitir el criterio legal correspondiente, requiere recaben los criterios técnicos actualizados pertinentes.</w:t>
      </w:r>
      <w:r>
        <w:rPr>
          <w:rFonts w:ascii="Century Gothic" w:hAnsi="Century Gothic"/>
          <w:b/>
        </w:rPr>
        <w:t xml:space="preserve"> </w:t>
      </w:r>
    </w:p>
    <w:p w14:paraId="7C0B171D" w14:textId="77777777" w:rsidR="00CA2DEC" w:rsidRDefault="00CA2DEC" w:rsidP="00B31DF4">
      <w:pPr>
        <w:autoSpaceDE w:val="0"/>
        <w:autoSpaceDN w:val="0"/>
        <w:adjustRightInd w:val="0"/>
        <w:ind w:left="705" w:hanging="705"/>
        <w:jc w:val="both"/>
        <w:rPr>
          <w:rFonts w:ascii="Century Gothic" w:hAnsi="Century Gothic"/>
          <w:b/>
        </w:rPr>
      </w:pPr>
    </w:p>
    <w:p w14:paraId="5082B32D" w14:textId="77777777" w:rsidR="00D45692" w:rsidRDefault="00D45692" w:rsidP="00D45692">
      <w:pPr>
        <w:autoSpaceDE w:val="0"/>
        <w:autoSpaceDN w:val="0"/>
        <w:adjustRightInd w:val="0"/>
        <w:ind w:left="705" w:hanging="705"/>
        <w:jc w:val="both"/>
        <w:rPr>
          <w:rFonts w:ascii="Century Gothic" w:hAnsi="Century Gothic"/>
          <w:b/>
        </w:rPr>
      </w:pPr>
      <w:r>
        <w:rPr>
          <w:rFonts w:ascii="Century Gothic" w:hAnsi="Century Gothic"/>
          <w:b/>
        </w:rPr>
        <w:t>Que,</w:t>
      </w:r>
      <w:r w:rsidR="00CA2DEC">
        <w:rPr>
          <w:rFonts w:ascii="Century Gothic" w:hAnsi="Century Gothic"/>
          <w:b/>
        </w:rPr>
        <w:t xml:space="preserve"> </w:t>
      </w:r>
      <w:r>
        <w:rPr>
          <w:rFonts w:ascii="Century Gothic" w:hAnsi="Century Gothic"/>
          <w:b/>
        </w:rPr>
        <w:t xml:space="preserve"> </w:t>
      </w:r>
      <w:r w:rsidRPr="00CA2DEC">
        <w:rPr>
          <w:rFonts w:ascii="Century Gothic" w:hAnsi="Century Gothic"/>
        </w:rPr>
        <w:t>mediante oficio No. SGSG-DMGR-2019-0299 de 10 de abril de 2019, el Director Metropolitano de Gestión de Riesgos, adjunta al presente el Informe Técnico N°</w:t>
      </w:r>
      <w:r w:rsidR="00CA2DEC" w:rsidRPr="00CA2DEC">
        <w:rPr>
          <w:rFonts w:ascii="Century Gothic" w:hAnsi="Century Gothic"/>
        </w:rPr>
        <w:t xml:space="preserve"> 087-AT-DMGR-2019, en el cual en el apartado 3 CONCLUSIONES, menciona que en base al análisis realizado durante la evaluación del predio de propiedad del señor Nicolalde López Carlos Xavier y otros, la calificación de niveles de amenazas a las cuales se encuentra expuesta el área de terreno solicitada en adjudicación, se considera que se puede continuar con el trámite de adjudicación. Adicionalmente, se establecen ciertas recomendaciones al propietario.</w:t>
      </w:r>
      <w:r w:rsidR="00CA2DEC">
        <w:rPr>
          <w:rFonts w:ascii="Century Gothic" w:hAnsi="Century Gothic"/>
          <w:b/>
        </w:rPr>
        <w:t xml:space="preserve"> </w:t>
      </w:r>
    </w:p>
    <w:p w14:paraId="41209C57" w14:textId="77777777" w:rsidR="00D45692" w:rsidRDefault="00D45692" w:rsidP="00B31DF4">
      <w:pPr>
        <w:autoSpaceDE w:val="0"/>
        <w:autoSpaceDN w:val="0"/>
        <w:adjustRightInd w:val="0"/>
        <w:ind w:left="705" w:hanging="705"/>
        <w:jc w:val="both"/>
        <w:rPr>
          <w:rFonts w:ascii="Century Gothic" w:hAnsi="Century Gothic"/>
          <w:b/>
        </w:rPr>
      </w:pPr>
    </w:p>
    <w:p w14:paraId="1B1A8B07" w14:textId="77777777" w:rsidR="00B31DF4" w:rsidRDefault="00B31DF4" w:rsidP="00B31DF4">
      <w:pPr>
        <w:autoSpaceDE w:val="0"/>
        <w:autoSpaceDN w:val="0"/>
        <w:adjustRightInd w:val="0"/>
        <w:ind w:left="705" w:hanging="705"/>
        <w:jc w:val="both"/>
        <w:rPr>
          <w:rFonts w:ascii="Century Gothic" w:hAnsi="Century Gothic"/>
          <w:b/>
        </w:rPr>
      </w:pPr>
      <w:r>
        <w:rPr>
          <w:rFonts w:ascii="Century Gothic" w:hAnsi="Century Gothic"/>
          <w:b/>
        </w:rPr>
        <w:t xml:space="preserve">Que, </w:t>
      </w:r>
      <w:r w:rsidRPr="00D45692">
        <w:rPr>
          <w:rFonts w:ascii="Century Gothic" w:hAnsi="Century Gothic"/>
        </w:rPr>
        <w:t>m</w:t>
      </w:r>
      <w:r w:rsidR="00D45692">
        <w:rPr>
          <w:rFonts w:ascii="Century Gothic" w:hAnsi="Century Gothic"/>
        </w:rPr>
        <w:t>ediante o</w:t>
      </w:r>
      <w:r w:rsidRPr="00D45692">
        <w:rPr>
          <w:rFonts w:ascii="Century Gothic" w:hAnsi="Century Gothic"/>
        </w:rPr>
        <w:t>ficio No. EPMAPS-GOLM-2019-020 de 13 de mayo de 2019, el Subgerente de Saneamiento de la EPMA</w:t>
      </w:r>
      <w:r w:rsidR="00385809" w:rsidRPr="00D45692">
        <w:rPr>
          <w:rFonts w:ascii="Century Gothic" w:hAnsi="Century Gothic"/>
        </w:rPr>
        <w:t>PS, manifiesta que el personal de la Unidad de Mantenimiento de Captaciones en Quebradas, realizó la inspección técnica al sitio, por lo que se ratifica en lo indicado en oficio No. EP</w:t>
      </w:r>
      <w:r w:rsidR="00D45692" w:rsidRPr="00D45692">
        <w:rPr>
          <w:rFonts w:ascii="Century Gothic" w:hAnsi="Century Gothic"/>
        </w:rPr>
        <w:t>MAPS-GOLM-2017-003, en el que</w:t>
      </w:r>
      <w:r w:rsidR="00385809" w:rsidRPr="00D45692">
        <w:rPr>
          <w:rFonts w:ascii="Century Gothic" w:hAnsi="Century Gothic"/>
        </w:rPr>
        <w:t xml:space="preserve"> manifiesta que no existe impedimento para que se pueda adjudicar la franja de relleno de quebrada, en las condiciones indicadas en los artículos de la Ordenanza Municipal No. 172.</w:t>
      </w:r>
    </w:p>
    <w:p w14:paraId="645441B7" w14:textId="77777777" w:rsidR="00D45692" w:rsidRDefault="00D45692" w:rsidP="00B31DF4">
      <w:pPr>
        <w:autoSpaceDE w:val="0"/>
        <w:autoSpaceDN w:val="0"/>
        <w:adjustRightInd w:val="0"/>
        <w:ind w:left="705" w:hanging="705"/>
        <w:jc w:val="both"/>
        <w:rPr>
          <w:rFonts w:ascii="Century Gothic" w:hAnsi="Century Gothic"/>
          <w:b/>
        </w:rPr>
      </w:pPr>
    </w:p>
    <w:p w14:paraId="0F69EFD6" w14:textId="77777777" w:rsidR="00D45692" w:rsidRPr="00D45692" w:rsidRDefault="00D45692" w:rsidP="00D45692">
      <w:pPr>
        <w:autoSpaceDE w:val="0"/>
        <w:autoSpaceDN w:val="0"/>
        <w:adjustRightInd w:val="0"/>
        <w:ind w:left="705" w:hanging="705"/>
        <w:jc w:val="both"/>
        <w:rPr>
          <w:rFonts w:ascii="Century Gothic" w:hAnsi="Century Gothic"/>
          <w:i/>
        </w:rPr>
      </w:pPr>
      <w:r>
        <w:rPr>
          <w:rFonts w:ascii="Century Gothic" w:hAnsi="Century Gothic"/>
          <w:b/>
        </w:rPr>
        <w:t xml:space="preserve">Que, </w:t>
      </w:r>
      <w:r w:rsidRPr="00D45692">
        <w:rPr>
          <w:rFonts w:ascii="Century Gothic" w:hAnsi="Century Gothic"/>
        </w:rPr>
        <w:t>mediante oficio No. DMGBI-2019-02204 de 23 de julio del 2019, el Director Metropolitano de Gestión de Bienes Inmuebles, en su parte pertinente manifiesta:</w:t>
      </w:r>
      <w:r w:rsidRPr="00D45692">
        <w:t xml:space="preserve"> </w:t>
      </w:r>
      <w:r w:rsidRPr="00D45692">
        <w:rPr>
          <w:rFonts w:ascii="Century Gothic" w:hAnsi="Century Gothic"/>
          <w:i/>
        </w:rPr>
        <w:t xml:space="preserve">“La Dirección Metropolitana de Gestión de Bienes Inmuebles, vistos los antecedentes señalados en los informes de las Dependencias Municipales y de acuerdo al literal a) del artículo 437 del COOTAD, considera que la faja de terreno a ser adjudicada no va a ser de utilidad en el futuro para el Municipio de Quito, por lo que es </w:t>
      </w:r>
      <w:r w:rsidRPr="00D45692">
        <w:rPr>
          <w:rFonts w:ascii="Century Gothic" w:hAnsi="Century Gothic"/>
          <w:b/>
          <w:i/>
        </w:rPr>
        <w:t>FACTIBLE</w:t>
      </w:r>
      <w:r w:rsidRPr="00D45692">
        <w:rPr>
          <w:rFonts w:ascii="Century Gothic" w:hAnsi="Century Gothic"/>
          <w:i/>
        </w:rPr>
        <w:t xml:space="preserve"> que se realice la adjudicación de la faja No. 3”.</w:t>
      </w:r>
    </w:p>
    <w:p w14:paraId="6E229CDC" w14:textId="77777777" w:rsidR="00D45692" w:rsidRDefault="00D45692" w:rsidP="00D45692">
      <w:pPr>
        <w:autoSpaceDE w:val="0"/>
        <w:autoSpaceDN w:val="0"/>
        <w:adjustRightInd w:val="0"/>
        <w:ind w:left="705" w:hanging="705"/>
        <w:jc w:val="both"/>
        <w:rPr>
          <w:rFonts w:ascii="Century Gothic" w:hAnsi="Century Gothic"/>
          <w:b/>
        </w:rPr>
      </w:pPr>
    </w:p>
    <w:p w14:paraId="40E8A5FF" w14:textId="77777777" w:rsidR="00D45692" w:rsidRPr="00D45692" w:rsidRDefault="00D45692" w:rsidP="00D45692">
      <w:pPr>
        <w:autoSpaceDE w:val="0"/>
        <w:autoSpaceDN w:val="0"/>
        <w:adjustRightInd w:val="0"/>
        <w:ind w:left="705" w:hanging="705"/>
        <w:jc w:val="both"/>
        <w:rPr>
          <w:rFonts w:ascii="Century Gothic" w:hAnsi="Century Gothic"/>
        </w:rPr>
      </w:pPr>
      <w:r>
        <w:rPr>
          <w:rFonts w:ascii="Century Gothic" w:hAnsi="Century Gothic"/>
          <w:b/>
        </w:rPr>
        <w:t xml:space="preserve">Que, </w:t>
      </w:r>
      <w:r w:rsidRPr="00D45692">
        <w:rPr>
          <w:rFonts w:ascii="Century Gothic" w:hAnsi="Century Gothic"/>
        </w:rPr>
        <w:t xml:space="preserve">mediante oficio No. DMF-DIR-1036-2019 de 30 de julio de 2019, la Directora Metropolitana Financiera del Municipio del Distrito Metropolitano de Quito, en relación a la faja de terreno No. 3, producto de relleno de quebrada, colindante con el predio No. 680157, clave catastral No. 13108-02-012, en su parte pertinente menciona: </w:t>
      </w:r>
      <w:r w:rsidRPr="00D45692">
        <w:rPr>
          <w:rFonts w:ascii="Century Gothic" w:hAnsi="Century Gothic"/>
          <w:i/>
        </w:rPr>
        <w:t xml:space="preserve">“En virtud de lo expuesto, y la documentación de sustento remitida por la Dirección Metropolitana de Gestión de Bienes Inmuebles y la base legal señalada, esta Dirección emite informe favorable para que se inicie el trámite administrativo para </w:t>
      </w:r>
      <w:r w:rsidRPr="00D45692">
        <w:rPr>
          <w:rFonts w:ascii="Century Gothic" w:hAnsi="Century Gothic"/>
          <w:i/>
        </w:rPr>
        <w:lastRenderedPageBreak/>
        <w:t xml:space="preserve">la compra directa del área de terreno solicitada en adjudicación a favor del señor NICOLALDE LOPEZ CARLOS XAVIER Y OTROS, en razón de que </w:t>
      </w:r>
      <w:r w:rsidRPr="00D45692">
        <w:rPr>
          <w:rFonts w:ascii="Century Gothic" w:hAnsi="Century Gothic"/>
          <w:b/>
          <w:i/>
        </w:rPr>
        <w:t>NO</w:t>
      </w:r>
      <w:r w:rsidRPr="00D45692">
        <w:rPr>
          <w:rFonts w:ascii="Century Gothic" w:hAnsi="Century Gothic"/>
          <w:i/>
        </w:rPr>
        <w:t xml:space="preserve"> reporta al momento ingresos o renta alguna a favor del Municipio del Distrito Metropolitano de Quito.”</w:t>
      </w:r>
    </w:p>
    <w:p w14:paraId="38350E11" w14:textId="77777777" w:rsidR="00E26CD0" w:rsidRDefault="00E26CD0" w:rsidP="00B31DF4">
      <w:pPr>
        <w:autoSpaceDE w:val="0"/>
        <w:autoSpaceDN w:val="0"/>
        <w:adjustRightInd w:val="0"/>
        <w:ind w:left="705" w:hanging="705"/>
        <w:jc w:val="both"/>
        <w:rPr>
          <w:rFonts w:ascii="Century Gothic" w:hAnsi="Century Gothic"/>
          <w:b/>
        </w:rPr>
      </w:pPr>
    </w:p>
    <w:p w14:paraId="66696143" w14:textId="77777777" w:rsidR="006B114C" w:rsidRDefault="006B114C" w:rsidP="006B114C">
      <w:pPr>
        <w:autoSpaceDE w:val="0"/>
        <w:autoSpaceDN w:val="0"/>
        <w:adjustRightInd w:val="0"/>
        <w:ind w:left="705" w:hanging="705"/>
        <w:jc w:val="both"/>
        <w:rPr>
          <w:rFonts w:ascii="Century Gothic" w:hAnsi="Century Gothic"/>
          <w:i/>
        </w:rPr>
      </w:pPr>
      <w:r>
        <w:rPr>
          <w:rFonts w:ascii="Century Gothic" w:hAnsi="Century Gothic"/>
          <w:b/>
        </w:rPr>
        <w:t xml:space="preserve">Que, </w:t>
      </w:r>
      <w:r w:rsidRPr="00AD14B4">
        <w:rPr>
          <w:rFonts w:ascii="Century Gothic" w:hAnsi="Century Gothic"/>
        </w:rPr>
        <w:t>mediante mem</w:t>
      </w:r>
      <w:r w:rsidR="00AD14B4" w:rsidRPr="00AD14B4">
        <w:rPr>
          <w:rFonts w:ascii="Century Gothic" w:hAnsi="Century Gothic"/>
        </w:rPr>
        <w:t>o</w:t>
      </w:r>
      <w:r w:rsidRPr="00AD14B4">
        <w:rPr>
          <w:rFonts w:ascii="Century Gothic" w:hAnsi="Century Gothic"/>
        </w:rPr>
        <w:t xml:space="preserve">rando No. GADDMQ-AZLD-DGT-2020-0113-M de 13 de febrero de 2020, </w:t>
      </w:r>
      <w:r w:rsidR="00AD14B4" w:rsidRPr="00AD14B4">
        <w:rPr>
          <w:rFonts w:ascii="Century Gothic" w:hAnsi="Century Gothic"/>
        </w:rPr>
        <w:t xml:space="preserve">y el alcance realizado mediante memorando No. GADDMQ-AZLD-DGT-2020-0125-M de 17 de febrero de 2020, </w:t>
      </w:r>
      <w:r w:rsidRPr="00AD14B4">
        <w:rPr>
          <w:rFonts w:ascii="Century Gothic" w:hAnsi="Century Gothic"/>
        </w:rPr>
        <w:t>el Director del Territorio, de la Administración Zonal La Delicia,</w:t>
      </w:r>
      <w:r w:rsidR="00AD14B4" w:rsidRPr="00AD14B4">
        <w:rPr>
          <w:rFonts w:ascii="Century Gothic" w:hAnsi="Century Gothic"/>
        </w:rPr>
        <w:t xml:space="preserve"> adjunta el desistimiento actualizado a la fecha 31 de enero del 2020, llevado a cabo en la Notaría Cuadragésima Tercera, y</w:t>
      </w:r>
      <w:r w:rsidRPr="00AD14B4">
        <w:rPr>
          <w:rFonts w:ascii="Century Gothic" w:hAnsi="Century Gothic"/>
        </w:rPr>
        <w:t xml:space="preserve"> manifiesta lo siguiente: </w:t>
      </w:r>
      <w:r w:rsidRPr="00AD14B4">
        <w:rPr>
          <w:rFonts w:ascii="Century Gothic" w:hAnsi="Century Gothic"/>
          <w:i/>
        </w:rPr>
        <w:t>“(…) tomando en cuenta que existiría un solo colindante a la faja N°3, esta unidad emite CRITERIO TECNICO FAVORABLE a la adjudicación, ya que esta área no es de interés para el Municipio de Quito (…)”</w:t>
      </w:r>
    </w:p>
    <w:p w14:paraId="73C5454B" w14:textId="77777777" w:rsidR="00AD14B4" w:rsidRDefault="00AD14B4" w:rsidP="006B114C">
      <w:pPr>
        <w:autoSpaceDE w:val="0"/>
        <w:autoSpaceDN w:val="0"/>
        <w:adjustRightInd w:val="0"/>
        <w:ind w:left="705" w:hanging="705"/>
        <w:jc w:val="both"/>
        <w:rPr>
          <w:rFonts w:ascii="Century Gothic" w:hAnsi="Century Gothic"/>
          <w:i/>
        </w:rPr>
      </w:pPr>
    </w:p>
    <w:p w14:paraId="7200350C" w14:textId="77777777" w:rsidR="00AD14B4" w:rsidRDefault="00AD14B4" w:rsidP="006B114C">
      <w:pPr>
        <w:autoSpaceDE w:val="0"/>
        <w:autoSpaceDN w:val="0"/>
        <w:adjustRightInd w:val="0"/>
        <w:ind w:left="705" w:hanging="705"/>
        <w:jc w:val="both"/>
        <w:rPr>
          <w:rFonts w:ascii="Century Gothic" w:hAnsi="Century Gothic"/>
          <w:i/>
        </w:rPr>
      </w:pPr>
      <w:r>
        <w:rPr>
          <w:rFonts w:ascii="Century Gothic" w:hAnsi="Century Gothic"/>
          <w:b/>
        </w:rPr>
        <w:t xml:space="preserve">Que, </w:t>
      </w:r>
      <w:r w:rsidRPr="00AD14B4">
        <w:rPr>
          <w:rFonts w:ascii="Century Gothic" w:hAnsi="Century Gothic"/>
        </w:rPr>
        <w:t xml:space="preserve">mediante memorando No. AZLD-DJ-2020-136 de 27 de febrero del 2020, el Director Jurídico de la Administración Zonal La Delicia, manifiesta lo siguiente: </w:t>
      </w:r>
      <w:r w:rsidRPr="00AD14B4">
        <w:rPr>
          <w:rFonts w:ascii="Century Gothic" w:hAnsi="Century Gothic"/>
          <w:i/>
        </w:rPr>
        <w:t>“(…) emite informe legal FAVORABLE, a esta propuesta de adjudicación de la faja No. 3, de propiedad municipal, producto de relleno de quebrada, ubicada en la parroquia Comité del Pueblo, sector Carretas, cantón Quito, provincia de Pichincha, a favor del predio No. 680157 colindante a la misma de propiedad de la Compañía NILOTEX TELAS SCC. ; toda vez que , se cuenta con el Acta de Convenio de Desistimiento actualizada con reconocimiento de firmas del Sr. Pablo Charpentier propietario del predio 18989.”</w:t>
      </w:r>
    </w:p>
    <w:p w14:paraId="0CFFEF4B" w14:textId="77777777" w:rsidR="00401952" w:rsidRDefault="00401952" w:rsidP="006B114C">
      <w:pPr>
        <w:autoSpaceDE w:val="0"/>
        <w:autoSpaceDN w:val="0"/>
        <w:adjustRightInd w:val="0"/>
        <w:ind w:left="705" w:hanging="705"/>
        <w:jc w:val="both"/>
        <w:rPr>
          <w:rFonts w:ascii="Century Gothic" w:hAnsi="Century Gothic"/>
          <w:i/>
        </w:rPr>
      </w:pPr>
    </w:p>
    <w:p w14:paraId="518BD34E" w14:textId="77777777" w:rsidR="00401952" w:rsidRDefault="00AD14B4" w:rsidP="00401952">
      <w:pPr>
        <w:autoSpaceDE w:val="0"/>
        <w:autoSpaceDN w:val="0"/>
        <w:adjustRightInd w:val="0"/>
        <w:ind w:left="705" w:hanging="705"/>
        <w:jc w:val="both"/>
        <w:rPr>
          <w:rFonts w:ascii="Century Gothic" w:hAnsi="Century Gothic"/>
        </w:rPr>
      </w:pPr>
      <w:r>
        <w:rPr>
          <w:rFonts w:ascii="Century Gothic" w:hAnsi="Century Gothic"/>
          <w:b/>
        </w:rPr>
        <w:t xml:space="preserve">Que,  </w:t>
      </w:r>
      <w:r w:rsidRPr="00401952">
        <w:rPr>
          <w:rFonts w:ascii="Century Gothic" w:hAnsi="Century Gothic"/>
        </w:rPr>
        <w:t>mediante Oficio Nro. GADDMQ-AZLD-2020-0944</w:t>
      </w:r>
      <w:r w:rsidR="00401952" w:rsidRPr="00401952">
        <w:rPr>
          <w:rFonts w:ascii="Century Gothic" w:hAnsi="Century Gothic"/>
        </w:rPr>
        <w:t>-O de 27 de febrero de 2020, la Administradora Zonal</w:t>
      </w:r>
      <w:r w:rsidRPr="00401952">
        <w:rPr>
          <w:rFonts w:ascii="Century Gothic" w:hAnsi="Century Gothic"/>
        </w:rPr>
        <w:t xml:space="preserve"> La Delici</w:t>
      </w:r>
      <w:r w:rsidR="00401952" w:rsidRPr="00401952">
        <w:rPr>
          <w:rFonts w:ascii="Century Gothic" w:hAnsi="Century Gothic"/>
        </w:rPr>
        <w:t>a, atendiendo al o</w:t>
      </w:r>
      <w:r w:rsidRPr="00401952">
        <w:rPr>
          <w:rFonts w:ascii="Century Gothic" w:hAnsi="Century Gothic"/>
        </w:rPr>
        <w:t xml:space="preserve">ficio No. GADDMQ-PM-SAUOS-2019-0148-O de 9 de diciembre del 2019, remite el expediente que contiene el proyecto de adjudicación de la faja 3, con los informes Técnico y Legal ampliatorios y el Acta de desistimiento actualizado, por lo cual, acogiendo en todas sus partes los informes Técnicos constantes en memorando No. GADDMQ-AZLD-DGT-2020-0113-M de 13 de febrero del 2020, memorando No. GADDMQ-AZLD-DGT-2020-0125-M de 17 de febrero del 2020; y, Legal constante en memorado No AZLD- DJ-2020-136, de 27 de febrero del 2020, emite informe FAVORABLE, a la adjudicación de la faja No. 3, de propiedad municipal, producto de relleno de quebrada, ubicada en la parroquia Comité del Pueblo, sector Carretas, cantón Quito, provincia de Pichincha, a favor del predio No. 680157 colindante a la misma de propiedad de la Compañía NILOTEX TELAS. </w:t>
      </w:r>
    </w:p>
    <w:p w14:paraId="7C3646FA" w14:textId="77777777" w:rsidR="001A69D5" w:rsidRDefault="001A69D5" w:rsidP="00401952">
      <w:pPr>
        <w:autoSpaceDE w:val="0"/>
        <w:autoSpaceDN w:val="0"/>
        <w:adjustRightInd w:val="0"/>
        <w:ind w:left="705" w:hanging="705"/>
        <w:jc w:val="both"/>
        <w:rPr>
          <w:rFonts w:ascii="Century Gothic" w:hAnsi="Century Gothic"/>
        </w:rPr>
      </w:pPr>
    </w:p>
    <w:p w14:paraId="494DD763" w14:textId="77777777" w:rsidR="00401952" w:rsidRDefault="00401952" w:rsidP="00262DC1">
      <w:pPr>
        <w:autoSpaceDE w:val="0"/>
        <w:autoSpaceDN w:val="0"/>
        <w:adjustRightInd w:val="0"/>
        <w:ind w:left="705" w:hanging="705"/>
        <w:jc w:val="both"/>
        <w:rPr>
          <w:rFonts w:ascii="Century Gothic" w:hAnsi="Century Gothic"/>
        </w:rPr>
      </w:pPr>
      <w:r>
        <w:rPr>
          <w:rFonts w:ascii="Century Gothic" w:hAnsi="Century Gothic"/>
          <w:b/>
        </w:rPr>
        <w:t xml:space="preserve">Que, </w:t>
      </w:r>
      <w:r w:rsidR="00262DC1">
        <w:rPr>
          <w:rFonts w:ascii="Century Gothic" w:hAnsi="Century Gothic"/>
        </w:rPr>
        <w:t>mediante o</w:t>
      </w:r>
      <w:r w:rsidRPr="00401952">
        <w:rPr>
          <w:rFonts w:ascii="Century Gothic" w:hAnsi="Century Gothic"/>
        </w:rPr>
        <w:t>ficio Nro. GADDMQ-PM-2021-1</w:t>
      </w:r>
      <w:r w:rsidR="00262DC1">
        <w:rPr>
          <w:rFonts w:ascii="Century Gothic" w:hAnsi="Century Gothic"/>
        </w:rPr>
        <w:t xml:space="preserve">243-O de 01 de mayo de 2021, la </w:t>
      </w:r>
      <w:r w:rsidRPr="00401952">
        <w:rPr>
          <w:rFonts w:ascii="Century Gothic" w:hAnsi="Century Gothic"/>
        </w:rPr>
        <w:t>Procuraduría Metropolitan</w:t>
      </w:r>
      <w:r w:rsidR="00262DC1">
        <w:rPr>
          <w:rFonts w:ascii="Century Gothic" w:hAnsi="Century Gothic"/>
        </w:rPr>
        <w:t>a</w:t>
      </w:r>
      <w:r w:rsidRPr="00401952">
        <w:rPr>
          <w:rFonts w:ascii="Century Gothic" w:hAnsi="Century Gothic"/>
        </w:rPr>
        <w:t xml:space="preserve"> previo</w:t>
      </w:r>
      <w:r w:rsidR="00262DC1">
        <w:rPr>
          <w:rFonts w:ascii="Century Gothic" w:hAnsi="Century Gothic"/>
        </w:rPr>
        <w:t xml:space="preserve"> a emitir el criterio </w:t>
      </w:r>
      <w:r w:rsidR="00262DC1">
        <w:rPr>
          <w:rFonts w:ascii="Century Gothic" w:hAnsi="Century Gothic"/>
        </w:rPr>
        <w:lastRenderedPageBreak/>
        <w:t xml:space="preserve">jurídico, solicitó a la Dirección </w:t>
      </w:r>
      <w:r w:rsidRPr="00401952">
        <w:rPr>
          <w:rFonts w:ascii="Century Gothic" w:hAnsi="Century Gothic"/>
        </w:rPr>
        <w:t>Metropolitana de Catastro, se sirva remitir el informe y f</w:t>
      </w:r>
      <w:r w:rsidR="00262DC1">
        <w:rPr>
          <w:rFonts w:ascii="Century Gothic" w:hAnsi="Century Gothic"/>
        </w:rPr>
        <w:t xml:space="preserve">icha actualizados de la faja de </w:t>
      </w:r>
      <w:r w:rsidRPr="00401952">
        <w:rPr>
          <w:rFonts w:ascii="Century Gothic" w:hAnsi="Century Gothic"/>
        </w:rPr>
        <w:t>terreno referida, enviados mediante Oficio Nro. D</w:t>
      </w:r>
      <w:r w:rsidR="00262DC1">
        <w:rPr>
          <w:rFonts w:ascii="Century Gothic" w:hAnsi="Century Gothic"/>
        </w:rPr>
        <w:t xml:space="preserve">MC-CE-008876 de 09 de julio </w:t>
      </w:r>
      <w:proofErr w:type="gramStart"/>
      <w:r w:rsidR="00262DC1">
        <w:rPr>
          <w:rFonts w:ascii="Century Gothic" w:hAnsi="Century Gothic"/>
        </w:rPr>
        <w:t xml:space="preserve">de  </w:t>
      </w:r>
      <w:r w:rsidRPr="00401952">
        <w:rPr>
          <w:rFonts w:ascii="Century Gothic" w:hAnsi="Century Gothic"/>
        </w:rPr>
        <w:t>2019</w:t>
      </w:r>
      <w:proofErr w:type="gramEnd"/>
      <w:r w:rsidRPr="00401952">
        <w:rPr>
          <w:rFonts w:ascii="Century Gothic" w:hAnsi="Century Gothic"/>
        </w:rPr>
        <w:t>.</w:t>
      </w:r>
    </w:p>
    <w:p w14:paraId="4A4CC077" w14:textId="77777777" w:rsidR="001A69D5" w:rsidRDefault="001A69D5" w:rsidP="00262DC1">
      <w:pPr>
        <w:autoSpaceDE w:val="0"/>
        <w:autoSpaceDN w:val="0"/>
        <w:adjustRightInd w:val="0"/>
        <w:ind w:left="705" w:hanging="705"/>
        <w:jc w:val="both"/>
        <w:rPr>
          <w:rFonts w:ascii="Century Gothic" w:hAnsi="Century Gothic"/>
        </w:rPr>
      </w:pPr>
    </w:p>
    <w:p w14:paraId="7D80645A" w14:textId="77777777" w:rsidR="00262DC1" w:rsidRDefault="00262DC1" w:rsidP="00262DC1">
      <w:pPr>
        <w:autoSpaceDE w:val="0"/>
        <w:autoSpaceDN w:val="0"/>
        <w:adjustRightInd w:val="0"/>
        <w:ind w:left="705" w:hanging="705"/>
        <w:jc w:val="both"/>
        <w:rPr>
          <w:rFonts w:ascii="Century Gothic" w:hAnsi="Century Gothic"/>
          <w:b/>
        </w:rPr>
      </w:pPr>
      <w:r>
        <w:rPr>
          <w:rFonts w:ascii="Century Gothic" w:hAnsi="Century Gothic"/>
          <w:b/>
        </w:rPr>
        <w:t>Que</w:t>
      </w:r>
      <w:r w:rsidRPr="001A69D5">
        <w:rPr>
          <w:rFonts w:ascii="Century Gothic" w:hAnsi="Century Gothic"/>
          <w:b/>
        </w:rPr>
        <w:t xml:space="preserve">, </w:t>
      </w:r>
      <w:r w:rsidRPr="001A69D5">
        <w:rPr>
          <w:rFonts w:ascii="Century Gothic" w:hAnsi="Century Gothic"/>
        </w:rPr>
        <w:t>mediante oficio Nro. GADDMQ-STHV-DMC-UCE-2021-1638-O de 11 de agosto de 2021, el Jefe de la Unidad de Catastro Especial Subrogante, señala que adjunta el informe técnico No. DMC-UCE-2021-1546 de 10 de agosto de 2021, documento que contiene los datos catastrales del inmueble identificado con clave catastral No. 13108-02-012, predio No. 680157.</w:t>
      </w:r>
    </w:p>
    <w:p w14:paraId="4196C9B4" w14:textId="77777777" w:rsidR="00262DC1" w:rsidRDefault="00262DC1" w:rsidP="00262DC1">
      <w:pPr>
        <w:autoSpaceDE w:val="0"/>
        <w:autoSpaceDN w:val="0"/>
        <w:adjustRightInd w:val="0"/>
        <w:ind w:left="705" w:hanging="705"/>
        <w:jc w:val="both"/>
        <w:rPr>
          <w:rFonts w:ascii="Century Gothic" w:hAnsi="Century Gothic"/>
          <w:b/>
        </w:rPr>
      </w:pPr>
    </w:p>
    <w:p w14:paraId="50C4E5B7" w14:textId="77777777" w:rsidR="00262DC1" w:rsidRDefault="00262DC1" w:rsidP="00262DC1">
      <w:pPr>
        <w:autoSpaceDE w:val="0"/>
        <w:autoSpaceDN w:val="0"/>
        <w:adjustRightInd w:val="0"/>
        <w:ind w:left="705" w:hanging="705"/>
        <w:jc w:val="both"/>
        <w:rPr>
          <w:rFonts w:ascii="Century Gothic" w:hAnsi="Century Gothic"/>
        </w:rPr>
      </w:pPr>
      <w:r w:rsidRPr="001A69D5">
        <w:rPr>
          <w:rFonts w:ascii="Century Gothic" w:hAnsi="Century Gothic"/>
          <w:b/>
        </w:rPr>
        <w:t xml:space="preserve">Que,  </w:t>
      </w:r>
      <w:r w:rsidRPr="001A69D5">
        <w:rPr>
          <w:rFonts w:ascii="Century Gothic" w:hAnsi="Century Gothic"/>
        </w:rPr>
        <w:t>mediante Oficio Nro. GADDMQ-PM-2021-2984-O de 11 de octubre de 2021, la Procuraduría Metropolitana solicito a la Dirección Metropolitana de Catastro un informe explicando y sustentando técnicamente las causas de la diferencia del valor de la faja de terreno No. 3, colindante al predio No. 680157, que corresponde al presente caso, con la faja de terreno No. 1, colindante al predio No. 433037, que ya cuenta con resolución del Concejo Metropolitano, pese a que las mismas están ubicadas de forma contigua.</w:t>
      </w:r>
    </w:p>
    <w:p w14:paraId="2CAD89D4" w14:textId="77777777" w:rsidR="00D45692" w:rsidRDefault="00D45692" w:rsidP="00262DC1">
      <w:pPr>
        <w:autoSpaceDE w:val="0"/>
        <w:autoSpaceDN w:val="0"/>
        <w:adjustRightInd w:val="0"/>
        <w:ind w:left="705" w:hanging="705"/>
        <w:jc w:val="both"/>
        <w:rPr>
          <w:rFonts w:ascii="Century Gothic" w:hAnsi="Century Gothic"/>
        </w:rPr>
      </w:pPr>
    </w:p>
    <w:p w14:paraId="188D5685" w14:textId="77777777" w:rsidR="00385809" w:rsidRDefault="00262DC1" w:rsidP="001A69D5">
      <w:pPr>
        <w:autoSpaceDE w:val="0"/>
        <w:autoSpaceDN w:val="0"/>
        <w:adjustRightInd w:val="0"/>
        <w:ind w:left="705" w:hanging="705"/>
        <w:jc w:val="both"/>
        <w:rPr>
          <w:rFonts w:ascii="Century Gothic" w:hAnsi="Century Gothic"/>
          <w:i/>
        </w:rPr>
      </w:pPr>
      <w:r>
        <w:rPr>
          <w:rFonts w:ascii="Century Gothic" w:hAnsi="Century Gothic"/>
          <w:b/>
        </w:rPr>
        <w:t xml:space="preserve">Que,  </w:t>
      </w:r>
      <w:r w:rsidRPr="00262DC1">
        <w:rPr>
          <w:rFonts w:ascii="Century Gothic" w:hAnsi="Century Gothic"/>
        </w:rPr>
        <w:t>m</w:t>
      </w:r>
      <w:r>
        <w:rPr>
          <w:rFonts w:ascii="Century Gothic" w:hAnsi="Century Gothic"/>
        </w:rPr>
        <w:t>ediante o</w:t>
      </w:r>
      <w:r w:rsidRPr="00262DC1">
        <w:rPr>
          <w:rFonts w:ascii="Century Gothic" w:hAnsi="Century Gothic"/>
        </w:rPr>
        <w:t>ficio Nro. GADDMQ-STHV-DMC-2021-1326-O de 16 de noviembre de 2021, el Director Metropolitano de Catastro remite anexo el Informe Técnico No. STHV-DMC-UCE-2021-2140 de 25 de octubre de 2021, sobre la diferencia del valor de la faja de terreno de posible adjudicación colindantes a los predios 433037 y 680157, de propiedad del señor Nicolalde López Carlos Xavier y otros y Compañía NILOTEX TELAS, ubicado en la parroquia Comité del Pueblo, el mismo</w:t>
      </w:r>
      <w:r>
        <w:rPr>
          <w:rFonts w:ascii="Century Gothic" w:hAnsi="Century Gothic"/>
        </w:rPr>
        <w:t xml:space="preserve"> que en su parte pertinente menciona</w:t>
      </w:r>
      <w:r w:rsidRPr="00262DC1">
        <w:rPr>
          <w:rFonts w:ascii="Century Gothic" w:hAnsi="Century Gothic"/>
        </w:rPr>
        <w:t>:</w:t>
      </w:r>
      <w:r>
        <w:rPr>
          <w:rFonts w:ascii="Century Gothic" w:hAnsi="Century Gothic"/>
        </w:rPr>
        <w:t xml:space="preserve"> </w:t>
      </w:r>
      <w:r w:rsidRPr="00D45692">
        <w:rPr>
          <w:rFonts w:ascii="Century Gothic" w:hAnsi="Century Gothic"/>
          <w:i/>
        </w:rPr>
        <w:t>“Para la Valoración de la faja de terreno producto de relleno de quebrada (colindante al predio 433037), según la Norma Técnica Valorativa 42.9. Valoración de fajas de terreno – Adjudicaciones. - Para el caso de adjudicación de fajas de terreno en suelo firme o quebradas rellenadas que se anexarán a lotes colindantes. Se aplicó Norma 42.9.4 Valoración de faja de terreno sobre relleno de quebrada- adjudicación. Adicionalmente para la valoración del área colindante al predio 680157, se aplicó la Norma 42.9.6 Valoración de fajas de terreno con colector o similares – Adjudicación. (…) 3. CONCLUSIONES Al respecto, la Dirección Metropolitana de Catastro de la Secretaría de Territorio Hábitat y Vivienda, procedió al análisis y revisión de las fichas valorativas y se remite el</w:t>
      </w:r>
      <w:r w:rsidR="00D45692" w:rsidRPr="00D45692">
        <w:rPr>
          <w:rFonts w:ascii="Century Gothic" w:hAnsi="Century Gothic"/>
          <w:i/>
        </w:rPr>
        <w:t xml:space="preserve"> </w:t>
      </w:r>
      <w:r w:rsidRPr="00D45692">
        <w:rPr>
          <w:rFonts w:ascii="Century Gothic" w:hAnsi="Century Gothic"/>
          <w:i/>
        </w:rPr>
        <w:t>informe técnico sobre la diferencia del valor de la faja de terreno de posible</w:t>
      </w:r>
      <w:r w:rsidR="00D45692" w:rsidRPr="00D45692">
        <w:rPr>
          <w:rFonts w:ascii="Century Gothic" w:hAnsi="Century Gothic"/>
          <w:i/>
        </w:rPr>
        <w:t xml:space="preserve"> </w:t>
      </w:r>
      <w:r w:rsidRPr="00D45692">
        <w:rPr>
          <w:rFonts w:ascii="Century Gothic" w:hAnsi="Century Gothic"/>
          <w:i/>
        </w:rPr>
        <w:t>adjudicación colindantes a los predios 433037 y 680157, de propiedad del señor</w:t>
      </w:r>
      <w:r w:rsidR="00D45692" w:rsidRPr="00D45692">
        <w:rPr>
          <w:rFonts w:ascii="Century Gothic" w:hAnsi="Century Gothic"/>
          <w:i/>
        </w:rPr>
        <w:t xml:space="preserve"> </w:t>
      </w:r>
      <w:r w:rsidRPr="00D45692">
        <w:rPr>
          <w:rFonts w:ascii="Century Gothic" w:hAnsi="Century Gothic"/>
          <w:i/>
        </w:rPr>
        <w:t>Nicolalde López Carlos Xavier y otros y Compañía NILOTEX TELAS, ubicado en la</w:t>
      </w:r>
      <w:r w:rsidR="00D45692" w:rsidRPr="00D45692">
        <w:rPr>
          <w:rFonts w:ascii="Century Gothic" w:hAnsi="Century Gothic"/>
          <w:i/>
        </w:rPr>
        <w:t xml:space="preserve"> </w:t>
      </w:r>
      <w:r w:rsidRPr="00D45692">
        <w:rPr>
          <w:rFonts w:ascii="Century Gothic" w:hAnsi="Century Gothic"/>
          <w:i/>
        </w:rPr>
        <w:t>parroquia Comité del Pueblo. Con respecto al oficio N° EPMAPS-GOLM-2019-020, de</w:t>
      </w:r>
      <w:r w:rsidR="00D45692" w:rsidRPr="00D45692">
        <w:rPr>
          <w:rFonts w:ascii="Century Gothic" w:hAnsi="Century Gothic"/>
          <w:i/>
        </w:rPr>
        <w:t xml:space="preserve"> </w:t>
      </w:r>
      <w:r w:rsidRPr="00D45692">
        <w:rPr>
          <w:rFonts w:ascii="Century Gothic" w:hAnsi="Century Gothic"/>
          <w:i/>
        </w:rPr>
        <w:t xml:space="preserve">13 </w:t>
      </w:r>
      <w:r w:rsidRPr="00D45692">
        <w:rPr>
          <w:rFonts w:ascii="Century Gothic" w:hAnsi="Century Gothic"/>
          <w:i/>
        </w:rPr>
        <w:lastRenderedPageBreak/>
        <w:t>de mayo de 2019 la EPMAPS, (adjunto el plano), al predio 433037 la implantación</w:t>
      </w:r>
      <w:r w:rsidR="00D45692" w:rsidRPr="00D45692">
        <w:rPr>
          <w:rFonts w:ascii="Century Gothic" w:hAnsi="Century Gothic"/>
          <w:i/>
        </w:rPr>
        <w:t xml:space="preserve"> </w:t>
      </w:r>
      <w:r w:rsidRPr="00D45692">
        <w:rPr>
          <w:rFonts w:ascii="Century Gothic" w:hAnsi="Century Gothic"/>
          <w:i/>
        </w:rPr>
        <w:t>del colector no atraviesa el área de posible adjudicación, mientras que el predio 680157</w:t>
      </w:r>
      <w:r w:rsidR="00D45692" w:rsidRPr="00D45692">
        <w:rPr>
          <w:rFonts w:ascii="Century Gothic" w:hAnsi="Century Gothic"/>
          <w:i/>
        </w:rPr>
        <w:t xml:space="preserve"> </w:t>
      </w:r>
      <w:r w:rsidRPr="00D45692">
        <w:rPr>
          <w:rFonts w:ascii="Century Gothic" w:hAnsi="Century Gothic"/>
          <w:i/>
        </w:rPr>
        <w:t xml:space="preserve">el colector atraviesa </w:t>
      </w:r>
      <w:r w:rsidRPr="001A69D5">
        <w:rPr>
          <w:rFonts w:ascii="Century Gothic" w:hAnsi="Century Gothic"/>
          <w:i/>
        </w:rPr>
        <w:t>el área de posible adjudicación, con estos antecedentes es la</w:t>
      </w:r>
      <w:r w:rsidR="00D45692" w:rsidRPr="001A69D5">
        <w:rPr>
          <w:rFonts w:ascii="Century Gothic" w:hAnsi="Century Gothic"/>
          <w:i/>
        </w:rPr>
        <w:t xml:space="preserve"> </w:t>
      </w:r>
      <w:r w:rsidRPr="001A69D5">
        <w:rPr>
          <w:rFonts w:ascii="Century Gothic" w:hAnsi="Century Gothic"/>
          <w:i/>
        </w:rPr>
        <w:t>diferencia de valor en las dos áreas a adjudicarse, para continuar con el tramite</w:t>
      </w:r>
      <w:r w:rsidR="00D45692" w:rsidRPr="001A69D5">
        <w:rPr>
          <w:rFonts w:ascii="Century Gothic" w:hAnsi="Century Gothic"/>
          <w:i/>
        </w:rPr>
        <w:t xml:space="preserve"> </w:t>
      </w:r>
      <w:r w:rsidRPr="001A69D5">
        <w:rPr>
          <w:rFonts w:ascii="Century Gothic" w:hAnsi="Century Gothic"/>
          <w:i/>
        </w:rPr>
        <w:t>pertinente que lo amerite al presente caso.”</w:t>
      </w:r>
    </w:p>
    <w:p w14:paraId="013CF141" w14:textId="77777777" w:rsidR="001A69D5" w:rsidRDefault="001A69D5" w:rsidP="001A69D5">
      <w:pPr>
        <w:autoSpaceDE w:val="0"/>
        <w:autoSpaceDN w:val="0"/>
        <w:adjustRightInd w:val="0"/>
        <w:ind w:left="705" w:hanging="705"/>
        <w:jc w:val="both"/>
        <w:rPr>
          <w:rFonts w:ascii="Century Gothic" w:hAnsi="Century Gothic"/>
          <w:i/>
        </w:rPr>
      </w:pPr>
    </w:p>
    <w:p w14:paraId="1A00024A" w14:textId="77777777" w:rsidR="001A69D5" w:rsidRPr="001A69D5" w:rsidRDefault="001A69D5" w:rsidP="001A69D5">
      <w:pPr>
        <w:autoSpaceDE w:val="0"/>
        <w:autoSpaceDN w:val="0"/>
        <w:adjustRightInd w:val="0"/>
        <w:ind w:left="705" w:hanging="705"/>
        <w:jc w:val="both"/>
        <w:rPr>
          <w:rFonts w:ascii="Century Gothic" w:hAnsi="Century Gothic"/>
        </w:rPr>
      </w:pPr>
      <w:r>
        <w:rPr>
          <w:rFonts w:ascii="Century Gothic" w:hAnsi="Century Gothic"/>
          <w:b/>
        </w:rPr>
        <w:t xml:space="preserve">Que,  </w:t>
      </w:r>
      <w:r w:rsidRPr="001A69D5">
        <w:rPr>
          <w:rFonts w:ascii="Century Gothic" w:hAnsi="Century Gothic"/>
        </w:rPr>
        <w:t xml:space="preserve">mediante oficio No. GADDMQ-PM-2021-3952-O de 29 de diciembre de 2021, la Procuraduría Metropolitana, emite su informe jurídico en el cual manifiesta lo siguiente: </w:t>
      </w:r>
      <w:r w:rsidRPr="001A69D5">
        <w:rPr>
          <w:rFonts w:ascii="Century Gothic" w:hAnsi="Century Gothic"/>
          <w:i/>
        </w:rPr>
        <w:t xml:space="preserve">“Con los antecedentes, fundamentos e informes expuestos, en consideración a que la autorización para la venta de bienes inmuebles municipales es competencia del Concejo Metropolitano de conformidad con el art. 436 del COOTAD, Procuraduría Metropolitana  </w:t>
      </w:r>
      <w:r w:rsidRPr="001A69D5">
        <w:rPr>
          <w:rFonts w:ascii="Century Gothic" w:hAnsi="Century Gothic"/>
          <w:i/>
          <w:u w:val="single"/>
        </w:rPr>
        <w:t>emite informe jurídico favorable</w:t>
      </w:r>
      <w:r w:rsidRPr="001A69D5">
        <w:rPr>
          <w:rFonts w:ascii="Century Gothic" w:hAnsi="Century Gothic"/>
          <w:i/>
        </w:rPr>
        <w:t xml:space="preserve">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No. 3, producto de relleno de quebrada; y, (ii) la enajenación directa de la referida faja de terreno a favor de su único propietario colindante Compañía </w:t>
      </w:r>
      <w:proofErr w:type="spellStart"/>
      <w:r w:rsidRPr="001A69D5">
        <w:rPr>
          <w:rFonts w:ascii="Century Gothic" w:hAnsi="Century Gothic"/>
          <w:i/>
        </w:rPr>
        <w:t>Nilotex</w:t>
      </w:r>
      <w:proofErr w:type="spellEnd"/>
      <w:r w:rsidRPr="001A69D5">
        <w:rPr>
          <w:rFonts w:ascii="Century Gothic" w:hAnsi="Century Gothic"/>
          <w:i/>
        </w:rPr>
        <w:t xml:space="preserve"> Telas S.C.C., conforme a los datos técnicos de ubicación, linderos, superficie y avalúo determinados en la ficha técnica, adjunta al Oficio Nro. GADDMQ-STHV-DMC-UCE-2021-1638-O de 11 de agosto de 2021 de la Dirección Metropolitana de Catastro; y, con las recomendaciones constantes en el informe de la Dirección Metropolitana de Gestión de Riesgos de la Secretaría General de Seguridad y Gobernabilidad del Municipio del Distrito Metropolitano de Quito.”</w:t>
      </w:r>
    </w:p>
    <w:p w14:paraId="0D6482CA" w14:textId="77777777" w:rsidR="00BF0610" w:rsidRPr="001A69D5" w:rsidRDefault="00BF0610" w:rsidP="001A69D5">
      <w:pPr>
        <w:tabs>
          <w:tab w:val="left" w:pos="426"/>
        </w:tabs>
        <w:jc w:val="both"/>
        <w:rPr>
          <w:rFonts w:ascii="Century Gothic" w:hAnsi="Century Gothic"/>
          <w:sz w:val="22"/>
          <w:szCs w:val="22"/>
        </w:rPr>
      </w:pPr>
    </w:p>
    <w:p w14:paraId="63FA3D4F" w14:textId="77777777" w:rsidR="00BF0610" w:rsidRPr="002309CF" w:rsidRDefault="00BF0610" w:rsidP="001A69D5">
      <w:pPr>
        <w:tabs>
          <w:tab w:val="left" w:pos="426"/>
        </w:tabs>
        <w:ind w:left="705" w:hanging="705"/>
        <w:jc w:val="both"/>
        <w:rPr>
          <w:rFonts w:ascii="Century Gothic" w:hAnsi="Century Gothic"/>
          <w:sz w:val="22"/>
          <w:szCs w:val="22"/>
        </w:rPr>
      </w:pPr>
      <w:r w:rsidRPr="001A69D5">
        <w:rPr>
          <w:rFonts w:ascii="Century Gothic" w:hAnsi="Century Gothic"/>
          <w:sz w:val="22"/>
          <w:szCs w:val="22"/>
        </w:rPr>
        <w:t xml:space="preserve">  </w:t>
      </w:r>
      <w:r w:rsidRPr="001A69D5">
        <w:rPr>
          <w:rFonts w:ascii="Century Gothic" w:hAnsi="Century Gothic"/>
          <w:b/>
          <w:sz w:val="22"/>
          <w:szCs w:val="22"/>
        </w:rPr>
        <w:t>Que,</w:t>
      </w:r>
      <w:r w:rsidRPr="001A69D5">
        <w:rPr>
          <w:rFonts w:ascii="Century Gothic" w:hAnsi="Century Gothic"/>
          <w:sz w:val="22"/>
          <w:szCs w:val="22"/>
        </w:rPr>
        <w:tab/>
      </w:r>
      <w:r w:rsidRPr="001A69D5">
        <w:rPr>
          <w:rFonts w:ascii="Century Gothic" w:eastAsiaTheme="minorHAnsi" w:hAnsi="Century Gothic"/>
          <w:sz w:val="22"/>
          <w:szCs w:val="22"/>
          <w:lang w:val="es-EC" w:eastAsia="en-US"/>
        </w:rPr>
        <w:t>la Comisión de Propiedad y Espacio Público, emitió el Informe No. IC-CPP-2022-XXX de XX de XXXXXX de 2022, el que contiene el dictamen favorable para que el Concejo Metropolitano se pronuncie en los términos previstos en la presente resolución.</w:t>
      </w:r>
    </w:p>
    <w:p w14:paraId="120EF18E" w14:textId="77777777" w:rsidR="00BF0610" w:rsidRPr="002309CF" w:rsidRDefault="00BF0610" w:rsidP="00BF0610">
      <w:pPr>
        <w:autoSpaceDE w:val="0"/>
        <w:autoSpaceDN w:val="0"/>
        <w:adjustRightInd w:val="0"/>
        <w:jc w:val="both"/>
        <w:rPr>
          <w:rFonts w:ascii="Century Gothic" w:eastAsiaTheme="minorHAnsi" w:hAnsi="Century Gothic"/>
          <w:sz w:val="22"/>
          <w:szCs w:val="22"/>
          <w:lang w:val="es-EC" w:eastAsia="en-US"/>
        </w:rPr>
      </w:pPr>
    </w:p>
    <w:p w14:paraId="62559B51" w14:textId="77777777" w:rsidR="00BF0610" w:rsidRPr="002309CF" w:rsidRDefault="00BF0610" w:rsidP="00BF0610">
      <w:pPr>
        <w:pStyle w:val="Sinespaciado"/>
        <w:rPr>
          <w:rFonts w:ascii="Century Gothic" w:hAnsi="Century Gothic" w:cs="Times New Roman"/>
          <w:b/>
        </w:rPr>
      </w:pPr>
      <w:r w:rsidRPr="002309CF">
        <w:rPr>
          <w:rFonts w:ascii="Century Gothic" w:hAnsi="Century Gothic" w:cs="Times New Roman"/>
          <w:b/>
          <w:bCs/>
        </w:rPr>
        <w:t xml:space="preserve">El Concejo Metropolitana de Quito, en ejercicio de sus atribuciones previstas en los artículos </w:t>
      </w:r>
      <w:r w:rsidRPr="002309CF">
        <w:rPr>
          <w:rFonts w:ascii="Century Gothic" w:hAnsi="Century Gothic" w:cs="Times New Roman"/>
          <w:b/>
        </w:rPr>
        <w:t xml:space="preserve">240 de la Constitución de la República y artículos 87 letra a); y, 323 del Código Orgánico de Organización Territorial, Autonomía y Descentralización; </w:t>
      </w:r>
    </w:p>
    <w:p w14:paraId="09345E40" w14:textId="77777777" w:rsidR="00BF0610" w:rsidRPr="005060A9" w:rsidRDefault="00BF0610" w:rsidP="00BF0610">
      <w:pPr>
        <w:autoSpaceDE w:val="0"/>
        <w:autoSpaceDN w:val="0"/>
        <w:adjustRightInd w:val="0"/>
        <w:jc w:val="center"/>
        <w:rPr>
          <w:rFonts w:eastAsiaTheme="minorHAnsi"/>
          <w:b/>
          <w:bCs/>
          <w:sz w:val="22"/>
          <w:szCs w:val="22"/>
          <w:lang w:val="es-EC" w:eastAsia="en-US"/>
        </w:rPr>
      </w:pPr>
    </w:p>
    <w:p w14:paraId="39107F56" w14:textId="77777777" w:rsidR="00BF0610" w:rsidRPr="002309CF" w:rsidRDefault="00BF0610" w:rsidP="00BF0610">
      <w:pPr>
        <w:autoSpaceDE w:val="0"/>
        <w:autoSpaceDN w:val="0"/>
        <w:adjustRightInd w:val="0"/>
        <w:jc w:val="center"/>
        <w:rPr>
          <w:rFonts w:ascii="Century Gothic" w:eastAsiaTheme="minorHAnsi" w:hAnsi="Century Gothic"/>
          <w:b/>
          <w:bCs/>
          <w:sz w:val="22"/>
          <w:szCs w:val="22"/>
          <w:lang w:val="es-EC" w:eastAsia="en-US"/>
        </w:rPr>
      </w:pPr>
      <w:r w:rsidRPr="002309CF">
        <w:rPr>
          <w:rFonts w:ascii="Century Gothic" w:eastAsiaTheme="minorHAnsi" w:hAnsi="Century Gothic"/>
          <w:b/>
          <w:bCs/>
          <w:sz w:val="22"/>
          <w:szCs w:val="22"/>
          <w:lang w:val="es-EC" w:eastAsia="en-US"/>
        </w:rPr>
        <w:t>RESUELVE:</w:t>
      </w:r>
    </w:p>
    <w:p w14:paraId="48F1E806" w14:textId="77777777" w:rsidR="00BF0610" w:rsidRPr="002309CF" w:rsidRDefault="00BF0610" w:rsidP="00BF0610">
      <w:pPr>
        <w:autoSpaceDE w:val="0"/>
        <w:autoSpaceDN w:val="0"/>
        <w:adjustRightInd w:val="0"/>
        <w:rPr>
          <w:rFonts w:ascii="Century Gothic" w:eastAsiaTheme="minorHAnsi" w:hAnsi="Century Gothic"/>
          <w:b/>
          <w:bCs/>
          <w:sz w:val="22"/>
          <w:szCs w:val="22"/>
          <w:lang w:val="es-EC" w:eastAsia="en-US"/>
        </w:rPr>
      </w:pPr>
    </w:p>
    <w:p w14:paraId="035F0999" w14:textId="77777777" w:rsidR="00BF0610" w:rsidRPr="002309CF" w:rsidRDefault="00BF0610" w:rsidP="00BF0610">
      <w:pPr>
        <w:pStyle w:val="Sinespaciado"/>
        <w:rPr>
          <w:rFonts w:ascii="Century Gothic" w:hAnsi="Century Gothic" w:cs="Times New Roman"/>
        </w:rPr>
      </w:pPr>
      <w:r w:rsidRPr="002309CF">
        <w:rPr>
          <w:rFonts w:ascii="Century Gothic" w:hAnsi="Century Gothic" w:cs="Times New Roman"/>
          <w:b/>
        </w:rPr>
        <w:t>Artículo 1.-</w:t>
      </w:r>
      <w:r w:rsidRPr="002309CF">
        <w:rPr>
          <w:rFonts w:ascii="Century Gothic" w:hAnsi="Century Gothic" w:cs="Times New Roman"/>
        </w:rPr>
        <w:t xml:space="preserve"> Autorizar el cambio de categoría de bien municipal de dominio público a bien municipal de dominio privado, de la faja de terreno</w:t>
      </w:r>
      <w:r w:rsidR="00995040">
        <w:rPr>
          <w:rFonts w:ascii="Century Gothic" w:hAnsi="Century Gothic" w:cs="Times New Roman"/>
        </w:rPr>
        <w:t xml:space="preserve"> No. 3</w:t>
      </w:r>
      <w:r w:rsidRPr="002309CF">
        <w:rPr>
          <w:rFonts w:ascii="Century Gothic" w:hAnsi="Century Gothic" w:cs="Times New Roman"/>
        </w:rPr>
        <w:t xml:space="preserve">, producto de </w:t>
      </w:r>
      <w:r w:rsidR="00995040">
        <w:rPr>
          <w:rFonts w:ascii="Century Gothic" w:hAnsi="Century Gothic" w:cs="Times New Roman"/>
        </w:rPr>
        <w:t>relleno de quebrada</w:t>
      </w:r>
      <w:r w:rsidRPr="002309CF">
        <w:rPr>
          <w:rFonts w:ascii="Century Gothic" w:hAnsi="Century Gothic" w:cs="Times New Roman"/>
        </w:rPr>
        <w:t xml:space="preserve">, al colindante del inmueble ubicado en la </w:t>
      </w:r>
      <w:r w:rsidR="00995040">
        <w:rPr>
          <w:rFonts w:ascii="Century Gothic" w:hAnsi="Century Gothic" w:cs="Times New Roman"/>
        </w:rPr>
        <w:t xml:space="preserve">N72A- S/N cuya referencia catastral es 13108 02 012, </w:t>
      </w:r>
      <w:r w:rsidRPr="002309CF">
        <w:rPr>
          <w:rFonts w:ascii="Century Gothic" w:hAnsi="Century Gothic" w:cs="Times New Roman"/>
        </w:rPr>
        <w:t>conforme a lo establecido en la ficha técnica actualizada, adjunta al inform</w:t>
      </w:r>
      <w:r>
        <w:rPr>
          <w:rFonts w:ascii="Century Gothic" w:hAnsi="Century Gothic" w:cs="Times New Roman"/>
        </w:rPr>
        <w:t xml:space="preserve">e técnico </w:t>
      </w:r>
      <w:r w:rsidR="00995040">
        <w:rPr>
          <w:rFonts w:ascii="Century Gothic" w:hAnsi="Century Gothic" w:cs="Times New Roman"/>
        </w:rPr>
        <w:t xml:space="preserve">No. DMC-UCE-2021-1546 de 10 de agosto de 2021, </w:t>
      </w:r>
      <w:r w:rsidRPr="002309CF">
        <w:rPr>
          <w:rFonts w:ascii="Century Gothic" w:hAnsi="Century Gothic" w:cs="Times New Roman"/>
        </w:rPr>
        <w:t>de la Dirección Metropolitana de Catastro.</w:t>
      </w:r>
    </w:p>
    <w:p w14:paraId="6FFFD6C5" w14:textId="77777777" w:rsidR="00BF0610" w:rsidRPr="005060A9" w:rsidRDefault="00BF0610" w:rsidP="00BF0610">
      <w:pPr>
        <w:pStyle w:val="Sinespaciado"/>
        <w:rPr>
          <w:rFonts w:ascii="Times New Roman" w:hAnsi="Times New Roman" w:cs="Times New Roman"/>
        </w:rPr>
      </w:pPr>
    </w:p>
    <w:p w14:paraId="44DF3981" w14:textId="77777777" w:rsidR="00995040" w:rsidRPr="002309CF" w:rsidRDefault="00BF0610" w:rsidP="00995040">
      <w:pPr>
        <w:pStyle w:val="Sinespaciado"/>
        <w:rPr>
          <w:rFonts w:ascii="Century Gothic" w:hAnsi="Century Gothic" w:cs="Times New Roman"/>
        </w:rPr>
      </w:pPr>
      <w:r w:rsidRPr="002309CF">
        <w:rPr>
          <w:rFonts w:ascii="Century Gothic" w:hAnsi="Century Gothic" w:cs="Times New Roman"/>
          <w:b/>
        </w:rPr>
        <w:lastRenderedPageBreak/>
        <w:t xml:space="preserve">Artículo 2.- </w:t>
      </w:r>
      <w:r w:rsidRPr="002309CF">
        <w:rPr>
          <w:rFonts w:ascii="Century Gothic" w:hAnsi="Century Gothic" w:cs="Times New Roman"/>
        </w:rPr>
        <w:t>Autorizar la enajenación directa de la faja de terreno, referida en el artículo anter</w:t>
      </w:r>
      <w:r>
        <w:rPr>
          <w:rFonts w:ascii="Century Gothic" w:hAnsi="Century Gothic" w:cs="Times New Roman"/>
        </w:rPr>
        <w:t>ior, a favor de</w:t>
      </w:r>
      <w:r w:rsidR="00995040">
        <w:rPr>
          <w:rFonts w:ascii="Century Gothic" w:hAnsi="Century Gothic" w:cs="Times New Roman"/>
        </w:rPr>
        <w:t xml:space="preserve"> la propietaria, la Compañía NILOTEX TELAS, </w:t>
      </w:r>
      <w:r w:rsidRPr="002309CF">
        <w:rPr>
          <w:rFonts w:ascii="Century Gothic" w:hAnsi="Century Gothic" w:cs="Times New Roman"/>
        </w:rPr>
        <w:t xml:space="preserve">y puntualizando que respecto a los datos técnicos para la enajenación de la faja de terreno se estará a lo establecido en la ficha técnica actualizada, adjunta al informe técnico </w:t>
      </w:r>
      <w:r w:rsidR="00995040" w:rsidRPr="002309CF">
        <w:rPr>
          <w:rFonts w:ascii="Century Gothic" w:hAnsi="Century Gothic" w:cs="Times New Roman"/>
        </w:rPr>
        <w:t>al inform</w:t>
      </w:r>
      <w:r w:rsidR="00995040">
        <w:rPr>
          <w:rFonts w:ascii="Century Gothic" w:hAnsi="Century Gothic" w:cs="Times New Roman"/>
        </w:rPr>
        <w:t xml:space="preserve">e técnico No. DMC-UCE-2021-1546 de 10 de agosto de 2021, </w:t>
      </w:r>
      <w:r w:rsidR="00995040" w:rsidRPr="002309CF">
        <w:rPr>
          <w:rFonts w:ascii="Century Gothic" w:hAnsi="Century Gothic" w:cs="Times New Roman"/>
        </w:rPr>
        <w:t>de la Dirección Metropolitana de Catastro.</w:t>
      </w:r>
    </w:p>
    <w:p w14:paraId="42ADE01B" w14:textId="77777777" w:rsidR="00BF0610" w:rsidRPr="005060A9" w:rsidRDefault="00BF0610" w:rsidP="00BF0610">
      <w:pPr>
        <w:pStyle w:val="Sinespaciado"/>
        <w:rPr>
          <w:rFonts w:ascii="Times New Roman" w:hAnsi="Times New Roman" w:cs="Times New Roman"/>
        </w:rPr>
      </w:pPr>
    </w:p>
    <w:p w14:paraId="237B4846" w14:textId="77777777" w:rsidR="00BF0610" w:rsidRPr="002309CF" w:rsidRDefault="00BF0610" w:rsidP="00BF0610">
      <w:pPr>
        <w:pStyle w:val="Sinespaciado"/>
        <w:rPr>
          <w:rFonts w:ascii="Century Gothic" w:hAnsi="Century Gothic" w:cs="Times New Roman"/>
        </w:rPr>
      </w:pPr>
      <w:r w:rsidRPr="002309CF">
        <w:rPr>
          <w:rFonts w:ascii="Century Gothic" w:hAnsi="Century Gothic" w:cs="Times New Roman"/>
          <w:b/>
        </w:rPr>
        <w:t>Artículo 3.-</w:t>
      </w:r>
      <w:r w:rsidRPr="002309CF">
        <w:rPr>
          <w:rFonts w:ascii="Century Gothic" w:hAnsi="Century Gothic" w:cs="Times New Roman"/>
        </w:rPr>
        <w:t xml:space="preserve"> 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14:paraId="4B905E73" w14:textId="77777777" w:rsidR="00BF0610" w:rsidRPr="002309CF" w:rsidRDefault="00BF0610" w:rsidP="00BF0610">
      <w:pPr>
        <w:pStyle w:val="Sinespaciado"/>
        <w:rPr>
          <w:rFonts w:ascii="Century Gothic" w:hAnsi="Century Gothic" w:cs="Times New Roman"/>
        </w:rPr>
      </w:pPr>
    </w:p>
    <w:p w14:paraId="7C844461" w14:textId="77777777" w:rsidR="00BF0610" w:rsidRPr="002309CF" w:rsidRDefault="00BF0610" w:rsidP="00BF0610">
      <w:pPr>
        <w:pStyle w:val="Sinespaciado"/>
        <w:rPr>
          <w:rFonts w:ascii="Century Gothic" w:hAnsi="Century Gothic" w:cs="Times New Roman"/>
        </w:rPr>
      </w:pPr>
      <w:r>
        <w:rPr>
          <w:rFonts w:ascii="Century Gothic" w:hAnsi="Century Gothic" w:cs="Times New Roman"/>
          <w:b/>
        </w:rPr>
        <w:t xml:space="preserve">Artículo 4.- </w:t>
      </w:r>
      <w:r w:rsidRPr="002309CF">
        <w:rPr>
          <w:rFonts w:ascii="Century Gothic" w:hAnsi="Century Gothic" w:cs="Times New Roman"/>
        </w:rPr>
        <w:t xml:space="preserve">Una vez realizado el pago, la Tesorería Metropolitana remitirá todo el expediente, con su constancia a la Procuraduría Metropolitana, para continuar con los trámites de escrituración. </w:t>
      </w:r>
    </w:p>
    <w:p w14:paraId="79403EF0" w14:textId="77777777" w:rsidR="00BF0610" w:rsidRPr="002309CF" w:rsidRDefault="00BF0610" w:rsidP="00BF0610">
      <w:pPr>
        <w:pStyle w:val="Sinespaciado"/>
        <w:rPr>
          <w:rFonts w:ascii="Century Gothic" w:hAnsi="Century Gothic" w:cs="Times New Roman"/>
        </w:rPr>
      </w:pPr>
    </w:p>
    <w:p w14:paraId="30BB6736" w14:textId="77777777" w:rsidR="00BF0610" w:rsidRPr="002309CF" w:rsidRDefault="00BF0610" w:rsidP="00BF0610">
      <w:pPr>
        <w:pStyle w:val="Sinespaciado"/>
        <w:rPr>
          <w:rFonts w:ascii="Century Gothic" w:hAnsi="Century Gothic" w:cs="Times New Roman"/>
        </w:rPr>
      </w:pPr>
      <w:r w:rsidRPr="002309CF">
        <w:rPr>
          <w:rFonts w:ascii="Century Gothic" w:hAnsi="Century Gothic" w:cs="Times New Roman"/>
        </w:rPr>
        <w:t xml:space="preserve">En caso de que no se verifiquen los pagos en el plazo legal, la Tesorería Metropolitana procederá al cobro por la vía coactiva. </w:t>
      </w:r>
    </w:p>
    <w:p w14:paraId="20735D5C" w14:textId="77777777" w:rsidR="00BF0610" w:rsidRPr="005060A9" w:rsidRDefault="00BF0610" w:rsidP="00BF0610">
      <w:pPr>
        <w:pStyle w:val="Sinespaciado"/>
        <w:rPr>
          <w:rFonts w:ascii="Times New Roman" w:hAnsi="Times New Roman" w:cs="Times New Roman"/>
        </w:rPr>
      </w:pPr>
    </w:p>
    <w:p w14:paraId="04D144A1" w14:textId="77777777" w:rsidR="00BF0610" w:rsidRPr="002309CF" w:rsidRDefault="00BF0610" w:rsidP="00BF0610">
      <w:pPr>
        <w:pStyle w:val="Sinespaciado"/>
        <w:rPr>
          <w:rFonts w:ascii="Century Gothic" w:hAnsi="Century Gothic" w:cs="Times New Roman"/>
        </w:rPr>
      </w:pPr>
      <w:r w:rsidRPr="002309CF">
        <w:rPr>
          <w:rFonts w:ascii="Century Gothic" w:hAnsi="Century Gothic" w:cs="Times New Roman"/>
          <w:b/>
        </w:rPr>
        <w:t>Artículo 5.-</w:t>
      </w:r>
      <w:r w:rsidR="00995040">
        <w:rPr>
          <w:rFonts w:ascii="Century Gothic" w:hAnsi="Century Gothic" w:cs="Times New Roman"/>
        </w:rPr>
        <w:t xml:space="preserve"> Comuníquese al interesado </w:t>
      </w:r>
      <w:r w:rsidRPr="002309CF">
        <w:rPr>
          <w:rFonts w:ascii="Century Gothic" w:hAnsi="Century Gothic" w:cs="Times New Roman"/>
        </w:rPr>
        <w:t xml:space="preserve">y al señor Procurador Metropolitano, para que una vez efectuado el pago continúe con los trámites de Ley y las acciones necesarias, para el perfeccionamiento de la transferencia de dominio hasta la debida inscripción en el Registro de la Propiedad. </w:t>
      </w:r>
    </w:p>
    <w:p w14:paraId="6B427C6C" w14:textId="77777777" w:rsidR="00BF0610" w:rsidRPr="002309CF" w:rsidRDefault="00BF0610" w:rsidP="00BF0610">
      <w:pPr>
        <w:pStyle w:val="Sinespaciado"/>
        <w:rPr>
          <w:rFonts w:ascii="Century Gothic" w:hAnsi="Century Gothic" w:cs="Times New Roman"/>
        </w:rPr>
      </w:pPr>
    </w:p>
    <w:p w14:paraId="70AC3451" w14:textId="77777777" w:rsidR="00BF0610" w:rsidRPr="002309CF" w:rsidRDefault="00BF0610" w:rsidP="00BF0610">
      <w:pPr>
        <w:autoSpaceDE w:val="0"/>
        <w:autoSpaceDN w:val="0"/>
        <w:adjustRightInd w:val="0"/>
        <w:jc w:val="both"/>
        <w:rPr>
          <w:rFonts w:ascii="Century Gothic" w:hAnsi="Century Gothic"/>
          <w:sz w:val="22"/>
          <w:szCs w:val="22"/>
        </w:rPr>
      </w:pPr>
      <w:r w:rsidRPr="002309CF">
        <w:rPr>
          <w:rFonts w:ascii="Century Gothic" w:eastAsiaTheme="minorHAnsi" w:hAnsi="Century Gothic"/>
          <w:b/>
          <w:sz w:val="22"/>
          <w:szCs w:val="22"/>
          <w:lang w:val="es-EC" w:eastAsia="en-US"/>
        </w:rPr>
        <w:t xml:space="preserve">Disposición Final. - </w:t>
      </w:r>
      <w:r w:rsidRPr="002309CF">
        <w:rPr>
          <w:rFonts w:ascii="Century Gothic" w:eastAsiaTheme="minorHAnsi" w:hAnsi="Century Gothic"/>
          <w:sz w:val="22"/>
          <w:szCs w:val="22"/>
          <w:lang w:val="es-EC" w:eastAsia="en-US"/>
        </w:rPr>
        <w:t xml:space="preserve">La presente Resolución entrará en vigencia a partir de su suscripción sin perjuicio de su publicación. </w:t>
      </w:r>
    </w:p>
    <w:p w14:paraId="195FF5A6" w14:textId="77777777" w:rsidR="00BF0610" w:rsidRPr="002309CF" w:rsidRDefault="00BF0610" w:rsidP="00BF0610">
      <w:pPr>
        <w:autoSpaceDE w:val="0"/>
        <w:autoSpaceDN w:val="0"/>
        <w:adjustRightInd w:val="0"/>
        <w:jc w:val="both"/>
        <w:rPr>
          <w:rFonts w:ascii="Century Gothic" w:eastAsiaTheme="minorHAnsi" w:hAnsi="Century Gothic"/>
          <w:sz w:val="22"/>
          <w:szCs w:val="22"/>
          <w:lang w:val="es-EC" w:eastAsia="en-US"/>
        </w:rPr>
      </w:pPr>
    </w:p>
    <w:p w14:paraId="115F9C47" w14:textId="77777777" w:rsidR="00BF0610" w:rsidRPr="002309CF" w:rsidRDefault="00BF0610" w:rsidP="00BF0610">
      <w:pPr>
        <w:jc w:val="both"/>
        <w:rPr>
          <w:rFonts w:ascii="Century Gothic" w:hAnsi="Century Gothic"/>
          <w:sz w:val="22"/>
          <w:szCs w:val="22"/>
        </w:rPr>
      </w:pPr>
      <w:r w:rsidRPr="002309CF">
        <w:rPr>
          <w:rFonts w:ascii="Century Gothic" w:hAnsi="Century Gothic"/>
          <w:b/>
          <w:sz w:val="22"/>
          <w:szCs w:val="22"/>
        </w:rPr>
        <w:t xml:space="preserve">Alcaldía del Distrito Metropolitano. - </w:t>
      </w:r>
      <w:r w:rsidRPr="002309CF">
        <w:rPr>
          <w:rFonts w:ascii="Century Gothic" w:hAnsi="Century Gothic"/>
          <w:sz w:val="22"/>
          <w:szCs w:val="22"/>
        </w:rPr>
        <w:t xml:space="preserve">Distrito Metropolitano de Quito, </w:t>
      </w:r>
    </w:p>
    <w:p w14:paraId="1BFB0166" w14:textId="77777777" w:rsidR="00BF0610" w:rsidRPr="002309CF" w:rsidRDefault="00BF0610" w:rsidP="00BF0610">
      <w:pPr>
        <w:jc w:val="both"/>
        <w:rPr>
          <w:rFonts w:ascii="Century Gothic" w:hAnsi="Century Gothic"/>
          <w:sz w:val="22"/>
          <w:szCs w:val="22"/>
        </w:rPr>
      </w:pPr>
    </w:p>
    <w:p w14:paraId="077162FA" w14:textId="77777777" w:rsidR="00BF0610" w:rsidRPr="002309CF" w:rsidRDefault="00BF0610" w:rsidP="00BF0610">
      <w:pPr>
        <w:jc w:val="center"/>
        <w:rPr>
          <w:rFonts w:ascii="Century Gothic" w:hAnsi="Century Gothic"/>
          <w:b/>
          <w:sz w:val="22"/>
          <w:szCs w:val="22"/>
        </w:rPr>
      </w:pPr>
    </w:p>
    <w:p w14:paraId="23EEB7C9" w14:textId="77777777" w:rsidR="00BF0610" w:rsidRPr="002309CF" w:rsidRDefault="00BF0610" w:rsidP="00BF0610">
      <w:pPr>
        <w:jc w:val="center"/>
        <w:rPr>
          <w:rFonts w:ascii="Century Gothic" w:hAnsi="Century Gothic"/>
          <w:b/>
          <w:sz w:val="22"/>
          <w:szCs w:val="22"/>
        </w:rPr>
      </w:pPr>
      <w:r w:rsidRPr="002309CF">
        <w:rPr>
          <w:rFonts w:ascii="Century Gothic" w:hAnsi="Century Gothic"/>
          <w:b/>
          <w:sz w:val="22"/>
          <w:szCs w:val="22"/>
        </w:rPr>
        <w:t>EJECÚTESE:</w:t>
      </w:r>
    </w:p>
    <w:p w14:paraId="180D5EE2" w14:textId="77777777" w:rsidR="00BF0610" w:rsidRDefault="00BF0610" w:rsidP="00BF0610">
      <w:pPr>
        <w:pStyle w:val="Sinespaciado"/>
        <w:jc w:val="center"/>
        <w:rPr>
          <w:rFonts w:ascii="Century Gothic" w:hAnsi="Century Gothic" w:cs="Times New Roman"/>
        </w:rPr>
      </w:pPr>
    </w:p>
    <w:p w14:paraId="53FDB4CE" w14:textId="77777777" w:rsidR="00BF0610" w:rsidRPr="002309CF" w:rsidRDefault="00BF0610" w:rsidP="00BF0610">
      <w:pPr>
        <w:pStyle w:val="Sinespaciado"/>
        <w:jc w:val="center"/>
        <w:rPr>
          <w:rFonts w:ascii="Century Gothic" w:hAnsi="Century Gothic" w:cs="Times New Roman"/>
        </w:rPr>
      </w:pPr>
    </w:p>
    <w:p w14:paraId="470E1F39" w14:textId="77777777" w:rsidR="00BF0610" w:rsidRPr="002309CF" w:rsidRDefault="00BF0610" w:rsidP="00BF0610">
      <w:pPr>
        <w:pStyle w:val="Sinespaciado"/>
        <w:jc w:val="center"/>
        <w:rPr>
          <w:rFonts w:ascii="Century Gothic" w:hAnsi="Century Gothic" w:cs="Times New Roman"/>
        </w:rPr>
      </w:pPr>
    </w:p>
    <w:p w14:paraId="03D0A620" w14:textId="77777777" w:rsidR="00BF0610" w:rsidRPr="002309CF" w:rsidRDefault="00BF0610" w:rsidP="00BF0610">
      <w:pPr>
        <w:pStyle w:val="Sinespaciado"/>
        <w:jc w:val="center"/>
        <w:rPr>
          <w:rFonts w:ascii="Century Gothic" w:hAnsi="Century Gothic" w:cs="Times New Roman"/>
        </w:rPr>
      </w:pPr>
    </w:p>
    <w:p w14:paraId="7681D9FC" w14:textId="77777777" w:rsidR="00BF0610" w:rsidRPr="002309CF" w:rsidRDefault="00BF0610" w:rsidP="00BF0610">
      <w:pPr>
        <w:pStyle w:val="Sinespaciado"/>
        <w:jc w:val="center"/>
        <w:rPr>
          <w:rFonts w:ascii="Century Gothic" w:hAnsi="Century Gothic" w:cs="Times New Roman"/>
        </w:rPr>
      </w:pPr>
      <w:r w:rsidRPr="002309CF">
        <w:rPr>
          <w:rFonts w:ascii="Century Gothic" w:hAnsi="Century Gothic" w:cs="Times New Roman"/>
        </w:rPr>
        <w:t>Dr. Santiago Mauricio Guarderas Izquierdo</w:t>
      </w:r>
    </w:p>
    <w:p w14:paraId="6E9499DF" w14:textId="77777777" w:rsidR="00BF0610" w:rsidRPr="002309CF" w:rsidRDefault="00BF0610" w:rsidP="00BF0610">
      <w:pPr>
        <w:pStyle w:val="Sinespaciado"/>
        <w:jc w:val="center"/>
        <w:rPr>
          <w:rFonts w:ascii="Century Gothic" w:hAnsi="Century Gothic" w:cs="Times New Roman"/>
          <w:b/>
        </w:rPr>
      </w:pPr>
      <w:r w:rsidRPr="002309CF">
        <w:rPr>
          <w:rFonts w:ascii="Century Gothic" w:hAnsi="Century Gothic" w:cs="Times New Roman"/>
          <w:b/>
        </w:rPr>
        <w:t>ALCALDE DEL DISTRITO METROPOLITANO DE QUITO</w:t>
      </w:r>
    </w:p>
    <w:p w14:paraId="55DFEDA1" w14:textId="77777777" w:rsidR="00BF0610" w:rsidRPr="002309CF" w:rsidRDefault="00BF0610" w:rsidP="00BF0610">
      <w:pPr>
        <w:jc w:val="both"/>
        <w:rPr>
          <w:rFonts w:ascii="Century Gothic" w:hAnsi="Century Gothic"/>
          <w:b/>
          <w:sz w:val="22"/>
          <w:szCs w:val="22"/>
        </w:rPr>
      </w:pPr>
    </w:p>
    <w:p w14:paraId="0AAC2FCE" w14:textId="77777777" w:rsidR="00BF0610" w:rsidRPr="002309CF" w:rsidRDefault="00BF0610" w:rsidP="00BF0610">
      <w:pPr>
        <w:jc w:val="both"/>
        <w:rPr>
          <w:rFonts w:ascii="Century Gothic" w:hAnsi="Century Gothic"/>
          <w:sz w:val="22"/>
          <w:szCs w:val="22"/>
        </w:rPr>
      </w:pPr>
      <w:r w:rsidRPr="002309CF">
        <w:rPr>
          <w:rFonts w:ascii="Century Gothic" w:hAnsi="Century Gothic"/>
          <w:b/>
          <w:sz w:val="22"/>
          <w:szCs w:val="22"/>
        </w:rPr>
        <w:t>CERTIFICO,</w:t>
      </w:r>
      <w:r w:rsidRPr="002309CF">
        <w:rPr>
          <w:rFonts w:ascii="Century Gothic" w:hAnsi="Century Gothic"/>
          <w:sz w:val="22"/>
          <w:szCs w:val="22"/>
        </w:rPr>
        <w:t xml:space="preserve"> que la presente resolución fue discutida y aprobada en sesión pública ordinaria del Concejo Metropolitano de Quito, el XXXXXXXXXXX; y, suscrita por el Dr. Santiago Mauricio Guarderas Izquierdo, Alcalde del Distrito Metropolitano de Quito, el XXXXXXXXXXX d</w:t>
      </w:r>
      <w:r>
        <w:rPr>
          <w:rFonts w:ascii="Century Gothic" w:hAnsi="Century Gothic"/>
          <w:sz w:val="22"/>
          <w:szCs w:val="22"/>
        </w:rPr>
        <w:t>e XXXXXXX de 2022</w:t>
      </w:r>
      <w:r w:rsidRPr="002309CF">
        <w:rPr>
          <w:rFonts w:ascii="Century Gothic" w:hAnsi="Century Gothic"/>
          <w:sz w:val="22"/>
          <w:szCs w:val="22"/>
        </w:rPr>
        <w:t>.</w:t>
      </w:r>
    </w:p>
    <w:p w14:paraId="0AB29E0C" w14:textId="77777777" w:rsidR="00BF0610" w:rsidRPr="002309CF" w:rsidRDefault="00BF0610" w:rsidP="00BF0610">
      <w:pPr>
        <w:jc w:val="both"/>
        <w:rPr>
          <w:rFonts w:ascii="Century Gothic" w:hAnsi="Century Gothic"/>
          <w:b/>
          <w:sz w:val="22"/>
          <w:szCs w:val="22"/>
        </w:rPr>
      </w:pPr>
    </w:p>
    <w:p w14:paraId="0165EC48" w14:textId="77777777" w:rsidR="00BF0610" w:rsidRPr="002309CF" w:rsidRDefault="00BF0610" w:rsidP="00BF0610">
      <w:pPr>
        <w:jc w:val="both"/>
        <w:rPr>
          <w:rFonts w:ascii="Century Gothic" w:hAnsi="Century Gothic"/>
          <w:sz w:val="22"/>
          <w:szCs w:val="22"/>
        </w:rPr>
      </w:pPr>
      <w:r w:rsidRPr="002309CF">
        <w:rPr>
          <w:rFonts w:ascii="Century Gothic" w:hAnsi="Century Gothic"/>
          <w:b/>
          <w:sz w:val="22"/>
          <w:szCs w:val="22"/>
        </w:rPr>
        <w:t xml:space="preserve">Lo certifico. - </w:t>
      </w:r>
      <w:r w:rsidRPr="002309CF">
        <w:rPr>
          <w:rFonts w:ascii="Century Gothic" w:hAnsi="Century Gothic"/>
          <w:sz w:val="22"/>
          <w:szCs w:val="22"/>
        </w:rPr>
        <w:t xml:space="preserve">Distrito Metropolitano de Quito, el </w:t>
      </w:r>
    </w:p>
    <w:p w14:paraId="3E26494B" w14:textId="77777777" w:rsidR="00BF0610" w:rsidRPr="002309CF" w:rsidRDefault="00BF0610" w:rsidP="00BF0610">
      <w:pPr>
        <w:jc w:val="both"/>
        <w:rPr>
          <w:rFonts w:ascii="Century Gothic" w:hAnsi="Century Gothic"/>
          <w:sz w:val="22"/>
          <w:szCs w:val="22"/>
        </w:rPr>
      </w:pPr>
    </w:p>
    <w:p w14:paraId="5DD6927E" w14:textId="77777777" w:rsidR="00BF0610" w:rsidRPr="002309CF" w:rsidRDefault="00BF0610" w:rsidP="00BF0610">
      <w:pPr>
        <w:rPr>
          <w:rFonts w:ascii="Century Gothic" w:hAnsi="Century Gothic"/>
          <w:sz w:val="22"/>
          <w:szCs w:val="22"/>
        </w:rPr>
      </w:pPr>
    </w:p>
    <w:p w14:paraId="0BBEE5AF" w14:textId="77777777" w:rsidR="00BF0610" w:rsidRPr="002309CF" w:rsidRDefault="00BF0610" w:rsidP="00BF0610">
      <w:pPr>
        <w:jc w:val="both"/>
        <w:rPr>
          <w:rFonts w:ascii="Century Gothic" w:hAnsi="Century Gothic"/>
          <w:sz w:val="22"/>
          <w:szCs w:val="22"/>
        </w:rPr>
      </w:pPr>
    </w:p>
    <w:p w14:paraId="357E325B" w14:textId="77777777" w:rsidR="00BF0610" w:rsidRPr="002309CF" w:rsidRDefault="00BF0610" w:rsidP="00BF0610">
      <w:pPr>
        <w:pStyle w:val="Sinespaciado"/>
        <w:jc w:val="center"/>
        <w:rPr>
          <w:rFonts w:ascii="Century Gothic" w:hAnsi="Century Gothic" w:cs="Times New Roman"/>
        </w:rPr>
      </w:pPr>
      <w:r w:rsidRPr="002309CF">
        <w:rPr>
          <w:rFonts w:ascii="Century Gothic" w:hAnsi="Century Gothic" w:cs="Times New Roman"/>
        </w:rPr>
        <w:t>Abg. Pablo Antonio Santillán Paredes</w:t>
      </w:r>
    </w:p>
    <w:p w14:paraId="455EA759" w14:textId="77777777" w:rsidR="00BF0610" w:rsidRPr="002309CF" w:rsidRDefault="00BF0610" w:rsidP="00BF0610">
      <w:pPr>
        <w:pStyle w:val="Sinespaciado"/>
        <w:jc w:val="center"/>
        <w:rPr>
          <w:rFonts w:ascii="Century Gothic" w:hAnsi="Century Gothic" w:cs="Times New Roman"/>
        </w:rPr>
      </w:pPr>
      <w:r w:rsidRPr="002309CF">
        <w:rPr>
          <w:rFonts w:ascii="Century Gothic" w:hAnsi="Century Gothic" w:cs="Times New Roman"/>
          <w:b/>
        </w:rPr>
        <w:t xml:space="preserve">SECRETARIO GENERAL DEL CONCEJO METROPOLITANO DE QUITO </w:t>
      </w:r>
    </w:p>
    <w:p w14:paraId="5B46D673" w14:textId="77777777" w:rsidR="00BF0610" w:rsidRDefault="00BF0610" w:rsidP="00BF0610"/>
    <w:p w14:paraId="479DE0CE" w14:textId="77777777" w:rsidR="00BF0610" w:rsidRPr="00FB3900" w:rsidRDefault="00BF0610" w:rsidP="00BF0610">
      <w:pPr>
        <w:autoSpaceDE w:val="0"/>
        <w:autoSpaceDN w:val="0"/>
        <w:adjustRightInd w:val="0"/>
        <w:ind w:left="705" w:hanging="705"/>
        <w:jc w:val="both"/>
        <w:rPr>
          <w:rFonts w:ascii="Century Gothic" w:hAnsi="Century Gothic"/>
          <w:sz w:val="22"/>
          <w:szCs w:val="22"/>
        </w:rPr>
      </w:pPr>
    </w:p>
    <w:p w14:paraId="0EC60F50" w14:textId="77777777" w:rsidR="00E26CD0" w:rsidRDefault="00E26CD0"/>
    <w:sectPr w:rsidR="00E26C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10"/>
    <w:rsid w:val="001A69D5"/>
    <w:rsid w:val="00262DC1"/>
    <w:rsid w:val="002A27AF"/>
    <w:rsid w:val="00385809"/>
    <w:rsid w:val="00401952"/>
    <w:rsid w:val="004D7A8E"/>
    <w:rsid w:val="006B114C"/>
    <w:rsid w:val="00995040"/>
    <w:rsid w:val="00A0064A"/>
    <w:rsid w:val="00AD14B4"/>
    <w:rsid w:val="00B31DF4"/>
    <w:rsid w:val="00BF0610"/>
    <w:rsid w:val="00CA27B3"/>
    <w:rsid w:val="00CA2DEC"/>
    <w:rsid w:val="00D45692"/>
    <w:rsid w:val="00E26CD0"/>
    <w:rsid w:val="00EC7115"/>
    <w:rsid w:val="00EE20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F160"/>
  <w15:chartTrackingRefBased/>
  <w15:docId w15:val="{61821179-83F5-4735-A297-2067F0AA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F0610"/>
  </w:style>
  <w:style w:type="paragraph" w:styleId="Sinespaciado">
    <w:name w:val="No Spacing"/>
    <w:basedOn w:val="Normal"/>
    <w:link w:val="SinespaciadoCar"/>
    <w:uiPriority w:val="1"/>
    <w:qFormat/>
    <w:rsid w:val="00BF0610"/>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18038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Stephany Andrade Pinto</dc:creator>
  <cp:keywords/>
  <dc:description/>
  <cp:lastModifiedBy>Andres Villalba</cp:lastModifiedBy>
  <cp:revision>2</cp:revision>
  <dcterms:created xsi:type="dcterms:W3CDTF">2022-01-26T18:58:00Z</dcterms:created>
  <dcterms:modified xsi:type="dcterms:W3CDTF">2022-01-26T18:58:00Z</dcterms:modified>
</cp:coreProperties>
</file>