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D" w:rsidRPr="00E07958" w:rsidRDefault="00600D8D" w:rsidP="00600D8D">
      <w:pPr>
        <w:autoSpaceDE w:val="0"/>
        <w:autoSpaceDN w:val="0"/>
        <w:adjustRightInd w:val="0"/>
        <w:ind w:left="709" w:hanging="709"/>
        <w:jc w:val="both"/>
        <w:rPr>
          <w:rFonts w:asciiTheme="minorHAnsi" w:eastAsiaTheme="minorHAnsi" w:hAnsiTheme="minorHAnsi" w:cstheme="minorHAnsi"/>
          <w:i/>
          <w:sz w:val="20"/>
          <w:szCs w:val="22"/>
          <w:lang w:val="es-EC" w:eastAsia="en-US"/>
        </w:rPr>
      </w:pPr>
    </w:p>
    <w:p w:rsidR="00854F7C" w:rsidRPr="00E07958" w:rsidRDefault="00854F7C" w:rsidP="00854F7C">
      <w:pPr>
        <w:jc w:val="center"/>
        <w:rPr>
          <w:b/>
          <w:sz w:val="22"/>
        </w:rPr>
      </w:pPr>
      <w:r w:rsidRPr="00E07958">
        <w:rPr>
          <w:b/>
          <w:sz w:val="22"/>
        </w:rPr>
        <w:t>Dr. Santiago Guarderas Izquier</w:t>
      </w:r>
      <w:r w:rsidR="00D27AB2" w:rsidRPr="00E07958">
        <w:rPr>
          <w:b/>
          <w:sz w:val="22"/>
        </w:rPr>
        <w:t>d</w:t>
      </w:r>
      <w:r w:rsidRPr="00E07958">
        <w:rPr>
          <w:b/>
          <w:sz w:val="22"/>
        </w:rPr>
        <w:t>o</w:t>
      </w:r>
    </w:p>
    <w:p w:rsidR="00DF5041" w:rsidRPr="00E07958" w:rsidRDefault="00DF5041" w:rsidP="00854F7C">
      <w:pPr>
        <w:jc w:val="center"/>
        <w:rPr>
          <w:b/>
          <w:sz w:val="22"/>
        </w:rPr>
      </w:pPr>
    </w:p>
    <w:p w:rsidR="00854F7C" w:rsidRPr="00E07958" w:rsidRDefault="00854F7C" w:rsidP="00854F7C">
      <w:pPr>
        <w:jc w:val="center"/>
        <w:rPr>
          <w:sz w:val="22"/>
        </w:rPr>
      </w:pPr>
      <w:r w:rsidRPr="00E07958">
        <w:rPr>
          <w:b/>
          <w:sz w:val="22"/>
        </w:rPr>
        <w:t>ALCALDE DEL DISTRITO METROPOLITANO DE QUITO</w:t>
      </w:r>
    </w:p>
    <w:p w:rsidR="00854F7C" w:rsidRPr="00E07958" w:rsidRDefault="00854F7C" w:rsidP="00854F7C">
      <w:pPr>
        <w:jc w:val="center"/>
        <w:rPr>
          <w:b/>
          <w:sz w:val="22"/>
        </w:rPr>
      </w:pPr>
    </w:p>
    <w:p w:rsidR="00854F7C" w:rsidRPr="00E07958" w:rsidRDefault="00E1069E" w:rsidP="00854F7C">
      <w:pPr>
        <w:jc w:val="center"/>
        <w:rPr>
          <w:b/>
          <w:sz w:val="22"/>
        </w:rPr>
      </w:pPr>
      <w:r>
        <w:rPr>
          <w:b/>
          <w:sz w:val="22"/>
        </w:rPr>
        <w:t>RESOLUCIÓN   No. …………</w:t>
      </w:r>
    </w:p>
    <w:p w:rsidR="00854F7C" w:rsidRPr="00E07958" w:rsidRDefault="00854F7C" w:rsidP="00854F7C">
      <w:pPr>
        <w:tabs>
          <w:tab w:val="left" w:pos="5375"/>
        </w:tabs>
        <w:jc w:val="both"/>
        <w:rPr>
          <w:sz w:val="22"/>
        </w:rPr>
      </w:pPr>
      <w:r w:rsidRPr="00E07958">
        <w:rPr>
          <w:sz w:val="22"/>
        </w:rPr>
        <w:tab/>
      </w:r>
    </w:p>
    <w:p w:rsidR="00854F7C" w:rsidRPr="00E07958" w:rsidRDefault="00854F7C" w:rsidP="00854F7C">
      <w:pPr>
        <w:jc w:val="center"/>
        <w:rPr>
          <w:b/>
          <w:sz w:val="22"/>
        </w:rPr>
      </w:pPr>
      <w:r w:rsidRPr="00E07958">
        <w:rPr>
          <w:b/>
          <w:sz w:val="22"/>
        </w:rPr>
        <w:t>CONSIDERACIONES:</w:t>
      </w:r>
    </w:p>
    <w:p w:rsidR="00600D8D" w:rsidRPr="00E07958" w:rsidRDefault="00600D8D" w:rsidP="00600D8D">
      <w:pPr>
        <w:autoSpaceDE w:val="0"/>
        <w:autoSpaceDN w:val="0"/>
        <w:adjustRightInd w:val="0"/>
        <w:jc w:val="center"/>
        <w:rPr>
          <w:rFonts w:eastAsiaTheme="minorHAnsi"/>
          <w:b/>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5" w:hanging="705"/>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2 del artículo 264 de la Constitución, disponen: </w:t>
      </w:r>
      <w:r w:rsidRPr="00E07958">
        <w:rPr>
          <w:rFonts w:eastAsiaTheme="minorHAnsi"/>
          <w:i/>
          <w:sz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266 de la Constitución, determina: </w:t>
      </w:r>
      <w:r w:rsidRPr="00E07958">
        <w:rPr>
          <w:rFonts w:eastAsiaTheme="minorHAnsi"/>
          <w:i/>
          <w:sz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bookmarkStart w:id="0" w:name="_Hlk51943612"/>
      <w:r w:rsidRPr="00E07958">
        <w:rPr>
          <w:rFonts w:eastAsiaTheme="minorHAnsi"/>
          <w:sz w:val="22"/>
          <w:lang w:val="es-EC" w:eastAsia="en-US"/>
        </w:rPr>
        <w:t xml:space="preserve">los literales a), d) y v) del artículo 87 del </w:t>
      </w:r>
      <w:r w:rsidR="00131EC9" w:rsidRPr="00E07958">
        <w:rPr>
          <w:rFonts w:eastAsiaTheme="minorHAnsi"/>
          <w:sz w:val="22"/>
          <w:lang w:val="es-EC" w:eastAsia="en-US"/>
        </w:rPr>
        <w:t xml:space="preserve">Código Orgánico de Ordenamiento Territorial, Autonomía y Descentralización </w:t>
      </w:r>
      <w:r w:rsidRPr="00E07958">
        <w:rPr>
          <w:rFonts w:eastAsiaTheme="minorHAnsi"/>
          <w:sz w:val="22"/>
          <w:lang w:val="es-EC" w:eastAsia="en-US"/>
        </w:rPr>
        <w:t>COOTAD, señala:</w:t>
      </w:r>
      <w:r w:rsidRPr="00E07958">
        <w:rPr>
          <w:i/>
          <w:sz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E07958">
        <w:rPr>
          <w:rFonts w:eastAsiaTheme="minorHAnsi"/>
          <w:sz w:val="22"/>
          <w:lang w:val="es-EC" w:eastAsia="en-US"/>
        </w:rPr>
        <w:t xml:space="preserve"> </w:t>
      </w:r>
      <w:r w:rsidRPr="00E07958">
        <w:rPr>
          <w:rFonts w:eastAsiaTheme="minorHAnsi"/>
          <w:i/>
          <w:sz w:val="22"/>
          <w:lang w:val="es-EC" w:eastAsia="en-US"/>
        </w:rPr>
        <w:t>v) Regular y controlar el uso del suelo en el territorio del distrito metropolitano, de conformidad con las leyes sobre la materia, y establecer el régimen urbanístico de la tierra</w:t>
      </w:r>
      <w:bookmarkEnd w:id="0"/>
      <w:r w:rsidRPr="00E07958">
        <w:rPr>
          <w:rFonts w:eastAsiaTheme="minorHAnsi"/>
          <w:i/>
          <w:sz w:val="22"/>
          <w:lang w:val="es-EC" w:eastAsia="en-US"/>
        </w:rPr>
        <w:t>”;</w:t>
      </w:r>
      <w:r w:rsidRPr="00E07958">
        <w:rPr>
          <w:rFonts w:eastAsiaTheme="minorHAnsi"/>
          <w:sz w:val="22"/>
          <w:lang w:val="es-EC" w:eastAsia="en-US"/>
        </w:rPr>
        <w:t xml:space="preserve">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Default="00600D8D" w:rsidP="00600D8D">
      <w:pPr>
        <w:autoSpaceDE w:val="0"/>
        <w:autoSpaceDN w:val="0"/>
        <w:adjustRightInd w:val="0"/>
        <w:ind w:left="709" w:hanging="709"/>
        <w:jc w:val="both"/>
        <w:rPr>
          <w:rFonts w:eastAsiaTheme="minorHAnsi"/>
          <w:i/>
          <w:iCs/>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323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w:t>
      </w:r>
      <w:r w:rsidRPr="00E07958">
        <w:rPr>
          <w:rFonts w:eastAsiaTheme="minorHAnsi"/>
          <w:i/>
          <w:iCs/>
          <w:sz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2C61FA">
        <w:rPr>
          <w:rFonts w:eastAsiaTheme="minorHAnsi"/>
          <w:i/>
          <w:iCs/>
          <w:sz w:val="22"/>
          <w:lang w:val="es-EC" w:eastAsia="en-US"/>
        </w:rPr>
        <w:t>;</w:t>
      </w:r>
    </w:p>
    <w:p w:rsidR="002C61FA" w:rsidRDefault="002C61FA" w:rsidP="00600D8D">
      <w:pPr>
        <w:autoSpaceDE w:val="0"/>
        <w:autoSpaceDN w:val="0"/>
        <w:adjustRightInd w:val="0"/>
        <w:ind w:left="709" w:hanging="709"/>
        <w:jc w:val="both"/>
        <w:rPr>
          <w:rFonts w:eastAsiaTheme="minorHAnsi"/>
          <w:i/>
          <w:iCs/>
          <w:sz w:val="22"/>
          <w:lang w:val="es-EC" w:eastAsia="en-US"/>
        </w:rPr>
      </w:pPr>
    </w:p>
    <w:p w:rsidR="002C61FA" w:rsidRDefault="002C61FA" w:rsidP="002C61FA">
      <w:pPr>
        <w:ind w:left="705" w:hanging="705"/>
        <w:jc w:val="both"/>
        <w:rPr>
          <w:rStyle w:val="fontstyle01"/>
        </w:rPr>
      </w:pPr>
      <w:r w:rsidRPr="00E07958">
        <w:rPr>
          <w:b/>
          <w:sz w:val="22"/>
        </w:rPr>
        <w:t>Que</w:t>
      </w:r>
      <w:r w:rsidRPr="00E07958">
        <w:rPr>
          <w:sz w:val="22"/>
        </w:rPr>
        <w:t>,</w:t>
      </w:r>
      <w:r w:rsidRPr="00E07958">
        <w:rPr>
          <w:sz w:val="22"/>
        </w:rPr>
        <w:tab/>
      </w:r>
      <w:r w:rsidRPr="00F26D1D">
        <w:rPr>
          <w:rStyle w:val="fontstyle01"/>
        </w:rPr>
        <w:t>El artículo 424</w:t>
      </w:r>
      <w:r>
        <w:rPr>
          <w:rStyle w:val="fontstyle01"/>
        </w:rPr>
        <w:t xml:space="preserve"> </w:t>
      </w:r>
      <w:r w:rsidRPr="00F26D1D">
        <w:rPr>
          <w:rStyle w:val="fontstyle01"/>
        </w:rPr>
        <w:t>Código Orgánico de Organización Territorial, Autonomía y</w:t>
      </w:r>
      <w:r w:rsidRPr="00F26D1D">
        <w:rPr>
          <w:color w:val="000000"/>
        </w:rPr>
        <w:br/>
      </w:r>
      <w:r w:rsidRPr="00F26D1D">
        <w:rPr>
          <w:rStyle w:val="fontstyle01"/>
        </w:rPr>
        <w:t xml:space="preserve">Descentralización, en cuanto a la entrega de áreas verdes dispone: </w:t>
      </w:r>
      <w:r w:rsidRPr="00F26D1D">
        <w:rPr>
          <w:rStyle w:val="fontstyle31"/>
        </w:rPr>
        <w:t>“En las</w:t>
      </w:r>
      <w:r w:rsidRPr="00F26D1D">
        <w:rPr>
          <w:i/>
          <w:iCs/>
          <w:color w:val="000000"/>
        </w:rPr>
        <w:br/>
      </w:r>
      <w:r w:rsidRPr="00F26D1D">
        <w:rPr>
          <w:rStyle w:val="fontstyle31"/>
        </w:rPr>
        <w:t>subdivisiones y fraccionamientos sujetos o derivados de una autorización administrativa</w:t>
      </w:r>
      <w:r w:rsidRPr="00F26D1D">
        <w:rPr>
          <w:i/>
          <w:iCs/>
          <w:color w:val="000000"/>
        </w:rPr>
        <w:br/>
      </w:r>
      <w:r w:rsidRPr="00F26D1D">
        <w:rPr>
          <w:rStyle w:val="fontstyle31"/>
        </w:rPr>
        <w:t>de urbanización, el urbanizador deberá realizar las obras de urbanización, habilitación</w:t>
      </w:r>
      <w:r w:rsidRPr="00F26D1D">
        <w:rPr>
          <w:i/>
          <w:iCs/>
          <w:color w:val="000000"/>
        </w:rPr>
        <w:br/>
      </w:r>
      <w:r w:rsidRPr="00F26D1D">
        <w:rPr>
          <w:rStyle w:val="fontstyle31"/>
        </w:rPr>
        <w:t>de vías, áreas verdes y comunitarias, y dichas áreas deberán ser entregadas, por una</w:t>
      </w:r>
      <w:r w:rsidRPr="00F26D1D">
        <w:rPr>
          <w:i/>
          <w:iCs/>
          <w:color w:val="000000"/>
        </w:rPr>
        <w:br/>
      </w:r>
      <w:r w:rsidRPr="00F26D1D">
        <w:rPr>
          <w:rStyle w:val="fontstyle31"/>
        </w:rPr>
        <w:t>sola vez, en forma de cesión gratuita y obligatoria al Gobierno Autónomo</w:t>
      </w:r>
      <w:r w:rsidRPr="00F26D1D">
        <w:rPr>
          <w:i/>
          <w:iCs/>
          <w:color w:val="000000"/>
        </w:rPr>
        <w:br/>
      </w:r>
      <w:r w:rsidRPr="00F26D1D">
        <w:rPr>
          <w:rStyle w:val="fontstyle31"/>
        </w:rPr>
        <w:t>Descentralizado municipal o metropolitano como bienes de dominio y uso público”</w:t>
      </w:r>
      <w:r w:rsidRPr="00F26D1D">
        <w:rPr>
          <w:rStyle w:val="fontstyle01"/>
        </w:rPr>
        <w:t xml:space="preserve">. </w:t>
      </w:r>
    </w:p>
    <w:p w:rsidR="00600D8D" w:rsidRPr="00E07958" w:rsidRDefault="00600D8D" w:rsidP="002C61FA">
      <w:pPr>
        <w:autoSpaceDE w:val="0"/>
        <w:autoSpaceDN w:val="0"/>
        <w:adjustRightInd w:val="0"/>
        <w:jc w:val="both"/>
        <w:rPr>
          <w:rFonts w:eastAsiaTheme="minorHAnsi"/>
          <w:sz w:val="22"/>
          <w:lang w:val="es-EC" w:eastAsia="en-US"/>
        </w:rPr>
      </w:pPr>
    </w:p>
    <w:p w:rsidR="00600D8D" w:rsidRPr="00E07958" w:rsidRDefault="00600D8D" w:rsidP="00600D8D">
      <w:pPr>
        <w:pStyle w:val="Default"/>
        <w:ind w:left="705" w:hanging="705"/>
        <w:jc w:val="both"/>
        <w:rPr>
          <w:rFonts w:ascii="Times New Roman" w:hAnsi="Times New Roman" w:cs="Times New Roman"/>
          <w:sz w:val="22"/>
        </w:rPr>
      </w:pPr>
      <w:r w:rsidRPr="00E07958">
        <w:rPr>
          <w:rFonts w:ascii="Times New Roman" w:hAnsi="Times New Roman" w:cs="Times New Roman"/>
          <w:b/>
          <w:sz w:val="22"/>
        </w:rPr>
        <w:t>Que</w:t>
      </w:r>
      <w:r w:rsidRPr="00E07958">
        <w:rPr>
          <w:rFonts w:ascii="Times New Roman" w:hAnsi="Times New Roman" w:cs="Times New Roman"/>
          <w:sz w:val="22"/>
        </w:rPr>
        <w:t>,</w:t>
      </w:r>
      <w:r w:rsidRPr="00E07958">
        <w:rPr>
          <w:rFonts w:ascii="Times New Roman" w:hAnsi="Times New Roman" w:cs="Times New Roman"/>
          <w:sz w:val="22"/>
        </w:rPr>
        <w:tab/>
        <w:t>el artículo 472</w:t>
      </w:r>
      <w:r w:rsidR="002C61FA">
        <w:rPr>
          <w:rFonts w:ascii="Times New Roman" w:hAnsi="Times New Roman" w:cs="Times New Roman"/>
          <w:sz w:val="22"/>
        </w:rPr>
        <w:t xml:space="preserve"> </w:t>
      </w:r>
      <w:r w:rsidR="002C61FA" w:rsidRPr="00954B0A">
        <w:rPr>
          <w:rStyle w:val="fontstyle01"/>
          <w:rFonts w:ascii="Times New Roman" w:hAnsi="Times New Roman" w:cs="Times New Roman"/>
        </w:rPr>
        <w:t>ibídem</w:t>
      </w:r>
      <w:r w:rsidR="002C61FA" w:rsidRPr="00954B0A">
        <w:rPr>
          <w:rFonts w:ascii="Times New Roman" w:hAnsi="Times New Roman" w:cs="Times New Roman"/>
        </w:rPr>
        <w:t>, indica</w:t>
      </w:r>
      <w:r w:rsidR="002C61FA">
        <w:rPr>
          <w:rFonts w:ascii="Times New Roman" w:hAnsi="Times New Roman" w:cs="Times New Roman"/>
        </w:rPr>
        <w:t>:</w:t>
      </w:r>
      <w:r w:rsidR="002C61FA">
        <w:rPr>
          <w:rFonts w:ascii="Times New Roman" w:hAnsi="Times New Roman" w:cs="Times New Roman"/>
          <w:sz w:val="22"/>
        </w:rPr>
        <w:t xml:space="preserve"> </w:t>
      </w:r>
      <w:r w:rsidR="002C61FA" w:rsidRPr="00954B0A">
        <w:rPr>
          <w:rFonts w:ascii="Times New Roman" w:hAnsi="Times New Roman" w:cs="Times New Roman"/>
        </w:rPr>
        <w:t>“</w:t>
      </w:r>
      <w:r w:rsidR="002C61FA" w:rsidRPr="00954B0A">
        <w:rPr>
          <w:rFonts w:ascii="Times New Roman" w:hAnsi="Times New Roman" w:cs="Times New Roman"/>
          <w:i/>
        </w:rPr>
        <w:t xml:space="preserve">Superficie mínima de los predios. - </w:t>
      </w:r>
      <w:r w:rsidRPr="00E07958">
        <w:rPr>
          <w:rFonts w:ascii="Times New Roman" w:hAnsi="Times New Roman" w:cs="Times New Roman"/>
          <w:i/>
          <w:iCs/>
          <w:sz w:val="22"/>
        </w:rPr>
        <w:t>Para la fijación de las superficies mínimas en los fraccionamientos urbanos se atenderá a las normas que al efecto contenga el pla</w:t>
      </w:r>
      <w:r w:rsidR="002C61FA">
        <w:rPr>
          <w:rFonts w:ascii="Times New Roman" w:hAnsi="Times New Roman" w:cs="Times New Roman"/>
          <w:i/>
          <w:iCs/>
          <w:sz w:val="22"/>
        </w:rPr>
        <w:t xml:space="preserve">n de ordenamiento territorial. </w:t>
      </w:r>
      <w:r w:rsidR="002C61FA" w:rsidRPr="00954B0A">
        <w:rPr>
          <w:rFonts w:ascii="Times New Roman" w:hAnsi="Times New Roman" w:cs="Times New Roman"/>
          <w:i/>
        </w:rPr>
        <w:t xml:space="preserve">Los notarios y los registradores de la propiedad, para la suscripción e inscripción de una escritura de </w:t>
      </w:r>
      <w:r w:rsidR="002C61FA" w:rsidRPr="00954B0A">
        <w:rPr>
          <w:rFonts w:ascii="Times New Roman" w:hAnsi="Times New Roman" w:cs="Times New Roman"/>
          <w:i/>
        </w:rPr>
        <w:lastRenderedPageBreak/>
        <w:t>fraccionamiento respectivamente, exigirán la autorización del ejecutivo de este nivel de gobierno, concedida para el fraccionamiento de los terrenos</w:t>
      </w:r>
      <w:r w:rsidR="002C61FA">
        <w:rPr>
          <w:rFonts w:ascii="Times New Roman" w:hAnsi="Times New Roman" w:cs="Times New Roman"/>
          <w:i/>
        </w:rPr>
        <w:t>”</w:t>
      </w:r>
      <w:r w:rsidR="002C61FA">
        <w:rPr>
          <w:rFonts w:ascii="Times New Roman" w:hAnsi="Times New Roman" w:cs="Times New Roman"/>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 xml:space="preserve">el artículo 473 </w:t>
      </w:r>
      <w:r w:rsidR="002C61FA">
        <w:rPr>
          <w:rFonts w:eastAsiaTheme="minorHAnsi"/>
          <w:sz w:val="22"/>
          <w:lang w:val="es-EC" w:eastAsia="en-US"/>
        </w:rPr>
        <w:t>del mismo cuerpo normativo, señala:</w:t>
      </w:r>
      <w:r w:rsidRPr="00E07958">
        <w:rPr>
          <w:rFonts w:eastAsiaTheme="minorHAnsi"/>
          <w:sz w:val="22"/>
          <w:lang w:val="es-EC" w:eastAsia="en-US"/>
        </w:rPr>
        <w:t xml:space="preserve"> </w:t>
      </w:r>
      <w:r w:rsidR="002C61FA" w:rsidRPr="00F26D1D">
        <w:rPr>
          <w:rStyle w:val="fontstyle01"/>
        </w:rPr>
        <w:t>“</w:t>
      </w:r>
      <w:r w:rsidR="002C61FA" w:rsidRPr="00F26D1D">
        <w:rPr>
          <w:rStyle w:val="fontstyle31"/>
        </w:rPr>
        <w:t>Partición judicial y extrajudicial de inmuebles. - En caso de</w:t>
      </w:r>
      <w:r w:rsidR="002C61FA">
        <w:rPr>
          <w:i/>
          <w:iCs/>
          <w:color w:val="000000"/>
        </w:rPr>
        <w:t xml:space="preserve"> </w:t>
      </w:r>
      <w:r w:rsidR="002C61FA" w:rsidRPr="00F26D1D">
        <w:rPr>
          <w:rStyle w:val="fontstyle31"/>
        </w:rPr>
        <w:t>partición judicial de inmuebles, los jueces ordenarán que se cite con la demanda, a la</w:t>
      </w:r>
      <w:r w:rsidR="002C61FA">
        <w:rPr>
          <w:i/>
          <w:iCs/>
          <w:color w:val="000000"/>
        </w:rPr>
        <w:t xml:space="preserve"> </w:t>
      </w:r>
      <w:r w:rsidR="002C61FA" w:rsidRPr="00F26D1D">
        <w:rPr>
          <w:rStyle w:val="fontstyle31"/>
        </w:rPr>
        <w:t>municipalidad del cantón o distrito metropolitano y no se podrá realizar la partición sino</w:t>
      </w:r>
      <w:r w:rsidR="002C61FA">
        <w:rPr>
          <w:i/>
          <w:iCs/>
          <w:color w:val="000000"/>
        </w:rPr>
        <w:t xml:space="preserve"> </w:t>
      </w:r>
      <w:r w:rsidR="002C61FA" w:rsidRPr="00F26D1D">
        <w:rPr>
          <w:rStyle w:val="fontstyle31"/>
        </w:rPr>
        <w:t>con informe favorable del respectivo concejo. Si de hecho se realiza la partición, será</w:t>
      </w:r>
      <w:r w:rsidR="002C61FA">
        <w:rPr>
          <w:i/>
          <w:iCs/>
          <w:color w:val="000000"/>
        </w:rPr>
        <w:t xml:space="preserve"> </w:t>
      </w:r>
      <w:r w:rsidR="002C61FA" w:rsidRPr="00F26D1D">
        <w:rPr>
          <w:rStyle w:val="fontstyle31"/>
        </w:rPr>
        <w:t>nula. En el caso de partición extrajudicial, los interesados pedirán al gobierno municipal</w:t>
      </w:r>
      <w:r w:rsidR="002C61FA">
        <w:rPr>
          <w:i/>
          <w:iCs/>
          <w:color w:val="000000"/>
        </w:rPr>
        <w:t xml:space="preserve"> </w:t>
      </w:r>
      <w:r w:rsidR="002C61FA" w:rsidRPr="00F26D1D">
        <w:rPr>
          <w:rStyle w:val="fontstyle31"/>
        </w:rPr>
        <w:t>metropolitano la autorización respectiva, sin la cual no podrá realizarse la partición”</w:t>
      </w:r>
      <w:r w:rsidR="002C61FA">
        <w:rPr>
          <w:rStyle w:val="fontstyle31"/>
        </w:rPr>
        <w:t xml:space="preserve">; </w:t>
      </w:r>
    </w:p>
    <w:p w:rsidR="00600D8D" w:rsidRPr="00E07958" w:rsidRDefault="00600D8D" w:rsidP="00600D8D">
      <w:pPr>
        <w:autoSpaceDE w:val="0"/>
        <w:autoSpaceDN w:val="0"/>
        <w:adjustRightInd w:val="0"/>
        <w:jc w:val="both"/>
        <w:rPr>
          <w:sz w:val="22"/>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el numeral 1, del artículo 2 de la Ley de Régimen para el Distrito Metropolitano de Quito, determina, como finalidad, que el Municipio del Distrito Metropolitano de Quito: “</w:t>
      </w:r>
      <w:r w:rsidRPr="00E07958">
        <w:rPr>
          <w:rFonts w:eastAsiaTheme="minorHAnsi"/>
          <w:i/>
          <w:iCs/>
          <w:sz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2C61FA" w:rsidRPr="00E1069E" w:rsidRDefault="00600D8D" w:rsidP="00E1069E">
      <w:pPr>
        <w:autoSpaceDE w:val="0"/>
        <w:autoSpaceDN w:val="0"/>
        <w:adjustRightInd w:val="0"/>
        <w:ind w:left="705" w:hanging="705"/>
        <w:jc w:val="both"/>
        <w:rPr>
          <w:sz w:val="22"/>
        </w:rPr>
      </w:pPr>
      <w:r w:rsidRPr="00E1069E">
        <w:rPr>
          <w:b/>
          <w:sz w:val="22"/>
        </w:rPr>
        <w:t>Que</w:t>
      </w:r>
      <w:r w:rsidRPr="00E07958">
        <w:rPr>
          <w:sz w:val="22"/>
        </w:rPr>
        <w:t>,</w:t>
      </w:r>
      <w:r w:rsidRPr="00E07958">
        <w:rPr>
          <w:sz w:val="22"/>
        </w:rPr>
        <w:tab/>
      </w:r>
      <w:r w:rsidR="002C61FA" w:rsidRPr="00E1069E">
        <w:rPr>
          <w:sz w:val="22"/>
        </w:rPr>
        <w:t>el artículo 2266.156 de la Ordenanza Metropolitana No. 001, indica</w:t>
      </w:r>
      <w:r w:rsidR="002C61FA" w:rsidRPr="00E1069E">
        <w:rPr>
          <w:b/>
          <w:sz w:val="22"/>
        </w:rPr>
        <w:t xml:space="preserve">: </w:t>
      </w:r>
      <w:r w:rsidR="002C61FA" w:rsidRPr="00E1069E">
        <w:rPr>
          <w:b/>
          <w:i/>
          <w:sz w:val="22"/>
        </w:rPr>
        <w:t xml:space="preserve">“Áreas verdes, áreas comunitarias y vías que son bienes de dominio y uso público derivados de una partición </w:t>
      </w:r>
      <w:r w:rsidR="00E1069E" w:rsidRPr="00E1069E">
        <w:rPr>
          <w:b/>
          <w:i/>
          <w:sz w:val="22"/>
        </w:rPr>
        <w:t>judicial</w:t>
      </w:r>
      <w:r w:rsidR="00E1069E" w:rsidRPr="00E1069E">
        <w:rPr>
          <w:sz w:val="22"/>
        </w:rPr>
        <w:t>. -</w:t>
      </w:r>
      <w:r w:rsidR="002C61FA" w:rsidRPr="00E1069E">
        <w:rPr>
          <w:sz w:val="22"/>
        </w:rPr>
        <w:t xml:space="preserve"> </w:t>
      </w:r>
      <w:r w:rsidR="002C61FA" w:rsidRPr="00E1069E">
        <w:rPr>
          <w:i/>
          <w:sz w:val="22"/>
        </w:rPr>
        <w:t xml:space="preserve">En el caso de partición judicial de inmuebles, se deberá contribuir con el 15% de áreas verdes, y, áreas comunitarias públicas, para lo cual se seguirán las reglas y disposiciones previstas en este </w:t>
      </w:r>
      <w:r w:rsidR="00E1069E" w:rsidRPr="00E1069E">
        <w:rPr>
          <w:i/>
          <w:sz w:val="22"/>
        </w:rPr>
        <w:t>subpárrafo</w:t>
      </w:r>
      <w:r w:rsidR="002C61FA" w:rsidRPr="00E1069E">
        <w:rPr>
          <w:sz w:val="22"/>
        </w:rPr>
        <w:t xml:space="preserve">”. </w:t>
      </w:r>
    </w:p>
    <w:p w:rsidR="002C61FA" w:rsidRDefault="002C61FA" w:rsidP="002C61FA">
      <w:pPr>
        <w:pStyle w:val="Default"/>
        <w:jc w:val="both"/>
      </w:pPr>
    </w:p>
    <w:p w:rsidR="002C61FA" w:rsidRPr="00E1069E" w:rsidRDefault="00C977A3" w:rsidP="00E1069E">
      <w:pPr>
        <w:autoSpaceDE w:val="0"/>
        <w:autoSpaceDN w:val="0"/>
        <w:adjustRightInd w:val="0"/>
        <w:ind w:left="709" w:hanging="709"/>
        <w:jc w:val="both"/>
        <w:rPr>
          <w:rFonts w:eastAsiaTheme="minorHAnsi"/>
          <w:i/>
          <w:sz w:val="22"/>
          <w:lang w:val="es-EC" w:eastAsia="en-US"/>
        </w:rPr>
      </w:pPr>
      <w:r w:rsidRPr="00E1069E">
        <w:rPr>
          <w:rFonts w:eastAsiaTheme="minorHAnsi"/>
          <w:b/>
          <w:sz w:val="22"/>
          <w:lang w:val="es-EC" w:eastAsia="en-US"/>
        </w:rPr>
        <w:t>Que,</w:t>
      </w:r>
      <w:r w:rsidRPr="00E1069E">
        <w:rPr>
          <w:rFonts w:eastAsiaTheme="minorHAnsi"/>
          <w:sz w:val="22"/>
          <w:lang w:val="es-EC" w:eastAsia="en-US"/>
        </w:rPr>
        <w:t xml:space="preserve"> </w:t>
      </w:r>
      <w:r w:rsidR="00E1069E" w:rsidRPr="00E1069E">
        <w:rPr>
          <w:rFonts w:eastAsiaTheme="minorHAnsi"/>
          <w:sz w:val="22"/>
          <w:lang w:val="es-EC" w:eastAsia="en-US"/>
        </w:rPr>
        <w:tab/>
      </w:r>
      <w:r w:rsidRPr="00E1069E">
        <w:rPr>
          <w:rFonts w:eastAsiaTheme="minorHAnsi"/>
          <w:sz w:val="22"/>
          <w:lang w:val="es-EC" w:eastAsia="en-US"/>
        </w:rPr>
        <w:t>el</w:t>
      </w:r>
      <w:r w:rsidR="002C61FA" w:rsidRPr="00E1069E">
        <w:rPr>
          <w:rFonts w:eastAsiaTheme="minorHAnsi"/>
          <w:sz w:val="22"/>
          <w:lang w:val="es-EC" w:eastAsia="en-US"/>
        </w:rPr>
        <w:t xml:space="preserve"> artículo 2266.160, señala: </w:t>
      </w:r>
      <w:r w:rsidR="002C61FA" w:rsidRPr="00E1069E">
        <w:rPr>
          <w:rFonts w:eastAsiaTheme="minorHAnsi"/>
          <w:b/>
          <w:i/>
          <w:sz w:val="22"/>
          <w:lang w:val="es-EC" w:eastAsia="en-US"/>
        </w:rPr>
        <w:t>“Compen</w:t>
      </w:r>
      <w:r w:rsidR="00E1069E" w:rsidRPr="00E1069E">
        <w:rPr>
          <w:rFonts w:eastAsiaTheme="minorHAnsi"/>
          <w:b/>
          <w:i/>
          <w:sz w:val="22"/>
          <w:lang w:val="es-EC" w:eastAsia="en-US"/>
        </w:rPr>
        <w:t xml:space="preserve">sación para áreas verdes, áreas </w:t>
      </w:r>
      <w:r w:rsidR="002C61FA" w:rsidRPr="00E1069E">
        <w:rPr>
          <w:rFonts w:eastAsiaTheme="minorHAnsi"/>
          <w:b/>
          <w:i/>
          <w:sz w:val="22"/>
          <w:lang w:val="es-EC" w:eastAsia="en-US"/>
        </w:rPr>
        <w:t xml:space="preserve">comunitarias en particiones </w:t>
      </w:r>
      <w:r w:rsidRPr="00E1069E">
        <w:rPr>
          <w:rFonts w:eastAsiaTheme="minorHAnsi"/>
          <w:b/>
          <w:i/>
          <w:sz w:val="22"/>
          <w:lang w:val="es-EC" w:eastAsia="en-US"/>
        </w:rPr>
        <w:t>judiciales</w:t>
      </w:r>
      <w:r w:rsidRPr="00E1069E">
        <w:rPr>
          <w:rFonts w:eastAsiaTheme="minorHAnsi"/>
          <w:i/>
          <w:sz w:val="22"/>
          <w:lang w:val="es-EC" w:eastAsia="en-US"/>
        </w:rPr>
        <w:t>. -</w:t>
      </w:r>
      <w:r w:rsidR="002C61FA" w:rsidRPr="00E1069E">
        <w:rPr>
          <w:rFonts w:eastAsiaTheme="minorHAnsi"/>
          <w:i/>
          <w:sz w:val="22"/>
          <w:lang w:val="es-EC" w:eastAsia="en-US"/>
        </w:rPr>
        <w:t xml:space="preserve"> En Particiones judiciales de</w:t>
      </w:r>
      <w:r w:rsidR="00E1069E" w:rsidRPr="00E1069E">
        <w:rPr>
          <w:rFonts w:eastAsiaTheme="minorHAnsi"/>
          <w:i/>
          <w:sz w:val="22"/>
          <w:lang w:val="es-EC" w:eastAsia="en-US"/>
        </w:rPr>
        <w:t xml:space="preserve"> </w:t>
      </w:r>
      <w:r w:rsidR="002C61FA" w:rsidRPr="00E1069E">
        <w:rPr>
          <w:rFonts w:eastAsiaTheme="minorHAnsi"/>
          <w:i/>
          <w:sz w:val="22"/>
          <w:lang w:val="es-EC" w:eastAsia="en-US"/>
        </w:rPr>
        <w:t xml:space="preserve">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2C61FA" w:rsidRPr="00E1069E" w:rsidRDefault="002C61FA" w:rsidP="00E1069E">
      <w:pPr>
        <w:autoSpaceDE w:val="0"/>
        <w:autoSpaceDN w:val="0"/>
        <w:adjustRightInd w:val="0"/>
        <w:ind w:left="709" w:hanging="709"/>
        <w:jc w:val="both"/>
        <w:rPr>
          <w:rFonts w:eastAsiaTheme="minorHAnsi"/>
          <w:sz w:val="22"/>
          <w:lang w:val="es-EC" w:eastAsia="en-US"/>
        </w:rPr>
      </w:pPr>
    </w:p>
    <w:p w:rsidR="002C61FA" w:rsidRDefault="002C61FA" w:rsidP="002C61FA">
      <w:pPr>
        <w:pStyle w:val="Default"/>
        <w:ind w:left="708"/>
        <w:jc w:val="both"/>
        <w:rPr>
          <w:rFonts w:ascii="Times New Roman" w:hAnsi="Times New Roman" w:cs="Times New Roman"/>
          <w:i/>
          <w:color w:val="auto"/>
          <w:sz w:val="22"/>
        </w:rPr>
      </w:pPr>
      <w:r w:rsidRPr="00E1069E">
        <w:rPr>
          <w:rFonts w:ascii="Times New Roman" w:hAnsi="Times New Roman" w:cs="Times New Roman"/>
          <w:i/>
          <w:color w:val="auto"/>
          <w:sz w:val="22"/>
        </w:rPr>
        <w:t xml:space="preserve">En el caso de la sentencia ejecutoriada dictada dentro del juicio de prescripción extraordinaria adquisitiva de dominio, de una </w:t>
      </w:r>
      <w:r w:rsidR="00E1069E" w:rsidRPr="00E1069E">
        <w:rPr>
          <w:rFonts w:ascii="Times New Roman" w:hAnsi="Times New Roman" w:cs="Times New Roman"/>
          <w:i/>
          <w:color w:val="auto"/>
          <w:sz w:val="22"/>
        </w:rPr>
        <w:t>parte,</w:t>
      </w:r>
      <w:r w:rsidRPr="00E1069E">
        <w:rPr>
          <w:rFonts w:ascii="Times New Roman" w:hAnsi="Times New Roman" w:cs="Times New Roman"/>
          <w:i/>
          <w:color w:val="auto"/>
          <w:sz w:val="22"/>
        </w:rPr>
        <w:t xml:space="preserve"> de un lote que obliga a un fraccionamiento, se deberá calcular el aporte del 15% del área útil adquirida mediante sentencia. </w:t>
      </w:r>
    </w:p>
    <w:p w:rsidR="00E1069E" w:rsidRPr="00E1069E" w:rsidRDefault="00E1069E" w:rsidP="002C61FA">
      <w:pPr>
        <w:pStyle w:val="Default"/>
        <w:ind w:left="708"/>
        <w:jc w:val="both"/>
        <w:rPr>
          <w:rFonts w:ascii="Times New Roman" w:hAnsi="Times New Roman" w:cs="Times New Roman"/>
          <w:i/>
          <w:color w:val="auto"/>
          <w:sz w:val="22"/>
        </w:rPr>
      </w:pPr>
    </w:p>
    <w:p w:rsidR="002C61FA" w:rsidRPr="00380CE2" w:rsidRDefault="002C61FA" w:rsidP="002C61FA">
      <w:pPr>
        <w:pStyle w:val="Default"/>
        <w:ind w:left="708"/>
        <w:jc w:val="both"/>
      </w:pPr>
      <w:r w:rsidRPr="00E1069E">
        <w:rPr>
          <w:rFonts w:ascii="Times New Roman" w:hAnsi="Times New Roman" w:cs="Times New Roman"/>
          <w:i/>
          <w:color w:val="auto"/>
          <w:sz w:val="22"/>
        </w:rPr>
        <w:t>Si el área de la sentencia es inferior a 3000.00 m2, la contribución del 15% del área útil urbanizable adjudicada se compensará en valor monetario según el avalúo catastral actualizado, cuando sea menor al lote mínimo asignado en la edificabilidad vigente</w:t>
      </w:r>
      <w:r w:rsidRPr="00380CE2">
        <w:t xml:space="preserve">”. </w:t>
      </w:r>
    </w:p>
    <w:p w:rsidR="002C61FA" w:rsidRDefault="002C61FA" w:rsidP="002C61FA">
      <w:pPr>
        <w:pStyle w:val="Default"/>
        <w:rPr>
          <w:b/>
          <w:bCs/>
          <w:sz w:val="22"/>
          <w:szCs w:val="22"/>
        </w:rPr>
      </w:pPr>
    </w:p>
    <w:p w:rsidR="002C61FA" w:rsidRPr="00E1069E" w:rsidRDefault="00C977A3" w:rsidP="00C977A3">
      <w:pPr>
        <w:pStyle w:val="Default"/>
        <w:ind w:left="705" w:hanging="705"/>
        <w:jc w:val="both"/>
        <w:rPr>
          <w:rFonts w:ascii="Times New Roman" w:hAnsi="Times New Roman" w:cs="Times New Roman"/>
          <w:i/>
          <w:color w:val="auto"/>
          <w:sz w:val="22"/>
        </w:rPr>
      </w:pPr>
      <w:r w:rsidRPr="00E1069E">
        <w:rPr>
          <w:rFonts w:ascii="Times New Roman" w:hAnsi="Times New Roman" w:cs="Times New Roman"/>
          <w:b/>
          <w:color w:val="auto"/>
          <w:sz w:val="22"/>
        </w:rPr>
        <w:t xml:space="preserve">Que, </w:t>
      </w:r>
      <w:r w:rsidRPr="00E1069E">
        <w:rPr>
          <w:rFonts w:ascii="Times New Roman" w:hAnsi="Times New Roman" w:cs="Times New Roman"/>
          <w:b/>
          <w:color w:val="auto"/>
          <w:sz w:val="22"/>
        </w:rPr>
        <w:tab/>
      </w:r>
      <w:r w:rsidR="002C61FA" w:rsidRPr="00E1069E">
        <w:rPr>
          <w:rFonts w:ascii="Times New Roman" w:hAnsi="Times New Roman" w:cs="Times New Roman"/>
          <w:color w:val="auto"/>
          <w:sz w:val="22"/>
        </w:rPr>
        <w:t>El artículo 2266.161, dice</w:t>
      </w:r>
      <w:r w:rsidR="002C61FA" w:rsidRPr="00E1069E">
        <w:rPr>
          <w:rFonts w:ascii="Times New Roman" w:hAnsi="Times New Roman" w:cs="Times New Roman"/>
          <w:b/>
          <w:color w:val="auto"/>
          <w:sz w:val="22"/>
        </w:rPr>
        <w:t xml:space="preserve">: </w:t>
      </w:r>
      <w:r w:rsidR="002C61FA" w:rsidRPr="00E1069E">
        <w:rPr>
          <w:rFonts w:ascii="Times New Roman" w:hAnsi="Times New Roman" w:cs="Times New Roman"/>
          <w:b/>
          <w:i/>
          <w:color w:val="auto"/>
          <w:sz w:val="22"/>
        </w:rPr>
        <w:t xml:space="preserve">“Condiciones generales de la compensación para áreas verdes, áreas comunitarias en subdivisiones y particiones judiciales.- </w:t>
      </w:r>
      <w:r w:rsidR="002C61FA" w:rsidRPr="00E1069E">
        <w:rPr>
          <w:rFonts w:ascii="Times New Roman" w:hAnsi="Times New Roman" w:cs="Times New Roman"/>
          <w:i/>
          <w:color w:val="auto"/>
          <w:sz w:val="22"/>
        </w:rPr>
        <w:t xml:space="preserve">En las particiones hereditarias, donaciones y ventas en suelo urbano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E1069E" w:rsidRDefault="00E1069E" w:rsidP="00C977A3">
      <w:pPr>
        <w:pStyle w:val="Default"/>
        <w:ind w:left="705"/>
        <w:jc w:val="both"/>
        <w:rPr>
          <w:rFonts w:ascii="Times New Roman" w:hAnsi="Times New Roman" w:cs="Times New Roman"/>
          <w:i/>
          <w:color w:val="auto"/>
          <w:sz w:val="22"/>
        </w:rPr>
      </w:pPr>
    </w:p>
    <w:p w:rsidR="002C61FA" w:rsidRDefault="002C61FA" w:rsidP="00C977A3">
      <w:pPr>
        <w:pStyle w:val="Default"/>
        <w:ind w:left="705"/>
        <w:jc w:val="both"/>
        <w:rPr>
          <w:rFonts w:ascii="Times New Roman" w:hAnsi="Times New Roman" w:cs="Times New Roman"/>
          <w:b/>
          <w:i/>
          <w:color w:val="auto"/>
          <w:sz w:val="22"/>
        </w:rPr>
      </w:pPr>
      <w:r w:rsidRPr="00E1069E">
        <w:rPr>
          <w:rFonts w:ascii="Times New Roman" w:hAnsi="Times New Roman" w:cs="Times New Roman"/>
          <w:i/>
          <w:color w:val="auto"/>
          <w:sz w:val="22"/>
        </w:rPr>
        <w:t>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w:t>
      </w:r>
      <w:r w:rsidRPr="00E1069E">
        <w:rPr>
          <w:rFonts w:ascii="Times New Roman" w:hAnsi="Times New Roman" w:cs="Times New Roman"/>
          <w:b/>
          <w:i/>
          <w:color w:val="auto"/>
          <w:sz w:val="22"/>
        </w:rPr>
        <w:t xml:space="preserve"> </w:t>
      </w:r>
    </w:p>
    <w:p w:rsidR="00E1069E" w:rsidRPr="00E1069E" w:rsidRDefault="00E1069E" w:rsidP="00C977A3">
      <w:pPr>
        <w:pStyle w:val="Default"/>
        <w:ind w:left="705"/>
        <w:jc w:val="both"/>
        <w:rPr>
          <w:rFonts w:ascii="Times New Roman" w:hAnsi="Times New Roman" w:cs="Times New Roman"/>
          <w:b/>
          <w:i/>
          <w:color w:val="auto"/>
          <w:sz w:val="22"/>
        </w:rPr>
      </w:pPr>
    </w:p>
    <w:p w:rsidR="002C61FA" w:rsidRDefault="002C61FA" w:rsidP="00C977A3">
      <w:pPr>
        <w:ind w:left="705"/>
        <w:jc w:val="both"/>
        <w:rPr>
          <w:rFonts w:eastAsiaTheme="minorHAnsi"/>
          <w:i/>
          <w:sz w:val="22"/>
          <w:lang w:val="es-EC" w:eastAsia="en-US"/>
        </w:rPr>
      </w:pPr>
      <w:r w:rsidRPr="00E1069E">
        <w:rPr>
          <w:rFonts w:eastAsiaTheme="minorHAnsi"/>
          <w:i/>
          <w:sz w:val="22"/>
          <w:lang w:val="es-EC" w:eastAsia="en-US"/>
        </w:rPr>
        <w:lastRenderedPageBreak/>
        <w:t>Si la compensación en dinero suple o reemplaza la entrega de área verde pública y área comunitaria, dicha compensación debe ser equivalente, al valor monetario correspondiente al 15% del área útil urbanizable del terreno, según el avalúo catastral actualizado.</w:t>
      </w:r>
    </w:p>
    <w:p w:rsidR="00E1069E" w:rsidRPr="00E1069E" w:rsidRDefault="00E1069E" w:rsidP="00C977A3">
      <w:pPr>
        <w:ind w:left="705"/>
        <w:jc w:val="both"/>
        <w:rPr>
          <w:rFonts w:eastAsiaTheme="minorHAnsi"/>
          <w:b/>
          <w:bCs/>
          <w:sz w:val="22"/>
          <w:lang w:val="es-EC" w:eastAsia="en-US"/>
        </w:rPr>
      </w:pPr>
    </w:p>
    <w:p w:rsidR="002C61FA" w:rsidRPr="00E1069E" w:rsidRDefault="002C61FA" w:rsidP="00C977A3">
      <w:pPr>
        <w:ind w:left="705"/>
        <w:jc w:val="both"/>
        <w:rPr>
          <w:rFonts w:eastAsiaTheme="minorHAnsi"/>
          <w:i/>
          <w:sz w:val="22"/>
          <w:lang w:val="es-EC" w:eastAsia="en-US"/>
        </w:rPr>
      </w:pPr>
      <w:r w:rsidRPr="00E1069E">
        <w:rPr>
          <w:rFonts w:eastAsiaTheme="minorHAnsi"/>
          <w:i/>
          <w:sz w:val="22"/>
          <w:lang w:val="es-EC" w:eastAsia="en-US"/>
        </w:rPr>
        <w:t>Con los recursos recaudados en valor monetario por efecto de la compensación, la municipalidad deberá crear un fondo para la adquisición de áreas verdes, áreas comunitarias, y obras para el mejoramiento, de preferencia en el sector donde se encuentra ubicado el inmueble, de conformidad a lo establecido en la normativa nacional vigente”.</w:t>
      </w:r>
    </w:p>
    <w:p w:rsidR="00C977A3" w:rsidRPr="00380CE2" w:rsidRDefault="00C977A3" w:rsidP="00C977A3">
      <w:pPr>
        <w:ind w:left="705"/>
        <w:jc w:val="both"/>
        <w:rPr>
          <w:rStyle w:val="fontstyle21"/>
          <w:i/>
          <w:sz w:val="24"/>
          <w:szCs w:val="24"/>
        </w:rPr>
      </w:pPr>
    </w:p>
    <w:p w:rsidR="004E0D99" w:rsidRDefault="004E0D99" w:rsidP="00C977A3">
      <w:pPr>
        <w:autoSpaceDE w:val="0"/>
        <w:autoSpaceDN w:val="0"/>
        <w:adjustRightInd w:val="0"/>
        <w:ind w:left="709" w:hanging="709"/>
        <w:jc w:val="both"/>
        <w:rPr>
          <w:i/>
          <w:sz w:val="22"/>
          <w:lang w:eastAsia="es-EC"/>
        </w:rPr>
      </w:pPr>
      <w:r w:rsidRPr="00C977A3">
        <w:rPr>
          <w:rFonts w:eastAsiaTheme="minorHAnsi"/>
          <w:b/>
          <w:sz w:val="22"/>
          <w:lang w:val="es-EC" w:eastAsia="en-US"/>
        </w:rPr>
        <w:t>Que</w:t>
      </w:r>
      <w:r w:rsidRPr="00C977A3">
        <w:rPr>
          <w:rFonts w:eastAsiaTheme="minorHAnsi"/>
          <w:sz w:val="22"/>
          <w:lang w:val="es-EC" w:eastAsia="en-US"/>
        </w:rPr>
        <w:t xml:space="preserve">, </w:t>
      </w:r>
      <w:r w:rsidRPr="00C977A3">
        <w:rPr>
          <w:rFonts w:eastAsiaTheme="minorHAnsi"/>
          <w:sz w:val="22"/>
          <w:lang w:val="es-EC" w:eastAsia="en-US"/>
        </w:rPr>
        <w:tab/>
      </w:r>
      <w:r w:rsidR="00E1069E">
        <w:rPr>
          <w:rStyle w:val="fontstyle01"/>
          <w:rFonts w:ascii="Times New Roman" w:hAnsi="Times New Roman"/>
          <w:szCs w:val="24"/>
        </w:rPr>
        <w:t>mediante oficio No. 2950-2010</w:t>
      </w:r>
      <w:r w:rsidRPr="00C977A3">
        <w:rPr>
          <w:rStyle w:val="fontstyle01"/>
          <w:rFonts w:ascii="Times New Roman" w:hAnsi="Times New Roman"/>
          <w:szCs w:val="24"/>
        </w:rPr>
        <w:t xml:space="preserve">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C977A3">
        <w:rPr>
          <w:sz w:val="22"/>
          <w:lang w:eastAsia="es-EC"/>
        </w:rPr>
        <w:t xml:space="preserve">B.2.1, el cual, textualmente señala: </w:t>
      </w:r>
      <w:r w:rsidRPr="00C977A3">
        <w:rPr>
          <w:i/>
          <w:sz w:val="22"/>
          <w:lang w:eastAsia="es-EC"/>
        </w:rPr>
        <w:t>“(...)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w:t>
      </w:r>
      <w:r w:rsidR="00C977A3">
        <w:rPr>
          <w:i/>
          <w:sz w:val="22"/>
          <w:lang w:eastAsia="es-EC"/>
        </w:rPr>
        <w:t>.</w:t>
      </w:r>
    </w:p>
    <w:p w:rsidR="00257CEB" w:rsidRDefault="00257CEB" w:rsidP="00C977A3">
      <w:pPr>
        <w:autoSpaceDE w:val="0"/>
        <w:autoSpaceDN w:val="0"/>
        <w:adjustRightInd w:val="0"/>
        <w:ind w:left="709" w:hanging="709"/>
        <w:jc w:val="both"/>
        <w:rPr>
          <w:i/>
          <w:sz w:val="22"/>
          <w:lang w:eastAsia="es-EC"/>
        </w:rPr>
      </w:pPr>
    </w:p>
    <w:p w:rsidR="00C977A3" w:rsidRPr="00E07958" w:rsidRDefault="00C977A3" w:rsidP="00C977A3">
      <w:pPr>
        <w:autoSpaceDE w:val="0"/>
        <w:autoSpaceDN w:val="0"/>
        <w:adjustRightInd w:val="0"/>
        <w:ind w:left="709" w:hanging="709"/>
        <w:jc w:val="both"/>
        <w:rPr>
          <w:i/>
          <w:sz w:val="22"/>
          <w:lang w:eastAsia="es-EC"/>
        </w:rPr>
      </w:pPr>
      <w:r>
        <w:rPr>
          <w:rFonts w:eastAsiaTheme="minorHAnsi"/>
          <w:b/>
          <w:sz w:val="22"/>
          <w:lang w:val="es-EC" w:eastAsia="en-US"/>
        </w:rPr>
        <w:tab/>
      </w:r>
      <w:r w:rsidRPr="003F5A69">
        <w:rPr>
          <w:lang w:eastAsia="es-EC"/>
        </w:rPr>
        <w:t>En cumplimiento al procedimiento antes referido, una vez que el área técnica ha</w:t>
      </w:r>
      <w:r>
        <w:rPr>
          <w:lang w:eastAsia="es-EC"/>
        </w:rPr>
        <w:t xml:space="preserve"> </w:t>
      </w:r>
      <w:r w:rsidRPr="003F5A69">
        <w:rPr>
          <w:lang w:eastAsia="es-EC"/>
        </w:rPr>
        <w:t>determinado que</w:t>
      </w:r>
      <w:r>
        <w:rPr>
          <w:lang w:eastAsia="es-EC"/>
        </w:rPr>
        <w:t xml:space="preserve"> </w:t>
      </w:r>
      <w:r w:rsidRPr="00BA52B7">
        <w:rPr>
          <w:i/>
          <w:color w:val="000000"/>
        </w:rPr>
        <w:t xml:space="preserve">la prescripción adquisitiva de dominio de una parte del inmueble del predio No. 390030, </w:t>
      </w:r>
      <w:r w:rsidR="00E1069E">
        <w:rPr>
          <w:i/>
          <w:color w:val="000000"/>
        </w:rPr>
        <w:t xml:space="preserve">No </w:t>
      </w:r>
      <w:r w:rsidRPr="00BA52B7">
        <w:rPr>
          <w:i/>
          <w:color w:val="000000"/>
        </w:rPr>
        <w:t>Cumple con</w:t>
      </w:r>
      <w:r w:rsidR="00E1069E">
        <w:rPr>
          <w:i/>
          <w:color w:val="000000"/>
        </w:rPr>
        <w:t xml:space="preserve"> los datos establecidos en la zonificación vigente</w:t>
      </w:r>
      <w:r w:rsidRPr="00BA52B7">
        <w:rPr>
          <w:i/>
          <w:color w:val="000000"/>
        </w:rPr>
        <w:t xml:space="preserve">, </w:t>
      </w:r>
      <w:r w:rsidRPr="00512B9B">
        <w:t>en virtud de lo establecido en el pronunciamiento de la Procuraduría Metropolitana</w:t>
      </w:r>
      <w:r w:rsidRPr="003F5A69">
        <w:rPr>
          <w:lang w:eastAsia="es-EC"/>
        </w:rPr>
        <w:t xml:space="preserve"> </w:t>
      </w:r>
      <w:r w:rsidRPr="00512B9B">
        <w:rPr>
          <w:lang w:eastAsia="es-EC"/>
        </w:rPr>
        <w:t xml:space="preserve">se deberá contar con </w:t>
      </w:r>
      <w:r w:rsidRPr="003F5A69">
        <w:rPr>
          <w:lang w:eastAsia="es-EC"/>
        </w:rPr>
        <w:t xml:space="preserve"> el</w:t>
      </w:r>
      <w:r w:rsidRPr="00512B9B">
        <w:rPr>
          <w:lang w:eastAsia="es-EC"/>
        </w:rPr>
        <w:t xml:space="preserve"> </w:t>
      </w:r>
      <w:r w:rsidRPr="003F5A69">
        <w:rPr>
          <w:lang w:eastAsia="es-EC"/>
        </w:rPr>
        <w:t>pronunciamiento de Procuraduría Metropolitana; Informe de la Secretaría General del</w:t>
      </w:r>
      <w:r w:rsidRPr="00512B9B">
        <w:rPr>
          <w:lang w:eastAsia="es-EC"/>
        </w:rPr>
        <w:t xml:space="preserve"> </w:t>
      </w:r>
      <w:r w:rsidRPr="003F5A69">
        <w:rPr>
          <w:lang w:eastAsia="es-EC"/>
        </w:rPr>
        <w:t>Concejo, para conocimiento y dictamen de la Comisión de Uso de Suelo y posterior</w:t>
      </w:r>
      <w:r w:rsidRPr="00512B9B">
        <w:rPr>
          <w:lang w:eastAsia="es-EC"/>
        </w:rPr>
        <w:t xml:space="preserve"> </w:t>
      </w:r>
      <w:r w:rsidRPr="003F5A69">
        <w:rPr>
          <w:lang w:eastAsia="es-EC"/>
        </w:rPr>
        <w:t>resol</w:t>
      </w:r>
      <w:r>
        <w:rPr>
          <w:lang w:eastAsia="es-EC"/>
        </w:rPr>
        <w:t>ución del Concejo Metropolitano</w:t>
      </w:r>
    </w:p>
    <w:p w:rsidR="00921E14" w:rsidRPr="00E07958" w:rsidRDefault="00921E14" w:rsidP="00D27AB2">
      <w:pPr>
        <w:jc w:val="both"/>
        <w:rPr>
          <w:rFonts w:eastAsiaTheme="minorHAnsi"/>
          <w:b/>
          <w:sz w:val="22"/>
          <w:lang w:val="es-EC" w:eastAsia="en-US"/>
        </w:rPr>
      </w:pPr>
    </w:p>
    <w:p w:rsidR="00257CEB" w:rsidRPr="00495945" w:rsidRDefault="00921E14" w:rsidP="00495945">
      <w:pPr>
        <w:ind w:left="705" w:hanging="705"/>
        <w:jc w:val="both"/>
        <w:rPr>
          <w:i/>
          <w:sz w:val="22"/>
          <w:lang w:eastAsia="es-EC"/>
        </w:rPr>
      </w:pPr>
      <w:r w:rsidRPr="00E07958">
        <w:rPr>
          <w:b/>
          <w:sz w:val="22"/>
        </w:rPr>
        <w:t>Que,</w:t>
      </w:r>
      <w:r w:rsidRPr="00E07958">
        <w:rPr>
          <w:sz w:val="22"/>
        </w:rPr>
        <w:t xml:space="preserve"> </w:t>
      </w:r>
      <w:r w:rsidRPr="00E07958">
        <w:rPr>
          <w:sz w:val="22"/>
        </w:rPr>
        <w:tab/>
      </w:r>
      <w:r w:rsidRPr="00E07958">
        <w:rPr>
          <w:rFonts w:eastAsiaTheme="minorHAnsi"/>
          <w:sz w:val="22"/>
          <w:lang w:val="es-EC" w:eastAsia="en-US"/>
        </w:rPr>
        <w:t xml:space="preserve">con la sentencia emitida dentro del </w:t>
      </w:r>
      <w:r w:rsidR="006675C9" w:rsidRPr="00E07958">
        <w:rPr>
          <w:sz w:val="22"/>
          <w:lang w:val="es-EC" w:eastAsia="es-EC"/>
        </w:rPr>
        <w:t>proceso judicial No. 17230-20</w:t>
      </w:r>
      <w:r w:rsidR="00E1069E">
        <w:rPr>
          <w:sz w:val="22"/>
          <w:lang w:val="es-EC" w:eastAsia="es-EC"/>
        </w:rPr>
        <w:t>09</w:t>
      </w:r>
      <w:r w:rsidR="006675C9" w:rsidRPr="00E07958">
        <w:rPr>
          <w:sz w:val="22"/>
          <w:lang w:val="es-EC" w:eastAsia="es-EC"/>
        </w:rPr>
        <w:t>-0</w:t>
      </w:r>
      <w:r w:rsidR="00E1069E">
        <w:rPr>
          <w:sz w:val="22"/>
          <w:lang w:val="es-EC" w:eastAsia="es-EC"/>
        </w:rPr>
        <w:t>804(1)</w:t>
      </w:r>
      <w:r w:rsidRPr="00E07958">
        <w:rPr>
          <w:sz w:val="22"/>
          <w:lang w:val="es-EC" w:eastAsia="es-EC"/>
        </w:rPr>
        <w:t xml:space="preserve">, mediante el cual el Juez de la Unidad Judicial Civil con sede en la parroquia de Iñaquito del Distrito Metropolitano de Quito,  resolvió “(…) </w:t>
      </w:r>
      <w:r w:rsidR="00495945" w:rsidRPr="00495945">
        <w:rPr>
          <w:i/>
          <w:sz w:val="22"/>
          <w:lang w:eastAsia="es-EC"/>
        </w:rPr>
        <w:t>se acepta la demanda y se declara la Prescripción Adquisitiva Extraordinaria de</w:t>
      </w:r>
      <w:r w:rsidR="00495945" w:rsidRPr="00495945">
        <w:rPr>
          <w:i/>
          <w:sz w:val="22"/>
          <w:lang w:eastAsia="es-EC"/>
        </w:rPr>
        <w:t xml:space="preserve"> </w:t>
      </w:r>
      <w:r w:rsidR="00495945" w:rsidRPr="00495945">
        <w:rPr>
          <w:i/>
          <w:sz w:val="22"/>
          <w:lang w:eastAsia="es-EC"/>
        </w:rPr>
        <w:t>Dominio a favor de Rosa María Lomas Ayala, respecto del lote de terreno que forma</w:t>
      </w:r>
      <w:r w:rsidR="00495945" w:rsidRPr="00495945">
        <w:rPr>
          <w:i/>
          <w:sz w:val="22"/>
          <w:lang w:eastAsia="es-EC"/>
        </w:rPr>
        <w:t xml:space="preserve"> </w:t>
      </w:r>
      <w:r w:rsidR="00495945" w:rsidRPr="00495945">
        <w:rPr>
          <w:i/>
          <w:sz w:val="22"/>
          <w:lang w:eastAsia="es-EC"/>
        </w:rPr>
        <w:t>parte de uno de mayor extensión, adquirido por adjudicación del IERAC, en el barrio</w:t>
      </w:r>
      <w:r w:rsidR="00495945" w:rsidRPr="00495945">
        <w:rPr>
          <w:i/>
          <w:sz w:val="22"/>
          <w:lang w:eastAsia="es-EC"/>
        </w:rPr>
        <w:t xml:space="preserve"> Jardines del Norte, </w:t>
      </w:r>
      <w:r w:rsidR="00495945" w:rsidRPr="00495945">
        <w:rPr>
          <w:i/>
          <w:sz w:val="22"/>
          <w:lang w:eastAsia="es-EC"/>
        </w:rPr>
        <w:t xml:space="preserve">parroquia </w:t>
      </w:r>
      <w:proofErr w:type="spellStart"/>
      <w:r w:rsidR="00495945" w:rsidRPr="00495945">
        <w:rPr>
          <w:i/>
          <w:sz w:val="22"/>
          <w:lang w:eastAsia="es-EC"/>
        </w:rPr>
        <w:t>Pomasqui</w:t>
      </w:r>
      <w:proofErr w:type="spellEnd"/>
      <w:r w:rsidR="00495945" w:rsidRPr="00495945">
        <w:rPr>
          <w:i/>
          <w:sz w:val="22"/>
          <w:lang w:eastAsia="es-EC"/>
        </w:rPr>
        <w:t xml:space="preserve"> de este Distrito Metropolitano de Quito,</w:t>
      </w:r>
      <w:r w:rsidR="00495945" w:rsidRPr="00495945">
        <w:rPr>
          <w:i/>
          <w:sz w:val="22"/>
          <w:lang w:eastAsia="es-EC"/>
        </w:rPr>
        <w:t xml:space="preserve"> </w:t>
      </w:r>
      <w:r w:rsidR="00495945" w:rsidRPr="00495945">
        <w:rPr>
          <w:i/>
          <w:sz w:val="22"/>
          <w:lang w:eastAsia="es-EC"/>
        </w:rPr>
        <w:t>Provincia d</w:t>
      </w:r>
      <w:r w:rsidR="00495945" w:rsidRPr="00495945">
        <w:rPr>
          <w:i/>
          <w:sz w:val="22"/>
          <w:lang w:eastAsia="es-EC"/>
        </w:rPr>
        <w:t xml:space="preserve">e Pichincha, con una superficie </w:t>
      </w:r>
      <w:r w:rsidR="00495945" w:rsidRPr="00495945">
        <w:rPr>
          <w:i/>
          <w:sz w:val="22"/>
          <w:lang w:eastAsia="es-EC"/>
        </w:rPr>
        <w:t>de 183.70 metros cuadrados, el mismo que se</w:t>
      </w:r>
      <w:r w:rsidR="00495945" w:rsidRPr="00495945">
        <w:rPr>
          <w:i/>
          <w:sz w:val="22"/>
          <w:lang w:eastAsia="es-EC"/>
        </w:rPr>
        <w:t xml:space="preserve"> </w:t>
      </w:r>
      <w:r w:rsidR="00495945" w:rsidRPr="00495945">
        <w:rPr>
          <w:i/>
          <w:sz w:val="22"/>
          <w:lang w:eastAsia="es-EC"/>
        </w:rPr>
        <w:t>encuentra comprendido dentro de los siguientes linderos: Norte, en una longitud de</w:t>
      </w:r>
      <w:r w:rsidR="00495945" w:rsidRPr="00495945">
        <w:rPr>
          <w:i/>
          <w:sz w:val="22"/>
          <w:lang w:eastAsia="es-EC"/>
        </w:rPr>
        <w:t xml:space="preserve"> </w:t>
      </w:r>
      <w:r w:rsidR="00495945" w:rsidRPr="00495945">
        <w:rPr>
          <w:i/>
          <w:sz w:val="22"/>
          <w:lang w:eastAsia="es-EC"/>
        </w:rPr>
        <w:t>12.30 metros, con pasaje público; Sur, en una longitud de 10.90 metros, con propiedad</w:t>
      </w:r>
      <w:r w:rsidR="00495945" w:rsidRPr="00495945">
        <w:rPr>
          <w:i/>
          <w:sz w:val="22"/>
          <w:lang w:eastAsia="es-EC"/>
        </w:rPr>
        <w:t xml:space="preserve"> </w:t>
      </w:r>
      <w:r w:rsidR="00495945" w:rsidRPr="00495945">
        <w:rPr>
          <w:i/>
          <w:sz w:val="22"/>
          <w:lang w:eastAsia="es-EC"/>
        </w:rPr>
        <w:t xml:space="preserve">de </w:t>
      </w:r>
      <w:proofErr w:type="spellStart"/>
      <w:r w:rsidR="00495945" w:rsidRPr="00495945">
        <w:rPr>
          <w:i/>
          <w:sz w:val="22"/>
          <w:lang w:eastAsia="es-EC"/>
        </w:rPr>
        <w:t>Teofilo</w:t>
      </w:r>
      <w:proofErr w:type="spellEnd"/>
      <w:r w:rsidR="00495945" w:rsidRPr="00495945">
        <w:rPr>
          <w:i/>
          <w:sz w:val="22"/>
          <w:lang w:eastAsia="es-EC"/>
        </w:rPr>
        <w:t xml:space="preserve"> </w:t>
      </w:r>
      <w:proofErr w:type="spellStart"/>
      <w:r w:rsidR="00495945" w:rsidRPr="00495945">
        <w:rPr>
          <w:i/>
          <w:sz w:val="22"/>
          <w:lang w:eastAsia="es-EC"/>
        </w:rPr>
        <w:t>Simbaña</w:t>
      </w:r>
      <w:proofErr w:type="spellEnd"/>
      <w:r w:rsidR="00495945" w:rsidRPr="00495945">
        <w:rPr>
          <w:i/>
          <w:sz w:val="22"/>
          <w:lang w:eastAsia="es-EC"/>
        </w:rPr>
        <w:t>; Este, en una longitud de 14.82 metros, con propiedad del señor</w:t>
      </w:r>
      <w:r w:rsidR="00495945">
        <w:rPr>
          <w:i/>
          <w:sz w:val="22"/>
          <w:lang w:eastAsia="es-EC"/>
        </w:rPr>
        <w:t xml:space="preserve"> </w:t>
      </w:r>
      <w:r w:rsidR="00495945" w:rsidRPr="00495945">
        <w:rPr>
          <w:i/>
          <w:sz w:val="22"/>
          <w:lang w:eastAsia="es-EC"/>
        </w:rPr>
        <w:t xml:space="preserve">Zambrano; y a Oeste, en una longitud de 15.55 metros, con propiedad de Marco Lomas.- </w:t>
      </w:r>
      <w:r w:rsidR="00495945" w:rsidRPr="00495945">
        <w:rPr>
          <w:i/>
          <w:sz w:val="22"/>
          <w:lang w:eastAsia="es-EC"/>
        </w:rPr>
        <w:t xml:space="preserve"> </w:t>
      </w:r>
      <w:r w:rsidR="00495945" w:rsidRPr="00495945">
        <w:rPr>
          <w:i/>
          <w:sz w:val="22"/>
          <w:lang w:eastAsia="es-EC"/>
        </w:rPr>
        <w:t>Por formar parte, el bien inmueble objeto de la prescripción, de otro de mayor extensión</w:t>
      </w:r>
      <w:r w:rsidR="00495945" w:rsidRPr="00495945">
        <w:rPr>
          <w:i/>
          <w:sz w:val="22"/>
          <w:lang w:eastAsia="es-EC"/>
        </w:rPr>
        <w:t xml:space="preserve"> </w:t>
      </w:r>
      <w:r w:rsidR="00495945" w:rsidRPr="00495945">
        <w:rPr>
          <w:i/>
          <w:sz w:val="22"/>
          <w:lang w:eastAsia="es-EC"/>
        </w:rPr>
        <w:t>el actor deberá tramitar la autorización municipal ante la Administración zonal</w:t>
      </w:r>
      <w:r w:rsidR="00495945" w:rsidRPr="00495945">
        <w:rPr>
          <w:i/>
          <w:sz w:val="22"/>
          <w:lang w:eastAsia="es-EC"/>
        </w:rPr>
        <w:t xml:space="preserve"> </w:t>
      </w:r>
      <w:r w:rsidR="00495945" w:rsidRPr="00495945">
        <w:rPr>
          <w:i/>
          <w:sz w:val="22"/>
          <w:lang w:eastAsia="es-EC"/>
        </w:rPr>
        <w:t>correspondiente el fraccionamiento del inmueble de mayor extensión, previo a la</w:t>
      </w:r>
      <w:r w:rsidR="00495945" w:rsidRPr="00495945">
        <w:rPr>
          <w:i/>
          <w:sz w:val="22"/>
          <w:lang w:eastAsia="es-EC"/>
        </w:rPr>
        <w:t xml:space="preserve"> </w:t>
      </w:r>
      <w:r w:rsidR="00495945" w:rsidRPr="00495945">
        <w:rPr>
          <w:i/>
          <w:sz w:val="22"/>
          <w:lang w:eastAsia="es-EC"/>
        </w:rPr>
        <w:t>inscripción de la sentencia en el Registro de la Propiedad, estando al plano constante en</w:t>
      </w:r>
      <w:r w:rsidR="00495945" w:rsidRPr="00495945">
        <w:rPr>
          <w:i/>
          <w:sz w:val="22"/>
          <w:lang w:eastAsia="es-EC"/>
        </w:rPr>
        <w:t xml:space="preserve"> </w:t>
      </w:r>
      <w:r w:rsidR="00495945" w:rsidRPr="00495945">
        <w:rPr>
          <w:i/>
          <w:sz w:val="22"/>
          <w:lang w:eastAsia="es-EC"/>
        </w:rPr>
        <w:t>el mencionado informe pericial</w:t>
      </w:r>
      <w:r w:rsidR="00495945" w:rsidRPr="00495945">
        <w:rPr>
          <w:i/>
          <w:sz w:val="22"/>
          <w:lang w:eastAsia="es-EC"/>
        </w:rPr>
        <w:t xml:space="preserve"> </w:t>
      </w:r>
      <w:r w:rsidR="00257CEB" w:rsidRPr="00495945">
        <w:rPr>
          <w:i/>
          <w:sz w:val="22"/>
          <w:lang w:eastAsia="es-EC"/>
        </w:rPr>
        <w:t>(…)¨</w:t>
      </w:r>
    </w:p>
    <w:p w:rsidR="00921E14" w:rsidRPr="00E07958" w:rsidRDefault="00921E14" w:rsidP="00257CEB">
      <w:pPr>
        <w:autoSpaceDE w:val="0"/>
        <w:autoSpaceDN w:val="0"/>
        <w:adjustRightInd w:val="0"/>
        <w:ind w:left="705" w:hanging="705"/>
        <w:jc w:val="both"/>
        <w:rPr>
          <w:rFonts w:eastAsiaTheme="minorHAnsi"/>
          <w:b/>
          <w:sz w:val="22"/>
          <w:lang w:val="es-EC" w:eastAsia="en-US"/>
        </w:rPr>
      </w:pPr>
    </w:p>
    <w:p w:rsidR="00257CEB" w:rsidRPr="006746C6" w:rsidRDefault="00600D8D" w:rsidP="00257CEB">
      <w:pPr>
        <w:ind w:left="705" w:hanging="705"/>
        <w:jc w:val="both"/>
        <w:rPr>
          <w:lang w:eastAsia="es-EC"/>
        </w:rPr>
      </w:pPr>
      <w:r w:rsidRPr="00E07958">
        <w:rPr>
          <w:rFonts w:eastAsiaTheme="minorHAnsi"/>
          <w:b/>
          <w:sz w:val="22"/>
          <w:lang w:val="es-EC" w:eastAsia="en-US"/>
        </w:rPr>
        <w:lastRenderedPageBreak/>
        <w:t>Que</w:t>
      </w:r>
      <w:r w:rsidR="00854F7C" w:rsidRPr="00E07958">
        <w:rPr>
          <w:rFonts w:eastAsiaTheme="minorHAnsi"/>
          <w:sz w:val="22"/>
          <w:lang w:val="es-EC" w:eastAsia="en-US"/>
        </w:rPr>
        <w:t xml:space="preserve">, </w:t>
      </w:r>
      <w:r w:rsidR="00D27AB2" w:rsidRPr="00E07958">
        <w:rPr>
          <w:rFonts w:eastAsiaTheme="minorHAnsi"/>
          <w:sz w:val="22"/>
          <w:lang w:val="es-EC" w:eastAsia="en-US"/>
        </w:rPr>
        <w:tab/>
      </w:r>
      <w:r w:rsidR="004E0D99" w:rsidRPr="00E07958">
        <w:rPr>
          <w:bCs/>
          <w:color w:val="000000"/>
          <w:sz w:val="22"/>
        </w:rPr>
        <w:t>m</w:t>
      </w:r>
      <w:r w:rsidR="00D27AB2" w:rsidRPr="00E07958">
        <w:rPr>
          <w:bCs/>
          <w:color w:val="000000"/>
          <w:sz w:val="22"/>
        </w:rPr>
        <w:t xml:space="preserve">ediante </w:t>
      </w:r>
      <w:r w:rsidR="00257CEB">
        <w:rPr>
          <w:bCs/>
          <w:color w:val="000000"/>
          <w:sz w:val="22"/>
        </w:rPr>
        <w:t xml:space="preserve">oficio </w:t>
      </w:r>
      <w:r w:rsidR="00E07958" w:rsidRPr="00E07958">
        <w:rPr>
          <w:bCs/>
          <w:color w:val="000000"/>
          <w:sz w:val="22"/>
        </w:rPr>
        <w:t>Nro. GADDMQ-AZC</w:t>
      </w:r>
      <w:r w:rsidR="00257CEB">
        <w:rPr>
          <w:bCs/>
          <w:color w:val="000000"/>
          <w:sz w:val="22"/>
        </w:rPr>
        <w:t>A</w:t>
      </w:r>
      <w:r w:rsidR="00E07958" w:rsidRPr="00E07958">
        <w:rPr>
          <w:bCs/>
          <w:color w:val="000000"/>
          <w:sz w:val="22"/>
        </w:rPr>
        <w:t>-2021-1</w:t>
      </w:r>
      <w:r w:rsidR="00257CEB">
        <w:rPr>
          <w:bCs/>
          <w:color w:val="000000"/>
          <w:sz w:val="22"/>
        </w:rPr>
        <w:t>268-E de 24</w:t>
      </w:r>
      <w:r w:rsidR="00E07958" w:rsidRPr="00E07958">
        <w:rPr>
          <w:bCs/>
          <w:color w:val="000000"/>
          <w:sz w:val="22"/>
        </w:rPr>
        <w:t xml:space="preserve"> de agosto de 2021</w:t>
      </w:r>
      <w:r w:rsidR="00257CEB" w:rsidRPr="006746C6">
        <w:rPr>
          <w:rStyle w:val="markedcontent"/>
        </w:rPr>
        <w:t>, mediante el cual el Arq. Damián Álvarez, en representación de los</w:t>
      </w:r>
      <w:r w:rsidR="00257CEB" w:rsidRPr="006746C6">
        <w:t xml:space="preserve"> </w:t>
      </w:r>
      <w:r w:rsidR="00257CEB" w:rsidRPr="006746C6">
        <w:rPr>
          <w:rStyle w:val="markedcontent"/>
        </w:rPr>
        <w:t xml:space="preserve">demandantes, informó sobre las sentencias tramitadas y solicitó </w:t>
      </w:r>
      <w:r w:rsidR="00257CEB" w:rsidRPr="00257CEB">
        <w:rPr>
          <w:rStyle w:val="markedcontent"/>
          <w:i/>
        </w:rPr>
        <w:t>"(...) finiquitar de la manera más oportuna dichos</w:t>
      </w:r>
      <w:r w:rsidR="00257CEB" w:rsidRPr="00257CEB">
        <w:rPr>
          <w:i/>
        </w:rPr>
        <w:t xml:space="preserve"> </w:t>
      </w:r>
      <w:r w:rsidR="00257CEB" w:rsidRPr="00257CEB">
        <w:rPr>
          <w:rStyle w:val="markedcontent"/>
          <w:i/>
        </w:rPr>
        <w:t>Trámites (...)</w:t>
      </w:r>
      <w:r w:rsidR="00257CEB" w:rsidRPr="006746C6">
        <w:rPr>
          <w:rStyle w:val="markedcontent"/>
        </w:rPr>
        <w:t>", referentes a 6 procesos de Prescripción Adquisitiva Extraordinaria de Dominio parciales, en el</w:t>
      </w:r>
      <w:r w:rsidR="00257CEB" w:rsidRPr="006746C6">
        <w:t xml:space="preserve"> </w:t>
      </w:r>
      <w:r w:rsidR="00495945">
        <w:rPr>
          <w:rStyle w:val="markedcontent"/>
        </w:rPr>
        <w:t>predio No. 390030;</w:t>
      </w:r>
    </w:p>
    <w:p w:rsidR="00F22B58" w:rsidRPr="00E07958" w:rsidRDefault="00F22B58" w:rsidP="00257CEB">
      <w:pPr>
        <w:ind w:left="705" w:hanging="705"/>
        <w:jc w:val="both"/>
        <w:rPr>
          <w:sz w:val="22"/>
        </w:rPr>
      </w:pPr>
    </w:p>
    <w:p w:rsidR="00852D76" w:rsidRPr="00495945" w:rsidRDefault="00600D8D" w:rsidP="00495945">
      <w:pPr>
        <w:ind w:left="705" w:hanging="705"/>
        <w:jc w:val="both"/>
        <w:rPr>
          <w:sz w:val="22"/>
        </w:rPr>
      </w:pPr>
      <w:bookmarkStart w:id="1" w:name="_Hlk51947053"/>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00FE75E5" w:rsidRPr="00495945">
        <w:rPr>
          <w:sz w:val="22"/>
        </w:rPr>
        <w:t>c</w:t>
      </w:r>
      <w:proofErr w:type="spellStart"/>
      <w:r w:rsidR="00F22B58" w:rsidRPr="00E07958">
        <w:rPr>
          <w:sz w:val="22"/>
        </w:rPr>
        <w:t>on</w:t>
      </w:r>
      <w:proofErr w:type="spellEnd"/>
      <w:r w:rsidR="00F22B58" w:rsidRPr="00E07958">
        <w:rPr>
          <w:sz w:val="22"/>
        </w:rPr>
        <w:t xml:space="preserve"> I</w:t>
      </w:r>
      <w:r w:rsidR="00E07958">
        <w:rPr>
          <w:sz w:val="22"/>
        </w:rPr>
        <w:t>nforme Técnico AZCA-DGT-202</w:t>
      </w:r>
      <w:r w:rsidR="00C977A3">
        <w:rPr>
          <w:sz w:val="22"/>
        </w:rPr>
        <w:t>3-00</w:t>
      </w:r>
      <w:r w:rsidR="00495945">
        <w:rPr>
          <w:sz w:val="22"/>
        </w:rPr>
        <w:t>2</w:t>
      </w:r>
      <w:r w:rsidR="00C977A3">
        <w:rPr>
          <w:sz w:val="22"/>
        </w:rPr>
        <w:t xml:space="preserve"> de 2</w:t>
      </w:r>
      <w:r w:rsidR="00495945">
        <w:rPr>
          <w:sz w:val="22"/>
        </w:rPr>
        <w:t>3</w:t>
      </w:r>
      <w:r w:rsidR="00F22B58" w:rsidRPr="00E07958">
        <w:rPr>
          <w:sz w:val="22"/>
        </w:rPr>
        <w:t xml:space="preserve"> de </w:t>
      </w:r>
      <w:r w:rsidR="00C977A3">
        <w:rPr>
          <w:sz w:val="22"/>
        </w:rPr>
        <w:t>marzo</w:t>
      </w:r>
      <w:r w:rsidR="00F22B58" w:rsidRPr="00E07958">
        <w:rPr>
          <w:sz w:val="22"/>
        </w:rPr>
        <w:t xml:space="preserve"> de 202</w:t>
      </w:r>
      <w:r w:rsidR="00C977A3">
        <w:rPr>
          <w:sz w:val="22"/>
        </w:rPr>
        <w:t>3</w:t>
      </w:r>
      <w:r w:rsidR="00F22B58" w:rsidRPr="00E07958">
        <w:rPr>
          <w:sz w:val="22"/>
        </w:rPr>
        <w:t xml:space="preserve">, </w:t>
      </w:r>
      <w:r w:rsidR="00C977A3">
        <w:rPr>
          <w:sz w:val="22"/>
        </w:rPr>
        <w:t xml:space="preserve">emitido por </w:t>
      </w:r>
      <w:r w:rsidR="00495945">
        <w:rPr>
          <w:sz w:val="22"/>
        </w:rPr>
        <w:t xml:space="preserve">el </w:t>
      </w:r>
      <w:r w:rsidR="00495945" w:rsidRPr="00E07958">
        <w:rPr>
          <w:sz w:val="22"/>
        </w:rPr>
        <w:t>Jefe</w:t>
      </w:r>
      <w:r w:rsidR="00F22B58" w:rsidRPr="00E07958">
        <w:rPr>
          <w:sz w:val="22"/>
        </w:rPr>
        <w:t xml:space="preserve"> de Gestión</w:t>
      </w:r>
      <w:r w:rsidR="00CC083B" w:rsidRPr="00E07958">
        <w:rPr>
          <w:sz w:val="22"/>
        </w:rPr>
        <w:t xml:space="preserve"> </w:t>
      </w:r>
      <w:r w:rsidR="00F22B58" w:rsidRPr="00E07958">
        <w:rPr>
          <w:sz w:val="22"/>
        </w:rPr>
        <w:t xml:space="preserve">Urbana, </w:t>
      </w:r>
      <w:r w:rsidR="00852D76" w:rsidRPr="00E07958">
        <w:rPr>
          <w:sz w:val="22"/>
        </w:rPr>
        <w:t xml:space="preserve">de la Prescripción Parcial del predio </w:t>
      </w:r>
      <w:r w:rsidR="00F17BE5">
        <w:rPr>
          <w:sz w:val="22"/>
        </w:rPr>
        <w:t>390030</w:t>
      </w:r>
      <w:r w:rsidR="00F17BE5" w:rsidRPr="00E07958">
        <w:rPr>
          <w:sz w:val="22"/>
        </w:rPr>
        <w:t xml:space="preserve"> en</w:t>
      </w:r>
      <w:r w:rsidR="00852D76" w:rsidRPr="00E07958">
        <w:rPr>
          <w:sz w:val="22"/>
        </w:rPr>
        <w:t xml:space="preserve"> el cual concluye: </w:t>
      </w:r>
      <w:r w:rsidR="00852D76" w:rsidRPr="00495945">
        <w:rPr>
          <w:sz w:val="22"/>
        </w:rPr>
        <w:t>“</w:t>
      </w:r>
      <w:r w:rsidR="00495945" w:rsidRPr="00495945">
        <w:rPr>
          <w:i/>
          <w:sz w:val="22"/>
        </w:rPr>
        <w:t>Del análisis técnico se desprende que, la prescripción adquisitiva de</w:t>
      </w:r>
      <w:r w:rsidR="00495945" w:rsidRPr="00495945">
        <w:rPr>
          <w:i/>
          <w:sz w:val="22"/>
        </w:rPr>
        <w:t xml:space="preserve"> </w:t>
      </w:r>
      <w:r w:rsidR="00495945" w:rsidRPr="00495945">
        <w:rPr>
          <w:i/>
          <w:sz w:val="22"/>
        </w:rPr>
        <w:t xml:space="preserve">dominio de una parte del inmueble del predio No. </w:t>
      </w:r>
      <w:r w:rsidR="00495945" w:rsidRPr="00495945">
        <w:rPr>
          <w:i/>
          <w:sz w:val="22"/>
        </w:rPr>
        <w:t>390030</w:t>
      </w:r>
      <w:r w:rsidR="00495945" w:rsidRPr="00495945">
        <w:rPr>
          <w:b/>
          <w:i/>
          <w:sz w:val="22"/>
        </w:rPr>
        <w:t>, No</w:t>
      </w:r>
      <w:r w:rsidR="00495945" w:rsidRPr="00495945">
        <w:rPr>
          <w:b/>
          <w:i/>
          <w:sz w:val="22"/>
        </w:rPr>
        <w:t xml:space="preserve"> Cumple</w:t>
      </w:r>
      <w:r w:rsidR="00495945" w:rsidRPr="00495945">
        <w:rPr>
          <w:i/>
          <w:sz w:val="22"/>
        </w:rPr>
        <w:t xml:space="preserve"> </w:t>
      </w:r>
      <w:r w:rsidR="00495945" w:rsidRPr="00495945">
        <w:rPr>
          <w:i/>
          <w:sz w:val="22"/>
        </w:rPr>
        <w:t>con los datos</w:t>
      </w:r>
      <w:r w:rsidR="00495945" w:rsidRPr="00495945">
        <w:rPr>
          <w:i/>
          <w:sz w:val="22"/>
        </w:rPr>
        <w:t xml:space="preserve"> </w:t>
      </w:r>
      <w:r w:rsidR="00495945" w:rsidRPr="00495945">
        <w:rPr>
          <w:i/>
          <w:sz w:val="22"/>
        </w:rPr>
        <w:t xml:space="preserve">establecidos en la zonificación vigente, razón por la que se </w:t>
      </w:r>
      <w:r w:rsidR="00495945" w:rsidRPr="00495945">
        <w:rPr>
          <w:i/>
          <w:sz w:val="22"/>
        </w:rPr>
        <w:t>emite Informe</w:t>
      </w:r>
      <w:r w:rsidR="00495945" w:rsidRPr="00495945">
        <w:rPr>
          <w:b/>
          <w:i/>
          <w:sz w:val="22"/>
        </w:rPr>
        <w:t xml:space="preserve"> </w:t>
      </w:r>
      <w:r w:rsidR="00495945" w:rsidRPr="00495945">
        <w:rPr>
          <w:b/>
          <w:i/>
          <w:sz w:val="22"/>
        </w:rPr>
        <w:t>Técnico Desfavorable</w:t>
      </w:r>
      <w:r w:rsidR="00852D76" w:rsidRPr="00495945">
        <w:rPr>
          <w:sz w:val="22"/>
        </w:rPr>
        <w:t>”</w:t>
      </w:r>
      <w:r w:rsidR="00495945">
        <w:rPr>
          <w:sz w:val="22"/>
        </w:rPr>
        <w:t>;</w:t>
      </w:r>
    </w:p>
    <w:p w:rsidR="00F22B58" w:rsidRPr="00E07958" w:rsidRDefault="00F22B58" w:rsidP="00852D76">
      <w:pPr>
        <w:autoSpaceDE w:val="0"/>
        <w:autoSpaceDN w:val="0"/>
        <w:adjustRightInd w:val="0"/>
        <w:jc w:val="both"/>
        <w:rPr>
          <w:rFonts w:eastAsiaTheme="minorHAnsi"/>
          <w:sz w:val="22"/>
          <w:lang w:val="es-EC" w:eastAsia="en-US"/>
        </w:rPr>
      </w:pPr>
    </w:p>
    <w:p w:rsidR="00F22B58" w:rsidRPr="00E07958" w:rsidRDefault="00C977A3" w:rsidP="00D768BF">
      <w:pPr>
        <w:ind w:left="705" w:hanging="705"/>
        <w:jc w:val="both"/>
        <w:rPr>
          <w:i/>
          <w:color w:val="000000"/>
          <w:sz w:val="22"/>
          <w:lang w:eastAsia="es-EC"/>
        </w:rPr>
      </w:pPr>
      <w:r w:rsidRPr="00E07958">
        <w:rPr>
          <w:b/>
          <w:sz w:val="22"/>
        </w:rPr>
        <w:t>Que</w:t>
      </w:r>
      <w:r w:rsidRPr="00E07958">
        <w:rPr>
          <w:sz w:val="22"/>
        </w:rPr>
        <w:t xml:space="preserve">, </w:t>
      </w:r>
      <w:r w:rsidRPr="00E07958">
        <w:rPr>
          <w:sz w:val="22"/>
        </w:rPr>
        <w:tab/>
      </w:r>
      <w:r>
        <w:rPr>
          <w:sz w:val="22"/>
        </w:rPr>
        <w:t>c</w:t>
      </w:r>
      <w:r w:rsidR="00D768BF" w:rsidRPr="00E07958">
        <w:rPr>
          <w:sz w:val="22"/>
        </w:rPr>
        <w:t>on memorand</w:t>
      </w:r>
      <w:r w:rsidR="004F0BD8">
        <w:rPr>
          <w:sz w:val="22"/>
        </w:rPr>
        <w:t>o Nro. GADDMQ-AZCA-DGT-202</w:t>
      </w:r>
      <w:r w:rsidR="00F17BE5">
        <w:rPr>
          <w:sz w:val="22"/>
        </w:rPr>
        <w:t>3</w:t>
      </w:r>
      <w:r w:rsidR="004F0BD8">
        <w:rPr>
          <w:sz w:val="22"/>
        </w:rPr>
        <w:t>-</w:t>
      </w:r>
      <w:r w:rsidR="00F17BE5">
        <w:rPr>
          <w:sz w:val="22"/>
        </w:rPr>
        <w:t>3</w:t>
      </w:r>
      <w:r w:rsidR="00495945">
        <w:rPr>
          <w:sz w:val="22"/>
        </w:rPr>
        <w:t>31</w:t>
      </w:r>
      <w:r w:rsidR="00D768BF" w:rsidRPr="00E07958">
        <w:rPr>
          <w:sz w:val="22"/>
        </w:rPr>
        <w:t>-M de</w:t>
      </w:r>
      <w:r w:rsidR="00852D76" w:rsidRPr="00E07958">
        <w:rPr>
          <w:sz w:val="22"/>
        </w:rPr>
        <w:t xml:space="preserve"> </w:t>
      </w:r>
      <w:r w:rsidR="00495945">
        <w:rPr>
          <w:sz w:val="22"/>
        </w:rPr>
        <w:t>24</w:t>
      </w:r>
      <w:r w:rsidR="00D768BF" w:rsidRPr="00E07958">
        <w:rPr>
          <w:sz w:val="22"/>
        </w:rPr>
        <w:t xml:space="preserve"> de </w:t>
      </w:r>
      <w:r w:rsidR="00F17BE5">
        <w:rPr>
          <w:sz w:val="22"/>
        </w:rPr>
        <w:t>marzo</w:t>
      </w:r>
      <w:r w:rsidR="00D768BF" w:rsidRPr="00E07958">
        <w:rPr>
          <w:sz w:val="22"/>
        </w:rPr>
        <w:t xml:space="preserve"> de 202</w:t>
      </w:r>
      <w:r w:rsidR="00F17BE5">
        <w:rPr>
          <w:sz w:val="22"/>
        </w:rPr>
        <w:t>3</w:t>
      </w:r>
      <w:r>
        <w:rPr>
          <w:sz w:val="22"/>
        </w:rPr>
        <w:t xml:space="preserve">, </w:t>
      </w:r>
      <w:r w:rsidR="00D768BF" w:rsidRPr="00E07958">
        <w:rPr>
          <w:sz w:val="22"/>
        </w:rPr>
        <w:t xml:space="preserve">mediante el cual la Directora de Gestión del Territorio indica que </w:t>
      </w:r>
      <w:r w:rsidR="003018D6" w:rsidRPr="002223E7">
        <w:rPr>
          <w:i/>
          <w:lang w:eastAsia="es-EC"/>
        </w:rPr>
        <w:t xml:space="preserve">El informe se ha actualizado </w:t>
      </w:r>
      <w:r w:rsidR="00495945">
        <w:rPr>
          <w:i/>
          <w:lang w:eastAsia="es-EC"/>
        </w:rPr>
        <w:t>de acuerdo a la resolución C006</w:t>
      </w:r>
      <w:r w:rsidR="003018D6" w:rsidRPr="002223E7">
        <w:rPr>
          <w:i/>
          <w:lang w:eastAsia="es-EC"/>
        </w:rPr>
        <w:t xml:space="preserve">-2023. En virtud de lo expuesto, adjunto al presente informe antes mencionado y se solicita remitir </w:t>
      </w:r>
      <w:r w:rsidR="00495945">
        <w:rPr>
          <w:i/>
          <w:lang w:eastAsia="es-EC"/>
        </w:rPr>
        <w:t xml:space="preserve">el Informe </w:t>
      </w:r>
      <w:r w:rsidR="00495945" w:rsidRPr="00495945">
        <w:rPr>
          <w:i/>
          <w:lang w:eastAsia="es-EC"/>
        </w:rPr>
        <w:t xml:space="preserve">Legal y </w:t>
      </w:r>
      <w:r w:rsidR="00495945" w:rsidRPr="00495945">
        <w:rPr>
          <w:i/>
        </w:rPr>
        <w:t>proyecto de resolución correspondiente</w:t>
      </w:r>
      <w:r w:rsidR="00495945">
        <w:t>”;</w:t>
      </w:r>
    </w:p>
    <w:p w:rsidR="00F22B58" w:rsidRPr="00E07958" w:rsidRDefault="00F22B58" w:rsidP="00F22B58">
      <w:pPr>
        <w:rPr>
          <w:sz w:val="22"/>
        </w:rPr>
      </w:pPr>
    </w:p>
    <w:p w:rsidR="00B34DDB" w:rsidRPr="00E07958" w:rsidRDefault="00DE6C80" w:rsidP="008F0B45">
      <w:pPr>
        <w:ind w:left="709" w:hanging="709"/>
        <w:jc w:val="both"/>
        <w:rPr>
          <w:i/>
          <w:sz w:val="22"/>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00033B69" w:rsidRPr="00E07958">
        <w:rPr>
          <w:rFonts w:eastAsiaTheme="minorHAnsi"/>
          <w:sz w:val="22"/>
          <w:lang w:val="es-EC" w:eastAsia="en-US"/>
        </w:rPr>
        <w:t xml:space="preserve">la </w:t>
      </w:r>
      <w:r w:rsidRPr="00E07958">
        <w:rPr>
          <w:color w:val="000000"/>
          <w:sz w:val="22"/>
          <w:shd w:val="clear" w:color="auto" w:fill="FFFFFF"/>
          <w:lang w:val="es-ES_tradnl" w:bidi="en-US"/>
        </w:rPr>
        <w:t>Director</w:t>
      </w:r>
      <w:r w:rsidR="00033B69" w:rsidRPr="00E07958">
        <w:rPr>
          <w:color w:val="000000"/>
          <w:sz w:val="22"/>
          <w:shd w:val="clear" w:color="auto" w:fill="FFFFFF"/>
          <w:lang w:val="es-ES_tradnl" w:bidi="en-US"/>
        </w:rPr>
        <w:t>a</w:t>
      </w:r>
      <w:r w:rsidRPr="00E07958">
        <w:rPr>
          <w:color w:val="000000"/>
          <w:sz w:val="22"/>
          <w:shd w:val="clear" w:color="auto" w:fill="FFFFFF"/>
          <w:lang w:val="es-ES_tradnl" w:bidi="en-US"/>
        </w:rPr>
        <w:t xml:space="preserve"> de </w:t>
      </w:r>
      <w:r w:rsidR="00033B69" w:rsidRPr="00E07958">
        <w:rPr>
          <w:color w:val="000000"/>
          <w:sz w:val="22"/>
          <w:shd w:val="clear" w:color="auto" w:fill="FFFFFF"/>
          <w:lang w:val="es-ES_tradnl" w:bidi="en-US"/>
        </w:rPr>
        <w:t xml:space="preserve">la Dirección </w:t>
      </w:r>
      <w:r w:rsidRPr="00E07958">
        <w:rPr>
          <w:color w:val="000000"/>
          <w:sz w:val="22"/>
          <w:shd w:val="clear" w:color="auto" w:fill="FFFFFF"/>
          <w:lang w:val="es-ES_tradnl" w:bidi="en-US"/>
        </w:rPr>
        <w:t>Jurídica de la Administración  Zona</w:t>
      </w:r>
      <w:r w:rsidR="00033B69" w:rsidRPr="00E07958">
        <w:rPr>
          <w:color w:val="000000"/>
          <w:sz w:val="22"/>
          <w:shd w:val="clear" w:color="auto" w:fill="FFFFFF"/>
          <w:lang w:val="es-ES_tradnl" w:bidi="en-US"/>
        </w:rPr>
        <w:t>l</w:t>
      </w:r>
      <w:r w:rsidRPr="00E07958">
        <w:rPr>
          <w:color w:val="000000"/>
          <w:sz w:val="22"/>
          <w:shd w:val="clear" w:color="auto" w:fill="FFFFFF"/>
          <w:lang w:val="es-ES_tradnl" w:bidi="en-US"/>
        </w:rPr>
        <w:t xml:space="preserve"> </w:t>
      </w:r>
      <w:r w:rsidR="00033B69" w:rsidRPr="00E07958">
        <w:rPr>
          <w:color w:val="000000"/>
          <w:sz w:val="22"/>
          <w:shd w:val="clear" w:color="auto" w:fill="FFFFFF"/>
          <w:lang w:val="es-ES_tradnl" w:bidi="en-US"/>
        </w:rPr>
        <w:t>Calderón</w:t>
      </w:r>
      <w:r w:rsidRPr="00E07958">
        <w:rPr>
          <w:color w:val="000000"/>
          <w:sz w:val="22"/>
          <w:shd w:val="clear" w:color="auto" w:fill="FFFFFF"/>
          <w:lang w:val="es-ES_tradnl" w:bidi="en-US"/>
        </w:rPr>
        <w:t xml:space="preserve">, emite el Informe Legal </w:t>
      </w:r>
      <w:r w:rsidR="00852D76" w:rsidRPr="00E07958">
        <w:rPr>
          <w:color w:val="000000"/>
          <w:sz w:val="22"/>
          <w:shd w:val="clear" w:color="auto" w:fill="FFFFFF"/>
          <w:lang w:val="es-ES_tradnl" w:bidi="en-US"/>
        </w:rPr>
        <w:t xml:space="preserve">contenido en el memorando Nro. </w:t>
      </w:r>
      <w:r w:rsidR="004F0BD8">
        <w:rPr>
          <w:color w:val="000000"/>
          <w:sz w:val="22"/>
          <w:shd w:val="clear" w:color="auto" w:fill="FFFFFF"/>
          <w:lang w:val="es-ES_tradnl" w:bidi="en-US"/>
        </w:rPr>
        <w:t>GADDMQ-AZCA-DAJ-202</w:t>
      </w:r>
      <w:r w:rsidR="00F17BE5">
        <w:rPr>
          <w:color w:val="000000"/>
          <w:sz w:val="22"/>
          <w:shd w:val="clear" w:color="auto" w:fill="FFFFFF"/>
          <w:lang w:val="es-ES_tradnl" w:bidi="en-US"/>
        </w:rPr>
        <w:t>3</w:t>
      </w:r>
      <w:r w:rsidR="004F0BD8">
        <w:rPr>
          <w:color w:val="000000"/>
          <w:sz w:val="22"/>
          <w:shd w:val="clear" w:color="auto" w:fill="FFFFFF"/>
          <w:lang w:val="es-ES_tradnl" w:bidi="en-US"/>
        </w:rPr>
        <w:t>-0</w:t>
      </w:r>
      <w:r w:rsidR="00495945">
        <w:rPr>
          <w:color w:val="000000"/>
          <w:sz w:val="22"/>
          <w:shd w:val="clear" w:color="auto" w:fill="FFFFFF"/>
          <w:lang w:val="es-ES_tradnl" w:bidi="en-US"/>
        </w:rPr>
        <w:t>102-M de 31</w:t>
      </w:r>
      <w:r w:rsidR="00F17BE5">
        <w:rPr>
          <w:color w:val="000000"/>
          <w:sz w:val="22"/>
          <w:shd w:val="clear" w:color="auto" w:fill="FFFFFF"/>
          <w:lang w:val="es-ES_tradnl" w:bidi="en-US"/>
        </w:rPr>
        <w:t xml:space="preserve"> de marzo</w:t>
      </w:r>
      <w:r w:rsidR="00A83A8D" w:rsidRPr="00E07958">
        <w:rPr>
          <w:color w:val="000000"/>
          <w:sz w:val="22"/>
          <w:shd w:val="clear" w:color="auto" w:fill="FFFFFF"/>
          <w:lang w:val="es-ES_tradnl" w:bidi="en-US"/>
        </w:rPr>
        <w:t xml:space="preserve"> de 202</w:t>
      </w:r>
      <w:r w:rsidR="00F17BE5">
        <w:rPr>
          <w:color w:val="000000"/>
          <w:sz w:val="22"/>
          <w:shd w:val="clear" w:color="auto" w:fill="FFFFFF"/>
          <w:lang w:val="es-ES_tradnl" w:bidi="en-US"/>
        </w:rPr>
        <w:t>3</w:t>
      </w:r>
      <w:r w:rsidR="00A83A8D" w:rsidRPr="00E07958">
        <w:rPr>
          <w:color w:val="000000"/>
          <w:sz w:val="22"/>
          <w:shd w:val="clear" w:color="auto" w:fill="FFFFFF"/>
          <w:lang w:val="es-ES_tradnl" w:bidi="en-US"/>
        </w:rPr>
        <w:t xml:space="preserve">, </w:t>
      </w:r>
      <w:r w:rsidRPr="00E07958">
        <w:rPr>
          <w:color w:val="000000"/>
          <w:sz w:val="22"/>
          <w:shd w:val="clear" w:color="auto" w:fill="FFFFFF"/>
          <w:lang w:val="es-ES_tradnl" w:bidi="en-US"/>
        </w:rPr>
        <w:t>en</w:t>
      </w:r>
      <w:r w:rsidRPr="00E07958">
        <w:rPr>
          <w:sz w:val="22"/>
        </w:rPr>
        <w:t xml:space="preserve"> </w:t>
      </w:r>
      <w:r w:rsidR="008C1C80" w:rsidRPr="00E07958">
        <w:rPr>
          <w:sz w:val="22"/>
        </w:rPr>
        <w:t xml:space="preserve">el </w:t>
      </w:r>
      <w:r w:rsidRPr="00E07958">
        <w:rPr>
          <w:sz w:val="22"/>
        </w:rPr>
        <w:t xml:space="preserve">que </w:t>
      </w:r>
      <w:r w:rsidR="00A83A8D" w:rsidRPr="00E07958">
        <w:rPr>
          <w:sz w:val="22"/>
        </w:rPr>
        <w:t>concluyó:</w:t>
      </w:r>
      <w:r w:rsidRPr="00E07958">
        <w:rPr>
          <w:sz w:val="22"/>
        </w:rPr>
        <w:t xml:space="preserve"> </w:t>
      </w:r>
      <w:r w:rsidR="00CC083B" w:rsidRPr="00E07958">
        <w:rPr>
          <w:i/>
          <w:sz w:val="22"/>
        </w:rPr>
        <w:t>“</w:t>
      </w:r>
      <w:r w:rsidR="00F17BE5" w:rsidRPr="00F17BE5">
        <w:rPr>
          <w:i/>
          <w:lang w:eastAsia="es-EC"/>
        </w:rPr>
        <w:t>Por lo expuesto, esta Dirección Jurídica acogiendo el informe técnico</w:t>
      </w:r>
      <w:r w:rsidR="00F17BE5" w:rsidRPr="00F17BE5">
        <w:rPr>
          <w:rStyle w:val="fontstyle01"/>
          <w:i/>
        </w:rPr>
        <w:t xml:space="preserve"> </w:t>
      </w:r>
      <w:r w:rsidR="00F17BE5" w:rsidRPr="00F17BE5">
        <w:rPr>
          <w:i/>
          <w:color w:val="000000"/>
          <w:lang w:eastAsia="es-EC"/>
        </w:rPr>
        <w:t>AZCA-DGT-2023-00</w:t>
      </w:r>
      <w:r w:rsidR="00495945">
        <w:rPr>
          <w:i/>
          <w:color w:val="000000"/>
          <w:lang w:eastAsia="es-EC"/>
        </w:rPr>
        <w:t>2</w:t>
      </w:r>
      <w:r w:rsidR="00F17BE5" w:rsidRPr="00F17BE5">
        <w:rPr>
          <w:i/>
        </w:rPr>
        <w:t>, de 2</w:t>
      </w:r>
      <w:r w:rsidR="00495945">
        <w:rPr>
          <w:i/>
        </w:rPr>
        <w:t>3</w:t>
      </w:r>
      <w:r w:rsidR="00F17BE5" w:rsidRPr="00F17BE5">
        <w:rPr>
          <w:i/>
        </w:rPr>
        <w:t xml:space="preserve"> de marzo de 2023, </w:t>
      </w:r>
      <w:r w:rsidR="00F17BE5" w:rsidRPr="00F17BE5">
        <w:rPr>
          <w:i/>
          <w:lang w:eastAsia="es-EC"/>
        </w:rPr>
        <w:t xml:space="preserve"> del Jefe de Gestión Urbana y aprobado por la Directora de Gestión Territorial de la Administración Zonal Calderón con memorand</w:t>
      </w:r>
      <w:r w:rsidR="00495945">
        <w:rPr>
          <w:i/>
          <w:lang w:eastAsia="es-EC"/>
        </w:rPr>
        <w:t>o Nro. GADDMQ-AZCA-DGT-2023-0331-M de 24</w:t>
      </w:r>
      <w:r w:rsidR="00F17BE5" w:rsidRPr="00F17BE5">
        <w:rPr>
          <w:i/>
          <w:lang w:eastAsia="es-EC"/>
        </w:rPr>
        <w:t xml:space="preserve"> de marzo de 2023, en el que indica que </w:t>
      </w:r>
      <w:r w:rsidR="00F17BE5" w:rsidRPr="00F17BE5">
        <w:rPr>
          <w:i/>
          <w:color w:val="000000"/>
        </w:rPr>
        <w:t xml:space="preserve">la prescripción adquisitiva de dominio de una parte del inmueble del predio No. 390030, </w:t>
      </w:r>
      <w:r w:rsidR="00932C20" w:rsidRPr="00932C20">
        <w:rPr>
          <w:b/>
          <w:i/>
          <w:color w:val="000000"/>
        </w:rPr>
        <w:t xml:space="preserve">No </w:t>
      </w:r>
      <w:r w:rsidR="00F17BE5" w:rsidRPr="00932C20">
        <w:rPr>
          <w:b/>
          <w:i/>
          <w:color w:val="000000"/>
        </w:rPr>
        <w:t>Cumple</w:t>
      </w:r>
      <w:r w:rsidR="00F17BE5" w:rsidRPr="00F17BE5">
        <w:rPr>
          <w:i/>
          <w:color w:val="000000"/>
        </w:rPr>
        <w:t xml:space="preserve"> con </w:t>
      </w:r>
      <w:r w:rsidR="00932C20">
        <w:rPr>
          <w:i/>
          <w:color w:val="000000"/>
        </w:rPr>
        <w:t xml:space="preserve"> los datos  establecidos en la zonificación vigente</w:t>
      </w:r>
      <w:r w:rsidR="00F17BE5" w:rsidRPr="00F17BE5">
        <w:rPr>
          <w:i/>
          <w:color w:val="000000"/>
        </w:rPr>
        <w:t xml:space="preserve">, razón por la que se emite </w:t>
      </w:r>
      <w:r w:rsidR="00F17BE5" w:rsidRPr="00F17BE5">
        <w:rPr>
          <w:b/>
          <w:i/>
          <w:color w:val="000000"/>
        </w:rPr>
        <w:t>Informe Técnico Desfavorable</w:t>
      </w:r>
      <w:r w:rsidR="00F17BE5" w:rsidRPr="00F17BE5">
        <w:rPr>
          <w:i/>
          <w:color w:val="000000"/>
        </w:rPr>
        <w:t xml:space="preserve">, </w:t>
      </w:r>
      <w:r w:rsidR="00F17BE5" w:rsidRPr="00F17BE5">
        <w:rPr>
          <w:i/>
        </w:rPr>
        <w:t xml:space="preserve">en este sentido, se deberá proceder conforme lo establece </w:t>
      </w:r>
      <w:r w:rsidR="00F17BE5" w:rsidRPr="00F17BE5">
        <w:rPr>
          <w:i/>
          <w:lang w:eastAsia="es-EC"/>
        </w:rPr>
        <w:t>en el COOTAD y la Ordenanza 001</w:t>
      </w:r>
      <w:r w:rsidR="008C1C80" w:rsidRPr="00E07958">
        <w:rPr>
          <w:i/>
          <w:sz w:val="22"/>
        </w:rPr>
        <w:t>”.</w:t>
      </w:r>
    </w:p>
    <w:p w:rsidR="008C1C80" w:rsidRPr="00E07958" w:rsidRDefault="008C1C80" w:rsidP="008F0B45">
      <w:pPr>
        <w:ind w:left="709" w:hanging="709"/>
        <w:jc w:val="both"/>
        <w:rPr>
          <w:sz w:val="22"/>
        </w:rPr>
      </w:pPr>
    </w:p>
    <w:bookmarkEnd w:id="1"/>
    <w:p w:rsidR="00C84761" w:rsidRPr="00E07958" w:rsidRDefault="004F0BD8" w:rsidP="00C84761">
      <w:pPr>
        <w:autoSpaceDE w:val="0"/>
        <w:autoSpaceDN w:val="0"/>
        <w:adjustRightInd w:val="0"/>
        <w:jc w:val="both"/>
        <w:rPr>
          <w:sz w:val="22"/>
        </w:rPr>
      </w:pPr>
      <w:r>
        <w:rPr>
          <w:sz w:val="22"/>
        </w:rPr>
        <w:t xml:space="preserve">Que,     </w:t>
      </w:r>
      <w:r w:rsidR="008C1C80" w:rsidRPr="00E07958">
        <w:rPr>
          <w:sz w:val="22"/>
        </w:rPr>
        <w:t>c</w:t>
      </w:r>
      <w:r w:rsidR="00C84761" w:rsidRPr="00E07958">
        <w:rPr>
          <w:sz w:val="22"/>
        </w:rPr>
        <w:t>on</w:t>
      </w:r>
      <w:r w:rsidR="00A83A8D" w:rsidRPr="00E07958">
        <w:rPr>
          <w:sz w:val="22"/>
        </w:rPr>
        <w:t xml:space="preserve"> informe de la Comisión de Uso de Suelo</w:t>
      </w:r>
      <w:r w:rsidR="00C84761" w:rsidRPr="00E07958">
        <w:rPr>
          <w:sz w:val="22"/>
        </w:rPr>
        <w:t>, emitió c</w:t>
      </w:r>
      <w:r w:rsidR="008C1C80" w:rsidRPr="00E07958">
        <w:rPr>
          <w:sz w:val="22"/>
        </w:rPr>
        <w:t>r</w:t>
      </w:r>
      <w:r w:rsidR="00C84761" w:rsidRPr="00E07958">
        <w:rPr>
          <w:sz w:val="22"/>
        </w:rPr>
        <w:t>iterio favorable</w:t>
      </w:r>
    </w:p>
    <w:p w:rsidR="00C84761" w:rsidRPr="00E07958" w:rsidRDefault="00C84761" w:rsidP="00021DED">
      <w:pPr>
        <w:autoSpaceDE w:val="0"/>
        <w:autoSpaceDN w:val="0"/>
        <w:adjustRightInd w:val="0"/>
        <w:jc w:val="center"/>
        <w:rPr>
          <w:sz w:val="22"/>
        </w:rPr>
      </w:pPr>
    </w:p>
    <w:p w:rsidR="00C84761" w:rsidRPr="00E07958" w:rsidRDefault="00C84761" w:rsidP="00021DED">
      <w:pPr>
        <w:autoSpaceDE w:val="0"/>
        <w:autoSpaceDN w:val="0"/>
        <w:adjustRightInd w:val="0"/>
        <w:jc w:val="center"/>
        <w:rPr>
          <w:sz w:val="22"/>
        </w:rPr>
      </w:pPr>
    </w:p>
    <w:p w:rsidR="00600D8D" w:rsidRPr="00E07958" w:rsidRDefault="00842105" w:rsidP="00921E14">
      <w:pPr>
        <w:autoSpaceDE w:val="0"/>
        <w:autoSpaceDN w:val="0"/>
        <w:adjustRightInd w:val="0"/>
        <w:rPr>
          <w:rFonts w:eastAsiaTheme="minorHAnsi"/>
          <w:b/>
          <w:bCs/>
          <w:sz w:val="22"/>
          <w:lang w:val="es-EC" w:eastAsia="en-US"/>
        </w:rPr>
      </w:pPr>
      <w:r w:rsidRPr="00E07958">
        <w:rPr>
          <w:sz w:val="22"/>
        </w:rPr>
        <w:t>En el ejercicio de sus atribuciones legales,</w:t>
      </w:r>
    </w:p>
    <w:p w:rsidR="004D3600" w:rsidRPr="00E07958" w:rsidRDefault="004D3600" w:rsidP="00021DED">
      <w:pPr>
        <w:autoSpaceDE w:val="0"/>
        <w:autoSpaceDN w:val="0"/>
        <w:adjustRightInd w:val="0"/>
        <w:jc w:val="center"/>
        <w:rPr>
          <w:rFonts w:eastAsiaTheme="minorHAnsi"/>
          <w:b/>
          <w:bCs/>
          <w:sz w:val="22"/>
          <w:lang w:val="es-EC" w:eastAsia="en-US"/>
        </w:rPr>
      </w:pPr>
    </w:p>
    <w:p w:rsidR="004D3600" w:rsidRPr="00E07958" w:rsidRDefault="004D3600" w:rsidP="00021DED">
      <w:pPr>
        <w:autoSpaceDE w:val="0"/>
        <w:autoSpaceDN w:val="0"/>
        <w:adjustRightInd w:val="0"/>
        <w:jc w:val="center"/>
        <w:rPr>
          <w:rFonts w:eastAsiaTheme="minorHAnsi"/>
          <w:b/>
          <w:bCs/>
          <w:sz w:val="22"/>
          <w:lang w:val="es-EC" w:eastAsia="en-US"/>
        </w:rPr>
      </w:pPr>
    </w:p>
    <w:p w:rsidR="00600D8D" w:rsidRPr="00E07958" w:rsidRDefault="00AD1A2A" w:rsidP="00600D8D">
      <w:pPr>
        <w:autoSpaceDE w:val="0"/>
        <w:autoSpaceDN w:val="0"/>
        <w:adjustRightInd w:val="0"/>
        <w:jc w:val="center"/>
        <w:rPr>
          <w:rFonts w:eastAsiaTheme="minorHAnsi"/>
          <w:b/>
          <w:bCs/>
          <w:sz w:val="22"/>
          <w:lang w:val="es-EC" w:eastAsia="en-US"/>
        </w:rPr>
      </w:pPr>
      <w:r w:rsidRPr="00E07958">
        <w:rPr>
          <w:rFonts w:eastAsiaTheme="minorHAnsi"/>
          <w:b/>
          <w:bCs/>
          <w:sz w:val="22"/>
          <w:lang w:val="es-EC" w:eastAsia="en-US"/>
        </w:rPr>
        <w:t>RESUELVO</w:t>
      </w:r>
    </w:p>
    <w:p w:rsidR="00600D8D" w:rsidRPr="00E07958" w:rsidRDefault="00600D8D" w:rsidP="00600D8D">
      <w:pPr>
        <w:autoSpaceDE w:val="0"/>
        <w:autoSpaceDN w:val="0"/>
        <w:adjustRightInd w:val="0"/>
        <w:jc w:val="center"/>
        <w:rPr>
          <w:sz w:val="22"/>
        </w:rPr>
      </w:pPr>
    </w:p>
    <w:p w:rsidR="00854F7C" w:rsidRPr="00E07958" w:rsidRDefault="00600D8D" w:rsidP="001E45AE">
      <w:pPr>
        <w:jc w:val="both"/>
        <w:rPr>
          <w:sz w:val="22"/>
          <w:lang w:val="es-EC" w:eastAsia="es-EC"/>
        </w:rPr>
      </w:pPr>
      <w:r w:rsidRPr="00E07958">
        <w:rPr>
          <w:rFonts w:eastAsiaTheme="minorHAnsi"/>
          <w:b/>
          <w:sz w:val="22"/>
          <w:lang w:val="es-EC" w:eastAsia="en-US"/>
        </w:rPr>
        <w:t>Artículo 1.-</w:t>
      </w:r>
      <w:r w:rsidRPr="00E07958">
        <w:rPr>
          <w:rFonts w:eastAsiaTheme="minorHAnsi"/>
          <w:sz w:val="22"/>
          <w:lang w:val="es-EC" w:eastAsia="en-US"/>
        </w:rPr>
        <w:t xml:space="preserve"> </w:t>
      </w:r>
      <w:r w:rsidR="00921E14" w:rsidRPr="00E07958">
        <w:rPr>
          <w:rFonts w:eastAsiaTheme="minorHAnsi"/>
          <w:sz w:val="22"/>
          <w:lang w:val="es-EC" w:eastAsia="en-US"/>
        </w:rPr>
        <w:t xml:space="preserve">De conformidad con la sentencia emitida dentro del </w:t>
      </w:r>
      <w:r w:rsidR="001E45AE" w:rsidRPr="00E07958">
        <w:rPr>
          <w:sz w:val="22"/>
          <w:lang w:val="es-EC" w:eastAsia="es-EC"/>
        </w:rPr>
        <w:t>proceso judicial No.</w:t>
      </w:r>
      <w:r w:rsidR="00932C20">
        <w:rPr>
          <w:sz w:val="22"/>
          <w:lang w:val="es-EC" w:eastAsia="es-EC"/>
        </w:rPr>
        <w:t xml:space="preserve"> 17230-2009</w:t>
      </w:r>
      <w:r w:rsidR="00430DCE">
        <w:rPr>
          <w:sz w:val="22"/>
          <w:lang w:val="es-EC" w:eastAsia="es-EC"/>
        </w:rPr>
        <w:t>-0</w:t>
      </w:r>
      <w:r w:rsidR="00932C20">
        <w:rPr>
          <w:sz w:val="22"/>
          <w:lang w:val="es-EC" w:eastAsia="es-EC"/>
        </w:rPr>
        <w:t>0804</w:t>
      </w:r>
      <w:r w:rsidR="00854F7C" w:rsidRPr="00E07958">
        <w:rPr>
          <w:sz w:val="22"/>
          <w:lang w:val="es-EC" w:eastAsia="es-EC"/>
        </w:rPr>
        <w:t xml:space="preserve">, mediante el cual el Juez de la Unidad Judicial Civil con sede en la parroquia de Iñaquito del Distrito </w:t>
      </w:r>
      <w:r w:rsidR="00921E14" w:rsidRPr="00E07958">
        <w:rPr>
          <w:sz w:val="22"/>
          <w:lang w:val="es-EC" w:eastAsia="es-EC"/>
        </w:rPr>
        <w:t>Metropolitano de Quito,</w:t>
      </w:r>
      <w:r w:rsidR="001E45AE" w:rsidRPr="00E07958">
        <w:rPr>
          <w:sz w:val="22"/>
          <w:lang w:val="es-EC" w:eastAsia="es-EC"/>
        </w:rPr>
        <w:t xml:space="preserve"> acepta la demanda favor de</w:t>
      </w:r>
      <w:r w:rsidR="00932C20">
        <w:rPr>
          <w:sz w:val="22"/>
          <w:lang w:val="es-EC" w:eastAsia="es-EC"/>
        </w:rPr>
        <w:t xml:space="preserve"> </w:t>
      </w:r>
      <w:r w:rsidR="001E45AE" w:rsidRPr="00E07958">
        <w:rPr>
          <w:sz w:val="22"/>
          <w:lang w:val="es-EC" w:eastAsia="es-EC"/>
        </w:rPr>
        <w:t>l</w:t>
      </w:r>
      <w:r w:rsidR="00932C20">
        <w:rPr>
          <w:sz w:val="22"/>
          <w:lang w:val="es-EC" w:eastAsia="es-EC"/>
        </w:rPr>
        <w:t>a</w:t>
      </w:r>
      <w:r w:rsidR="001E45AE" w:rsidRPr="00E07958">
        <w:rPr>
          <w:sz w:val="22"/>
          <w:lang w:val="es-EC" w:eastAsia="es-EC"/>
        </w:rPr>
        <w:t xml:space="preserve"> señor</w:t>
      </w:r>
      <w:r w:rsidR="00932C20">
        <w:rPr>
          <w:sz w:val="22"/>
          <w:lang w:val="es-EC" w:eastAsia="es-EC"/>
        </w:rPr>
        <w:t>a Rosa María Natividad Lomas Ayala</w:t>
      </w:r>
      <w:r w:rsidR="001E45AE" w:rsidRPr="00E07958">
        <w:rPr>
          <w:sz w:val="22"/>
          <w:lang w:val="es-EC" w:eastAsia="es-EC"/>
        </w:rPr>
        <w:t xml:space="preserve"> adquirida por prescripción extraordinaria de dominio, de</w:t>
      </w:r>
      <w:r w:rsidR="00F17BE5">
        <w:rPr>
          <w:sz w:val="22"/>
          <w:lang w:val="es-EC" w:eastAsia="es-EC"/>
        </w:rPr>
        <w:t>l lote N° 1</w:t>
      </w:r>
      <w:r w:rsidR="00932C20">
        <w:rPr>
          <w:sz w:val="22"/>
          <w:lang w:val="es-EC" w:eastAsia="es-EC"/>
        </w:rPr>
        <w:t>1</w:t>
      </w:r>
      <w:r w:rsidR="00F17BE5">
        <w:rPr>
          <w:sz w:val="22"/>
          <w:lang w:val="es-EC" w:eastAsia="es-EC"/>
        </w:rPr>
        <w:t>,</w:t>
      </w:r>
      <w:r w:rsidR="00932C20">
        <w:rPr>
          <w:sz w:val="22"/>
          <w:lang w:val="es-EC" w:eastAsia="es-EC"/>
        </w:rPr>
        <w:t>se encuentra ubicado en la parte interna del predio N°390030,</w:t>
      </w:r>
      <w:r w:rsidR="001E45AE" w:rsidRPr="00E07958">
        <w:rPr>
          <w:sz w:val="22"/>
          <w:lang w:val="es-EC" w:eastAsia="es-EC"/>
        </w:rPr>
        <w:t xml:space="preserve">en el </w:t>
      </w:r>
      <w:r w:rsidR="00F17BE5">
        <w:rPr>
          <w:sz w:val="22"/>
          <w:lang w:val="es-EC" w:eastAsia="es-EC"/>
        </w:rPr>
        <w:t>sector LUZ Y VIDA</w:t>
      </w:r>
      <w:r w:rsidR="001E45AE" w:rsidRPr="00E07958">
        <w:rPr>
          <w:sz w:val="22"/>
          <w:lang w:val="es-EC" w:eastAsia="es-EC"/>
        </w:rPr>
        <w:t>, de la parroquia Calderón del D</w:t>
      </w:r>
      <w:r w:rsidR="008E61FC" w:rsidRPr="00E07958">
        <w:rPr>
          <w:sz w:val="22"/>
          <w:lang w:val="es-EC" w:eastAsia="es-EC"/>
        </w:rPr>
        <w:t>istrito Metropolitano de Quito</w:t>
      </w:r>
      <w:r w:rsidR="00854F7C" w:rsidRPr="00E07958">
        <w:rPr>
          <w:sz w:val="22"/>
          <w:lang w:val="es-EC" w:eastAsia="es-EC"/>
        </w:rPr>
        <w:t xml:space="preserve">; </w:t>
      </w:r>
      <w:r w:rsidR="00AD1A2A" w:rsidRPr="00E07958">
        <w:rPr>
          <w:sz w:val="22"/>
          <w:lang w:val="es-EC" w:eastAsia="es-EC"/>
        </w:rPr>
        <w:t>Resuelvo……….</w:t>
      </w:r>
      <w:r w:rsidR="00854F7C" w:rsidRPr="00E07958">
        <w:rPr>
          <w:sz w:val="22"/>
          <w:lang w:val="es-EC" w:eastAsia="es-EC"/>
        </w:rPr>
        <w:t xml:space="preserve"> </w:t>
      </w:r>
    </w:p>
    <w:p w:rsidR="00854F7C" w:rsidRPr="00E07958" w:rsidRDefault="00854F7C" w:rsidP="00854F7C">
      <w:pPr>
        <w:jc w:val="both"/>
        <w:rPr>
          <w:sz w:val="22"/>
          <w:lang w:val="es-EC" w:eastAsia="es-EC"/>
        </w:rPr>
      </w:pPr>
    </w:p>
    <w:p w:rsidR="00600D8D" w:rsidRPr="00E07958" w:rsidRDefault="00600D8D" w:rsidP="00C924E2">
      <w:pPr>
        <w:autoSpaceDE w:val="0"/>
        <w:autoSpaceDN w:val="0"/>
        <w:adjustRightInd w:val="0"/>
        <w:jc w:val="both"/>
        <w:rPr>
          <w:rFonts w:eastAsiaTheme="minorHAnsi"/>
          <w:sz w:val="22"/>
          <w:lang w:val="es-EC" w:eastAsia="en-US"/>
        </w:rPr>
      </w:pPr>
      <w:r w:rsidRPr="00E07958">
        <w:rPr>
          <w:rFonts w:eastAsiaTheme="minorHAnsi"/>
          <w:b/>
          <w:sz w:val="22"/>
          <w:lang w:val="es-EC" w:eastAsia="en-US"/>
        </w:rPr>
        <w:t>Artículo 2.-</w:t>
      </w:r>
      <w:r w:rsidRPr="00E07958">
        <w:rPr>
          <w:rFonts w:eastAsiaTheme="minorHAnsi"/>
          <w:sz w:val="22"/>
          <w:lang w:val="es-EC" w:eastAsia="en-US"/>
        </w:rPr>
        <w:t xml:space="preserve"> Comuníquese al interesado, a fin de que se continúe con los trámites de ley. </w:t>
      </w:r>
    </w:p>
    <w:p w:rsidR="00600D8D" w:rsidRPr="00E07958" w:rsidRDefault="00600D8D" w:rsidP="00C924E2">
      <w:pPr>
        <w:autoSpaceDE w:val="0"/>
        <w:autoSpaceDN w:val="0"/>
        <w:adjustRightInd w:val="0"/>
        <w:jc w:val="both"/>
        <w:rPr>
          <w:rFonts w:eastAsiaTheme="minorHAnsi"/>
          <w:sz w:val="22"/>
          <w:lang w:val="es-EC" w:eastAsia="en-US"/>
        </w:rPr>
      </w:pPr>
    </w:p>
    <w:p w:rsidR="00600D8D" w:rsidRPr="00E07958" w:rsidRDefault="00600D8D" w:rsidP="00C924E2">
      <w:pPr>
        <w:autoSpaceDE w:val="0"/>
        <w:autoSpaceDN w:val="0"/>
        <w:adjustRightInd w:val="0"/>
        <w:jc w:val="both"/>
        <w:rPr>
          <w:rFonts w:eastAsiaTheme="minorHAnsi"/>
          <w:bCs/>
          <w:sz w:val="22"/>
          <w:lang w:val="es-EC" w:eastAsia="en-US"/>
        </w:rPr>
      </w:pPr>
      <w:bookmarkStart w:id="2" w:name="_Hlk40866429"/>
      <w:r w:rsidRPr="00E07958">
        <w:rPr>
          <w:rFonts w:eastAsiaTheme="minorHAnsi"/>
          <w:b/>
          <w:sz w:val="22"/>
          <w:lang w:val="es-EC" w:eastAsia="en-US"/>
        </w:rPr>
        <w:t xml:space="preserve">Disposición General Única. - </w:t>
      </w:r>
      <w:r w:rsidRPr="00E07958">
        <w:rPr>
          <w:rFonts w:eastAsiaTheme="minorHAnsi"/>
          <w:bCs/>
          <w:sz w:val="22"/>
          <w:lang w:val="es-EC" w:eastAsia="en-US"/>
        </w:rPr>
        <w:t>La presente resolución se aprueba en base a los informes que son de exclusiva responsabilidad de los funcionarios que lo suscriben y realizan.</w:t>
      </w:r>
    </w:p>
    <w:bookmarkEnd w:id="2"/>
    <w:p w:rsidR="00600D8D" w:rsidRPr="00E07958" w:rsidRDefault="00600D8D" w:rsidP="00600D8D">
      <w:pPr>
        <w:autoSpaceDE w:val="0"/>
        <w:autoSpaceDN w:val="0"/>
        <w:adjustRightInd w:val="0"/>
        <w:jc w:val="both"/>
        <w:rPr>
          <w:rFonts w:eastAsiaTheme="minorHAnsi"/>
          <w:bCs/>
          <w:sz w:val="22"/>
          <w:lang w:val="es-EC" w:eastAsia="en-US"/>
        </w:rPr>
      </w:pPr>
    </w:p>
    <w:p w:rsidR="00600D8D" w:rsidRPr="00E07958" w:rsidRDefault="00600D8D" w:rsidP="00600D8D">
      <w:pPr>
        <w:autoSpaceDE w:val="0"/>
        <w:autoSpaceDN w:val="0"/>
        <w:adjustRightInd w:val="0"/>
        <w:jc w:val="both"/>
        <w:rPr>
          <w:rFonts w:eastAsiaTheme="minorHAnsi"/>
          <w:sz w:val="22"/>
          <w:lang w:val="es-EC" w:eastAsia="en-US"/>
        </w:rPr>
      </w:pPr>
      <w:r w:rsidRPr="00E07958">
        <w:rPr>
          <w:rFonts w:eastAsiaTheme="minorHAnsi"/>
          <w:b/>
          <w:sz w:val="22"/>
          <w:lang w:val="es-EC" w:eastAsia="en-US"/>
        </w:rPr>
        <w:t>Disposición Final. -</w:t>
      </w:r>
      <w:r w:rsidRPr="00E07958">
        <w:rPr>
          <w:rFonts w:eastAsiaTheme="minorHAnsi"/>
          <w:sz w:val="22"/>
          <w:lang w:val="es-EC" w:eastAsia="en-US"/>
        </w:rPr>
        <w:t xml:space="preserve"> La presente resolución entrará en vigencia a partir </w:t>
      </w:r>
      <w:r w:rsidR="00842105" w:rsidRPr="00E07958">
        <w:rPr>
          <w:sz w:val="22"/>
        </w:rPr>
        <w:t>de la fecha de su expedición.</w:t>
      </w:r>
      <w:r w:rsidRPr="00E07958">
        <w:rPr>
          <w:sz w:val="22"/>
          <w:shd w:val="clear" w:color="auto" w:fill="FFFFFF"/>
        </w:rPr>
        <w:t xml:space="preserve"> </w:t>
      </w:r>
    </w:p>
    <w:p w:rsidR="00600D8D" w:rsidRPr="00E07958" w:rsidRDefault="00600D8D" w:rsidP="00600D8D">
      <w:pPr>
        <w:autoSpaceDE w:val="0"/>
        <w:autoSpaceDN w:val="0"/>
        <w:adjustRightInd w:val="0"/>
        <w:jc w:val="both"/>
        <w:rPr>
          <w:rFonts w:eastAsiaTheme="minorHAnsi"/>
          <w:sz w:val="22"/>
          <w:lang w:val="es-EC" w:eastAsia="en-US"/>
        </w:rPr>
      </w:pPr>
      <w:bookmarkStart w:id="3" w:name="_GoBack"/>
      <w:bookmarkEnd w:id="3"/>
    </w:p>
    <w:p w:rsidR="00FE75E5" w:rsidRPr="00E07958" w:rsidRDefault="00FE75E5" w:rsidP="00131EC9">
      <w:pPr>
        <w:jc w:val="center"/>
        <w:rPr>
          <w:b/>
          <w:sz w:val="22"/>
        </w:rPr>
      </w:pPr>
    </w:p>
    <w:p w:rsidR="00FE75E5" w:rsidRPr="00E07958" w:rsidRDefault="00FE75E5" w:rsidP="00131EC9">
      <w:pPr>
        <w:jc w:val="center"/>
        <w:rPr>
          <w:b/>
          <w:sz w:val="22"/>
        </w:rPr>
      </w:pPr>
    </w:p>
    <w:p w:rsidR="00854F7C" w:rsidRPr="00E07958" w:rsidRDefault="00854F7C" w:rsidP="00854F7C">
      <w:pPr>
        <w:jc w:val="center"/>
        <w:rPr>
          <w:sz w:val="22"/>
        </w:rPr>
      </w:pPr>
    </w:p>
    <w:p w:rsidR="00854F7C" w:rsidRPr="00E07958" w:rsidRDefault="00854F7C" w:rsidP="00854F7C">
      <w:pPr>
        <w:jc w:val="center"/>
        <w:rPr>
          <w:sz w:val="22"/>
        </w:rPr>
      </w:pPr>
    </w:p>
    <w:p w:rsidR="00854F7C" w:rsidRPr="00E07958" w:rsidRDefault="00854F7C" w:rsidP="00854F7C">
      <w:pPr>
        <w:jc w:val="center"/>
        <w:rPr>
          <w:sz w:val="22"/>
        </w:rPr>
      </w:pPr>
      <w:r w:rsidRPr="00E07958">
        <w:rPr>
          <w:sz w:val="22"/>
        </w:rPr>
        <w:t>Dr. Santiago Guarderas Izquierdo.</w:t>
      </w:r>
    </w:p>
    <w:p w:rsidR="00854F7C" w:rsidRPr="00E07958" w:rsidRDefault="00854F7C" w:rsidP="00854F7C">
      <w:pPr>
        <w:jc w:val="center"/>
        <w:rPr>
          <w:b/>
          <w:sz w:val="22"/>
        </w:rPr>
      </w:pPr>
      <w:r w:rsidRPr="00E07958">
        <w:rPr>
          <w:b/>
          <w:sz w:val="22"/>
        </w:rPr>
        <w:t>ALCALDE DEL DISTRITO METROPOLITANO DE QUITO</w:t>
      </w:r>
    </w:p>
    <w:p w:rsidR="00854F7C" w:rsidRPr="00E07958" w:rsidRDefault="00854F7C" w:rsidP="00854F7C">
      <w:pPr>
        <w:jc w:val="both"/>
        <w:rPr>
          <w:rFonts w:eastAsia="Book Antiqua"/>
          <w:b/>
          <w:sz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0"/>
        <w:gridCol w:w="1123"/>
        <w:gridCol w:w="1309"/>
        <w:gridCol w:w="1872"/>
        <w:gridCol w:w="753"/>
      </w:tblGrid>
      <w:tr w:rsidR="00DF5041" w:rsidRPr="00E07958" w:rsidTr="00F17BE5">
        <w:trPr>
          <w:trHeight w:val="206"/>
        </w:trPr>
        <w:tc>
          <w:tcPr>
            <w:tcW w:w="1490"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b/>
                <w:sz w:val="22"/>
              </w:rPr>
            </w:pPr>
          </w:p>
        </w:tc>
        <w:tc>
          <w:tcPr>
            <w:tcW w:w="1872" w:type="dxa"/>
            <w:shd w:val="clear" w:color="auto" w:fill="auto"/>
            <w:vAlign w:val="center"/>
          </w:tcPr>
          <w:p w:rsidR="00854F7C" w:rsidRPr="00E07958" w:rsidRDefault="00854F7C" w:rsidP="001E45AE">
            <w:pPr>
              <w:jc w:val="center"/>
              <w:rPr>
                <w:b/>
                <w:sz w:val="22"/>
              </w:rPr>
            </w:pPr>
          </w:p>
        </w:tc>
        <w:tc>
          <w:tcPr>
            <w:tcW w:w="753" w:type="dxa"/>
            <w:shd w:val="clear" w:color="auto" w:fill="auto"/>
            <w:vAlign w:val="center"/>
          </w:tcPr>
          <w:p w:rsidR="00854F7C" w:rsidRPr="00E07958" w:rsidRDefault="00854F7C" w:rsidP="001E45AE">
            <w:pPr>
              <w:rPr>
                <w:b/>
                <w:sz w:val="22"/>
              </w:rPr>
            </w:pPr>
          </w:p>
        </w:tc>
      </w:tr>
      <w:tr w:rsidR="00854F7C" w:rsidRPr="00E07958" w:rsidTr="00F17BE5">
        <w:trPr>
          <w:trHeight w:val="247"/>
        </w:trPr>
        <w:tc>
          <w:tcPr>
            <w:tcW w:w="1490"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sz w:val="22"/>
              </w:rPr>
            </w:pPr>
          </w:p>
        </w:tc>
        <w:tc>
          <w:tcPr>
            <w:tcW w:w="1872" w:type="dxa"/>
            <w:shd w:val="clear" w:color="auto" w:fill="auto"/>
            <w:vAlign w:val="center"/>
          </w:tcPr>
          <w:p w:rsidR="00854F7C" w:rsidRPr="00E07958" w:rsidRDefault="00854F7C" w:rsidP="001E45AE">
            <w:pPr>
              <w:jc w:val="center"/>
              <w:rPr>
                <w:sz w:val="22"/>
              </w:rPr>
            </w:pPr>
          </w:p>
        </w:tc>
        <w:tc>
          <w:tcPr>
            <w:tcW w:w="753" w:type="dxa"/>
            <w:shd w:val="clear" w:color="auto" w:fill="auto"/>
            <w:vAlign w:val="center"/>
          </w:tcPr>
          <w:p w:rsidR="00854F7C" w:rsidRPr="00E07958" w:rsidRDefault="00854F7C" w:rsidP="001E45AE">
            <w:pPr>
              <w:rPr>
                <w:sz w:val="22"/>
              </w:rPr>
            </w:pPr>
          </w:p>
        </w:tc>
      </w:tr>
      <w:tr w:rsidR="00854F7C" w:rsidRPr="00E07958" w:rsidTr="00F17BE5">
        <w:tblPrEx>
          <w:tblLook w:val="0000" w:firstRow="0" w:lastRow="0" w:firstColumn="0" w:lastColumn="0" w:noHBand="0" w:noVBand="0"/>
        </w:tblPrEx>
        <w:trPr>
          <w:trHeight w:val="215"/>
        </w:trPr>
        <w:tc>
          <w:tcPr>
            <w:tcW w:w="1490" w:type="dxa"/>
            <w:vAlign w:val="center"/>
          </w:tcPr>
          <w:p w:rsidR="00854F7C" w:rsidRPr="00E07958" w:rsidRDefault="00854F7C" w:rsidP="001E45AE">
            <w:pPr>
              <w:rPr>
                <w:sz w:val="22"/>
              </w:rPr>
            </w:pPr>
          </w:p>
        </w:tc>
        <w:tc>
          <w:tcPr>
            <w:tcW w:w="1123" w:type="dxa"/>
            <w:shd w:val="clear" w:color="auto" w:fill="auto"/>
            <w:vAlign w:val="center"/>
          </w:tcPr>
          <w:p w:rsidR="00854F7C" w:rsidRPr="00E07958" w:rsidRDefault="00854F7C" w:rsidP="001E45AE">
            <w:pPr>
              <w:rPr>
                <w:sz w:val="22"/>
              </w:rPr>
            </w:pPr>
          </w:p>
        </w:tc>
        <w:tc>
          <w:tcPr>
            <w:tcW w:w="1309" w:type="dxa"/>
            <w:shd w:val="clear" w:color="auto" w:fill="auto"/>
            <w:vAlign w:val="center"/>
          </w:tcPr>
          <w:p w:rsidR="00854F7C" w:rsidRPr="00E07958" w:rsidRDefault="00854F7C" w:rsidP="001E45AE">
            <w:pPr>
              <w:jc w:val="center"/>
              <w:rPr>
                <w:sz w:val="22"/>
              </w:rPr>
            </w:pPr>
          </w:p>
        </w:tc>
        <w:tc>
          <w:tcPr>
            <w:tcW w:w="1872" w:type="dxa"/>
            <w:shd w:val="clear" w:color="auto" w:fill="auto"/>
            <w:vAlign w:val="center"/>
          </w:tcPr>
          <w:p w:rsidR="00854F7C" w:rsidRPr="00E07958" w:rsidRDefault="00854F7C" w:rsidP="001E45AE">
            <w:pPr>
              <w:jc w:val="center"/>
              <w:rPr>
                <w:sz w:val="22"/>
              </w:rPr>
            </w:pPr>
          </w:p>
        </w:tc>
        <w:tc>
          <w:tcPr>
            <w:tcW w:w="753" w:type="dxa"/>
            <w:shd w:val="clear" w:color="auto" w:fill="auto"/>
            <w:vAlign w:val="center"/>
          </w:tcPr>
          <w:p w:rsidR="00854F7C" w:rsidRPr="00E07958" w:rsidRDefault="00854F7C" w:rsidP="001E45AE">
            <w:pPr>
              <w:rPr>
                <w:b/>
                <w:sz w:val="22"/>
              </w:rPr>
            </w:pPr>
          </w:p>
        </w:tc>
      </w:tr>
    </w:tbl>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sectPr w:rsidR="00854F7C" w:rsidRPr="00E07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4E87"/>
    <w:rsid w:val="000849AC"/>
    <w:rsid w:val="00131EC9"/>
    <w:rsid w:val="001338A8"/>
    <w:rsid w:val="001845EF"/>
    <w:rsid w:val="001E45AE"/>
    <w:rsid w:val="0022248C"/>
    <w:rsid w:val="00257CEB"/>
    <w:rsid w:val="00261ABA"/>
    <w:rsid w:val="002C61FA"/>
    <w:rsid w:val="003018D6"/>
    <w:rsid w:val="00307222"/>
    <w:rsid w:val="003F30BA"/>
    <w:rsid w:val="00430DCE"/>
    <w:rsid w:val="004647B3"/>
    <w:rsid w:val="00495945"/>
    <w:rsid w:val="004B1A86"/>
    <w:rsid w:val="004B5626"/>
    <w:rsid w:val="004D3600"/>
    <w:rsid w:val="004D4F10"/>
    <w:rsid w:val="004E0D99"/>
    <w:rsid w:val="004F0BD8"/>
    <w:rsid w:val="00580BCF"/>
    <w:rsid w:val="00600D8D"/>
    <w:rsid w:val="006675C9"/>
    <w:rsid w:val="00842105"/>
    <w:rsid w:val="00852D76"/>
    <w:rsid w:val="00854F7C"/>
    <w:rsid w:val="00882DCB"/>
    <w:rsid w:val="008C1C80"/>
    <w:rsid w:val="008D0FA0"/>
    <w:rsid w:val="008E61FC"/>
    <w:rsid w:val="008F0B45"/>
    <w:rsid w:val="008F5CB3"/>
    <w:rsid w:val="00921E14"/>
    <w:rsid w:val="00932C20"/>
    <w:rsid w:val="009604A0"/>
    <w:rsid w:val="009C26AA"/>
    <w:rsid w:val="00A53F64"/>
    <w:rsid w:val="00A83A8D"/>
    <w:rsid w:val="00AD1A2A"/>
    <w:rsid w:val="00B34DDB"/>
    <w:rsid w:val="00B57C28"/>
    <w:rsid w:val="00BD745A"/>
    <w:rsid w:val="00BE7CDD"/>
    <w:rsid w:val="00C84761"/>
    <w:rsid w:val="00C924E2"/>
    <w:rsid w:val="00C977A3"/>
    <w:rsid w:val="00CC083B"/>
    <w:rsid w:val="00D27AB2"/>
    <w:rsid w:val="00D35171"/>
    <w:rsid w:val="00D513B0"/>
    <w:rsid w:val="00D746D2"/>
    <w:rsid w:val="00D768BF"/>
    <w:rsid w:val="00DE6C80"/>
    <w:rsid w:val="00DF5041"/>
    <w:rsid w:val="00E07958"/>
    <w:rsid w:val="00E1069E"/>
    <w:rsid w:val="00E21653"/>
    <w:rsid w:val="00E66166"/>
    <w:rsid w:val="00E954FE"/>
    <w:rsid w:val="00F17BE5"/>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6B42"/>
  <w15:docId w15:val="{894CCF19-C77C-45F3-A3BC-575C36A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character" w:customStyle="1" w:styleId="fontstyle31">
    <w:name w:val="fontstyle31"/>
    <w:basedOn w:val="Fuentedeprrafopredeter"/>
    <w:rsid w:val="002C61FA"/>
    <w:rPr>
      <w:rFonts w:ascii="Times-Italic" w:hAnsi="Times-Italic" w:hint="default"/>
      <w:b w:val="0"/>
      <w:bCs w:val="0"/>
      <w:i/>
      <w:iCs/>
      <w:color w:val="000000"/>
      <w:sz w:val="22"/>
      <w:szCs w:val="22"/>
    </w:rPr>
  </w:style>
  <w:style w:type="character" w:customStyle="1" w:styleId="markedcontent">
    <w:name w:val="markedcontent"/>
    <w:basedOn w:val="Fuentedeprrafopredeter"/>
    <w:rsid w:val="00C9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973098559">
      <w:bodyDiv w:val="1"/>
      <w:marLeft w:val="0"/>
      <w:marRight w:val="0"/>
      <w:marTop w:val="0"/>
      <w:marBottom w:val="0"/>
      <w:divBdr>
        <w:top w:val="none" w:sz="0" w:space="0" w:color="auto"/>
        <w:left w:val="none" w:sz="0" w:space="0" w:color="auto"/>
        <w:bottom w:val="none" w:sz="0" w:space="0" w:color="auto"/>
        <w:right w:val="none" w:sz="0" w:space="0" w:color="auto"/>
      </w:divBdr>
      <w:divsChild>
        <w:div w:id="105081658">
          <w:marLeft w:val="0"/>
          <w:marRight w:val="0"/>
          <w:marTop w:val="0"/>
          <w:marBottom w:val="0"/>
          <w:divBdr>
            <w:top w:val="none" w:sz="0" w:space="0" w:color="auto"/>
            <w:left w:val="none" w:sz="0" w:space="0" w:color="auto"/>
            <w:bottom w:val="none" w:sz="0" w:space="0" w:color="auto"/>
            <w:right w:val="none" w:sz="0" w:space="0" w:color="auto"/>
          </w:divBdr>
        </w:div>
        <w:div w:id="828596681">
          <w:marLeft w:val="0"/>
          <w:marRight w:val="0"/>
          <w:marTop w:val="0"/>
          <w:marBottom w:val="0"/>
          <w:divBdr>
            <w:top w:val="none" w:sz="0" w:space="0" w:color="auto"/>
            <w:left w:val="none" w:sz="0" w:space="0" w:color="auto"/>
            <w:bottom w:val="none" w:sz="0" w:space="0" w:color="auto"/>
            <w:right w:val="none" w:sz="0" w:space="0" w:color="auto"/>
          </w:divBdr>
        </w:div>
        <w:div w:id="15813376">
          <w:marLeft w:val="0"/>
          <w:marRight w:val="0"/>
          <w:marTop w:val="0"/>
          <w:marBottom w:val="0"/>
          <w:divBdr>
            <w:top w:val="none" w:sz="0" w:space="0" w:color="auto"/>
            <w:left w:val="none" w:sz="0" w:space="0" w:color="auto"/>
            <w:bottom w:val="none" w:sz="0" w:space="0" w:color="auto"/>
            <w:right w:val="none" w:sz="0" w:space="0" w:color="auto"/>
          </w:divBdr>
        </w:div>
        <w:div w:id="1555772782">
          <w:marLeft w:val="0"/>
          <w:marRight w:val="0"/>
          <w:marTop w:val="0"/>
          <w:marBottom w:val="0"/>
          <w:divBdr>
            <w:top w:val="none" w:sz="0" w:space="0" w:color="auto"/>
            <w:left w:val="none" w:sz="0" w:space="0" w:color="auto"/>
            <w:bottom w:val="none" w:sz="0" w:space="0" w:color="auto"/>
            <w:right w:val="none" w:sz="0" w:space="0" w:color="auto"/>
          </w:divBdr>
        </w:div>
        <w:div w:id="1109859782">
          <w:marLeft w:val="0"/>
          <w:marRight w:val="0"/>
          <w:marTop w:val="0"/>
          <w:marBottom w:val="0"/>
          <w:divBdr>
            <w:top w:val="none" w:sz="0" w:space="0" w:color="auto"/>
            <w:left w:val="none" w:sz="0" w:space="0" w:color="auto"/>
            <w:bottom w:val="none" w:sz="0" w:space="0" w:color="auto"/>
            <w:right w:val="none" w:sz="0" w:space="0" w:color="auto"/>
          </w:divBdr>
        </w:div>
        <w:div w:id="1244070016">
          <w:marLeft w:val="0"/>
          <w:marRight w:val="0"/>
          <w:marTop w:val="0"/>
          <w:marBottom w:val="0"/>
          <w:divBdr>
            <w:top w:val="none" w:sz="0" w:space="0" w:color="auto"/>
            <w:left w:val="none" w:sz="0" w:space="0" w:color="auto"/>
            <w:bottom w:val="none" w:sz="0" w:space="0" w:color="auto"/>
            <w:right w:val="none" w:sz="0" w:space="0" w:color="auto"/>
          </w:divBdr>
        </w:div>
        <w:div w:id="816070268">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171022010">
      <w:bodyDiv w:val="1"/>
      <w:marLeft w:val="0"/>
      <w:marRight w:val="0"/>
      <w:marTop w:val="0"/>
      <w:marBottom w:val="0"/>
      <w:divBdr>
        <w:top w:val="none" w:sz="0" w:space="0" w:color="auto"/>
        <w:left w:val="none" w:sz="0" w:space="0" w:color="auto"/>
        <w:bottom w:val="none" w:sz="0" w:space="0" w:color="auto"/>
        <w:right w:val="none" w:sz="0" w:space="0" w:color="auto"/>
      </w:divBdr>
      <w:divsChild>
        <w:div w:id="1931280665">
          <w:marLeft w:val="0"/>
          <w:marRight w:val="0"/>
          <w:marTop w:val="0"/>
          <w:marBottom w:val="0"/>
          <w:divBdr>
            <w:top w:val="none" w:sz="0" w:space="0" w:color="auto"/>
            <w:left w:val="none" w:sz="0" w:space="0" w:color="auto"/>
            <w:bottom w:val="none" w:sz="0" w:space="0" w:color="auto"/>
            <w:right w:val="none" w:sz="0" w:space="0" w:color="auto"/>
          </w:divBdr>
        </w:div>
        <w:div w:id="318727961">
          <w:marLeft w:val="0"/>
          <w:marRight w:val="0"/>
          <w:marTop w:val="0"/>
          <w:marBottom w:val="0"/>
          <w:divBdr>
            <w:top w:val="none" w:sz="0" w:space="0" w:color="auto"/>
            <w:left w:val="none" w:sz="0" w:space="0" w:color="auto"/>
            <w:bottom w:val="none" w:sz="0" w:space="0" w:color="auto"/>
            <w:right w:val="none" w:sz="0" w:space="0" w:color="auto"/>
          </w:divBdr>
        </w:div>
        <w:div w:id="1663191326">
          <w:marLeft w:val="0"/>
          <w:marRight w:val="0"/>
          <w:marTop w:val="0"/>
          <w:marBottom w:val="0"/>
          <w:divBdr>
            <w:top w:val="none" w:sz="0" w:space="0" w:color="auto"/>
            <w:left w:val="none" w:sz="0" w:space="0" w:color="auto"/>
            <w:bottom w:val="none" w:sz="0" w:space="0" w:color="auto"/>
            <w:right w:val="none" w:sz="0" w:space="0" w:color="auto"/>
          </w:divBdr>
        </w:div>
        <w:div w:id="615454658">
          <w:marLeft w:val="0"/>
          <w:marRight w:val="0"/>
          <w:marTop w:val="0"/>
          <w:marBottom w:val="0"/>
          <w:divBdr>
            <w:top w:val="none" w:sz="0" w:space="0" w:color="auto"/>
            <w:left w:val="none" w:sz="0" w:space="0" w:color="auto"/>
            <w:bottom w:val="none" w:sz="0" w:space="0" w:color="auto"/>
            <w:right w:val="none" w:sz="0" w:space="0" w:color="auto"/>
          </w:divBdr>
        </w:div>
        <w:div w:id="1795752334">
          <w:marLeft w:val="0"/>
          <w:marRight w:val="0"/>
          <w:marTop w:val="0"/>
          <w:marBottom w:val="0"/>
          <w:divBdr>
            <w:top w:val="none" w:sz="0" w:space="0" w:color="auto"/>
            <w:left w:val="none" w:sz="0" w:space="0" w:color="auto"/>
            <w:bottom w:val="none" w:sz="0" w:space="0" w:color="auto"/>
            <w:right w:val="none" w:sz="0" w:space="0" w:color="auto"/>
          </w:divBdr>
        </w:div>
        <w:div w:id="454636229">
          <w:marLeft w:val="0"/>
          <w:marRight w:val="0"/>
          <w:marTop w:val="0"/>
          <w:marBottom w:val="0"/>
          <w:divBdr>
            <w:top w:val="none" w:sz="0" w:space="0" w:color="auto"/>
            <w:left w:val="none" w:sz="0" w:space="0" w:color="auto"/>
            <w:bottom w:val="none" w:sz="0" w:space="0" w:color="auto"/>
            <w:right w:val="none" w:sz="0" w:space="0" w:color="auto"/>
          </w:divBdr>
        </w:div>
        <w:div w:id="1341618327">
          <w:marLeft w:val="0"/>
          <w:marRight w:val="0"/>
          <w:marTop w:val="0"/>
          <w:marBottom w:val="0"/>
          <w:divBdr>
            <w:top w:val="none" w:sz="0" w:space="0" w:color="auto"/>
            <w:left w:val="none" w:sz="0" w:space="0" w:color="auto"/>
            <w:bottom w:val="none" w:sz="0" w:space="0" w:color="auto"/>
            <w:right w:val="none" w:sz="0" w:space="0" w:color="auto"/>
          </w:divBdr>
        </w:div>
        <w:div w:id="1434550147">
          <w:marLeft w:val="0"/>
          <w:marRight w:val="0"/>
          <w:marTop w:val="0"/>
          <w:marBottom w:val="0"/>
          <w:divBdr>
            <w:top w:val="none" w:sz="0" w:space="0" w:color="auto"/>
            <w:left w:val="none" w:sz="0" w:space="0" w:color="auto"/>
            <w:bottom w:val="none" w:sz="0" w:space="0" w:color="auto"/>
            <w:right w:val="none" w:sz="0" w:space="0" w:color="auto"/>
          </w:divBdr>
        </w:div>
        <w:div w:id="1900092473">
          <w:marLeft w:val="0"/>
          <w:marRight w:val="0"/>
          <w:marTop w:val="0"/>
          <w:marBottom w:val="0"/>
          <w:divBdr>
            <w:top w:val="none" w:sz="0" w:space="0" w:color="auto"/>
            <w:left w:val="none" w:sz="0" w:space="0" w:color="auto"/>
            <w:bottom w:val="none" w:sz="0" w:space="0" w:color="auto"/>
            <w:right w:val="none" w:sz="0" w:space="0" w:color="auto"/>
          </w:divBdr>
        </w:div>
        <w:div w:id="902452976">
          <w:marLeft w:val="0"/>
          <w:marRight w:val="0"/>
          <w:marTop w:val="0"/>
          <w:marBottom w:val="0"/>
          <w:divBdr>
            <w:top w:val="none" w:sz="0" w:space="0" w:color="auto"/>
            <w:left w:val="none" w:sz="0" w:space="0" w:color="auto"/>
            <w:bottom w:val="none" w:sz="0" w:space="0" w:color="auto"/>
            <w:right w:val="none" w:sz="0" w:space="0" w:color="auto"/>
          </w:divBdr>
        </w:div>
        <w:div w:id="1559828733">
          <w:marLeft w:val="0"/>
          <w:marRight w:val="0"/>
          <w:marTop w:val="0"/>
          <w:marBottom w:val="0"/>
          <w:divBdr>
            <w:top w:val="none" w:sz="0" w:space="0" w:color="auto"/>
            <w:left w:val="none" w:sz="0" w:space="0" w:color="auto"/>
            <w:bottom w:val="none" w:sz="0" w:space="0" w:color="auto"/>
            <w:right w:val="none" w:sz="0" w:space="0" w:color="auto"/>
          </w:divBdr>
        </w:div>
        <w:div w:id="811750728">
          <w:marLeft w:val="0"/>
          <w:marRight w:val="0"/>
          <w:marTop w:val="0"/>
          <w:marBottom w:val="0"/>
          <w:divBdr>
            <w:top w:val="none" w:sz="0" w:space="0" w:color="auto"/>
            <w:left w:val="none" w:sz="0" w:space="0" w:color="auto"/>
            <w:bottom w:val="none" w:sz="0" w:space="0" w:color="auto"/>
            <w:right w:val="none" w:sz="0" w:space="0" w:color="auto"/>
          </w:divBdr>
        </w:div>
        <w:div w:id="1576628298">
          <w:marLeft w:val="0"/>
          <w:marRight w:val="0"/>
          <w:marTop w:val="0"/>
          <w:marBottom w:val="0"/>
          <w:divBdr>
            <w:top w:val="none" w:sz="0" w:space="0" w:color="auto"/>
            <w:left w:val="none" w:sz="0" w:space="0" w:color="auto"/>
            <w:bottom w:val="none" w:sz="0" w:space="0" w:color="auto"/>
            <w:right w:val="none" w:sz="0" w:space="0" w:color="auto"/>
          </w:divBdr>
        </w:div>
        <w:div w:id="1783111674">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20F8-AFEE-45FD-AC56-4A685323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3</cp:revision>
  <dcterms:created xsi:type="dcterms:W3CDTF">2023-03-31T19:36:00Z</dcterms:created>
  <dcterms:modified xsi:type="dcterms:W3CDTF">2023-03-31T20:05:00Z</dcterms:modified>
</cp:coreProperties>
</file>