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EL CONCEJO METROPOLITANO DE QUITO</w:t>
      </w: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CONSIDERANDO:</w:t>
      </w:r>
    </w:p>
    <w:p w:rsidR="00C926A0" w:rsidRPr="00EA337F"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A337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la Constitución de la República del Ecuador en su artículo 266, determina: </w:t>
      </w:r>
      <w:r w:rsidRPr="00EA337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A337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conforme establece el artículo 87, literal v) del COOTAD, al Concejo Metropolitano le corresponde: </w:t>
      </w:r>
      <w:r w:rsidRPr="00EA337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A337F">
        <w:rPr>
          <w:rFonts w:ascii="Palatino Linotype" w:eastAsiaTheme="minorHAnsi" w:hAnsi="Palatino Linotype"/>
          <w:sz w:val="22"/>
          <w:szCs w:val="22"/>
          <w:lang w:eastAsia="en-US"/>
        </w:rPr>
        <w:t xml:space="preserv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artículo 323 del COOTAD establece: “</w:t>
      </w:r>
      <w:r w:rsidRPr="00EA337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A337F">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424 del COOTAD señala: </w:t>
      </w:r>
      <w:r w:rsidRPr="00EA337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el artículo 472 del COOTAD señala que: </w:t>
      </w:r>
      <w:r w:rsidRPr="00EA337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2410 del el Código Civil Ecuatoriano determina que: </w:t>
      </w:r>
      <w:r w:rsidRPr="00EA337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jc w:val="both"/>
        <w:rPr>
          <w:rFonts w:ascii="Palatino Linotype" w:hAnsi="Palatino Linotype"/>
          <w:sz w:val="22"/>
          <w:szCs w:val="22"/>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Que,</w:t>
      </w:r>
      <w:r w:rsidRPr="00EA337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A337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A337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A337F">
        <w:rPr>
          <w:rFonts w:ascii="Palatino Linotype" w:hAnsi="Palatino Linotype"/>
          <w:i/>
          <w:sz w:val="22"/>
          <w:szCs w:val="22"/>
        </w:rPr>
        <w:t>”</w:t>
      </w:r>
      <w:r w:rsidRPr="00EA337F">
        <w:rPr>
          <w:rFonts w:ascii="Palatino Linotype" w:hAnsi="Palatino Linotype"/>
          <w:sz w:val="22"/>
          <w:szCs w:val="22"/>
        </w:rPr>
        <w:t xml:space="preserve">; </w:t>
      </w: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EA337F"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en su artículo 2171, establece: </w:t>
      </w:r>
      <w:r w:rsidRPr="00EA337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EA337F"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mediante oficio Nro.</w:t>
      </w:r>
      <w:r w:rsidRPr="00EA337F">
        <w:rPr>
          <w:rFonts w:ascii="Palatino Linotype" w:hAnsi="Palatino Linotype"/>
          <w:sz w:val="22"/>
          <w:szCs w:val="22"/>
        </w:rPr>
        <w:t xml:space="preserve"> 2950-2010 de 31 de octubre de 2011</w:t>
      </w:r>
      <w:r w:rsidRPr="00EA337F">
        <w:rPr>
          <w:rFonts w:ascii="Palatino Linotype" w:eastAsiaTheme="minorHAnsi" w:hAnsi="Palatino Linotype"/>
          <w:sz w:val="22"/>
          <w:szCs w:val="22"/>
          <w:lang w:eastAsia="en-US"/>
        </w:rPr>
        <w:t xml:space="preserve"> la Procuraduría Metropolitana emitió un </w:t>
      </w:r>
      <w:r w:rsidRPr="00EA337F">
        <w:rPr>
          <w:rFonts w:ascii="Palatino Linotype" w:hAnsi="Palatino Linotype"/>
          <w:sz w:val="22"/>
          <w:szCs w:val="22"/>
        </w:rPr>
        <w:t xml:space="preserve">pronunciamiento en forma general, respecto al marco legal y operativo para todos los casos de </w:t>
      </w:r>
      <w:r w:rsidRPr="00EA337F">
        <w:rPr>
          <w:rFonts w:ascii="Palatino Linotype" w:eastAsiaTheme="minorHAnsi" w:hAnsi="Palatino Linotype"/>
          <w:sz w:val="22"/>
          <w:szCs w:val="22"/>
          <w:lang w:eastAsia="en-US"/>
        </w:rPr>
        <w:t>prescripción extraordinaria adquisitiva de dominio;</w:t>
      </w:r>
    </w:p>
    <w:p w:rsidR="00027D50" w:rsidRPr="00EA337F"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D2352F" w:rsidRPr="0050708A" w:rsidRDefault="00C926A0" w:rsidP="00D2352F">
      <w:pPr>
        <w:autoSpaceDE w:val="0"/>
        <w:autoSpaceDN w:val="0"/>
        <w:adjustRightInd w:val="0"/>
        <w:ind w:left="708" w:hanging="708"/>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r>
      <w:r w:rsidR="00D2352F">
        <w:rPr>
          <w:rFonts w:ascii="Palatino Linotype" w:hAnsi="Palatino Linotype"/>
          <w:sz w:val="22"/>
          <w:szCs w:val="22"/>
        </w:rPr>
        <w:t>c</w:t>
      </w:r>
      <w:r w:rsidR="00D2352F" w:rsidRPr="0050708A">
        <w:rPr>
          <w:rFonts w:ascii="Palatino Linotype" w:hAnsi="Palatino Linotype"/>
          <w:sz w:val="22"/>
          <w:szCs w:val="22"/>
        </w:rPr>
        <w:t>onforme se desprende del memorando No. GADDMQ-AZCA-DAJ-2023-0121-M, de 13 de abril de 2023, con Proceso de Juicio No. 17311-2014-0717, la Unidad Judicial Civil con sede en la Parroquia de Iñaquito del Distrito Metropolitano de Quito, lunes 17 de enero del 2018, a las 09h17, emite sentencia a favor de la Sra. María Hortencia Montenegro Guamán, sobre parte del predio 1271057, en el barrio la Universal de la Parroquia Llano Chico de esta ciudad y cantón Quito, provincia de Pichincha. El inmueble tiene una superficie total 1078 metros cuadrados.</w:t>
      </w:r>
    </w:p>
    <w:p w:rsidR="00F073C7" w:rsidRPr="00EA337F" w:rsidRDefault="00F073C7" w:rsidP="001E2F33">
      <w:pPr>
        <w:autoSpaceDE w:val="0"/>
        <w:autoSpaceDN w:val="0"/>
        <w:adjustRightInd w:val="0"/>
        <w:ind w:left="708" w:hanging="708"/>
        <w:jc w:val="both"/>
        <w:rPr>
          <w:rFonts w:ascii="Palatino Linotype" w:hAnsi="Palatino Linotype"/>
          <w:i/>
          <w:sz w:val="22"/>
          <w:szCs w:val="22"/>
        </w:rPr>
      </w:pPr>
    </w:p>
    <w:p w:rsidR="001F733D" w:rsidRPr="00EA337F" w:rsidRDefault="0013405F" w:rsidP="0013405F">
      <w:pPr>
        <w:pStyle w:val="Default"/>
        <w:ind w:left="708" w:hanging="708"/>
        <w:jc w:val="both"/>
        <w:rPr>
          <w:sz w:val="22"/>
          <w:szCs w:val="22"/>
        </w:rPr>
      </w:pPr>
      <w:r w:rsidRPr="00EA337F">
        <w:rPr>
          <w:b/>
          <w:sz w:val="22"/>
          <w:szCs w:val="22"/>
        </w:rPr>
        <w:t>Que,</w:t>
      </w:r>
      <w:r w:rsidRPr="00EA337F">
        <w:rPr>
          <w:sz w:val="22"/>
          <w:szCs w:val="22"/>
        </w:rPr>
        <w:t xml:space="preserve"> m</w:t>
      </w:r>
      <w:r w:rsidR="001F733D" w:rsidRPr="00EA337F">
        <w:rPr>
          <w:sz w:val="22"/>
          <w:szCs w:val="22"/>
        </w:rPr>
        <w:t>ediante oficio GADDMQ-PM-2021-03</w:t>
      </w:r>
      <w:r w:rsidR="00AC0982" w:rsidRPr="00EA337F">
        <w:rPr>
          <w:sz w:val="22"/>
          <w:szCs w:val="22"/>
        </w:rPr>
        <w:t>96-O de 29 de enero de 2021, el</w:t>
      </w:r>
      <w:r w:rsidR="001F733D" w:rsidRPr="00EA337F">
        <w:rPr>
          <w:sz w:val="22"/>
          <w:szCs w:val="22"/>
        </w:rPr>
        <w:t xml:space="preserve"> Dr. Edison Yépez Vinueza, Subprocurador Metropolitano, señala: </w:t>
      </w:r>
    </w:p>
    <w:p w:rsidR="001F733D" w:rsidRPr="00EA337F" w:rsidRDefault="001F733D" w:rsidP="001F733D">
      <w:pPr>
        <w:tabs>
          <w:tab w:val="left" w:pos="426"/>
        </w:tabs>
        <w:ind w:left="1416" w:right="566"/>
        <w:jc w:val="both"/>
        <w:rPr>
          <w:rFonts w:ascii="Palatino Linotype" w:hAnsi="Palatino Linotype"/>
          <w:i/>
          <w:sz w:val="22"/>
          <w:szCs w:val="22"/>
        </w:rPr>
      </w:pP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Pr="00EA337F" w:rsidRDefault="001F733D" w:rsidP="001F733D">
      <w:pPr>
        <w:tabs>
          <w:tab w:val="left" w:pos="284"/>
        </w:tabs>
        <w:jc w:val="both"/>
        <w:rPr>
          <w:rFonts w:ascii="Palatino Linotype" w:hAnsi="Palatino Linotype"/>
          <w:i/>
          <w:sz w:val="22"/>
          <w:szCs w:val="22"/>
        </w:rPr>
      </w:pPr>
    </w:p>
    <w:p w:rsidR="00763C7E" w:rsidRPr="0050708A" w:rsidRDefault="000B4CF2" w:rsidP="00763C7E">
      <w:pPr>
        <w:tabs>
          <w:tab w:val="left" w:pos="1080"/>
        </w:tabs>
        <w:ind w:left="1080" w:hanging="1080"/>
        <w:jc w:val="both"/>
        <w:rPr>
          <w:rFonts w:ascii="Palatino Linotype" w:hAnsi="Palatino Linotype"/>
          <w:sz w:val="22"/>
          <w:szCs w:val="22"/>
        </w:rPr>
      </w:pPr>
      <w:r w:rsidRPr="00EA337F">
        <w:rPr>
          <w:rFonts w:ascii="Palatino Linotype" w:hAnsi="Palatino Linotype"/>
          <w:sz w:val="22"/>
          <w:szCs w:val="22"/>
        </w:rPr>
        <w:t xml:space="preserve">Que, </w:t>
      </w:r>
      <w:r w:rsidR="00763C7E">
        <w:rPr>
          <w:rFonts w:ascii="Palatino Linotype" w:hAnsi="Palatino Linotype"/>
          <w:sz w:val="22"/>
          <w:szCs w:val="22"/>
        </w:rPr>
        <w:t>m</w:t>
      </w:r>
      <w:r w:rsidR="00763C7E" w:rsidRPr="0050708A">
        <w:rPr>
          <w:rFonts w:ascii="Palatino Linotype" w:hAnsi="Palatino Linotype"/>
          <w:sz w:val="22"/>
          <w:szCs w:val="22"/>
        </w:rPr>
        <w:t xml:space="preserve">ediante memorando Nro. GADDMQ-AZCA-DGT-2023-0261-M, de 10 de marzo de 2023, la Ing. Jessica Isabel Castillo Rodríguez, Directora de Gestión del Territorio de la Administración Zonal Calderón, señala: </w:t>
      </w:r>
    </w:p>
    <w:p w:rsidR="00763C7E" w:rsidRPr="0050708A" w:rsidRDefault="00763C7E" w:rsidP="00763C7E">
      <w:pPr>
        <w:tabs>
          <w:tab w:val="left" w:pos="1080"/>
        </w:tabs>
        <w:ind w:left="708"/>
        <w:jc w:val="both"/>
        <w:rPr>
          <w:rFonts w:ascii="Palatino Linotype" w:hAnsi="Palatino Linotype"/>
          <w:b/>
          <w:i/>
          <w:sz w:val="22"/>
          <w:szCs w:val="22"/>
        </w:rPr>
      </w:pPr>
    </w:p>
    <w:p w:rsidR="00763C7E" w:rsidRPr="0050708A" w:rsidRDefault="00763C7E" w:rsidP="00763C7E">
      <w:pPr>
        <w:tabs>
          <w:tab w:val="left" w:pos="1080"/>
        </w:tabs>
        <w:ind w:left="708"/>
        <w:jc w:val="both"/>
        <w:rPr>
          <w:rFonts w:ascii="Palatino Linotype" w:hAnsi="Palatino Linotype"/>
          <w:i/>
          <w:sz w:val="22"/>
          <w:szCs w:val="22"/>
        </w:rPr>
      </w:pPr>
      <w:r w:rsidRPr="0050708A">
        <w:rPr>
          <w:rFonts w:ascii="Palatino Linotype" w:hAnsi="Palatino Linotype"/>
          <w:b/>
          <w:i/>
          <w:sz w:val="22"/>
          <w:szCs w:val="22"/>
        </w:rPr>
        <w:t xml:space="preserve">“(…) </w:t>
      </w:r>
      <w:r w:rsidRPr="0050708A">
        <w:rPr>
          <w:rFonts w:ascii="Palatino Linotype" w:hAnsi="Palatino Linotype"/>
          <w:i/>
          <w:sz w:val="22"/>
          <w:szCs w:val="22"/>
        </w:rPr>
        <w:t>A través de la Unidad de Territorio y Vivienda, informa que una vez revisada la información dentro de la Normativa actual Ordenanza PMDOT-PUGS No. 001-2021, expone que el área en sentencia incluida en el predio 1271057, colinda con la subdivisión del predio No. 333098 del Barrio la Universal, Parroquia Llano Chico. (Se adjunta el plano de subdivisión), y en el plano se observa que el lote en su lado sur no colinda con ninguna via, sino con propiedad privada (predio No. 1271057).</w:t>
      </w:r>
    </w:p>
    <w:p w:rsidR="00763C7E" w:rsidRPr="0050708A" w:rsidRDefault="00763C7E" w:rsidP="00763C7E">
      <w:pPr>
        <w:tabs>
          <w:tab w:val="left" w:pos="1080"/>
        </w:tabs>
        <w:ind w:left="708"/>
        <w:jc w:val="both"/>
        <w:rPr>
          <w:rFonts w:ascii="Palatino Linotype" w:hAnsi="Palatino Linotype"/>
          <w:i/>
          <w:sz w:val="22"/>
          <w:szCs w:val="22"/>
        </w:rPr>
      </w:pPr>
      <w:r w:rsidRPr="0050708A">
        <w:rPr>
          <w:rFonts w:ascii="Palatino Linotype" w:hAnsi="Palatino Linotype"/>
          <w:i/>
          <w:sz w:val="22"/>
          <w:szCs w:val="22"/>
        </w:rPr>
        <w:br/>
        <w:t>El predio No. 1271057 revisada la información dentro de la Normativa actual Ordenanza PMDOT-PUGS No. 001-2021, no colinda con ninguna vía aprobada o regularizada dentro de la antes mencionada Ordenanza.</w:t>
      </w:r>
    </w:p>
    <w:p w:rsidR="00763C7E" w:rsidRPr="0050708A" w:rsidRDefault="00763C7E" w:rsidP="00763C7E">
      <w:pPr>
        <w:tabs>
          <w:tab w:val="left" w:pos="1080"/>
        </w:tabs>
        <w:ind w:left="708"/>
        <w:jc w:val="both"/>
        <w:rPr>
          <w:rFonts w:ascii="Palatino Linotype" w:hAnsi="Palatino Linotype"/>
          <w:b/>
          <w:i/>
          <w:sz w:val="22"/>
          <w:szCs w:val="22"/>
        </w:rPr>
      </w:pPr>
      <w:r w:rsidRPr="0050708A">
        <w:rPr>
          <w:rFonts w:ascii="Palatino Linotype" w:hAnsi="Palatino Linotype"/>
          <w:i/>
          <w:sz w:val="22"/>
          <w:szCs w:val="22"/>
        </w:rPr>
        <w:br/>
        <w:t>La única vía pública aprobada es la vía Rafael León de ancho 10.00 m.”.</w:t>
      </w:r>
    </w:p>
    <w:p w:rsidR="00CF748D" w:rsidRPr="00EA337F" w:rsidRDefault="00CF748D" w:rsidP="008D70EA">
      <w:pPr>
        <w:tabs>
          <w:tab w:val="left" w:pos="709"/>
        </w:tabs>
        <w:ind w:left="709" w:hanging="796"/>
        <w:jc w:val="both"/>
        <w:rPr>
          <w:rFonts w:ascii="Palatino Linotype" w:hAnsi="Palatino Linotype"/>
          <w:sz w:val="22"/>
          <w:szCs w:val="22"/>
        </w:rPr>
      </w:pPr>
    </w:p>
    <w:p w:rsidR="003B66C8" w:rsidRPr="0050708A" w:rsidRDefault="00E41B4B" w:rsidP="006A14C9">
      <w:pPr>
        <w:tabs>
          <w:tab w:val="left" w:pos="1080"/>
        </w:tabs>
        <w:ind w:left="1080" w:hanging="1080"/>
        <w:jc w:val="both"/>
        <w:rPr>
          <w:rFonts w:ascii="Palatino Linotype" w:hAnsi="Palatino Linotype"/>
          <w:sz w:val="22"/>
          <w:szCs w:val="22"/>
        </w:rPr>
      </w:pPr>
      <w:r w:rsidRPr="00EA337F">
        <w:rPr>
          <w:sz w:val="22"/>
          <w:szCs w:val="22"/>
        </w:rPr>
        <w:lastRenderedPageBreak/>
        <w:t xml:space="preserve">Que, </w:t>
      </w:r>
      <w:r w:rsidR="003B66C8">
        <w:rPr>
          <w:rFonts w:ascii="Palatino Linotype" w:hAnsi="Palatino Linotype"/>
          <w:sz w:val="22"/>
          <w:szCs w:val="22"/>
        </w:rPr>
        <w:t>m</w:t>
      </w:r>
      <w:r w:rsidR="003B66C8" w:rsidRPr="0050708A">
        <w:rPr>
          <w:rFonts w:ascii="Palatino Linotype" w:hAnsi="Palatino Linotype"/>
          <w:sz w:val="22"/>
          <w:szCs w:val="22"/>
        </w:rPr>
        <w:t xml:space="preserve">ediante </w:t>
      </w:r>
      <w:r w:rsidR="003B66C8" w:rsidRPr="0050708A">
        <w:rPr>
          <w:rStyle w:val="markedcontent"/>
          <w:rFonts w:ascii="Palatino Linotype" w:hAnsi="Palatino Linotype" w:cs="Arial"/>
          <w:sz w:val="22"/>
          <w:szCs w:val="22"/>
        </w:rPr>
        <w:t>Informe Técnico de Trámites Catastrales No. STHV-DMC-AZC-2023-0140-I</w:t>
      </w:r>
      <w:r w:rsidR="003B66C8" w:rsidRPr="0050708A">
        <w:rPr>
          <w:rFonts w:ascii="Palatino Linotype" w:hAnsi="Palatino Linotype"/>
          <w:sz w:val="22"/>
          <w:szCs w:val="22"/>
        </w:rPr>
        <w:t xml:space="preserve">, de 15 de febrero de 2023, la Ing. Jessica Isabel Castillo Rodríguez, Directora de Gestión del Territorio de la Administración Zonal Calderón, señala: </w:t>
      </w:r>
    </w:p>
    <w:p w:rsidR="003B66C8" w:rsidRPr="0050708A" w:rsidRDefault="003B66C8" w:rsidP="003B66C8">
      <w:pPr>
        <w:tabs>
          <w:tab w:val="left" w:pos="1080"/>
        </w:tabs>
        <w:jc w:val="both"/>
        <w:rPr>
          <w:rFonts w:ascii="Palatino Linotype" w:hAnsi="Palatino Linotype"/>
          <w:sz w:val="22"/>
          <w:szCs w:val="22"/>
        </w:rPr>
      </w:pPr>
    </w:p>
    <w:p w:rsidR="003B66C8" w:rsidRPr="0050708A" w:rsidRDefault="003B66C8" w:rsidP="003B66C8">
      <w:pPr>
        <w:tabs>
          <w:tab w:val="left" w:pos="1080"/>
        </w:tabs>
        <w:ind w:left="708"/>
        <w:jc w:val="both"/>
        <w:rPr>
          <w:rStyle w:val="markedcontent"/>
          <w:rFonts w:ascii="Palatino Linotype" w:hAnsi="Palatino Linotype" w:cs="Arial"/>
          <w:i/>
          <w:sz w:val="22"/>
          <w:szCs w:val="22"/>
        </w:rPr>
      </w:pPr>
      <w:r w:rsidRPr="0050708A">
        <w:rPr>
          <w:rFonts w:ascii="Palatino Linotype" w:hAnsi="Palatino Linotype"/>
          <w:i/>
          <w:sz w:val="22"/>
          <w:szCs w:val="22"/>
        </w:rPr>
        <w:t xml:space="preserve">“(…) </w:t>
      </w:r>
      <w:r w:rsidRPr="0050708A">
        <w:rPr>
          <w:rStyle w:val="markedcontent"/>
          <w:rFonts w:ascii="Palatino Linotype" w:hAnsi="Palatino Linotype" w:cs="Arial"/>
          <w:i/>
          <w:sz w:val="22"/>
          <w:szCs w:val="22"/>
        </w:rPr>
        <w:t>6.- CONCLUSIONES:</w:t>
      </w:r>
    </w:p>
    <w:p w:rsidR="003B66C8" w:rsidRPr="0050708A" w:rsidRDefault="003B66C8" w:rsidP="003B66C8">
      <w:pPr>
        <w:tabs>
          <w:tab w:val="left" w:pos="1080"/>
        </w:tabs>
        <w:ind w:left="708"/>
        <w:jc w:val="both"/>
        <w:rPr>
          <w:rFonts w:ascii="Palatino Linotype" w:hAnsi="Palatino Linotype"/>
          <w:i/>
          <w:sz w:val="22"/>
          <w:szCs w:val="22"/>
        </w:rPr>
      </w:pPr>
    </w:p>
    <w:p w:rsidR="003B66C8" w:rsidRPr="0050708A" w:rsidRDefault="003B66C8" w:rsidP="003B66C8">
      <w:pPr>
        <w:tabs>
          <w:tab w:val="left" w:pos="1080"/>
        </w:tabs>
        <w:ind w:left="708"/>
        <w:jc w:val="both"/>
        <w:rPr>
          <w:rStyle w:val="markedcontent"/>
          <w:rFonts w:ascii="Palatino Linotype" w:hAnsi="Palatino Linotype" w:cs="Arial"/>
          <w:i/>
          <w:sz w:val="22"/>
          <w:szCs w:val="22"/>
        </w:rPr>
      </w:pPr>
      <w:r w:rsidRPr="0050708A">
        <w:rPr>
          <w:rStyle w:val="markedcontent"/>
          <w:rFonts w:ascii="Palatino Linotype" w:hAnsi="Palatino Linotype" w:cs="Arial"/>
          <w:i/>
          <w:sz w:val="22"/>
          <w:szCs w:val="22"/>
        </w:rPr>
        <w:t>Del análisis se concluye:</w:t>
      </w:r>
    </w:p>
    <w:p w:rsidR="003B66C8" w:rsidRPr="0050708A" w:rsidRDefault="003B66C8" w:rsidP="003B66C8">
      <w:pPr>
        <w:tabs>
          <w:tab w:val="left" w:pos="1080"/>
        </w:tabs>
        <w:ind w:left="708"/>
        <w:jc w:val="both"/>
        <w:rPr>
          <w:rStyle w:val="markedcontent"/>
          <w:rFonts w:ascii="Palatino Linotype" w:hAnsi="Palatino Linotype" w:cs="Arial"/>
          <w:i/>
          <w:sz w:val="22"/>
          <w:szCs w:val="22"/>
        </w:rPr>
      </w:pPr>
      <w:r w:rsidRPr="0050708A">
        <w:rPr>
          <w:rFonts w:ascii="Palatino Linotype" w:hAnsi="Palatino Linotype"/>
          <w:i/>
          <w:sz w:val="22"/>
          <w:szCs w:val="22"/>
        </w:rPr>
        <w:br/>
      </w:r>
      <w:r w:rsidRPr="0050708A">
        <w:rPr>
          <w:rStyle w:val="markedcontent"/>
          <w:rFonts w:ascii="Palatino Linotype" w:hAnsi="Palatino Linotype" w:cs="Arial"/>
          <w:i/>
          <w:sz w:val="22"/>
          <w:szCs w:val="22"/>
        </w:rPr>
        <w:sym w:font="Symbol" w:char="F0B7"/>
      </w:r>
      <w:r w:rsidRPr="0050708A">
        <w:rPr>
          <w:rStyle w:val="markedcontent"/>
          <w:rFonts w:ascii="Palatino Linotype" w:hAnsi="Palatino Linotype" w:cs="Arial"/>
          <w:i/>
          <w:sz w:val="22"/>
          <w:szCs w:val="22"/>
        </w:rPr>
        <w:t xml:space="preserve"> Es factible catastrar la superficie prescrita, una vez que se dé cumplimiento a lo dispuesto en el Código Municipal para el Distrito Metropolitano de Quito en sus numerales 3 y 4 del artículo 2171, que establece el procedimiento a seguir en las Particiones judiciales de las sentencias ejecutoriadas dictadas dentro de los juicios de prescripción extraordinaria adquisitiva de dominio.</w:t>
      </w:r>
    </w:p>
    <w:p w:rsidR="003B66C8" w:rsidRPr="0050708A" w:rsidRDefault="003B66C8" w:rsidP="003B66C8">
      <w:pPr>
        <w:tabs>
          <w:tab w:val="left" w:pos="1080"/>
        </w:tabs>
        <w:ind w:left="708"/>
        <w:jc w:val="both"/>
        <w:rPr>
          <w:rFonts w:ascii="Palatino Linotype" w:hAnsi="Palatino Linotype"/>
          <w:i/>
          <w:sz w:val="22"/>
          <w:szCs w:val="22"/>
        </w:rPr>
      </w:pPr>
      <w:r w:rsidRPr="0050708A">
        <w:rPr>
          <w:rFonts w:ascii="Palatino Linotype" w:hAnsi="Palatino Linotype"/>
          <w:i/>
          <w:sz w:val="22"/>
          <w:szCs w:val="22"/>
        </w:rPr>
        <w:br/>
      </w:r>
      <w:r w:rsidRPr="0050708A">
        <w:rPr>
          <w:rStyle w:val="markedcontent"/>
          <w:rFonts w:ascii="Palatino Linotype" w:hAnsi="Palatino Linotype" w:cs="Arial"/>
          <w:i/>
          <w:sz w:val="22"/>
          <w:szCs w:val="22"/>
        </w:rPr>
        <w:sym w:font="Symbol" w:char="F0B7"/>
      </w:r>
      <w:r w:rsidRPr="0050708A">
        <w:rPr>
          <w:rStyle w:val="markedcontent"/>
          <w:rFonts w:ascii="Palatino Linotype" w:hAnsi="Palatino Linotype" w:cs="Arial"/>
          <w:i/>
          <w:sz w:val="22"/>
          <w:szCs w:val="22"/>
        </w:rPr>
        <w:t xml:space="preserve"> Con respecto al valor del suelo del predio global, los valores son los</w:t>
      </w:r>
      <w:r w:rsidRPr="0050708A">
        <w:rPr>
          <w:rFonts w:ascii="Palatino Linotype" w:hAnsi="Palatino Linotype"/>
          <w:i/>
          <w:sz w:val="22"/>
          <w:szCs w:val="22"/>
        </w:rPr>
        <w:br/>
      </w:r>
      <w:r w:rsidRPr="0050708A">
        <w:rPr>
          <w:rStyle w:val="markedcontent"/>
          <w:rFonts w:ascii="Palatino Linotype" w:hAnsi="Palatino Linotype" w:cs="Arial"/>
          <w:i/>
          <w:sz w:val="22"/>
          <w:szCs w:val="22"/>
        </w:rPr>
        <w:t>siguientes:</w:t>
      </w:r>
    </w:p>
    <w:p w:rsidR="003B66C8" w:rsidRPr="0050708A" w:rsidRDefault="003B66C8" w:rsidP="003B66C8">
      <w:pPr>
        <w:tabs>
          <w:tab w:val="left" w:pos="1080"/>
        </w:tabs>
        <w:ind w:left="708"/>
        <w:jc w:val="both"/>
        <w:rPr>
          <w:rFonts w:ascii="Palatino Linotype" w:hAnsi="Palatino Linotype"/>
          <w:i/>
          <w:sz w:val="22"/>
          <w:szCs w:val="22"/>
        </w:rPr>
      </w:pPr>
    </w:p>
    <w:p w:rsidR="003B66C8" w:rsidRPr="0050708A" w:rsidRDefault="003B66C8" w:rsidP="003B66C8">
      <w:pPr>
        <w:tabs>
          <w:tab w:val="left" w:pos="1080"/>
        </w:tabs>
        <w:ind w:left="708"/>
        <w:jc w:val="center"/>
        <w:rPr>
          <w:rFonts w:ascii="Palatino Linotype" w:hAnsi="Palatino Linotype"/>
          <w:i/>
          <w:sz w:val="22"/>
          <w:szCs w:val="22"/>
        </w:rPr>
      </w:pPr>
      <w:r w:rsidRPr="0050708A">
        <w:rPr>
          <w:rFonts w:ascii="Palatino Linotype" w:hAnsi="Palatino Linotype"/>
          <w:i/>
          <w:noProof/>
          <w:sz w:val="22"/>
          <w:szCs w:val="22"/>
          <w:lang w:eastAsia="es-EC"/>
        </w:rPr>
        <w:drawing>
          <wp:inline distT="0" distB="0" distL="0" distR="0" wp14:anchorId="71A57493" wp14:editId="7376198B">
            <wp:extent cx="4363059" cy="15623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63059" cy="1562318"/>
                    </a:xfrm>
                    <a:prstGeom prst="rect">
                      <a:avLst/>
                    </a:prstGeom>
                  </pic:spPr>
                </pic:pic>
              </a:graphicData>
            </a:graphic>
          </wp:inline>
        </w:drawing>
      </w:r>
    </w:p>
    <w:p w:rsidR="003B66C8" w:rsidRPr="0050708A" w:rsidRDefault="003B66C8" w:rsidP="003B66C8">
      <w:pPr>
        <w:tabs>
          <w:tab w:val="left" w:pos="1080"/>
        </w:tabs>
        <w:ind w:left="708"/>
        <w:jc w:val="both"/>
        <w:rPr>
          <w:rFonts w:ascii="Palatino Linotype" w:hAnsi="Palatino Linotype"/>
          <w:i/>
          <w:sz w:val="22"/>
          <w:szCs w:val="22"/>
        </w:rPr>
      </w:pPr>
    </w:p>
    <w:p w:rsidR="003B66C8" w:rsidRPr="0050708A" w:rsidRDefault="003B66C8" w:rsidP="003B66C8">
      <w:pPr>
        <w:tabs>
          <w:tab w:val="left" w:pos="1080"/>
        </w:tabs>
        <w:ind w:left="708"/>
        <w:jc w:val="both"/>
        <w:rPr>
          <w:rStyle w:val="markedcontent"/>
          <w:rFonts w:ascii="Palatino Linotype" w:hAnsi="Palatino Linotype" w:cs="Arial"/>
          <w:i/>
          <w:sz w:val="22"/>
          <w:szCs w:val="22"/>
        </w:rPr>
      </w:pPr>
      <w:r w:rsidRPr="0050708A">
        <w:rPr>
          <w:rStyle w:val="markedcontent"/>
          <w:rFonts w:ascii="Palatino Linotype" w:hAnsi="Palatino Linotype" w:cs="Arial"/>
          <w:i/>
          <w:sz w:val="22"/>
          <w:szCs w:val="22"/>
        </w:rPr>
        <w:t>7.- RECOMENDACIONES:</w:t>
      </w:r>
    </w:p>
    <w:p w:rsidR="003B66C8" w:rsidRPr="0050708A" w:rsidRDefault="003B66C8" w:rsidP="003B66C8">
      <w:pPr>
        <w:tabs>
          <w:tab w:val="left" w:pos="1080"/>
        </w:tabs>
        <w:ind w:left="708"/>
        <w:jc w:val="both"/>
        <w:rPr>
          <w:rFonts w:ascii="Palatino Linotype" w:hAnsi="Palatino Linotype"/>
          <w:i/>
          <w:sz w:val="22"/>
          <w:szCs w:val="22"/>
        </w:rPr>
      </w:pPr>
    </w:p>
    <w:p w:rsidR="003B66C8" w:rsidRPr="0050708A" w:rsidRDefault="003B66C8" w:rsidP="003B66C8">
      <w:pPr>
        <w:tabs>
          <w:tab w:val="left" w:pos="1080"/>
        </w:tabs>
        <w:ind w:left="708"/>
        <w:jc w:val="both"/>
        <w:rPr>
          <w:rFonts w:ascii="Palatino Linotype" w:hAnsi="Palatino Linotype"/>
          <w:i/>
          <w:sz w:val="22"/>
          <w:szCs w:val="22"/>
        </w:rPr>
      </w:pPr>
      <w:r w:rsidRPr="0050708A">
        <w:rPr>
          <w:rStyle w:val="markedcontent"/>
          <w:rFonts w:ascii="Palatino Linotype" w:hAnsi="Palatino Linotype" w:cs="Arial"/>
          <w:i/>
          <w:sz w:val="22"/>
          <w:szCs w:val="22"/>
        </w:rPr>
        <w:t>Se recomienda a la señora MONTENEGRO GUAMAN MARIA HORTENCIA, rectificar el cerramiento frontal del lote prescrito, toda vez que el lindero es recto; y a la fecha, el cerramiento se encuentra en el bordillo, siguiendo la curvatura de la calle”.</w:t>
      </w:r>
    </w:p>
    <w:p w:rsidR="001A1C17" w:rsidRPr="00056FAC" w:rsidRDefault="001A1C17" w:rsidP="008D70EA">
      <w:pPr>
        <w:pStyle w:val="Default"/>
        <w:jc w:val="both"/>
        <w:rPr>
          <w:sz w:val="22"/>
          <w:szCs w:val="22"/>
        </w:rPr>
      </w:pPr>
    </w:p>
    <w:p w:rsidR="0002399A" w:rsidRPr="0050708A" w:rsidRDefault="00056FAC" w:rsidP="0001098C">
      <w:pPr>
        <w:tabs>
          <w:tab w:val="left" w:pos="1080"/>
        </w:tabs>
        <w:ind w:left="1080" w:hanging="1080"/>
        <w:jc w:val="both"/>
        <w:rPr>
          <w:rFonts w:ascii="Palatino Linotype" w:hAnsi="Palatino Linotype"/>
          <w:sz w:val="22"/>
          <w:szCs w:val="22"/>
        </w:rPr>
      </w:pPr>
      <w:r w:rsidRPr="00056FAC">
        <w:rPr>
          <w:sz w:val="22"/>
          <w:szCs w:val="22"/>
        </w:rPr>
        <w:t xml:space="preserve">Que, </w:t>
      </w:r>
      <w:r w:rsidR="0002399A">
        <w:rPr>
          <w:rFonts w:ascii="Palatino Linotype" w:hAnsi="Palatino Linotype"/>
          <w:sz w:val="22"/>
          <w:szCs w:val="22"/>
        </w:rPr>
        <w:t>m</w:t>
      </w:r>
      <w:r w:rsidR="0002399A" w:rsidRPr="0050708A">
        <w:rPr>
          <w:rFonts w:ascii="Palatino Linotype" w:hAnsi="Palatino Linotype"/>
          <w:sz w:val="22"/>
          <w:szCs w:val="22"/>
        </w:rPr>
        <w:t xml:space="preserve">ediante informe técnico Nro. </w:t>
      </w:r>
      <w:r w:rsidR="0002399A" w:rsidRPr="0050708A">
        <w:rPr>
          <w:rFonts w:ascii="Palatino Linotype" w:hAnsi="Palatino Linotype" w:cs="Arial"/>
          <w:sz w:val="22"/>
          <w:szCs w:val="22"/>
        </w:rPr>
        <w:t>AZCA-DGT-2023-004</w:t>
      </w:r>
      <w:r w:rsidR="0002399A" w:rsidRPr="0050708A">
        <w:rPr>
          <w:rFonts w:ascii="Palatino Linotype" w:hAnsi="Palatino Linotype"/>
          <w:sz w:val="22"/>
          <w:szCs w:val="22"/>
        </w:rPr>
        <w:t xml:space="preserve">, de 10 de abril de 2023, la el Ing. Israel Jiménez, funcionario de la Administración Zonal Calderón, señala: </w:t>
      </w:r>
    </w:p>
    <w:p w:rsidR="0002399A" w:rsidRPr="0050708A" w:rsidRDefault="0002399A" w:rsidP="0002399A">
      <w:pPr>
        <w:tabs>
          <w:tab w:val="left" w:pos="1080"/>
        </w:tabs>
        <w:ind w:left="708"/>
        <w:jc w:val="both"/>
        <w:rPr>
          <w:rFonts w:ascii="Palatino Linotype" w:hAnsi="Palatino Linotype"/>
          <w:b/>
          <w:i/>
          <w:sz w:val="22"/>
          <w:szCs w:val="22"/>
        </w:rPr>
      </w:pPr>
    </w:p>
    <w:p w:rsidR="0002399A" w:rsidRPr="0050708A" w:rsidRDefault="0002399A" w:rsidP="0002399A">
      <w:pPr>
        <w:tabs>
          <w:tab w:val="left" w:pos="1080"/>
        </w:tabs>
        <w:ind w:left="708"/>
        <w:jc w:val="both"/>
        <w:rPr>
          <w:rFonts w:ascii="Palatino Linotype" w:hAnsi="Palatino Linotype" w:cs="Arial"/>
          <w:b/>
          <w:i/>
          <w:sz w:val="22"/>
          <w:szCs w:val="22"/>
        </w:rPr>
      </w:pPr>
      <w:r w:rsidRPr="0050708A">
        <w:rPr>
          <w:rFonts w:ascii="Palatino Linotype" w:hAnsi="Palatino Linotype"/>
          <w:b/>
          <w:i/>
          <w:sz w:val="22"/>
          <w:szCs w:val="22"/>
        </w:rPr>
        <w:t xml:space="preserve">“(…) </w:t>
      </w:r>
      <w:r w:rsidRPr="0050708A">
        <w:rPr>
          <w:rFonts w:ascii="Palatino Linotype" w:hAnsi="Palatino Linotype" w:cs="Arial"/>
          <w:b/>
          <w:i/>
          <w:sz w:val="22"/>
          <w:szCs w:val="22"/>
        </w:rPr>
        <w:t xml:space="preserve">Análisis de la Prescripción Adquisitiva de Dominio </w:t>
      </w:r>
    </w:p>
    <w:p w:rsidR="0002399A" w:rsidRPr="0050708A" w:rsidRDefault="0002399A" w:rsidP="0002399A">
      <w:pPr>
        <w:tabs>
          <w:tab w:val="left" w:pos="1080"/>
        </w:tabs>
        <w:ind w:left="708"/>
        <w:jc w:val="both"/>
        <w:rPr>
          <w:rFonts w:ascii="Palatino Linotype" w:hAnsi="Palatino Linotype" w:cs="Arial"/>
          <w:b/>
          <w:i/>
          <w:sz w:val="22"/>
          <w:szCs w:val="22"/>
        </w:rPr>
      </w:pPr>
      <w:r w:rsidRPr="0050708A">
        <w:rPr>
          <w:rFonts w:ascii="Palatino Linotype" w:hAnsi="Palatino Linotype" w:cs="Arial"/>
          <w:b/>
          <w:i/>
          <w:sz w:val="22"/>
          <w:szCs w:val="22"/>
        </w:rPr>
        <w:t>Descripción del Juicio</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 xml:space="preserve">“(...) acepta la demanda y en consecuencia se declara que la accionante MARÍA HORTENCIA MONTENEGRO GUAMAN ha adquirido por prescripción adquisitiva de dominio el lote de terreno S/N ubicado en el pasaje E1J y sin numeración y la calle Tello </w:t>
      </w:r>
      <w:r w:rsidRPr="0050708A">
        <w:rPr>
          <w:rFonts w:ascii="Palatino Linotype" w:hAnsi="Palatino Linotype" w:cs="Arial"/>
          <w:i/>
          <w:sz w:val="22"/>
          <w:szCs w:val="22"/>
        </w:rPr>
        <w:lastRenderedPageBreak/>
        <w:t>Alberto Hinojosa Tufiño, barrio la Universal de la parroquia de Llano Chico, cantón Quito, Provincia de Pichincha, cuyos linderos son: Norte: Pasaje E1J en una longitud de 18.12m; SUR: Con la quebrada Pinshocchaca con una longitud de 17.34m; ESTE: Con propiedad de Juan Manuel Montenegro Guamán en un longitud de 63.53m; y, OESTE: Con pasaje sin nombre en una longitud de 60.32m, con una superficie de 1078m2 (MIL SETENTA Y OCHO METROS CUADRADOS ) (...)”</w:t>
      </w:r>
    </w:p>
    <w:p w:rsidR="0002399A" w:rsidRPr="0050708A" w:rsidRDefault="0002399A" w:rsidP="0002399A">
      <w:pPr>
        <w:tabs>
          <w:tab w:val="left" w:pos="1080"/>
        </w:tabs>
        <w:ind w:left="708"/>
        <w:jc w:val="both"/>
        <w:rPr>
          <w:rFonts w:ascii="Palatino Linotype" w:hAnsi="Palatino Linotype" w:cs="Arial"/>
          <w:b/>
          <w:i/>
          <w:sz w:val="22"/>
          <w:szCs w:val="22"/>
        </w:rPr>
      </w:pPr>
      <w:r w:rsidRPr="0050708A">
        <w:rPr>
          <w:rFonts w:ascii="Palatino Linotype" w:hAnsi="Palatino Linotype"/>
          <w:b/>
          <w:i/>
          <w:sz w:val="22"/>
          <w:szCs w:val="22"/>
        </w:rPr>
        <w:br/>
      </w:r>
      <w:r w:rsidRPr="0050708A">
        <w:rPr>
          <w:rFonts w:ascii="Palatino Linotype" w:hAnsi="Palatino Linotype" w:cs="Arial"/>
          <w:b/>
          <w:i/>
          <w:sz w:val="22"/>
          <w:szCs w:val="22"/>
        </w:rPr>
        <w:t xml:space="preserve">Prescripción Adquisitiva de Dominio Área Observaciones </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cs="Arial"/>
          <w:i/>
          <w:sz w:val="22"/>
          <w:szCs w:val="22"/>
        </w:rPr>
        <w:sym w:font="Symbol" w:char="F0B7"/>
      </w:r>
      <w:r w:rsidRPr="0050708A">
        <w:rPr>
          <w:rFonts w:ascii="Palatino Linotype" w:hAnsi="Palatino Linotype" w:cs="Arial"/>
          <w:i/>
          <w:sz w:val="22"/>
          <w:szCs w:val="22"/>
        </w:rPr>
        <w:t xml:space="preserve"> No. 17311-2014-0717</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cs="Arial"/>
          <w:i/>
          <w:sz w:val="22"/>
          <w:szCs w:val="22"/>
        </w:rPr>
        <w:sym w:font="Symbol" w:char="F0B7"/>
      </w:r>
      <w:r w:rsidRPr="0050708A">
        <w:rPr>
          <w:rFonts w:ascii="Palatino Linotype" w:hAnsi="Palatino Linotype" w:cs="Arial"/>
          <w:i/>
          <w:sz w:val="22"/>
          <w:szCs w:val="22"/>
        </w:rPr>
        <w:t xml:space="preserve"> Perito: Ing. Marcelo Orlando Rojas Maldonado </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cs="Arial"/>
          <w:i/>
          <w:sz w:val="22"/>
          <w:szCs w:val="22"/>
        </w:rPr>
        <w:sym w:font="Symbol" w:char="F0B7"/>
      </w:r>
      <w:r w:rsidRPr="0050708A">
        <w:rPr>
          <w:rFonts w:ascii="Palatino Linotype" w:hAnsi="Palatino Linotype" w:cs="Arial"/>
          <w:i/>
          <w:sz w:val="22"/>
          <w:szCs w:val="22"/>
        </w:rPr>
        <w:t xml:space="preserve"> Lote 1.078,00m Cumple</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cs="Arial"/>
          <w:i/>
          <w:sz w:val="22"/>
          <w:szCs w:val="22"/>
        </w:rPr>
        <w:sym w:font="Symbol" w:char="F0B7"/>
      </w:r>
      <w:r w:rsidRPr="0050708A">
        <w:rPr>
          <w:rFonts w:ascii="Palatino Linotype" w:hAnsi="Palatino Linotype" w:cs="Arial"/>
          <w:i/>
          <w:sz w:val="22"/>
          <w:szCs w:val="22"/>
        </w:rPr>
        <w:t xml:space="preserve"> Frente 18,12m NO Cumple</w:t>
      </w:r>
    </w:p>
    <w:p w:rsidR="0002399A" w:rsidRPr="0050708A" w:rsidRDefault="0002399A" w:rsidP="0002399A">
      <w:pPr>
        <w:tabs>
          <w:tab w:val="left" w:pos="1080"/>
        </w:tabs>
        <w:ind w:left="708"/>
        <w:jc w:val="both"/>
        <w:rPr>
          <w:rFonts w:ascii="Palatino Linotype" w:hAnsi="Palatino Linotype" w:cs="Arial"/>
          <w:b/>
          <w:i/>
          <w:sz w:val="22"/>
          <w:szCs w:val="22"/>
        </w:rPr>
      </w:pPr>
      <w:r w:rsidRPr="0050708A">
        <w:rPr>
          <w:rFonts w:ascii="Palatino Linotype" w:hAnsi="Palatino Linotype"/>
          <w:b/>
          <w:i/>
          <w:sz w:val="22"/>
          <w:szCs w:val="22"/>
        </w:rPr>
        <w:br/>
      </w:r>
      <w:r w:rsidRPr="0050708A">
        <w:rPr>
          <w:rFonts w:ascii="Palatino Linotype" w:hAnsi="Palatino Linotype" w:cs="Arial"/>
          <w:b/>
          <w:i/>
          <w:sz w:val="22"/>
          <w:szCs w:val="22"/>
        </w:rPr>
        <w:t>INFORME PERICIAL.</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Una vez realizada la inspección en sitio y realizado el trabajo de campo se llega a las siguientes conclusiones:</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1.- El inmueble esta cultivado y ocupado por la señora María Horencia Montenegro Guamán y su familia.</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2.- La propiedad está delimitada con mojones en los vértices y en las coordenadas indicadas en el plano del levantamiento topográfico que está adjunto en este informe.</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3.- Las construcciones datan de diferentes épocas pero la más antigua data de hace unos 25 años aproximadamente.</w:t>
      </w:r>
    </w:p>
    <w:p w:rsidR="0002399A" w:rsidRPr="0050708A" w:rsidRDefault="0002399A" w:rsidP="0002399A">
      <w:pPr>
        <w:tabs>
          <w:tab w:val="left" w:pos="1080"/>
        </w:tabs>
        <w:ind w:left="708"/>
        <w:jc w:val="both"/>
        <w:rPr>
          <w:rFonts w:ascii="Palatino Linotype" w:hAnsi="Palatino Linotype" w:cs="Arial"/>
          <w:i/>
          <w:sz w:val="22"/>
          <w:szCs w:val="22"/>
        </w:rPr>
      </w:pPr>
    </w:p>
    <w:p w:rsidR="0002399A" w:rsidRPr="0050708A" w:rsidRDefault="0002399A" w:rsidP="0002399A">
      <w:pPr>
        <w:tabs>
          <w:tab w:val="left" w:pos="1080"/>
        </w:tabs>
        <w:ind w:left="708"/>
        <w:jc w:val="both"/>
        <w:rPr>
          <w:rFonts w:ascii="Palatino Linotype" w:hAnsi="Palatino Linotype" w:cs="Arial"/>
          <w:b/>
          <w:i/>
          <w:sz w:val="22"/>
          <w:szCs w:val="22"/>
        </w:rPr>
      </w:pPr>
      <w:r w:rsidRPr="0050708A">
        <w:rPr>
          <w:rFonts w:ascii="Palatino Linotype" w:hAnsi="Palatino Linotype" w:cs="Arial"/>
          <w:b/>
          <w:i/>
          <w:sz w:val="22"/>
          <w:szCs w:val="22"/>
        </w:rPr>
        <w:t>Análisis PMDOT-PUGS-001-2021</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De acuerdo al plano víal de Calderón, no se evidencia vías que colindan al predio 1271057, es decir, no existen información de los datos viales debido a que en el plano B3C2, no está actualizado con las subdivisiones del sitio.</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cs="Arial"/>
          <w:i/>
          <w:sz w:val="22"/>
          <w:szCs w:val="22"/>
        </w:rPr>
        <w:t xml:space="preserve">Por tal motivo se pide información a la jefatura de Territorio y Vivienda AZCA para que certifique las vías colindantes. </w:t>
      </w:r>
    </w:p>
    <w:p w:rsidR="0002399A" w:rsidRPr="0050708A" w:rsidRDefault="0002399A" w:rsidP="0002399A">
      <w:pPr>
        <w:tabs>
          <w:tab w:val="left" w:pos="1080"/>
        </w:tabs>
        <w:ind w:left="708"/>
        <w:jc w:val="both"/>
        <w:rPr>
          <w:rFonts w:ascii="Palatino Linotype" w:hAnsi="Palatino Linotype" w:cs="Arial"/>
          <w:i/>
          <w:sz w:val="22"/>
          <w:szCs w:val="22"/>
        </w:rPr>
      </w:pP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cs="Arial"/>
          <w:i/>
          <w:sz w:val="22"/>
          <w:szCs w:val="22"/>
        </w:rPr>
        <w:t>Con oficio GADDMQ-AZCA-DGT-2023-0261-M, de 10 de marzo de 2023, el Jefe Zonal de Territorio y Vivienda de AZCA expone:</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 xml:space="preserve">A través de la Unidad de Territorio y Vivienda, informa que una vez revisada la Información dentro de la Normativa actual Ordenanza PMDOT-PUGS No. 001-2021, expone que en el área en sentencia incluida en el predio 1271057, colinda con la subdivisión </w:t>
      </w:r>
      <w:r w:rsidRPr="0050708A">
        <w:rPr>
          <w:rFonts w:ascii="Palatino Linotype" w:hAnsi="Palatino Linotype" w:cs="Arial"/>
          <w:i/>
          <w:sz w:val="22"/>
          <w:szCs w:val="22"/>
        </w:rPr>
        <w:lastRenderedPageBreak/>
        <w:t>del predio No. 333098 del Barrio la Universal, Parroquia Llano Chico. (Se adjunta el plano de subdivisión), y en el plano se observa que el lote sur no colinda con ninguna vía, sino con propiedad privada (predio No. 1271057).</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 xml:space="preserve">El predio No. 1271057 revisada la información dentro de la Normativa actual Ordenanza PMDOT-PUGS No. 001-2021, </w:t>
      </w:r>
      <w:r w:rsidRPr="0050708A">
        <w:rPr>
          <w:rFonts w:ascii="Palatino Linotype" w:hAnsi="Palatino Linotype" w:cs="Arial"/>
          <w:b/>
          <w:i/>
          <w:sz w:val="22"/>
          <w:szCs w:val="22"/>
        </w:rPr>
        <w:t>no colinda con ninguna vía aprobada o regularizada dentro de la antes mencionada Ordenanza</w:t>
      </w:r>
      <w:r w:rsidRPr="0050708A">
        <w:rPr>
          <w:rFonts w:ascii="Palatino Linotype" w:hAnsi="Palatino Linotype" w:cs="Arial"/>
          <w:i/>
          <w:sz w:val="22"/>
          <w:szCs w:val="22"/>
        </w:rPr>
        <w:t>. Las negrillas me pertenecen.</w:t>
      </w:r>
    </w:p>
    <w:p w:rsidR="0002399A" w:rsidRPr="0050708A" w:rsidRDefault="0002399A" w:rsidP="0002399A">
      <w:pPr>
        <w:tabs>
          <w:tab w:val="left" w:pos="1080"/>
        </w:tabs>
        <w:ind w:left="708"/>
        <w:jc w:val="both"/>
        <w:rPr>
          <w:rFonts w:ascii="Palatino Linotype" w:hAnsi="Palatino Linotype" w:cs="Arial"/>
          <w:b/>
          <w:i/>
          <w:sz w:val="22"/>
          <w:szCs w:val="22"/>
        </w:rPr>
      </w:pPr>
      <w:r w:rsidRPr="0050708A">
        <w:rPr>
          <w:rFonts w:ascii="Palatino Linotype" w:hAnsi="Palatino Linotype"/>
          <w:b/>
          <w:i/>
          <w:sz w:val="22"/>
          <w:szCs w:val="22"/>
        </w:rPr>
        <w:br/>
      </w:r>
      <w:r w:rsidRPr="0050708A">
        <w:rPr>
          <w:rFonts w:ascii="Palatino Linotype" w:hAnsi="Palatino Linotype" w:cs="Arial"/>
          <w:b/>
          <w:i/>
          <w:sz w:val="22"/>
          <w:szCs w:val="22"/>
        </w:rPr>
        <w:sym w:font="Symbol" w:char="F0B7"/>
      </w:r>
      <w:r w:rsidRPr="0050708A">
        <w:rPr>
          <w:rFonts w:ascii="Palatino Linotype" w:hAnsi="Palatino Linotype" w:cs="Arial"/>
          <w:b/>
          <w:i/>
          <w:sz w:val="22"/>
          <w:szCs w:val="22"/>
        </w:rPr>
        <w:t xml:space="preserve"> Análisis, contribución del 15% del área útil adjudicada adquirida mediante sentencia.</w:t>
      </w:r>
    </w:p>
    <w:p w:rsidR="0002399A" w:rsidRPr="0050708A" w:rsidRDefault="0002399A" w:rsidP="0002399A">
      <w:pPr>
        <w:tabs>
          <w:tab w:val="left" w:pos="1080"/>
        </w:tabs>
        <w:ind w:left="708"/>
        <w:jc w:val="both"/>
        <w:rPr>
          <w:rFonts w:ascii="Palatino Linotype" w:hAnsi="Palatino Linotype" w:cs="Arial"/>
          <w:b/>
          <w:i/>
          <w:sz w:val="22"/>
          <w:szCs w:val="22"/>
        </w:rPr>
      </w:pP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cs="Arial"/>
          <w:i/>
          <w:sz w:val="22"/>
          <w:szCs w:val="22"/>
        </w:rPr>
        <w:t>En el caso que nos ocupa, el 15% del área útil prescrita 1078m2 corresponde a 161,7 m2, lo cual es inferior al lote mínimo vigente (600m2), razón por la que el actor de la demanda deberá compensar en valor monetario de acuerdo al avalúo catastral vigente a la fecha de la emisión del título de crédito correspondiente.</w:t>
      </w:r>
    </w:p>
    <w:p w:rsidR="0002399A" w:rsidRPr="0050708A" w:rsidRDefault="0002399A" w:rsidP="0002399A">
      <w:pPr>
        <w:tabs>
          <w:tab w:val="left" w:pos="1080"/>
        </w:tabs>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 xml:space="preserve">Conforme lo señalado en el Informe Técnico Nro. </w:t>
      </w:r>
      <w:r w:rsidRPr="0050708A">
        <w:rPr>
          <w:rFonts w:ascii="Palatino Linotype" w:hAnsi="Palatino Linotype" w:cs="Arial"/>
          <w:b/>
          <w:i/>
          <w:sz w:val="22"/>
          <w:szCs w:val="22"/>
        </w:rPr>
        <w:t>STHV-DMC-AZC-2023-0140-I,</w:t>
      </w:r>
      <w:r w:rsidRPr="0050708A">
        <w:rPr>
          <w:rFonts w:ascii="Palatino Linotype" w:hAnsi="Palatino Linotype" w:cs="Arial"/>
          <w:i/>
          <w:sz w:val="22"/>
          <w:szCs w:val="22"/>
        </w:rPr>
        <w:t xml:space="preserve"> y memorando Nro. </w:t>
      </w:r>
      <w:r w:rsidRPr="0050708A">
        <w:rPr>
          <w:rFonts w:ascii="Palatino Linotype" w:hAnsi="Palatino Linotype" w:cs="Arial"/>
          <w:b/>
          <w:i/>
          <w:sz w:val="22"/>
          <w:szCs w:val="22"/>
        </w:rPr>
        <w:t>GADDMQ-STHV-DMC-UGT-AZC-2023-0080-M</w:t>
      </w:r>
      <w:r w:rsidRPr="0050708A">
        <w:rPr>
          <w:rFonts w:ascii="Palatino Linotype" w:hAnsi="Palatino Linotype" w:cs="Arial"/>
          <w:i/>
          <w:sz w:val="22"/>
          <w:szCs w:val="22"/>
        </w:rPr>
        <w:t xml:space="preserve"> de fecha 16 de febrero de 2023 emitida por la Unidad Desconcentrada de Catastros, </w:t>
      </w:r>
      <w:r w:rsidRPr="0050708A">
        <w:rPr>
          <w:i/>
          <w:sz w:val="22"/>
          <w:szCs w:val="22"/>
        </w:rPr>
        <w:t>̈</w:t>
      </w:r>
      <w:r w:rsidRPr="0050708A">
        <w:rPr>
          <w:rFonts w:ascii="Palatino Linotype" w:hAnsi="Palatino Linotype" w:cs="Arial"/>
          <w:i/>
          <w:sz w:val="22"/>
          <w:szCs w:val="22"/>
        </w:rPr>
        <w:t xml:space="preserve">Es factible catastrar la superficie prescrita, una vez que se dé cumplimiento a lo dispuesto en el código Municipal para el Distrito Metropolitano de Quito en sus numerales 3y 4 del artículo 2171, que establece el procedimiento a seguir en las Particiones Judiciales de las sentencias ejecutoriadas dictadas dentro de los juicios de prescripción extraordinaria adquisitiva de dominio. Con respecto al valor del suelo del predio global, los valores son los siguientes: </w:t>
      </w:r>
      <w:r w:rsidRPr="0050708A">
        <w:rPr>
          <w:i/>
          <w:sz w:val="22"/>
          <w:szCs w:val="22"/>
        </w:rPr>
        <w:t>̈</w:t>
      </w:r>
    </w:p>
    <w:p w:rsidR="0002399A" w:rsidRPr="0050708A" w:rsidRDefault="0002399A" w:rsidP="0002399A">
      <w:pPr>
        <w:tabs>
          <w:tab w:val="left" w:pos="1080"/>
        </w:tabs>
        <w:ind w:left="708"/>
        <w:jc w:val="both"/>
        <w:rPr>
          <w:rFonts w:ascii="Palatino Linotype" w:hAnsi="Palatino Linotype" w:cs="Arial"/>
          <w:i/>
          <w:sz w:val="22"/>
          <w:szCs w:val="22"/>
        </w:rPr>
      </w:pPr>
    </w:p>
    <w:p w:rsidR="0002399A" w:rsidRPr="0050708A" w:rsidRDefault="0002399A" w:rsidP="0002399A">
      <w:pPr>
        <w:tabs>
          <w:tab w:val="left" w:pos="1080"/>
        </w:tabs>
        <w:ind w:left="708"/>
        <w:jc w:val="center"/>
        <w:rPr>
          <w:rFonts w:ascii="Palatino Linotype" w:hAnsi="Palatino Linotype"/>
          <w:b/>
          <w:i/>
          <w:sz w:val="22"/>
          <w:szCs w:val="22"/>
        </w:rPr>
      </w:pPr>
      <w:r w:rsidRPr="0050708A">
        <w:rPr>
          <w:rFonts w:ascii="Palatino Linotype" w:hAnsi="Palatino Linotype"/>
          <w:b/>
          <w:i/>
          <w:noProof/>
          <w:sz w:val="22"/>
          <w:szCs w:val="22"/>
          <w:lang w:eastAsia="es-EC"/>
        </w:rPr>
        <w:drawing>
          <wp:inline distT="0" distB="0" distL="0" distR="0" wp14:anchorId="0586982D" wp14:editId="1788BC09">
            <wp:extent cx="4353533" cy="1562318"/>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53533" cy="1562318"/>
                    </a:xfrm>
                    <a:prstGeom prst="rect">
                      <a:avLst/>
                    </a:prstGeom>
                  </pic:spPr>
                </pic:pic>
              </a:graphicData>
            </a:graphic>
          </wp:inline>
        </w:drawing>
      </w:r>
    </w:p>
    <w:p w:rsidR="0002399A" w:rsidRPr="0050708A" w:rsidRDefault="0002399A" w:rsidP="0002399A">
      <w:pPr>
        <w:tabs>
          <w:tab w:val="left" w:pos="1080"/>
        </w:tabs>
        <w:ind w:left="708"/>
        <w:jc w:val="both"/>
        <w:rPr>
          <w:rFonts w:ascii="Palatino Linotype" w:hAnsi="Palatino Linotype"/>
          <w:b/>
          <w:i/>
          <w:sz w:val="22"/>
          <w:szCs w:val="22"/>
        </w:rPr>
      </w:pPr>
    </w:p>
    <w:p w:rsidR="0002399A" w:rsidRPr="0050708A" w:rsidRDefault="0002399A" w:rsidP="0002399A">
      <w:pPr>
        <w:spacing w:after="200" w:line="276" w:lineRule="auto"/>
        <w:ind w:left="708"/>
        <w:jc w:val="both"/>
        <w:rPr>
          <w:rFonts w:ascii="Palatino Linotype" w:hAnsi="Palatino Linotype" w:cs="Arial"/>
          <w:i/>
          <w:sz w:val="22"/>
          <w:szCs w:val="22"/>
        </w:rPr>
      </w:pPr>
      <w:r w:rsidRPr="0050708A">
        <w:rPr>
          <w:rFonts w:ascii="Palatino Linotype" w:hAnsi="Palatino Linotype" w:cs="Arial"/>
          <w:i/>
          <w:sz w:val="22"/>
          <w:szCs w:val="22"/>
        </w:rPr>
        <w:t>Por tanto, el valor por compensación del 15% del área útil adjudicada mediante sentencia a la fecha de hoy es la que se detalla a continuación pudiendo esta cambiar si cambia el avaluó catastral.</w:t>
      </w:r>
    </w:p>
    <w:p w:rsidR="0002399A" w:rsidRPr="0050708A" w:rsidRDefault="0002399A" w:rsidP="0002399A">
      <w:pPr>
        <w:spacing w:after="200" w:line="276" w:lineRule="auto"/>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 xml:space="preserve">1.- El cálculo se realiza en función del Avalúo del Terreno y no al AIVA Se utiliza el </w:t>
      </w:r>
      <w:r w:rsidRPr="0050708A">
        <w:rPr>
          <w:rFonts w:ascii="Palatino Linotype" w:hAnsi="Palatino Linotype" w:cs="Arial"/>
          <w:i/>
          <w:sz w:val="22"/>
          <w:szCs w:val="22"/>
        </w:rPr>
        <w:lastRenderedPageBreak/>
        <w:t xml:space="preserve">Avalúo del terreno ya que el sistema SLUM en el cual se ingresa las Subdivisiones por prescripción utiliza los valores de: el Avalúo del Terreno, Área del Terreno y Área Prescrita 2.- </w:t>
      </w:r>
    </w:p>
    <w:p w:rsidR="0002399A" w:rsidRPr="0050708A" w:rsidRDefault="0002399A" w:rsidP="0002399A">
      <w:pPr>
        <w:spacing w:after="200" w:line="276" w:lineRule="auto"/>
        <w:ind w:left="708"/>
        <w:jc w:val="both"/>
        <w:rPr>
          <w:rFonts w:ascii="Palatino Linotype" w:hAnsi="Palatino Linotype" w:cs="Arial"/>
          <w:i/>
          <w:sz w:val="22"/>
          <w:szCs w:val="22"/>
        </w:rPr>
      </w:pPr>
      <w:r w:rsidRPr="0050708A">
        <w:rPr>
          <w:rFonts w:ascii="Palatino Linotype" w:hAnsi="Palatino Linotype" w:cs="Arial"/>
          <w:i/>
          <w:sz w:val="22"/>
          <w:szCs w:val="22"/>
        </w:rPr>
        <w:t>La fórmula con la cual se calcula la compensación es la siguiente.</w:t>
      </w:r>
    </w:p>
    <w:p w:rsidR="0002399A" w:rsidRPr="0050708A" w:rsidRDefault="0002399A" w:rsidP="0002399A">
      <w:pPr>
        <w:spacing w:after="200" w:line="276" w:lineRule="auto"/>
        <w:ind w:left="708"/>
        <w:jc w:val="both"/>
        <w:rPr>
          <w:rFonts w:ascii="Palatino Linotype" w:hAnsi="Palatino Linotype" w:cs="Arial"/>
          <w:i/>
          <w:sz w:val="22"/>
          <w:szCs w:val="22"/>
        </w:rPr>
      </w:pPr>
      <w:r w:rsidRPr="0050708A">
        <w:rPr>
          <w:rFonts w:ascii="Palatino Linotype" w:hAnsi="Palatino Linotype" w:cs="Arial"/>
          <w:i/>
          <w:sz w:val="22"/>
          <w:szCs w:val="22"/>
        </w:rPr>
        <w:t>(Avalúo del Terreno / Área del Terreno) * (Área de prescripción) * (15% Contribución)</w:t>
      </w:r>
    </w:p>
    <w:p w:rsidR="0002399A" w:rsidRPr="0050708A" w:rsidRDefault="0002399A" w:rsidP="0002399A">
      <w:pPr>
        <w:spacing w:after="200" w:line="276" w:lineRule="auto"/>
        <w:ind w:left="708"/>
        <w:jc w:val="both"/>
        <w:rPr>
          <w:rFonts w:ascii="Palatino Linotype" w:hAnsi="Palatino Linotype" w:cs="Arial"/>
          <w:i/>
          <w:sz w:val="22"/>
          <w:szCs w:val="22"/>
        </w:rPr>
      </w:pPr>
      <w:r w:rsidRPr="0050708A">
        <w:rPr>
          <w:rFonts w:ascii="Palatino Linotype" w:hAnsi="Palatino Linotype" w:cs="Arial"/>
          <w:i/>
          <w:sz w:val="22"/>
          <w:szCs w:val="22"/>
        </w:rPr>
        <w:t>Por tanto, el valor por compensación del 15% del área útil adjudicada mediante sentencia a la fecha de hoy es la que se detalla a continuación pudiendo esta cambiar si cambia el avaluó catastral.</w:t>
      </w:r>
    </w:p>
    <w:p w:rsidR="0002399A" w:rsidRPr="0050708A" w:rsidRDefault="0002399A" w:rsidP="0002399A">
      <w:pPr>
        <w:spacing w:after="200" w:line="276" w:lineRule="auto"/>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3.- Con la fórmula mencionada, el área prescrita y los valores emitidos por catastros se realizó el cálculo:</w:t>
      </w:r>
    </w:p>
    <w:p w:rsidR="0002399A" w:rsidRPr="0050708A" w:rsidRDefault="0002399A" w:rsidP="0002399A">
      <w:pPr>
        <w:spacing w:after="200" w:line="276" w:lineRule="auto"/>
        <w:ind w:left="708"/>
        <w:jc w:val="center"/>
        <w:rPr>
          <w:rFonts w:ascii="Palatino Linotype" w:hAnsi="Palatino Linotype" w:cs="Arial"/>
          <w:i/>
          <w:sz w:val="22"/>
          <w:szCs w:val="22"/>
        </w:rPr>
      </w:pPr>
      <w:r w:rsidRPr="0050708A">
        <w:rPr>
          <w:rFonts w:ascii="Palatino Linotype" w:hAnsi="Palatino Linotype" w:cs="Arial"/>
          <w:i/>
          <w:sz w:val="22"/>
          <w:szCs w:val="22"/>
        </w:rPr>
        <w:t>(365783,93 usd / 5833,00 m2 ) * (1078,00 m2) * (0,15) = 10140,11usd</w:t>
      </w:r>
    </w:p>
    <w:p w:rsidR="0002399A" w:rsidRPr="0050708A" w:rsidRDefault="0002399A" w:rsidP="0002399A">
      <w:pPr>
        <w:spacing w:after="200" w:line="276" w:lineRule="auto"/>
        <w:ind w:left="708"/>
        <w:jc w:val="both"/>
        <w:rPr>
          <w:rFonts w:ascii="Palatino Linotype" w:hAnsi="Palatino Linotype" w:cs="Arial"/>
          <w:i/>
          <w:sz w:val="22"/>
          <w:szCs w:val="22"/>
        </w:rPr>
      </w:pPr>
      <w:r w:rsidRPr="0050708A">
        <w:rPr>
          <w:rFonts w:ascii="Palatino Linotype" w:hAnsi="Palatino Linotype"/>
          <w:i/>
          <w:sz w:val="22"/>
          <w:szCs w:val="22"/>
        </w:rPr>
        <w:br/>
      </w:r>
      <w:r w:rsidRPr="0050708A">
        <w:rPr>
          <w:rFonts w:ascii="Palatino Linotype" w:hAnsi="Palatino Linotype" w:cs="Arial"/>
          <w:i/>
          <w:sz w:val="22"/>
          <w:szCs w:val="22"/>
        </w:rPr>
        <w:t xml:space="preserve">Por tanto, el valor por compensación del 15 por ciento del área útil adjudicada mediante sentencia a la fecha de hoy es la que se detalla a continuación pudiendo esta cambiar si cambia el avaluó catastral. </w:t>
      </w:r>
    </w:p>
    <w:p w:rsidR="0002399A" w:rsidRPr="0050708A" w:rsidRDefault="0002399A" w:rsidP="0002399A">
      <w:pPr>
        <w:spacing w:after="200" w:line="276" w:lineRule="auto"/>
        <w:ind w:left="708"/>
        <w:jc w:val="center"/>
        <w:rPr>
          <w:rFonts w:ascii="Palatino Linotype" w:hAnsi="Palatino Linotype"/>
          <w:b/>
          <w:i/>
          <w:sz w:val="22"/>
          <w:szCs w:val="22"/>
        </w:rPr>
      </w:pPr>
      <w:r w:rsidRPr="0050708A">
        <w:rPr>
          <w:rFonts w:ascii="Palatino Linotype" w:hAnsi="Palatino Linotype"/>
          <w:b/>
          <w:i/>
          <w:noProof/>
          <w:sz w:val="22"/>
          <w:szCs w:val="22"/>
          <w:lang w:eastAsia="es-EC"/>
        </w:rPr>
        <w:drawing>
          <wp:inline distT="0" distB="0" distL="0" distR="0" wp14:anchorId="73A255E5" wp14:editId="35C62DF9">
            <wp:extent cx="5277587" cy="86689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7587" cy="866896"/>
                    </a:xfrm>
                    <a:prstGeom prst="rect">
                      <a:avLst/>
                    </a:prstGeom>
                  </pic:spPr>
                </pic:pic>
              </a:graphicData>
            </a:graphic>
          </wp:inline>
        </w:drawing>
      </w:r>
    </w:p>
    <w:p w:rsidR="0002399A" w:rsidRPr="0050708A" w:rsidRDefault="0002399A" w:rsidP="0002399A">
      <w:pPr>
        <w:spacing w:after="200" w:line="276" w:lineRule="auto"/>
        <w:ind w:left="708"/>
        <w:rPr>
          <w:rFonts w:ascii="Palatino Linotype" w:hAnsi="Palatino Linotype"/>
          <w:b/>
          <w:i/>
          <w:sz w:val="22"/>
          <w:szCs w:val="22"/>
        </w:rPr>
      </w:pPr>
      <w:r w:rsidRPr="0050708A">
        <w:rPr>
          <w:rFonts w:ascii="Palatino Linotype" w:hAnsi="Palatino Linotype"/>
          <w:b/>
          <w:i/>
          <w:sz w:val="22"/>
          <w:szCs w:val="22"/>
        </w:rPr>
        <w:t>“5. CONCLUSIONES</w:t>
      </w:r>
    </w:p>
    <w:p w:rsidR="0002399A" w:rsidRPr="0050708A" w:rsidRDefault="0002399A" w:rsidP="0002399A">
      <w:pPr>
        <w:spacing w:after="200" w:line="276" w:lineRule="auto"/>
        <w:ind w:left="708"/>
        <w:jc w:val="both"/>
        <w:rPr>
          <w:rFonts w:ascii="Palatino Linotype" w:hAnsi="Palatino Linotype"/>
          <w:b/>
          <w:i/>
          <w:sz w:val="22"/>
          <w:szCs w:val="22"/>
        </w:rPr>
      </w:pPr>
      <w:r w:rsidRPr="0050708A">
        <w:rPr>
          <w:rFonts w:ascii="Palatino Linotype" w:hAnsi="Palatino Linotype" w:cs="Arial"/>
          <w:i/>
          <w:sz w:val="22"/>
          <w:szCs w:val="22"/>
        </w:rPr>
        <w:t xml:space="preserve">Del análisis técnico se desprende que, la prescripción adquisitiva de dominio de una parte del inmueble del predio No. 1271057, Cumple con el </w:t>
      </w:r>
      <w:r w:rsidRPr="0050708A">
        <w:rPr>
          <w:i/>
          <w:sz w:val="22"/>
          <w:szCs w:val="22"/>
        </w:rPr>
        <w:t>̈</w:t>
      </w:r>
      <w:r w:rsidRPr="0050708A">
        <w:rPr>
          <w:rFonts w:ascii="Palatino Linotype" w:hAnsi="Palatino Linotype" w:cs="Arial"/>
          <w:i/>
          <w:sz w:val="22"/>
          <w:szCs w:val="22"/>
        </w:rPr>
        <w:t>Lote m</w:t>
      </w:r>
      <w:r w:rsidRPr="0050708A">
        <w:rPr>
          <w:rFonts w:ascii="Palatino Linotype" w:hAnsi="Palatino Linotype" w:cs="Palatino Linotype"/>
          <w:i/>
          <w:sz w:val="22"/>
          <w:szCs w:val="22"/>
        </w:rPr>
        <w:t>í</w:t>
      </w:r>
      <w:r w:rsidRPr="0050708A">
        <w:rPr>
          <w:rFonts w:ascii="Palatino Linotype" w:hAnsi="Palatino Linotype" w:cs="Arial"/>
          <w:i/>
          <w:sz w:val="22"/>
          <w:szCs w:val="22"/>
        </w:rPr>
        <w:t xml:space="preserve">nimo </w:t>
      </w:r>
      <w:r w:rsidRPr="0050708A">
        <w:rPr>
          <w:i/>
          <w:sz w:val="22"/>
          <w:szCs w:val="22"/>
        </w:rPr>
        <w:t>̈</w:t>
      </w:r>
      <w:r w:rsidRPr="0050708A">
        <w:rPr>
          <w:rFonts w:ascii="Palatino Linotype" w:hAnsi="Palatino Linotype" w:cs="Arial"/>
          <w:i/>
          <w:sz w:val="22"/>
          <w:szCs w:val="22"/>
        </w:rPr>
        <w:t xml:space="preserve"> establecida en la zonificación vigente, pero al no tener frente hacia una vía pública no cumple con el </w:t>
      </w:r>
      <w:r w:rsidRPr="0050708A">
        <w:rPr>
          <w:i/>
          <w:sz w:val="22"/>
          <w:szCs w:val="22"/>
        </w:rPr>
        <w:t>̈</w:t>
      </w:r>
      <w:r w:rsidRPr="0050708A">
        <w:rPr>
          <w:rFonts w:ascii="Palatino Linotype" w:hAnsi="Palatino Linotype" w:cs="Arial"/>
          <w:i/>
          <w:sz w:val="22"/>
          <w:szCs w:val="22"/>
        </w:rPr>
        <w:t>Frente m</w:t>
      </w:r>
      <w:r w:rsidRPr="0050708A">
        <w:rPr>
          <w:rFonts w:ascii="Palatino Linotype" w:hAnsi="Palatino Linotype" w:cs="Palatino Linotype"/>
          <w:i/>
          <w:sz w:val="22"/>
          <w:szCs w:val="22"/>
        </w:rPr>
        <w:t>í</w:t>
      </w:r>
      <w:r w:rsidRPr="0050708A">
        <w:rPr>
          <w:rFonts w:ascii="Palatino Linotype" w:hAnsi="Palatino Linotype" w:cs="Arial"/>
          <w:i/>
          <w:sz w:val="22"/>
          <w:szCs w:val="22"/>
        </w:rPr>
        <w:t xml:space="preserve">nimo </w:t>
      </w:r>
      <w:r w:rsidRPr="0050708A">
        <w:rPr>
          <w:i/>
          <w:sz w:val="22"/>
          <w:szCs w:val="22"/>
        </w:rPr>
        <w:t>̈</w:t>
      </w:r>
      <w:r w:rsidRPr="0050708A">
        <w:rPr>
          <w:rFonts w:ascii="Palatino Linotype" w:hAnsi="Palatino Linotype" w:cs="Arial"/>
          <w:i/>
          <w:sz w:val="22"/>
          <w:szCs w:val="22"/>
        </w:rPr>
        <w:t>, razón por la que se emite Informe Técnico Desfavorable."</w:t>
      </w:r>
    </w:p>
    <w:p w:rsidR="003B66C8" w:rsidRDefault="003B66C8" w:rsidP="008D70EA">
      <w:pPr>
        <w:pStyle w:val="Default"/>
        <w:jc w:val="both"/>
        <w:rPr>
          <w:sz w:val="22"/>
          <w:szCs w:val="22"/>
        </w:rPr>
      </w:pPr>
    </w:p>
    <w:p w:rsidR="00EE41D0" w:rsidRPr="0050708A" w:rsidRDefault="00EE41D0" w:rsidP="00EE41D0">
      <w:pPr>
        <w:pStyle w:val="Default"/>
        <w:ind w:left="708" w:hanging="708"/>
        <w:jc w:val="both"/>
        <w:rPr>
          <w:sz w:val="22"/>
          <w:szCs w:val="22"/>
        </w:rPr>
      </w:pPr>
      <w:r>
        <w:rPr>
          <w:sz w:val="22"/>
          <w:szCs w:val="22"/>
        </w:rPr>
        <w:t>Que, me</w:t>
      </w:r>
      <w:r w:rsidRPr="0050708A">
        <w:rPr>
          <w:sz w:val="22"/>
          <w:szCs w:val="22"/>
        </w:rPr>
        <w:t xml:space="preserve">diante </w:t>
      </w:r>
      <w:r w:rsidRPr="0050708A">
        <w:rPr>
          <w:sz w:val="22"/>
          <w:szCs w:val="22"/>
          <w:lang w:val="es-EC"/>
        </w:rPr>
        <w:t xml:space="preserve">memorando Nro. </w:t>
      </w:r>
      <w:r w:rsidRPr="0050708A">
        <w:rPr>
          <w:sz w:val="22"/>
          <w:szCs w:val="22"/>
        </w:rPr>
        <w:t xml:space="preserve">GADDMQ-AZCA-DAJ-2023-0121-M, de 13 de abril de 2023, la Abg. Lorena Elizabeth Donoso Rivera, Subprocuradora Zonal de la Administración Zonal Calderón Quitumbe, señala: </w:t>
      </w:r>
    </w:p>
    <w:p w:rsidR="00EE41D0" w:rsidRPr="0050708A" w:rsidRDefault="00EE41D0" w:rsidP="00EE41D0">
      <w:pPr>
        <w:pStyle w:val="Default"/>
        <w:jc w:val="center"/>
        <w:rPr>
          <w:i/>
          <w:sz w:val="22"/>
          <w:szCs w:val="22"/>
        </w:rPr>
      </w:pPr>
    </w:p>
    <w:p w:rsidR="00EE41D0" w:rsidRPr="0050708A" w:rsidRDefault="00EE41D0" w:rsidP="00EE41D0">
      <w:pPr>
        <w:tabs>
          <w:tab w:val="left" w:pos="284"/>
        </w:tabs>
        <w:ind w:left="708"/>
        <w:jc w:val="both"/>
        <w:rPr>
          <w:rFonts w:ascii="Palatino Linotype" w:hAnsi="Palatino Linotype"/>
          <w:b/>
          <w:i/>
          <w:sz w:val="22"/>
          <w:szCs w:val="22"/>
        </w:rPr>
      </w:pPr>
      <w:r w:rsidRPr="0050708A">
        <w:rPr>
          <w:rFonts w:ascii="Palatino Linotype" w:eastAsiaTheme="minorHAnsi" w:hAnsi="Palatino Linotype" w:cs="Palatino Linotype"/>
          <w:b/>
          <w:i/>
          <w:color w:val="000000"/>
          <w:sz w:val="22"/>
          <w:szCs w:val="22"/>
          <w:lang w:eastAsia="en-US"/>
        </w:rPr>
        <w:lastRenderedPageBreak/>
        <w:t xml:space="preserve">“(…) </w:t>
      </w:r>
      <w:r w:rsidRPr="0050708A">
        <w:rPr>
          <w:rFonts w:ascii="Palatino Linotype" w:hAnsi="Palatino Linotype"/>
          <w:b/>
          <w:i/>
          <w:sz w:val="22"/>
          <w:szCs w:val="22"/>
        </w:rPr>
        <w:t xml:space="preserve">CRITERIO:  </w:t>
      </w:r>
    </w:p>
    <w:p w:rsidR="00EE41D0" w:rsidRPr="0050708A" w:rsidRDefault="00EE41D0" w:rsidP="00EE41D0">
      <w:pPr>
        <w:tabs>
          <w:tab w:val="left" w:pos="284"/>
        </w:tabs>
        <w:jc w:val="both"/>
        <w:rPr>
          <w:rFonts w:ascii="Palatino Linotype" w:hAnsi="Palatino Linotype"/>
          <w:i/>
          <w:sz w:val="22"/>
          <w:szCs w:val="22"/>
        </w:rPr>
      </w:pPr>
    </w:p>
    <w:p w:rsidR="00EE41D0" w:rsidRPr="0050708A" w:rsidRDefault="00EE41D0" w:rsidP="00EE41D0">
      <w:pPr>
        <w:tabs>
          <w:tab w:val="left" w:pos="284"/>
        </w:tabs>
        <w:ind w:left="708"/>
        <w:jc w:val="both"/>
        <w:rPr>
          <w:rFonts w:ascii="Palatino Linotype" w:hAnsi="Palatino Linotype"/>
          <w:i/>
          <w:sz w:val="22"/>
          <w:szCs w:val="22"/>
        </w:rPr>
      </w:pPr>
      <w:r w:rsidRPr="0050708A">
        <w:rPr>
          <w:rFonts w:ascii="Palatino Linotype" w:hAnsi="Palatino Linotype"/>
          <w:i/>
          <w:sz w:val="22"/>
          <w:szCs w:val="22"/>
        </w:rPr>
        <w:t xml:space="preserve">Por lo expuesto, esta Dirección Jurídica acogiendo el informe técnico AZCA-DGT-2023-004, de 10 de abril de 2023, del Jefe de Gestión Urbana y aprobado por la Directora de Gestión Territorial de la Administración Zonal Calderón con memorando Nro. GADDMQ-AZCA-DGT-2023-0414-M de 11 de abril de 2023, en el que indica que la prescripción adquisitiva de dominio de una parte del inmueble del predio No. 1271057, Cumple con el </w:t>
      </w:r>
      <w:r w:rsidRPr="0050708A">
        <w:rPr>
          <w:i/>
          <w:sz w:val="22"/>
          <w:szCs w:val="22"/>
        </w:rPr>
        <w:t>̈</w:t>
      </w:r>
      <w:r w:rsidRPr="0050708A">
        <w:rPr>
          <w:rFonts w:ascii="Palatino Linotype" w:hAnsi="Palatino Linotype"/>
          <w:i/>
          <w:sz w:val="22"/>
          <w:szCs w:val="22"/>
        </w:rPr>
        <w:t>Lote m</w:t>
      </w:r>
      <w:r w:rsidRPr="0050708A">
        <w:rPr>
          <w:rFonts w:ascii="Palatino Linotype" w:hAnsi="Palatino Linotype" w:cs="Palatino Linotype"/>
          <w:i/>
          <w:sz w:val="22"/>
          <w:szCs w:val="22"/>
        </w:rPr>
        <w:t>í</w:t>
      </w:r>
      <w:r w:rsidRPr="0050708A">
        <w:rPr>
          <w:rFonts w:ascii="Palatino Linotype" w:hAnsi="Palatino Linotype"/>
          <w:i/>
          <w:sz w:val="22"/>
          <w:szCs w:val="22"/>
        </w:rPr>
        <w:t xml:space="preserve">nimo </w:t>
      </w:r>
      <w:r w:rsidRPr="0050708A">
        <w:rPr>
          <w:i/>
          <w:sz w:val="22"/>
          <w:szCs w:val="22"/>
        </w:rPr>
        <w:t>̈</w:t>
      </w:r>
      <w:r w:rsidRPr="0050708A">
        <w:rPr>
          <w:rFonts w:ascii="Palatino Linotype" w:hAnsi="Palatino Linotype"/>
          <w:i/>
          <w:sz w:val="22"/>
          <w:szCs w:val="22"/>
        </w:rPr>
        <w:t xml:space="preserve"> establecida en la zonificaci</w:t>
      </w:r>
      <w:r w:rsidRPr="0050708A">
        <w:rPr>
          <w:rFonts w:ascii="Palatino Linotype" w:hAnsi="Palatino Linotype" w:cs="Palatino Linotype"/>
          <w:i/>
          <w:sz w:val="22"/>
          <w:szCs w:val="22"/>
        </w:rPr>
        <w:t>ó</w:t>
      </w:r>
      <w:r w:rsidRPr="0050708A">
        <w:rPr>
          <w:rFonts w:ascii="Palatino Linotype" w:hAnsi="Palatino Linotype"/>
          <w:i/>
          <w:sz w:val="22"/>
          <w:szCs w:val="22"/>
        </w:rPr>
        <w:t xml:space="preserve">n vigente, pero al no tener frente hacia una vía pública no cumple con el </w:t>
      </w:r>
      <w:r w:rsidRPr="0050708A">
        <w:rPr>
          <w:i/>
          <w:sz w:val="22"/>
          <w:szCs w:val="22"/>
        </w:rPr>
        <w:t>̈</w:t>
      </w:r>
      <w:r w:rsidRPr="0050708A">
        <w:rPr>
          <w:rFonts w:ascii="Palatino Linotype" w:hAnsi="Palatino Linotype"/>
          <w:i/>
          <w:sz w:val="22"/>
          <w:szCs w:val="22"/>
        </w:rPr>
        <w:t>Frente m</w:t>
      </w:r>
      <w:r w:rsidRPr="0050708A">
        <w:rPr>
          <w:rFonts w:ascii="Palatino Linotype" w:hAnsi="Palatino Linotype" w:cs="Palatino Linotype"/>
          <w:i/>
          <w:sz w:val="22"/>
          <w:szCs w:val="22"/>
        </w:rPr>
        <w:t>í</w:t>
      </w:r>
      <w:r w:rsidRPr="0050708A">
        <w:rPr>
          <w:rFonts w:ascii="Palatino Linotype" w:hAnsi="Palatino Linotype"/>
          <w:i/>
          <w:sz w:val="22"/>
          <w:szCs w:val="22"/>
        </w:rPr>
        <w:t xml:space="preserve">nimo </w:t>
      </w:r>
      <w:r w:rsidRPr="0050708A">
        <w:rPr>
          <w:i/>
          <w:sz w:val="22"/>
          <w:szCs w:val="22"/>
        </w:rPr>
        <w:t>̈</w:t>
      </w:r>
      <w:r w:rsidRPr="0050708A">
        <w:rPr>
          <w:rFonts w:ascii="Palatino Linotype" w:hAnsi="Palatino Linotype"/>
          <w:i/>
          <w:sz w:val="22"/>
          <w:szCs w:val="22"/>
        </w:rPr>
        <w:t>, raz</w:t>
      </w:r>
      <w:r w:rsidRPr="0050708A">
        <w:rPr>
          <w:rFonts w:ascii="Palatino Linotype" w:hAnsi="Palatino Linotype" w:cs="Palatino Linotype"/>
          <w:i/>
          <w:sz w:val="22"/>
          <w:szCs w:val="22"/>
        </w:rPr>
        <w:t>ó</w:t>
      </w:r>
      <w:r w:rsidRPr="0050708A">
        <w:rPr>
          <w:rFonts w:ascii="Palatino Linotype" w:hAnsi="Palatino Linotype"/>
          <w:i/>
          <w:sz w:val="22"/>
          <w:szCs w:val="22"/>
        </w:rPr>
        <w:t>n por la que se emite Informe Técnico Desfavorable”, en este sentido, se deberá proceder conforme lo establece en el COOTAD y la Ordenanza 001”.</w:t>
      </w:r>
    </w:p>
    <w:p w:rsidR="0002399A" w:rsidRDefault="0002399A" w:rsidP="008D70EA">
      <w:pPr>
        <w:pStyle w:val="Default"/>
        <w:jc w:val="both"/>
        <w:rPr>
          <w:sz w:val="22"/>
          <w:szCs w:val="22"/>
        </w:rPr>
      </w:pPr>
    </w:p>
    <w:p w:rsidR="00FE1203" w:rsidRPr="00EA337F" w:rsidRDefault="00FE1203" w:rsidP="00FE1203">
      <w:pPr>
        <w:pStyle w:val="Default"/>
        <w:ind w:left="708" w:hanging="708"/>
        <w:jc w:val="both"/>
        <w:rPr>
          <w:sz w:val="22"/>
          <w:szCs w:val="22"/>
        </w:rPr>
      </w:pPr>
      <w:r w:rsidRPr="00EA337F">
        <w:rPr>
          <w:sz w:val="22"/>
          <w:szCs w:val="22"/>
        </w:rPr>
        <w:t xml:space="preserve">Que, </w:t>
      </w:r>
      <w:r w:rsidRPr="00EA337F">
        <w:rPr>
          <w:sz w:val="22"/>
          <w:szCs w:val="22"/>
        </w:rPr>
        <w:tab/>
        <w:t>la Comisión de Uso de Su</w:t>
      </w:r>
      <w:r w:rsidR="00E02AE3" w:rsidRPr="00EA337F">
        <w:rPr>
          <w:sz w:val="22"/>
          <w:szCs w:val="22"/>
        </w:rPr>
        <w:t xml:space="preserve">elo en sesión ordinaria Nro. </w:t>
      </w:r>
      <w:r w:rsidR="00917C15">
        <w:rPr>
          <w:sz w:val="22"/>
          <w:szCs w:val="22"/>
        </w:rPr>
        <w:t>203</w:t>
      </w:r>
      <w:r w:rsidRPr="00EA337F">
        <w:rPr>
          <w:sz w:val="22"/>
          <w:szCs w:val="22"/>
        </w:rPr>
        <w:t xml:space="preserve">, de </w:t>
      </w:r>
      <w:r w:rsidR="00917C15">
        <w:rPr>
          <w:sz w:val="22"/>
          <w:szCs w:val="22"/>
        </w:rPr>
        <w:t xml:space="preserve">24 </w:t>
      </w:r>
      <w:r w:rsidRPr="00EA337F">
        <w:rPr>
          <w:sz w:val="22"/>
          <w:szCs w:val="22"/>
        </w:rPr>
        <w:t xml:space="preserve">de </w:t>
      </w:r>
      <w:r w:rsidR="002D0586">
        <w:rPr>
          <w:sz w:val="22"/>
          <w:szCs w:val="22"/>
        </w:rPr>
        <w:t>abril de 2023</w:t>
      </w:r>
      <w:r w:rsidRPr="00EA337F">
        <w:rPr>
          <w:sz w:val="22"/>
          <w:szCs w:val="22"/>
        </w:rPr>
        <w:t>, analizó los informes técnicos y legale</w:t>
      </w:r>
      <w:r w:rsidR="00917C15">
        <w:rPr>
          <w:sz w:val="22"/>
          <w:szCs w:val="22"/>
        </w:rPr>
        <w:t>s, que reposan en el expediente</w:t>
      </w:r>
      <w:r w:rsidRPr="00EA337F">
        <w:rPr>
          <w:sz w:val="22"/>
          <w:szCs w:val="22"/>
        </w:rPr>
        <w:t xml:space="preserv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035E6C" w:rsidRPr="00EA337F"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Concejo Metropolitano de Quito, en sesión pública ordinaria r</w:t>
      </w:r>
      <w:r w:rsidR="002D0586">
        <w:rPr>
          <w:rFonts w:ascii="Palatino Linotype" w:eastAsiaTheme="minorHAnsi" w:hAnsi="Palatino Linotype"/>
          <w:sz w:val="22"/>
          <w:szCs w:val="22"/>
          <w:lang w:eastAsia="en-US"/>
        </w:rPr>
        <w:t>ealizada el … de … de 2023</w:t>
      </w:r>
      <w:r w:rsidRPr="00EA337F">
        <w:rPr>
          <w:rFonts w:ascii="Palatino Linotype" w:eastAsiaTheme="minorHAnsi" w:hAnsi="Palatino Linotype"/>
          <w:sz w:val="22"/>
          <w:szCs w:val="22"/>
          <w:lang w:eastAsia="en-US"/>
        </w:rPr>
        <w:t>, ana</w:t>
      </w:r>
      <w:r w:rsidR="00144F8A" w:rsidRPr="00EA337F">
        <w:rPr>
          <w:rFonts w:ascii="Palatino Linotype" w:eastAsiaTheme="minorHAnsi" w:hAnsi="Palatino Linotype"/>
          <w:sz w:val="22"/>
          <w:szCs w:val="22"/>
          <w:lang w:eastAsia="en-US"/>
        </w:rPr>
        <w:t>lizó el informe Nro. IC-CUS-202</w:t>
      </w:r>
      <w:r w:rsidR="00E01875">
        <w:rPr>
          <w:rFonts w:ascii="Palatino Linotype" w:eastAsiaTheme="minorHAnsi" w:hAnsi="Palatino Linotype"/>
          <w:sz w:val="22"/>
          <w:szCs w:val="22"/>
          <w:lang w:eastAsia="en-US"/>
        </w:rPr>
        <w:t>3</w:t>
      </w:r>
      <w:r w:rsidR="00745751" w:rsidRPr="00EA337F">
        <w:rPr>
          <w:rFonts w:ascii="Palatino Linotype" w:eastAsiaTheme="minorHAnsi" w:hAnsi="Palatino Linotype"/>
          <w:sz w:val="22"/>
          <w:szCs w:val="22"/>
          <w:lang w:eastAsia="en-US"/>
        </w:rPr>
        <w:t>-</w:t>
      </w:r>
      <w:r w:rsidR="00917C15">
        <w:rPr>
          <w:rFonts w:ascii="Palatino Linotype" w:eastAsiaTheme="minorHAnsi" w:hAnsi="Palatino Linotype"/>
          <w:sz w:val="22"/>
          <w:szCs w:val="22"/>
          <w:lang w:eastAsia="en-US"/>
        </w:rPr>
        <w:t>024</w:t>
      </w:r>
      <w:r w:rsidR="00DB552C" w:rsidRPr="00EA337F">
        <w:rPr>
          <w:rFonts w:ascii="Palatino Linotype" w:eastAsiaTheme="minorHAnsi" w:hAnsi="Palatino Linotype"/>
          <w:sz w:val="22"/>
          <w:szCs w:val="22"/>
          <w:lang w:eastAsia="en-US"/>
        </w:rPr>
        <w:t>,</w:t>
      </w:r>
      <w:r w:rsidRPr="00EA337F">
        <w:rPr>
          <w:rFonts w:ascii="Palatino Linotype" w:eastAsiaTheme="minorHAnsi" w:hAnsi="Palatino Linotype"/>
          <w:sz w:val="22"/>
          <w:szCs w:val="22"/>
          <w:lang w:eastAsia="en-US"/>
        </w:rPr>
        <w:t xml:space="preserve"> emitido por la Comisión de Uso de Suelo; </w:t>
      </w:r>
    </w:p>
    <w:p w:rsidR="00C926A0" w:rsidRPr="00EA337F"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RESUELVE:</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b/>
          <w:sz w:val="22"/>
          <w:szCs w:val="22"/>
        </w:rPr>
        <w:t>Artículo 1.-</w:t>
      </w:r>
      <w:r w:rsidRPr="00EA337F">
        <w:rPr>
          <w:rFonts w:ascii="Palatino Linotype" w:hAnsi="Palatino Linotype" w:cs="Arial"/>
          <w:sz w:val="22"/>
          <w:szCs w:val="22"/>
        </w:rPr>
        <w:t xml:space="preserve"> Autorizar la subdivisión del </w:t>
      </w:r>
      <w:r w:rsidR="009924EB" w:rsidRPr="0050708A">
        <w:rPr>
          <w:rFonts w:ascii="Palatino Linotype" w:hAnsi="Palatino Linotype"/>
          <w:sz w:val="22"/>
          <w:szCs w:val="22"/>
        </w:rPr>
        <w:t xml:space="preserve">predio Nro. 1271057, clave catastral Nro. </w:t>
      </w:r>
      <w:r w:rsidR="009924EB" w:rsidRPr="0050708A">
        <w:rPr>
          <w:rFonts w:ascii="Palatino Linotype" w:hAnsi="Palatino Linotype" w:cs="Arial"/>
          <w:sz w:val="22"/>
          <w:szCs w:val="22"/>
        </w:rPr>
        <w:t>1251404007000000000</w:t>
      </w:r>
      <w:r w:rsidR="009924EB" w:rsidRPr="0050708A">
        <w:rPr>
          <w:rFonts w:ascii="Palatino Linotype" w:hAnsi="Palatino Linotype"/>
          <w:sz w:val="22"/>
          <w:szCs w:val="22"/>
        </w:rPr>
        <w:t>, ubicado en la parroquia Llano Chico</w:t>
      </w:r>
      <w:r w:rsidRPr="00EA337F">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9924EB" w:rsidRPr="0050708A">
        <w:rPr>
          <w:rFonts w:ascii="Palatino Linotype" w:hAnsi="Palatino Linotype"/>
          <w:sz w:val="22"/>
          <w:szCs w:val="22"/>
        </w:rPr>
        <w:t>17311-2014-0717</w:t>
      </w:r>
      <w:r w:rsidRPr="00EA337F">
        <w:rPr>
          <w:rFonts w:ascii="Palatino Linotype" w:hAnsi="Palatino Linotype" w:cs="Arial"/>
          <w:sz w:val="22"/>
          <w:szCs w:val="22"/>
        </w:rPr>
        <w:t xml:space="preserve">, mediante la cual la Jueza de la Unidad Judicial Civil con sede en la parroquia </w:t>
      </w:r>
      <w:r w:rsidR="009924EB">
        <w:rPr>
          <w:rFonts w:ascii="Palatino Linotype" w:hAnsi="Palatino Linotype" w:cs="Arial"/>
          <w:sz w:val="22"/>
          <w:szCs w:val="22"/>
        </w:rPr>
        <w:t xml:space="preserve">Iñaquito </w:t>
      </w:r>
      <w:r w:rsidRPr="00EA337F">
        <w:rPr>
          <w:rFonts w:ascii="Palatino Linotype" w:hAnsi="Palatino Linotype" w:cs="Arial"/>
          <w:sz w:val="22"/>
          <w:szCs w:val="22"/>
        </w:rPr>
        <w:t>del Distrito Metropolitano de Quito, acepta la demanda y declara la Prescripción Extraordinaria Adquisitiva de Do</w:t>
      </w:r>
      <w:r w:rsidR="00633AF6" w:rsidRPr="00EA337F">
        <w:rPr>
          <w:rFonts w:ascii="Palatino Linotype" w:hAnsi="Palatino Linotype" w:cs="Arial"/>
          <w:sz w:val="22"/>
          <w:szCs w:val="22"/>
        </w:rPr>
        <w:t>minio que ha operado a favor de</w:t>
      </w:r>
      <w:r w:rsidR="00590CC8">
        <w:rPr>
          <w:rFonts w:ascii="Palatino Linotype" w:hAnsi="Palatino Linotype" w:cs="Arial"/>
          <w:sz w:val="22"/>
          <w:szCs w:val="22"/>
        </w:rPr>
        <w:t xml:space="preserve"> </w:t>
      </w:r>
      <w:r w:rsidR="00F93D2D" w:rsidRPr="0050708A">
        <w:rPr>
          <w:rFonts w:ascii="Palatino Linotype" w:hAnsi="Palatino Linotype"/>
          <w:sz w:val="22"/>
          <w:szCs w:val="22"/>
        </w:rPr>
        <w:t xml:space="preserve">la </w:t>
      </w:r>
      <w:r w:rsidR="00F93D2D">
        <w:rPr>
          <w:rFonts w:ascii="Palatino Linotype" w:hAnsi="Palatino Linotype"/>
          <w:sz w:val="22"/>
          <w:szCs w:val="22"/>
        </w:rPr>
        <w:t>señora</w:t>
      </w:r>
      <w:r w:rsidR="00F93D2D" w:rsidRPr="0050708A">
        <w:rPr>
          <w:rFonts w:ascii="Palatino Linotype" w:hAnsi="Palatino Linotype"/>
          <w:sz w:val="22"/>
          <w:szCs w:val="22"/>
        </w:rPr>
        <w:t xml:space="preserve"> María Hortencia Montenegro Guamán</w:t>
      </w:r>
      <w:r w:rsidRPr="00EA337F">
        <w:rPr>
          <w:rFonts w:ascii="Palatino Linotype" w:hAnsi="Palatino Linotype" w:cs="Arial"/>
          <w:sz w:val="22"/>
          <w:szCs w:val="22"/>
        </w:rPr>
        <w:t xml:space="preserve">, por una superficie de </w:t>
      </w:r>
      <w:r w:rsidR="006E169B">
        <w:rPr>
          <w:rFonts w:ascii="Palatino Linotype" w:hAnsi="Palatino Linotype"/>
          <w:sz w:val="22"/>
          <w:szCs w:val="22"/>
        </w:rPr>
        <w:t>1078</w:t>
      </w:r>
      <w:r w:rsidR="00D206D2">
        <w:rPr>
          <w:rFonts w:ascii="Palatino Linotype" w:hAnsi="Palatino Linotype"/>
          <w:sz w:val="22"/>
          <w:szCs w:val="22"/>
        </w:rPr>
        <w:t>,00</w:t>
      </w:r>
      <w:r w:rsidR="002F2CCA" w:rsidRPr="00EA337F">
        <w:rPr>
          <w:rFonts w:ascii="Palatino Linotype" w:hAnsi="Palatino Linotype"/>
          <w:sz w:val="22"/>
          <w:szCs w:val="22"/>
        </w:rPr>
        <w:t xml:space="preserve"> m2</w:t>
      </w:r>
      <w:r w:rsidRPr="00EA337F">
        <w:rPr>
          <w:rFonts w:ascii="Palatino Linotype" w:hAnsi="Palatino Linotype" w:cs="Arial"/>
          <w:sz w:val="22"/>
          <w:szCs w:val="22"/>
        </w:rPr>
        <w:t xml:space="preserve">. </w:t>
      </w:r>
      <w:bookmarkStart w:id="0" w:name="_GoBack"/>
      <w:bookmarkEnd w:id="0"/>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EA337F" w:rsidRDefault="005F36E3" w:rsidP="00755448">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sz w:val="22"/>
          <w:szCs w:val="22"/>
        </w:rPr>
        <w:lastRenderedPageBreak/>
        <w:t xml:space="preserve">De conformidad con lo dispuesto en el artículo 2266.160 del Código Municipal para el Distrito Metropolitano de Quito, </w:t>
      </w:r>
      <w:r w:rsidR="00DA65C2" w:rsidRPr="00EA337F">
        <w:rPr>
          <w:rFonts w:ascii="Palatino Linotype" w:hAnsi="Palatino Linotype" w:cs="Arial"/>
          <w:sz w:val="22"/>
          <w:szCs w:val="22"/>
        </w:rPr>
        <w:t>l</w:t>
      </w:r>
      <w:r w:rsidR="00F93D2D">
        <w:rPr>
          <w:rFonts w:ascii="Palatino Linotype" w:hAnsi="Palatino Linotype" w:cs="Arial"/>
          <w:sz w:val="22"/>
          <w:szCs w:val="22"/>
        </w:rPr>
        <w:t>a</w:t>
      </w:r>
      <w:r w:rsidR="00DA65C2" w:rsidRPr="00EA337F">
        <w:rPr>
          <w:rFonts w:ascii="Palatino Linotype" w:hAnsi="Palatino Linotype" w:cs="Arial"/>
          <w:sz w:val="22"/>
          <w:szCs w:val="22"/>
        </w:rPr>
        <w:t xml:space="preserve"> </w:t>
      </w:r>
      <w:r w:rsidR="00F93D2D">
        <w:rPr>
          <w:rFonts w:ascii="Palatino Linotype" w:hAnsi="Palatino Linotype" w:cs="Arial"/>
          <w:sz w:val="22"/>
          <w:szCs w:val="22"/>
        </w:rPr>
        <w:t>señora</w:t>
      </w:r>
      <w:r w:rsidR="00F93D2D">
        <w:rPr>
          <w:rFonts w:ascii="Palatino Linotype" w:hAnsi="Palatino Linotype"/>
          <w:sz w:val="22"/>
          <w:szCs w:val="22"/>
        </w:rPr>
        <w:t xml:space="preserve"> </w:t>
      </w:r>
      <w:r w:rsidR="00F93D2D" w:rsidRPr="0050708A">
        <w:rPr>
          <w:rFonts w:ascii="Palatino Linotype" w:hAnsi="Palatino Linotype"/>
          <w:sz w:val="22"/>
          <w:szCs w:val="22"/>
        </w:rPr>
        <w:t>María Hortencia Montenegro Guamán</w:t>
      </w:r>
      <w:r w:rsidRPr="00EA337F">
        <w:rPr>
          <w:rFonts w:ascii="Palatino Linotype" w:hAnsi="Palatino Linotype" w:cs="Arial"/>
          <w:sz w:val="22"/>
          <w:szCs w:val="22"/>
        </w:rPr>
        <w:t>, deberá compensar en valor monetario, la contribución del 15% del área útil adjudicada, de acuerdo con el cálculo que realice la Administración Zonal competente.</w:t>
      </w:r>
    </w:p>
    <w:p w:rsidR="005F36E3" w:rsidRPr="00EA337F"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Disposiciones generales:</w:t>
      </w:r>
    </w:p>
    <w:p w:rsidR="00755448" w:rsidRPr="00EA337F"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 xml:space="preserve">Primera.- </w:t>
      </w:r>
      <w:r w:rsidRPr="00EA337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Segunda.-</w:t>
      </w:r>
      <w:r w:rsidRPr="00EA337F">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Disposición Final.-</w:t>
      </w:r>
      <w:r w:rsidRPr="00EA337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sz w:val="22"/>
          <w:szCs w:val="22"/>
        </w:rPr>
        <w:t xml:space="preserve">Dada en la sesión del Concejo Metropolitano de Quito, el ……….. </w:t>
      </w:r>
    </w:p>
    <w:p w:rsidR="00755448" w:rsidRPr="00EA337F" w:rsidRDefault="00755448" w:rsidP="00755448">
      <w:pPr>
        <w:spacing w:line="276" w:lineRule="auto"/>
        <w:ind w:left="-5"/>
        <w:jc w:val="both"/>
        <w:rPr>
          <w:rFonts w:ascii="Palatino Linotype" w:hAnsi="Palatino Linotype"/>
          <w:sz w:val="22"/>
          <w:szCs w:val="22"/>
        </w:rPr>
      </w:pPr>
    </w:p>
    <w:p w:rsidR="00755448" w:rsidRPr="00EA337F" w:rsidRDefault="00755448" w:rsidP="00755448">
      <w:pPr>
        <w:spacing w:line="276" w:lineRule="auto"/>
        <w:ind w:left="-5" w:right="-143"/>
        <w:jc w:val="both"/>
        <w:rPr>
          <w:rFonts w:ascii="Palatino Linotype" w:hAnsi="Palatino Linotype"/>
          <w:sz w:val="22"/>
          <w:szCs w:val="22"/>
        </w:rPr>
      </w:pPr>
      <w:r w:rsidRPr="00EA337F">
        <w:rPr>
          <w:rFonts w:ascii="Palatino Linotype" w:hAnsi="Palatino Linotype"/>
          <w:b/>
          <w:sz w:val="22"/>
          <w:szCs w:val="22"/>
        </w:rPr>
        <w:t xml:space="preserve">Alcaldía del Distrito Metropolitano. - </w:t>
      </w:r>
      <w:r w:rsidRPr="00EA337F">
        <w:rPr>
          <w:rFonts w:ascii="Palatino Linotype" w:hAnsi="Palatino Linotype"/>
          <w:sz w:val="22"/>
          <w:szCs w:val="22"/>
        </w:rPr>
        <w:t>Distrito Metropolitano de Quito, ………..</w:t>
      </w:r>
    </w:p>
    <w:p w:rsidR="00755448" w:rsidRPr="00EA337F" w:rsidRDefault="00755448" w:rsidP="00755448">
      <w:pPr>
        <w:spacing w:line="276" w:lineRule="auto"/>
        <w:jc w:val="both"/>
        <w:rPr>
          <w:rFonts w:ascii="Palatino Linotype" w:hAnsi="Palatino Linotype"/>
          <w:sz w:val="22"/>
          <w:szCs w:val="22"/>
        </w:rPr>
      </w:pP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b/>
          <w:sz w:val="22"/>
          <w:szCs w:val="22"/>
        </w:rPr>
        <w:t>EJECÚTESE:</w:t>
      </w: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r w:rsidRPr="00EA337F">
        <w:rPr>
          <w:rFonts w:ascii="Palatino Linotype" w:hAnsi="Palatino Linotype"/>
          <w:sz w:val="22"/>
          <w:szCs w:val="22"/>
        </w:rPr>
        <w:t>Dr. Santiago Guarderas Izquierdo</w:t>
      </w:r>
    </w:p>
    <w:p w:rsidR="00755448" w:rsidRPr="00EA337F" w:rsidRDefault="00755448" w:rsidP="00755448">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A337F">
        <w:rPr>
          <w:rFonts w:ascii="Palatino Linotype" w:eastAsia="Palatino Linotype" w:hAnsi="Palatino Linotype" w:cs="Palatino Linotype"/>
          <w:b/>
          <w:color w:val="000000"/>
          <w:sz w:val="22"/>
          <w:szCs w:val="22"/>
          <w:lang w:eastAsia="es-EC"/>
        </w:rPr>
        <w:t>ALCALDE DEL DISTRITO METROPOLITANO DE QUITO</w:t>
      </w:r>
    </w:p>
    <w:p w:rsidR="00755448" w:rsidRPr="00EA337F" w:rsidRDefault="00755448" w:rsidP="00755448">
      <w:pPr>
        <w:spacing w:line="276" w:lineRule="auto"/>
        <w:jc w:val="center"/>
        <w:rPr>
          <w:rFonts w:ascii="Palatino Linotype" w:hAnsi="Palatino Linotype"/>
          <w:sz w:val="22"/>
          <w:szCs w:val="22"/>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b/>
          <w:sz w:val="22"/>
          <w:szCs w:val="22"/>
        </w:rPr>
        <w:t>CERTIFICO,</w:t>
      </w:r>
      <w:r w:rsidRPr="00EA337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755448" w:rsidRPr="00EA337F" w:rsidRDefault="00755448" w:rsidP="00755448">
      <w:pPr>
        <w:spacing w:line="276" w:lineRule="auto"/>
        <w:jc w:val="both"/>
        <w:rPr>
          <w:rFonts w:ascii="Palatino Linotype" w:hAnsi="Palatino Linotype"/>
          <w:sz w:val="22"/>
          <w:szCs w:val="22"/>
        </w:rPr>
      </w:pPr>
      <w:r w:rsidRPr="00EA337F">
        <w:rPr>
          <w:rFonts w:ascii="Palatino Linotype" w:hAnsi="Palatino Linotype"/>
          <w:b/>
          <w:sz w:val="22"/>
          <w:szCs w:val="22"/>
        </w:rPr>
        <w:t xml:space="preserve"> </w:t>
      </w:r>
    </w:p>
    <w:p w:rsidR="00755448" w:rsidRPr="00EA337F" w:rsidRDefault="00755448" w:rsidP="00755448">
      <w:pPr>
        <w:spacing w:line="276" w:lineRule="auto"/>
        <w:ind w:left="-5"/>
        <w:jc w:val="both"/>
        <w:rPr>
          <w:rFonts w:ascii="Palatino Linotype" w:hAnsi="Palatino Linotype"/>
          <w:sz w:val="22"/>
          <w:szCs w:val="22"/>
          <w:highlight w:val="yellow"/>
        </w:rPr>
      </w:pPr>
      <w:r w:rsidRPr="00EA337F">
        <w:rPr>
          <w:rFonts w:ascii="Palatino Linotype" w:hAnsi="Palatino Linotype"/>
          <w:b/>
          <w:sz w:val="22"/>
          <w:szCs w:val="22"/>
        </w:rPr>
        <w:t xml:space="preserve">Lo certifico. - </w:t>
      </w:r>
      <w:r w:rsidRPr="00EA337F">
        <w:rPr>
          <w:rFonts w:ascii="Palatino Linotype" w:hAnsi="Palatino Linotype"/>
          <w:sz w:val="22"/>
          <w:szCs w:val="22"/>
        </w:rPr>
        <w:t xml:space="preserve">Distrito Metropolitano de Quito.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lastRenderedPageBreak/>
        <w:t xml:space="preserve"> </w:t>
      </w: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sz w:val="22"/>
          <w:szCs w:val="22"/>
        </w:rPr>
        <w:t>Abg. Pablo Santillán Paredes</w:t>
      </w:r>
    </w:p>
    <w:p w:rsidR="00751D1C" w:rsidRPr="00DF0B4F" w:rsidRDefault="00755448" w:rsidP="00DF0B4F">
      <w:pPr>
        <w:spacing w:line="276" w:lineRule="auto"/>
        <w:jc w:val="center"/>
        <w:rPr>
          <w:rFonts w:ascii="Palatino Linotype" w:eastAsia="Calibri" w:hAnsi="Palatino Linotype"/>
          <w:b/>
          <w:sz w:val="22"/>
          <w:szCs w:val="22"/>
          <w:lang w:eastAsia="en-US"/>
        </w:rPr>
      </w:pPr>
      <w:r w:rsidRPr="00EA337F">
        <w:rPr>
          <w:rFonts w:ascii="Palatino Linotype" w:eastAsia="Calibri" w:hAnsi="Palatino Linotype"/>
          <w:b/>
          <w:sz w:val="22"/>
          <w:szCs w:val="22"/>
          <w:lang w:eastAsia="en-US"/>
        </w:rPr>
        <w:t>SECRETARIO GENERAL DE</w:t>
      </w:r>
      <w:r w:rsidR="00DF0B4F">
        <w:rPr>
          <w:rFonts w:ascii="Palatino Linotype" w:eastAsia="Calibri" w:hAnsi="Palatino Linotype"/>
          <w:b/>
          <w:sz w:val="22"/>
          <w:szCs w:val="22"/>
          <w:lang w:eastAsia="en-US"/>
        </w:rPr>
        <w:t xml:space="preserve">L CONCEJO METROPOLITANO DE QUITO </w:t>
      </w:r>
    </w:p>
    <w:sectPr w:rsidR="00751D1C" w:rsidRPr="00DF0B4F" w:rsidSect="005D2467">
      <w:headerReference w:type="default" r:id="rId9"/>
      <w:footerReference w:type="default" r:id="rId10"/>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EB" w:rsidRDefault="00B610EB">
      <w:r>
        <w:separator/>
      </w:r>
    </w:p>
  </w:endnote>
  <w:endnote w:type="continuationSeparator" w:id="0">
    <w:p w:rsidR="00B610EB" w:rsidRDefault="00B6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6E169B">
              <w:rPr>
                <w:rFonts w:ascii="Palatino Linotype" w:hAnsi="Palatino Linotype"/>
                <w:b/>
                <w:bCs/>
                <w:noProof/>
                <w:sz w:val="20"/>
                <w:szCs w:val="20"/>
              </w:rPr>
              <w:t>9</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6E169B">
              <w:rPr>
                <w:rFonts w:ascii="Palatino Linotype" w:hAnsi="Palatino Linotype"/>
                <w:b/>
                <w:bCs/>
                <w:noProof/>
                <w:sz w:val="20"/>
                <w:szCs w:val="20"/>
              </w:rPr>
              <w:t>11</w:t>
            </w:r>
            <w:r w:rsidRPr="00707DE5">
              <w:rPr>
                <w:rFonts w:ascii="Palatino Linotype" w:hAnsi="Palatino Linotype"/>
                <w:b/>
                <w:bCs/>
                <w:sz w:val="20"/>
                <w:szCs w:val="20"/>
              </w:rPr>
              <w:fldChar w:fldCharType="end"/>
            </w:r>
          </w:p>
          <w:p w:rsidR="005D2467" w:rsidRPr="008479FB" w:rsidRDefault="00B610EB">
            <w:pPr>
              <w:pStyle w:val="Piedepgina"/>
              <w:jc w:val="right"/>
              <w:rPr>
                <w:rFonts w:ascii="Palatino Linotype" w:hAnsi="Palatino Linotype"/>
                <w:sz w:val="20"/>
                <w:szCs w:val="20"/>
              </w:rPr>
            </w:pPr>
          </w:p>
        </w:sdtContent>
      </w:sdt>
    </w:sdtContent>
  </w:sdt>
  <w:p w:rsidR="005D2467" w:rsidRPr="008479FB" w:rsidRDefault="00B610EB">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EB" w:rsidRDefault="00B610EB">
      <w:r>
        <w:separator/>
      </w:r>
    </w:p>
  </w:footnote>
  <w:footnote w:type="continuationSeparator" w:id="0">
    <w:p w:rsidR="00B610EB" w:rsidRDefault="00B61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B610EB"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B610EB"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B610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0"/>
    <w:rsid w:val="000051D2"/>
    <w:rsid w:val="000077F9"/>
    <w:rsid w:val="0001098C"/>
    <w:rsid w:val="0002399A"/>
    <w:rsid w:val="000264CB"/>
    <w:rsid w:val="00027D50"/>
    <w:rsid w:val="00030386"/>
    <w:rsid w:val="00035E6C"/>
    <w:rsid w:val="0004203F"/>
    <w:rsid w:val="00056FAC"/>
    <w:rsid w:val="00063D30"/>
    <w:rsid w:val="00067AEE"/>
    <w:rsid w:val="0008033C"/>
    <w:rsid w:val="00090E26"/>
    <w:rsid w:val="000944D7"/>
    <w:rsid w:val="000A17A7"/>
    <w:rsid w:val="000A6FF4"/>
    <w:rsid w:val="000A70A0"/>
    <w:rsid w:val="000B4CF2"/>
    <w:rsid w:val="000E121C"/>
    <w:rsid w:val="000E205E"/>
    <w:rsid w:val="00115787"/>
    <w:rsid w:val="00133578"/>
    <w:rsid w:val="0013405F"/>
    <w:rsid w:val="00144F8A"/>
    <w:rsid w:val="0017481B"/>
    <w:rsid w:val="001950C6"/>
    <w:rsid w:val="001A17A7"/>
    <w:rsid w:val="001A1C17"/>
    <w:rsid w:val="001A2E60"/>
    <w:rsid w:val="001A5724"/>
    <w:rsid w:val="001A728F"/>
    <w:rsid w:val="001B2FFD"/>
    <w:rsid w:val="001C1FC7"/>
    <w:rsid w:val="001C4D82"/>
    <w:rsid w:val="001C7456"/>
    <w:rsid w:val="001E2F33"/>
    <w:rsid w:val="001F679D"/>
    <w:rsid w:val="001F733D"/>
    <w:rsid w:val="00224DF1"/>
    <w:rsid w:val="00236DB4"/>
    <w:rsid w:val="0024403E"/>
    <w:rsid w:val="00245D20"/>
    <w:rsid w:val="00252078"/>
    <w:rsid w:val="00253AA5"/>
    <w:rsid w:val="0026215F"/>
    <w:rsid w:val="00264155"/>
    <w:rsid w:val="0029483E"/>
    <w:rsid w:val="00296140"/>
    <w:rsid w:val="00296D2E"/>
    <w:rsid w:val="002C614C"/>
    <w:rsid w:val="002D0586"/>
    <w:rsid w:val="002D4C5C"/>
    <w:rsid w:val="002E4C52"/>
    <w:rsid w:val="002F2CCA"/>
    <w:rsid w:val="002F7AF5"/>
    <w:rsid w:val="00306191"/>
    <w:rsid w:val="00306C08"/>
    <w:rsid w:val="00313677"/>
    <w:rsid w:val="00336073"/>
    <w:rsid w:val="00345885"/>
    <w:rsid w:val="00360B0F"/>
    <w:rsid w:val="003A3AD1"/>
    <w:rsid w:val="003B1A54"/>
    <w:rsid w:val="003B66C8"/>
    <w:rsid w:val="003E3BAD"/>
    <w:rsid w:val="004014CA"/>
    <w:rsid w:val="00406F51"/>
    <w:rsid w:val="0042799B"/>
    <w:rsid w:val="004336C0"/>
    <w:rsid w:val="004401B9"/>
    <w:rsid w:val="00445381"/>
    <w:rsid w:val="00470AD9"/>
    <w:rsid w:val="00481F59"/>
    <w:rsid w:val="00495B8D"/>
    <w:rsid w:val="004B008D"/>
    <w:rsid w:val="004B0B8C"/>
    <w:rsid w:val="004B2063"/>
    <w:rsid w:val="004C50EC"/>
    <w:rsid w:val="004E2C3F"/>
    <w:rsid w:val="004F5036"/>
    <w:rsid w:val="00511047"/>
    <w:rsid w:val="00516B3E"/>
    <w:rsid w:val="00532857"/>
    <w:rsid w:val="00552CDD"/>
    <w:rsid w:val="00563512"/>
    <w:rsid w:val="005720AF"/>
    <w:rsid w:val="00590CC8"/>
    <w:rsid w:val="005A0BB9"/>
    <w:rsid w:val="005A6B15"/>
    <w:rsid w:val="005B5DA3"/>
    <w:rsid w:val="005B6971"/>
    <w:rsid w:val="005B7C5B"/>
    <w:rsid w:val="005C6371"/>
    <w:rsid w:val="005C733B"/>
    <w:rsid w:val="005D1661"/>
    <w:rsid w:val="005D3837"/>
    <w:rsid w:val="005D5471"/>
    <w:rsid w:val="005F36E3"/>
    <w:rsid w:val="00606C06"/>
    <w:rsid w:val="00617C1E"/>
    <w:rsid w:val="00633AF6"/>
    <w:rsid w:val="00636664"/>
    <w:rsid w:val="00673059"/>
    <w:rsid w:val="00677109"/>
    <w:rsid w:val="00687C0C"/>
    <w:rsid w:val="00694141"/>
    <w:rsid w:val="006A14C9"/>
    <w:rsid w:val="006A4027"/>
    <w:rsid w:val="006A6DA4"/>
    <w:rsid w:val="006C76D0"/>
    <w:rsid w:val="006D2D14"/>
    <w:rsid w:val="006E169B"/>
    <w:rsid w:val="006E179D"/>
    <w:rsid w:val="006E34DC"/>
    <w:rsid w:val="006E3862"/>
    <w:rsid w:val="0071609F"/>
    <w:rsid w:val="007315B0"/>
    <w:rsid w:val="00740EE8"/>
    <w:rsid w:val="00745751"/>
    <w:rsid w:val="007500BA"/>
    <w:rsid w:val="00751D1C"/>
    <w:rsid w:val="00754340"/>
    <w:rsid w:val="00755448"/>
    <w:rsid w:val="00757091"/>
    <w:rsid w:val="00763C7E"/>
    <w:rsid w:val="007B4D6C"/>
    <w:rsid w:val="007C3147"/>
    <w:rsid w:val="007D2680"/>
    <w:rsid w:val="007D2D4F"/>
    <w:rsid w:val="007E60E9"/>
    <w:rsid w:val="008044F7"/>
    <w:rsid w:val="0081380B"/>
    <w:rsid w:val="0082482D"/>
    <w:rsid w:val="00832D35"/>
    <w:rsid w:val="00854CBC"/>
    <w:rsid w:val="00855B0B"/>
    <w:rsid w:val="00862F11"/>
    <w:rsid w:val="0087756E"/>
    <w:rsid w:val="008824CB"/>
    <w:rsid w:val="008834D1"/>
    <w:rsid w:val="00893065"/>
    <w:rsid w:val="00893F13"/>
    <w:rsid w:val="008A3F72"/>
    <w:rsid w:val="008B2FAD"/>
    <w:rsid w:val="008B4153"/>
    <w:rsid w:val="008D70EA"/>
    <w:rsid w:val="00907185"/>
    <w:rsid w:val="00917C15"/>
    <w:rsid w:val="0093701E"/>
    <w:rsid w:val="00942032"/>
    <w:rsid w:val="00953717"/>
    <w:rsid w:val="0096109F"/>
    <w:rsid w:val="00962351"/>
    <w:rsid w:val="0097359A"/>
    <w:rsid w:val="00983736"/>
    <w:rsid w:val="0098647F"/>
    <w:rsid w:val="009924EB"/>
    <w:rsid w:val="00993181"/>
    <w:rsid w:val="0099372E"/>
    <w:rsid w:val="00995164"/>
    <w:rsid w:val="0099702E"/>
    <w:rsid w:val="009C157E"/>
    <w:rsid w:val="009C1F12"/>
    <w:rsid w:val="009E1D0C"/>
    <w:rsid w:val="009F6F24"/>
    <w:rsid w:val="00A23206"/>
    <w:rsid w:val="00A336B5"/>
    <w:rsid w:val="00A35D24"/>
    <w:rsid w:val="00A42FBD"/>
    <w:rsid w:val="00A45C33"/>
    <w:rsid w:val="00A47D5C"/>
    <w:rsid w:val="00A55032"/>
    <w:rsid w:val="00A56888"/>
    <w:rsid w:val="00A60EBB"/>
    <w:rsid w:val="00A654D7"/>
    <w:rsid w:val="00A66C89"/>
    <w:rsid w:val="00A76A16"/>
    <w:rsid w:val="00A87872"/>
    <w:rsid w:val="00A96ED7"/>
    <w:rsid w:val="00AA23EE"/>
    <w:rsid w:val="00AA2620"/>
    <w:rsid w:val="00AB78A2"/>
    <w:rsid w:val="00AC0982"/>
    <w:rsid w:val="00AC4B2C"/>
    <w:rsid w:val="00AD0CAC"/>
    <w:rsid w:val="00AD0F1B"/>
    <w:rsid w:val="00AD1557"/>
    <w:rsid w:val="00AD767B"/>
    <w:rsid w:val="00AE18B4"/>
    <w:rsid w:val="00AE1F80"/>
    <w:rsid w:val="00AE5F25"/>
    <w:rsid w:val="00B007F0"/>
    <w:rsid w:val="00B0169E"/>
    <w:rsid w:val="00B27543"/>
    <w:rsid w:val="00B35D39"/>
    <w:rsid w:val="00B402C2"/>
    <w:rsid w:val="00B418BF"/>
    <w:rsid w:val="00B46254"/>
    <w:rsid w:val="00B5446C"/>
    <w:rsid w:val="00B610EB"/>
    <w:rsid w:val="00B706B2"/>
    <w:rsid w:val="00B748ED"/>
    <w:rsid w:val="00B84C96"/>
    <w:rsid w:val="00B9672E"/>
    <w:rsid w:val="00BA3CE3"/>
    <w:rsid w:val="00BA63E5"/>
    <w:rsid w:val="00BD292F"/>
    <w:rsid w:val="00BF4249"/>
    <w:rsid w:val="00C2568C"/>
    <w:rsid w:val="00C31C0C"/>
    <w:rsid w:val="00C4735F"/>
    <w:rsid w:val="00C7771D"/>
    <w:rsid w:val="00C82C59"/>
    <w:rsid w:val="00C926A0"/>
    <w:rsid w:val="00CB1FAE"/>
    <w:rsid w:val="00CB5779"/>
    <w:rsid w:val="00CF05C8"/>
    <w:rsid w:val="00CF748D"/>
    <w:rsid w:val="00D1552F"/>
    <w:rsid w:val="00D206D2"/>
    <w:rsid w:val="00D2352F"/>
    <w:rsid w:val="00D23C29"/>
    <w:rsid w:val="00D4445E"/>
    <w:rsid w:val="00D5311D"/>
    <w:rsid w:val="00D57722"/>
    <w:rsid w:val="00D64A4C"/>
    <w:rsid w:val="00D86EE7"/>
    <w:rsid w:val="00DA4995"/>
    <w:rsid w:val="00DA65C2"/>
    <w:rsid w:val="00DB552C"/>
    <w:rsid w:val="00DC5625"/>
    <w:rsid w:val="00DD0991"/>
    <w:rsid w:val="00DD732A"/>
    <w:rsid w:val="00DF0B4F"/>
    <w:rsid w:val="00E01875"/>
    <w:rsid w:val="00E02AE3"/>
    <w:rsid w:val="00E22628"/>
    <w:rsid w:val="00E332EA"/>
    <w:rsid w:val="00E35865"/>
    <w:rsid w:val="00E41B4B"/>
    <w:rsid w:val="00E5406F"/>
    <w:rsid w:val="00E557C1"/>
    <w:rsid w:val="00E81779"/>
    <w:rsid w:val="00E84326"/>
    <w:rsid w:val="00E97A2B"/>
    <w:rsid w:val="00EA337F"/>
    <w:rsid w:val="00EA5D12"/>
    <w:rsid w:val="00EC6091"/>
    <w:rsid w:val="00EE41D0"/>
    <w:rsid w:val="00EE4C7B"/>
    <w:rsid w:val="00EE74C9"/>
    <w:rsid w:val="00EF041A"/>
    <w:rsid w:val="00EF6F62"/>
    <w:rsid w:val="00F073C7"/>
    <w:rsid w:val="00F33C5B"/>
    <w:rsid w:val="00F5205A"/>
    <w:rsid w:val="00F6236F"/>
    <w:rsid w:val="00F64624"/>
    <w:rsid w:val="00F93D2D"/>
    <w:rsid w:val="00F950D9"/>
    <w:rsid w:val="00FA7F92"/>
    <w:rsid w:val="00FB2C86"/>
    <w:rsid w:val="00FC3E6E"/>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19F5"/>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3145</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388</cp:revision>
  <dcterms:created xsi:type="dcterms:W3CDTF">2021-03-30T15:44:00Z</dcterms:created>
  <dcterms:modified xsi:type="dcterms:W3CDTF">2023-07-28T20:38:00Z</dcterms:modified>
</cp:coreProperties>
</file>