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FF" w:rsidRPr="00E27D20" w:rsidRDefault="00455C3E" w:rsidP="00FF76FF">
      <w:pPr>
        <w:autoSpaceDE w:val="0"/>
        <w:autoSpaceDN w:val="0"/>
        <w:adjustRightInd w:val="0"/>
        <w:jc w:val="center"/>
        <w:rPr>
          <w:rFonts w:ascii="Century Gothic" w:hAnsi="Century Gothic"/>
          <w:sz w:val="22"/>
          <w:szCs w:val="22"/>
        </w:rPr>
      </w:pPr>
      <w:r>
        <w:rPr>
          <w:rFonts w:ascii="Century Gothic" w:hAnsi="Century Gothic"/>
          <w:sz w:val="22"/>
          <w:szCs w:val="22"/>
        </w:rPr>
        <w:t>RESOLUCIÓN No. C XXX - 2023</w:t>
      </w:r>
    </w:p>
    <w:p w:rsidR="00FF76FF" w:rsidRPr="00E27D20" w:rsidRDefault="00FF76FF" w:rsidP="00FF76FF">
      <w:pPr>
        <w:autoSpaceDE w:val="0"/>
        <w:autoSpaceDN w:val="0"/>
        <w:adjustRightInd w:val="0"/>
        <w:jc w:val="center"/>
        <w:rPr>
          <w:rFonts w:ascii="Century Gothic" w:hAnsi="Century Gothic"/>
          <w:sz w:val="22"/>
          <w:szCs w:val="22"/>
        </w:rPr>
      </w:pPr>
    </w:p>
    <w:p w:rsidR="00FF76FF" w:rsidRPr="00E27D20" w:rsidRDefault="00FF76FF" w:rsidP="00FF76FF">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rsidR="00FF76FF" w:rsidRPr="00E27D20" w:rsidRDefault="00FF76FF" w:rsidP="00FF76FF">
      <w:pPr>
        <w:autoSpaceDE w:val="0"/>
        <w:autoSpaceDN w:val="0"/>
        <w:adjustRightInd w:val="0"/>
        <w:jc w:val="center"/>
        <w:rPr>
          <w:rFonts w:ascii="Century Gothic" w:hAnsi="Century Gothic"/>
          <w:sz w:val="22"/>
          <w:szCs w:val="22"/>
        </w:rPr>
      </w:pPr>
    </w:p>
    <w:p w:rsidR="00FF76FF" w:rsidRPr="00E27D20" w:rsidRDefault="00FF76FF" w:rsidP="00FF76FF">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rsidR="00FF76FF" w:rsidRPr="00E27D20" w:rsidRDefault="00FF76FF" w:rsidP="00FF76FF">
      <w:pPr>
        <w:autoSpaceDE w:val="0"/>
        <w:autoSpaceDN w:val="0"/>
        <w:adjustRightInd w:val="0"/>
        <w:jc w:val="center"/>
        <w:rPr>
          <w:rFonts w:ascii="Century Gothic" w:hAnsi="Century Gothic"/>
          <w:sz w:val="22"/>
          <w:szCs w:val="22"/>
        </w:rPr>
      </w:pPr>
    </w:p>
    <w:p w:rsidR="00FF76FF" w:rsidRPr="00E27D20" w:rsidRDefault="00FF76FF" w:rsidP="00FF76FF">
      <w:pPr>
        <w:autoSpaceDE w:val="0"/>
        <w:autoSpaceDN w:val="0"/>
        <w:adjustRightInd w:val="0"/>
        <w:ind w:left="709" w:hanging="709"/>
        <w:jc w:val="both"/>
        <w:rPr>
          <w:rFonts w:ascii="Century Gothic" w:eastAsiaTheme="minorHAnsi" w:hAnsi="Century Gothic"/>
          <w:sz w:val="22"/>
          <w:szCs w:val="22"/>
          <w:lang w:val="es-EC" w:eastAsia="en-US"/>
        </w:rPr>
      </w:pPr>
    </w:p>
    <w:p w:rsidR="00FF76FF" w:rsidRPr="001B5A35" w:rsidRDefault="00FF76FF" w:rsidP="00FF76FF">
      <w:pPr>
        <w:ind w:left="709" w:hanging="709"/>
        <w:jc w:val="both"/>
        <w:rPr>
          <w:rFonts w:ascii="Century Gothic" w:hAnsi="Century Gothic"/>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ab/>
        <w:t>el art. 226 de la Constitución de la República (la «</w:t>
      </w:r>
      <w:r w:rsidRPr="001B5A35">
        <w:rPr>
          <w:rFonts w:ascii="Century Gothic" w:hAnsi="Century Gothic"/>
          <w:sz w:val="22"/>
          <w:szCs w:val="22"/>
          <w:u w:val="single"/>
          <w:lang w:val="es-ES_tradnl" w:eastAsia="ar-SA"/>
        </w:rPr>
        <w:t>Constitución</w:t>
      </w:r>
      <w:r w:rsidRPr="001B5A35">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FF76FF" w:rsidRPr="001B5A35" w:rsidRDefault="00FF76FF" w:rsidP="00FF76FF">
      <w:pPr>
        <w:ind w:left="709" w:hanging="709"/>
        <w:jc w:val="both"/>
        <w:rPr>
          <w:rFonts w:ascii="Century Gothic" w:hAnsi="Century Gothic"/>
          <w:sz w:val="22"/>
          <w:szCs w:val="22"/>
          <w:lang w:val="es-ES_tradnl" w:eastAsia="ar-SA"/>
        </w:rPr>
      </w:pPr>
    </w:p>
    <w:p w:rsidR="00FF76FF" w:rsidRPr="001B5A35" w:rsidRDefault="00FF76FF" w:rsidP="00FF76FF">
      <w:pPr>
        <w:ind w:left="709" w:hanging="709"/>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 xml:space="preserve"> </w:t>
      </w:r>
      <w:r w:rsidRPr="001B5A35">
        <w:rPr>
          <w:rFonts w:ascii="Century Gothic" w:hAnsi="Century Gothic"/>
          <w:sz w:val="22"/>
          <w:szCs w:val="22"/>
          <w:lang w:val="es-ES_tradnl" w:eastAsia="ar-SA"/>
        </w:rPr>
        <w:tab/>
        <w:t xml:space="preserve">de acuerdo con el art. 227 de la Constitución, </w:t>
      </w:r>
      <w:r w:rsidRPr="001B5A35">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FF76FF" w:rsidRPr="001B5A35" w:rsidRDefault="00FF76FF" w:rsidP="00FF76FF">
      <w:pPr>
        <w:ind w:left="709" w:hanging="709"/>
        <w:jc w:val="both"/>
        <w:rPr>
          <w:rFonts w:ascii="Century Gothic" w:hAnsi="Century Gothic"/>
          <w:iCs/>
          <w:sz w:val="22"/>
          <w:szCs w:val="22"/>
          <w:lang w:val="es-ES_tradnl" w:eastAsia="ar-SA"/>
        </w:rPr>
      </w:pPr>
    </w:p>
    <w:p w:rsidR="00FF76FF" w:rsidRPr="001B5A35" w:rsidRDefault="00FF76FF" w:rsidP="00FF76FF">
      <w:pPr>
        <w:ind w:left="709" w:hanging="709"/>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 xml:space="preserve">Que,  </w:t>
      </w:r>
      <w:r w:rsidRPr="001B5A35">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FF76FF" w:rsidRPr="001B5A35" w:rsidRDefault="00FF76FF" w:rsidP="00FF76FF">
      <w:pPr>
        <w:autoSpaceDE w:val="0"/>
        <w:autoSpaceDN w:val="0"/>
        <w:adjustRightInd w:val="0"/>
        <w:ind w:left="709" w:hanging="709"/>
        <w:jc w:val="both"/>
        <w:rPr>
          <w:rFonts w:ascii="Century Gothic" w:eastAsiaTheme="minorHAnsi" w:hAnsi="Century Gothic"/>
          <w:sz w:val="22"/>
          <w:szCs w:val="22"/>
          <w:lang w:val="es-EC" w:eastAsia="en-US"/>
        </w:rPr>
      </w:pPr>
    </w:p>
    <w:p w:rsidR="00FF76FF" w:rsidRPr="001B5A35" w:rsidRDefault="00FF76FF" w:rsidP="00FF76FF">
      <w:pPr>
        <w:autoSpaceDE w:val="0"/>
        <w:autoSpaceDN w:val="0"/>
        <w:adjustRightInd w:val="0"/>
        <w:ind w:left="709" w:hanging="709"/>
        <w:jc w:val="both"/>
        <w:rPr>
          <w:rFonts w:ascii="Century Gothic" w:eastAsiaTheme="minorHAnsi" w:hAnsi="Century Gothic"/>
          <w:i/>
          <w:sz w:val="22"/>
          <w:szCs w:val="22"/>
          <w:lang w:val="es-EC" w:eastAsia="en-US"/>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1B5A35">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FF76FF" w:rsidRPr="001B5A35" w:rsidRDefault="00FF76FF" w:rsidP="00FF76FF">
      <w:pPr>
        <w:autoSpaceDE w:val="0"/>
        <w:autoSpaceDN w:val="0"/>
        <w:adjustRightInd w:val="0"/>
        <w:ind w:left="709" w:hanging="709"/>
        <w:jc w:val="both"/>
        <w:rPr>
          <w:rFonts w:ascii="Century Gothic" w:eastAsiaTheme="minorHAnsi" w:hAnsi="Century Gothic"/>
          <w:i/>
          <w:sz w:val="22"/>
          <w:szCs w:val="22"/>
          <w:lang w:val="es-EC" w:eastAsia="en-US"/>
        </w:rPr>
      </w:pPr>
    </w:p>
    <w:p w:rsidR="00FF76FF" w:rsidRPr="001B5A35" w:rsidRDefault="00FF76FF" w:rsidP="00FF76FF">
      <w:pPr>
        <w:autoSpaceDE w:val="0"/>
        <w:autoSpaceDN w:val="0"/>
        <w:adjustRightInd w:val="0"/>
        <w:ind w:left="709" w:hanging="709"/>
        <w:jc w:val="both"/>
        <w:rPr>
          <w:rFonts w:ascii="Century Gothic" w:hAnsi="Century Gothic"/>
          <w:sz w:val="22"/>
          <w:szCs w:val="22"/>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el artículo 266 de la Constitución dispone: “</w:t>
      </w:r>
      <w:r w:rsidRPr="001B5A35">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FF76FF" w:rsidRPr="001B5A35" w:rsidRDefault="00FF76FF" w:rsidP="00FF76FF">
      <w:pPr>
        <w:autoSpaceDE w:val="0"/>
        <w:autoSpaceDN w:val="0"/>
        <w:adjustRightInd w:val="0"/>
        <w:ind w:left="709" w:hanging="709"/>
        <w:jc w:val="both"/>
        <w:rPr>
          <w:rFonts w:ascii="Century Gothic" w:hAnsi="Century Gothic"/>
          <w:sz w:val="22"/>
          <w:szCs w:val="22"/>
        </w:rPr>
      </w:pPr>
    </w:p>
    <w:p w:rsidR="00FF76FF" w:rsidRPr="00C94F97" w:rsidRDefault="00FF76FF" w:rsidP="00FF76FF">
      <w:pPr>
        <w:pStyle w:val="Sinespaciado"/>
        <w:ind w:left="709" w:hanging="709"/>
        <w:rPr>
          <w:rFonts w:ascii="Century Gothic" w:hAnsi="Century Gothic" w:cs="Times New Roman"/>
          <w:i/>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el artículo 7 del Código Orgánico de Organización Territorial, Autonomía y Descentralización, en adelante “COOTAD”, señala: </w:t>
      </w:r>
      <w:r w:rsidRPr="00C94F97">
        <w:rPr>
          <w:rFonts w:ascii="Century Gothic" w:hAnsi="Century Gothic" w:cs="Times New Roman"/>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FF76FF" w:rsidRPr="001B5A35" w:rsidRDefault="00FF76FF" w:rsidP="00FF76FF">
      <w:pPr>
        <w:pStyle w:val="Sinespaciado"/>
        <w:ind w:left="709" w:hanging="709"/>
        <w:rPr>
          <w:rFonts w:ascii="Century Gothic" w:hAnsi="Century Gothic" w:cs="Times New Roman"/>
        </w:rPr>
      </w:pPr>
    </w:p>
    <w:p w:rsidR="00FF76FF" w:rsidRPr="001B5A35" w:rsidRDefault="00FF76FF" w:rsidP="00FF76FF">
      <w:pPr>
        <w:pStyle w:val="Sinespaciado"/>
        <w:ind w:left="709" w:hanging="709"/>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los literales a) y d) del artículo 87 del Código Orgánico de Organización Territorial, Autonomía y Descentralización, (en adelante, «COOTAD»), establecen como atribuciones del Concejo Metropolitano: “</w:t>
      </w:r>
      <w:r w:rsidRPr="00C94F97">
        <w:rPr>
          <w:rFonts w:ascii="Century Gothic" w:hAnsi="Century Gothic" w:cs="Times New Roman"/>
          <w:i/>
        </w:rPr>
        <w:t xml:space="preserve">a) Ejercer la facultad normativa en las materias de competencia del gobierno autónomo descentralizado metropolitano, mediante la expedición de </w:t>
      </w:r>
      <w:r w:rsidRPr="00C94F97">
        <w:rPr>
          <w:rFonts w:ascii="Century Gothic" w:hAnsi="Century Gothic" w:cs="Times New Roman"/>
          <w:i/>
        </w:rPr>
        <w:lastRenderedPageBreak/>
        <w:t>ordenanzas metropolitanas, acuerdos y resoluciones; (…) d) Expedir acuerdos o resoluciones en el ámbito de sus competencias para regular temas institucionales específicos o reconocer derechos particulares; (…)”;</w:t>
      </w:r>
      <w:r w:rsidRPr="001B5A35">
        <w:rPr>
          <w:rFonts w:ascii="Century Gothic" w:hAnsi="Century Gothic" w:cs="Times New Roman"/>
        </w:rPr>
        <w:t xml:space="preserve"> </w:t>
      </w:r>
    </w:p>
    <w:p w:rsidR="00FF76FF" w:rsidRPr="001B5A35" w:rsidRDefault="00FF76FF" w:rsidP="00FF76FF">
      <w:pPr>
        <w:pStyle w:val="Sinespaciado"/>
        <w:ind w:left="709" w:hanging="709"/>
        <w:rPr>
          <w:rFonts w:ascii="Century Gothic" w:hAnsi="Century Gothic" w:cs="Times New Roman"/>
        </w:rPr>
      </w:pPr>
    </w:p>
    <w:p w:rsidR="00C17A1B" w:rsidRDefault="00FF76FF" w:rsidP="00C17A1B">
      <w:pPr>
        <w:pStyle w:val="Sinespaciado"/>
        <w:ind w:left="709" w:hanging="709"/>
        <w:rPr>
          <w:rFonts w:ascii="Century Gothic" w:hAnsi="Century Gothic" w:cs="Times New Roman"/>
          <w:i/>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el artículo 323 del COOTAD dispone: </w:t>
      </w:r>
      <w:r w:rsidRPr="00C94F97">
        <w:rPr>
          <w:rFonts w:ascii="Century Gothic" w:hAnsi="Century Gothic" w:cs="Times New Roman"/>
          <w:i/>
        </w:rPr>
        <w:t>"</w:t>
      </w:r>
      <w:r w:rsidR="00C94F97" w:rsidRPr="00C94F97">
        <w:rPr>
          <w:rFonts w:ascii="Century Gothic" w:hAnsi="Century Gothic" w:cs="Times New Roman"/>
          <w:i/>
        </w:rPr>
        <w:t xml:space="preserve"> </w:t>
      </w:r>
      <w:r w:rsidRPr="00C94F97">
        <w:rPr>
          <w:rFonts w:ascii="Century Gothic" w:hAnsi="Century Gothic" w:cs="Times New Roman"/>
          <w:i/>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w:t>
      </w:r>
      <w:r w:rsidR="00157E6C" w:rsidRPr="00C94F97">
        <w:rPr>
          <w:rFonts w:ascii="Century Gothic" w:hAnsi="Century Gothic" w:cs="Times New Roman"/>
          <w:i/>
        </w:rPr>
        <w:t>, de existir mérito para ello.”</w:t>
      </w:r>
    </w:p>
    <w:p w:rsidR="00C17A1B" w:rsidRDefault="00C17A1B" w:rsidP="00C17A1B">
      <w:pPr>
        <w:pStyle w:val="Sinespaciado"/>
        <w:ind w:left="709" w:hanging="709"/>
        <w:rPr>
          <w:rFonts w:ascii="Century Gothic" w:hAnsi="Century Gothic" w:cs="Times New Roman"/>
          <w:i/>
        </w:rPr>
      </w:pPr>
    </w:p>
    <w:p w:rsidR="00C17A1B" w:rsidRDefault="00C17A1B" w:rsidP="00157E6C">
      <w:pPr>
        <w:pStyle w:val="Sinespaciado"/>
        <w:ind w:left="709" w:hanging="709"/>
        <w:rPr>
          <w:rFonts w:ascii="Century Gothic" w:hAnsi="Century Gothic"/>
        </w:rPr>
      </w:pPr>
      <w:r>
        <w:rPr>
          <w:rFonts w:ascii="Century Gothic" w:hAnsi="Century Gothic" w:cs="Times New Roman"/>
          <w:b/>
        </w:rPr>
        <w:t xml:space="preserve">Que,  </w:t>
      </w:r>
      <w:r w:rsidRPr="00C17A1B">
        <w:rPr>
          <w:rFonts w:ascii="Century Gothic" w:hAnsi="Century Gothic"/>
        </w:rPr>
        <w:t xml:space="preserve">el art. 441 </w:t>
      </w:r>
      <w:r>
        <w:rPr>
          <w:rFonts w:ascii="Century Gothic" w:hAnsi="Century Gothic"/>
        </w:rPr>
        <w:t>del COOTAD</w:t>
      </w:r>
      <w:r w:rsidRPr="00C17A1B">
        <w:rPr>
          <w:rFonts w:ascii="Century Gothic" w:hAnsi="Century Gothic"/>
        </w:rPr>
        <w:t>, establece que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r>
        <w:rPr>
          <w:rFonts w:ascii="Century Gothic" w:hAnsi="Century Gothic"/>
        </w:rPr>
        <w:t>.</w:t>
      </w:r>
    </w:p>
    <w:p w:rsidR="00FF76FF" w:rsidRPr="0089508B" w:rsidRDefault="00FF76FF" w:rsidP="00157E6C">
      <w:pPr>
        <w:autoSpaceDE w:val="0"/>
        <w:autoSpaceDN w:val="0"/>
        <w:adjustRightInd w:val="0"/>
        <w:jc w:val="both"/>
        <w:rPr>
          <w:rFonts w:ascii="Century Gothic" w:eastAsiaTheme="minorHAnsi" w:hAnsi="Century Gothic"/>
          <w:i/>
          <w:sz w:val="22"/>
          <w:szCs w:val="22"/>
          <w:lang w:val="es-EC" w:eastAsia="en-US"/>
        </w:rPr>
      </w:pPr>
    </w:p>
    <w:p w:rsidR="00C17A1B" w:rsidRDefault="00FF76FF" w:rsidP="00FF76FF">
      <w:pPr>
        <w:autoSpaceDE w:val="0"/>
        <w:autoSpaceDN w:val="0"/>
        <w:adjustRightInd w:val="0"/>
        <w:ind w:left="709" w:hanging="709"/>
        <w:jc w:val="both"/>
      </w:pPr>
      <w:r w:rsidRPr="00310D40">
        <w:rPr>
          <w:rFonts w:ascii="Century Gothic" w:eastAsiaTheme="minorHAnsi" w:hAnsi="Century Gothic"/>
          <w:b/>
          <w:sz w:val="22"/>
          <w:szCs w:val="22"/>
          <w:lang w:val="es-EC" w:eastAsia="en-US"/>
        </w:rPr>
        <w:t>Que</w:t>
      </w:r>
      <w:r w:rsidRPr="00182A82">
        <w:rPr>
          <w:rFonts w:ascii="Century Gothic" w:eastAsiaTheme="minorHAnsi" w:hAnsi="Century Gothic"/>
          <w:sz w:val="22"/>
          <w:szCs w:val="22"/>
          <w:lang w:val="es-EC" w:eastAsia="en-US"/>
        </w:rPr>
        <w:t xml:space="preserve">, </w:t>
      </w:r>
      <w:r w:rsidR="00BB6EF4" w:rsidRPr="00C17A1B">
        <w:rPr>
          <w:rFonts w:ascii="Century Gothic" w:hAnsi="Century Gothic"/>
          <w:sz w:val="22"/>
          <w:szCs w:val="22"/>
        </w:rPr>
        <w:t xml:space="preserve">El </w:t>
      </w:r>
      <w:r w:rsidR="00C17A1B" w:rsidRPr="00C17A1B">
        <w:rPr>
          <w:rFonts w:ascii="Century Gothic" w:hAnsi="Century Gothic"/>
          <w:sz w:val="22"/>
          <w:szCs w:val="22"/>
        </w:rPr>
        <w:t>Código Civil en el artículo 1561</w:t>
      </w:r>
      <w:r w:rsidR="00BB6EF4" w:rsidRPr="00C17A1B">
        <w:rPr>
          <w:rFonts w:ascii="Century Gothic" w:hAnsi="Century Gothic"/>
          <w:sz w:val="22"/>
          <w:szCs w:val="22"/>
        </w:rPr>
        <w:t xml:space="preserve">, </w:t>
      </w:r>
      <w:r w:rsidR="00C244CB">
        <w:rPr>
          <w:rFonts w:ascii="Century Gothic" w:hAnsi="Century Gothic"/>
          <w:sz w:val="22"/>
          <w:szCs w:val="22"/>
        </w:rPr>
        <w:t>dispone</w:t>
      </w:r>
      <w:r w:rsidR="00C17A1B" w:rsidRPr="00C17A1B">
        <w:rPr>
          <w:rFonts w:ascii="Century Gothic" w:hAnsi="Century Gothic"/>
          <w:sz w:val="22"/>
          <w:szCs w:val="22"/>
        </w:rPr>
        <w:t xml:space="preserve"> que </w:t>
      </w:r>
      <w:r w:rsidR="00C17A1B" w:rsidRPr="00C17A1B">
        <w:rPr>
          <w:rFonts w:ascii="Century Gothic" w:hAnsi="Century Gothic"/>
          <w:i/>
          <w:sz w:val="22"/>
          <w:szCs w:val="22"/>
        </w:rPr>
        <w:t>“todo contrato legalmente celebrado es una ley para los contratantes, y no puede ser invalidado sino por su consentimiento mutuo o por causas legales”</w:t>
      </w:r>
    </w:p>
    <w:p w:rsidR="00C17A1B" w:rsidRDefault="00C17A1B" w:rsidP="00FF76FF">
      <w:pPr>
        <w:autoSpaceDE w:val="0"/>
        <w:autoSpaceDN w:val="0"/>
        <w:adjustRightInd w:val="0"/>
        <w:ind w:left="709" w:hanging="709"/>
        <w:jc w:val="both"/>
        <w:rPr>
          <w:rFonts w:ascii="Century Gothic" w:hAnsi="Century Gothic"/>
          <w:sz w:val="22"/>
          <w:szCs w:val="22"/>
        </w:rPr>
      </w:pPr>
    </w:p>
    <w:p w:rsidR="00C17A1B" w:rsidRDefault="00C17A1B" w:rsidP="00C17A1B">
      <w:pPr>
        <w:autoSpaceDE w:val="0"/>
        <w:autoSpaceDN w:val="0"/>
        <w:adjustRightInd w:val="0"/>
        <w:ind w:left="709" w:hanging="709"/>
        <w:jc w:val="both"/>
        <w:rPr>
          <w:rFonts w:ascii="Century Gothic" w:hAnsi="Century Gothic"/>
          <w:sz w:val="22"/>
          <w:szCs w:val="22"/>
        </w:rPr>
      </w:pPr>
      <w:r w:rsidRPr="00310D40">
        <w:rPr>
          <w:rFonts w:ascii="Century Gothic" w:eastAsiaTheme="minorHAnsi" w:hAnsi="Century Gothic"/>
          <w:b/>
          <w:sz w:val="22"/>
          <w:szCs w:val="22"/>
          <w:lang w:val="es-EC" w:eastAsia="en-US"/>
        </w:rPr>
        <w:t>Que</w:t>
      </w:r>
      <w:r w:rsidRPr="00182A82">
        <w:rPr>
          <w:rFonts w:ascii="Century Gothic" w:eastAsiaTheme="minorHAnsi" w:hAnsi="Century Gothic"/>
          <w:sz w:val="22"/>
          <w:szCs w:val="22"/>
          <w:lang w:val="es-EC" w:eastAsia="en-US"/>
        </w:rPr>
        <w:t xml:space="preserve">, </w:t>
      </w:r>
      <w:r w:rsidRPr="00BB6EF4">
        <w:rPr>
          <w:rFonts w:ascii="Century Gothic" w:hAnsi="Century Gothic"/>
          <w:sz w:val="22"/>
          <w:szCs w:val="22"/>
        </w:rPr>
        <w:t xml:space="preserve">El Código Civil en el artículo 2077, inciso primero, manifiesta que: </w:t>
      </w:r>
      <w:r w:rsidRPr="00C94F97">
        <w:rPr>
          <w:rFonts w:ascii="Century Gothic" w:hAnsi="Century Gothic"/>
          <w:i/>
          <w:sz w:val="22"/>
          <w:szCs w:val="22"/>
        </w:rPr>
        <w:t>“Comodato o préstamo de uso es un contrato en que una de las partes entrega a la otra gratuitamente una especie, mueble o raíz, para que haga uso de ella, con cargo de restituir la misma espec</w:t>
      </w:r>
      <w:r w:rsidR="00FF2EF6">
        <w:rPr>
          <w:rFonts w:ascii="Century Gothic" w:hAnsi="Century Gothic"/>
          <w:i/>
          <w:sz w:val="22"/>
          <w:szCs w:val="22"/>
        </w:rPr>
        <w:t>ie después de terminado el uso (…)</w:t>
      </w:r>
      <w:r w:rsidRPr="00C94F97">
        <w:rPr>
          <w:rFonts w:ascii="Century Gothic" w:hAnsi="Century Gothic"/>
          <w:i/>
          <w:sz w:val="22"/>
          <w:szCs w:val="22"/>
        </w:rPr>
        <w:t>”</w:t>
      </w:r>
      <w:r w:rsidRPr="00BB6EF4">
        <w:rPr>
          <w:rFonts w:ascii="Century Gothic" w:hAnsi="Century Gothic"/>
          <w:sz w:val="22"/>
          <w:szCs w:val="22"/>
        </w:rPr>
        <w:t>;</w:t>
      </w:r>
    </w:p>
    <w:p w:rsidR="00BB6EF4" w:rsidRPr="00BB6EF4" w:rsidRDefault="00BB6EF4" w:rsidP="00C244CB">
      <w:pPr>
        <w:autoSpaceDE w:val="0"/>
        <w:autoSpaceDN w:val="0"/>
        <w:adjustRightInd w:val="0"/>
        <w:jc w:val="both"/>
        <w:rPr>
          <w:rFonts w:ascii="Century Gothic" w:eastAsiaTheme="minorHAnsi" w:hAnsi="Century Gothic"/>
          <w:sz w:val="22"/>
          <w:szCs w:val="22"/>
          <w:lang w:val="es-EC" w:eastAsia="en-US"/>
        </w:rPr>
      </w:pPr>
    </w:p>
    <w:p w:rsidR="00A11B01" w:rsidRPr="00A11B01" w:rsidRDefault="00BB6EF4" w:rsidP="00FF76FF">
      <w:pPr>
        <w:autoSpaceDE w:val="0"/>
        <w:autoSpaceDN w:val="0"/>
        <w:adjustRightInd w:val="0"/>
        <w:ind w:left="709" w:hanging="709"/>
        <w:jc w:val="both"/>
        <w:rPr>
          <w:rFonts w:ascii="Century Gothic" w:hAnsi="Century Gothic"/>
          <w:b/>
          <w:sz w:val="22"/>
          <w:szCs w:val="22"/>
        </w:rPr>
      </w:pPr>
      <w:r w:rsidRPr="001B5A35">
        <w:rPr>
          <w:rFonts w:ascii="Century Gothic" w:hAnsi="Century Gothic"/>
          <w:b/>
          <w:sz w:val="22"/>
          <w:szCs w:val="22"/>
        </w:rPr>
        <w:t>Que</w:t>
      </w:r>
      <w:r>
        <w:rPr>
          <w:rFonts w:ascii="Century Gothic" w:hAnsi="Century Gothic"/>
          <w:b/>
          <w:sz w:val="22"/>
          <w:szCs w:val="22"/>
        </w:rPr>
        <w:t xml:space="preserve">,  </w:t>
      </w:r>
      <w:r w:rsidR="00A11B01" w:rsidRPr="00A11B01">
        <w:rPr>
          <w:rFonts w:ascii="Century Gothic" w:hAnsi="Century Gothic"/>
          <w:sz w:val="22"/>
          <w:szCs w:val="22"/>
        </w:rPr>
        <w:t xml:space="preserve">el Ilustre Concejo Metropolitano de Quito, en sesión pública ordinaria realizada el 22 de septiembre de 1997, resolvió autorizar la entrega en Comodato por 25 años, el inmueble de propiedad municipal, ubicado en </w:t>
      </w:r>
      <w:r w:rsidR="005676C6">
        <w:rPr>
          <w:rFonts w:ascii="Century Gothic" w:hAnsi="Century Gothic"/>
          <w:sz w:val="22"/>
          <w:szCs w:val="22"/>
        </w:rPr>
        <w:t xml:space="preserve">la calle </w:t>
      </w:r>
      <w:r w:rsidR="00A11B01" w:rsidRPr="00A11B01">
        <w:rPr>
          <w:rFonts w:ascii="Century Gothic" w:hAnsi="Century Gothic"/>
          <w:sz w:val="22"/>
          <w:szCs w:val="22"/>
        </w:rPr>
        <w:t>Iñaquito,</w:t>
      </w:r>
      <w:r w:rsidR="005676C6">
        <w:rPr>
          <w:rFonts w:ascii="Century Gothic" w:hAnsi="Century Gothic"/>
          <w:sz w:val="22"/>
          <w:szCs w:val="22"/>
        </w:rPr>
        <w:t xml:space="preserve"> sector Iñaquito,</w:t>
      </w:r>
      <w:r w:rsidR="00A11B01" w:rsidRPr="00A11B01">
        <w:rPr>
          <w:rFonts w:ascii="Century Gothic" w:hAnsi="Century Gothic"/>
          <w:sz w:val="22"/>
          <w:szCs w:val="22"/>
        </w:rPr>
        <w:t xml:space="preserve"> a favor de la Fundación Equinoccial, a fin de destinarlo a la construcción de las instalaciones para el desarrollo de proyectos sociales y programas de capacitación;</w:t>
      </w:r>
    </w:p>
    <w:p w:rsidR="00A11B01" w:rsidRPr="00A11B01" w:rsidRDefault="00A11B01" w:rsidP="00A11B01">
      <w:pPr>
        <w:autoSpaceDE w:val="0"/>
        <w:autoSpaceDN w:val="0"/>
        <w:adjustRightInd w:val="0"/>
        <w:jc w:val="both"/>
        <w:rPr>
          <w:rFonts w:ascii="Century Gothic" w:hAnsi="Century Gothic"/>
          <w:b/>
          <w:sz w:val="22"/>
          <w:szCs w:val="22"/>
        </w:rPr>
      </w:pPr>
    </w:p>
    <w:p w:rsidR="00A11B01" w:rsidRPr="00A11B01" w:rsidRDefault="00CF69ED" w:rsidP="00A11B01">
      <w:pPr>
        <w:autoSpaceDE w:val="0"/>
        <w:autoSpaceDN w:val="0"/>
        <w:adjustRightInd w:val="0"/>
        <w:ind w:left="709" w:hanging="709"/>
        <w:jc w:val="both"/>
        <w:rPr>
          <w:rFonts w:ascii="Century Gothic" w:hAnsi="Century Gothic"/>
          <w:b/>
          <w:sz w:val="22"/>
          <w:szCs w:val="22"/>
        </w:rPr>
      </w:pPr>
      <w:r w:rsidRPr="001B5A35">
        <w:rPr>
          <w:rFonts w:ascii="Century Gothic" w:hAnsi="Century Gothic"/>
          <w:b/>
          <w:sz w:val="22"/>
          <w:szCs w:val="22"/>
        </w:rPr>
        <w:t>Que,</w:t>
      </w:r>
      <w:r w:rsidR="00A11B01">
        <w:rPr>
          <w:rFonts w:ascii="Century Gothic" w:hAnsi="Century Gothic"/>
          <w:b/>
          <w:sz w:val="22"/>
          <w:szCs w:val="22"/>
        </w:rPr>
        <w:t xml:space="preserve">   </w:t>
      </w:r>
      <w:r w:rsidR="00A11B01" w:rsidRPr="00A11B01">
        <w:rPr>
          <w:rFonts w:ascii="Century Gothic" w:hAnsi="Century Gothic"/>
          <w:sz w:val="22"/>
          <w:szCs w:val="22"/>
        </w:rPr>
        <w:t>mediante Escritura Pública celebrada en la Notaría Vigésima Tercera el 05 de noviembre de 1997, e inscrita en el Registro de la Propiedad el 14 de enero de 1998, se formalizó la entrega en Comodato por 25 años, del predio de propiedad municipal, con clave catastral 11004-05-029, ubicado en la parroquia Benalcázar, a favor de la Fundación Equinoccial, para destinarlo a la construcción de instalaciones para el desarrollo de proyectos socia</w:t>
      </w:r>
      <w:r w:rsidR="00A11B01">
        <w:rPr>
          <w:rFonts w:ascii="Century Gothic" w:hAnsi="Century Gothic"/>
          <w:sz w:val="22"/>
          <w:szCs w:val="22"/>
        </w:rPr>
        <w:t>les y programas de capacitación;</w:t>
      </w:r>
    </w:p>
    <w:p w:rsidR="00CD4616" w:rsidRDefault="00CD4616" w:rsidP="00A11B01">
      <w:pPr>
        <w:autoSpaceDE w:val="0"/>
        <w:autoSpaceDN w:val="0"/>
        <w:adjustRightInd w:val="0"/>
        <w:jc w:val="both"/>
        <w:rPr>
          <w:rFonts w:ascii="Century Gothic" w:hAnsi="Century Gothic"/>
          <w:sz w:val="22"/>
          <w:szCs w:val="22"/>
        </w:rPr>
      </w:pPr>
    </w:p>
    <w:p w:rsidR="00A04A4B" w:rsidRPr="006E4392" w:rsidRDefault="0021052F" w:rsidP="006E4392">
      <w:pPr>
        <w:autoSpaceDE w:val="0"/>
        <w:autoSpaceDN w:val="0"/>
        <w:adjustRightInd w:val="0"/>
        <w:ind w:left="709" w:hanging="709"/>
        <w:jc w:val="both"/>
        <w:rPr>
          <w:rFonts w:ascii="Century Gothic" w:hAnsi="Century Gothic"/>
          <w:b/>
          <w:sz w:val="22"/>
          <w:szCs w:val="22"/>
        </w:rPr>
      </w:pPr>
      <w:r w:rsidRPr="001B5A35">
        <w:rPr>
          <w:rFonts w:ascii="Century Gothic" w:hAnsi="Century Gothic"/>
          <w:b/>
          <w:sz w:val="22"/>
          <w:szCs w:val="22"/>
        </w:rPr>
        <w:t>Que,</w:t>
      </w:r>
      <w:r>
        <w:rPr>
          <w:rFonts w:ascii="Century Gothic" w:hAnsi="Century Gothic"/>
          <w:b/>
          <w:sz w:val="22"/>
          <w:szCs w:val="22"/>
        </w:rPr>
        <w:t xml:space="preserve">  </w:t>
      </w:r>
      <w:r w:rsidR="00A11B01" w:rsidRPr="00A11B01">
        <w:rPr>
          <w:rFonts w:ascii="Century Gothic" w:hAnsi="Century Gothic"/>
          <w:sz w:val="22"/>
          <w:szCs w:val="22"/>
        </w:rPr>
        <w:t>con fecha 29 de agosto de 2022, a través del Oficio No.GADDMQ-AM-AGD-2022-5907-E, el señor Carlos Manuel Vera Quintana, presidente de la Fundación Equinoccial, solicita sea ampliado el plazo del Comodato del predio No.692032, en razón de estar dando cumplimiento a los términos estipulados en el contrato</w:t>
      </w:r>
      <w:r w:rsidR="00A11B01">
        <w:t>;</w:t>
      </w:r>
    </w:p>
    <w:p w:rsidR="00D03D38" w:rsidRDefault="00D03D38" w:rsidP="00FF76FF">
      <w:pPr>
        <w:autoSpaceDE w:val="0"/>
        <w:autoSpaceDN w:val="0"/>
        <w:adjustRightInd w:val="0"/>
        <w:ind w:left="709" w:hanging="709"/>
        <w:jc w:val="both"/>
        <w:rPr>
          <w:rFonts w:ascii="Century Gothic" w:hAnsi="Century Gothic"/>
          <w:b/>
          <w:i/>
          <w:sz w:val="22"/>
          <w:szCs w:val="22"/>
        </w:rPr>
      </w:pPr>
    </w:p>
    <w:p w:rsidR="00A11B01" w:rsidRDefault="00D03D38" w:rsidP="00E104EF">
      <w:pPr>
        <w:autoSpaceDE w:val="0"/>
        <w:autoSpaceDN w:val="0"/>
        <w:adjustRightInd w:val="0"/>
        <w:ind w:left="709" w:hanging="709"/>
        <w:jc w:val="both"/>
        <w:rPr>
          <w:rFonts w:ascii="Century Gothic" w:hAnsi="Century Gothic"/>
          <w:b/>
          <w:sz w:val="22"/>
          <w:szCs w:val="22"/>
        </w:rPr>
      </w:pPr>
      <w:r>
        <w:rPr>
          <w:rFonts w:ascii="Century Gothic" w:hAnsi="Century Gothic"/>
          <w:b/>
          <w:sz w:val="22"/>
          <w:szCs w:val="22"/>
        </w:rPr>
        <w:lastRenderedPageBreak/>
        <w:t>Que</w:t>
      </w:r>
      <w:r w:rsidR="0022430C">
        <w:rPr>
          <w:rFonts w:ascii="Century Gothic" w:hAnsi="Century Gothic"/>
          <w:b/>
          <w:sz w:val="22"/>
          <w:szCs w:val="22"/>
        </w:rPr>
        <w:t xml:space="preserve">, </w:t>
      </w:r>
      <w:r w:rsidR="00A11B01" w:rsidRPr="00A11B01">
        <w:rPr>
          <w:rFonts w:ascii="Century Gothic" w:hAnsi="Century Gothic"/>
          <w:sz w:val="22"/>
          <w:szCs w:val="22"/>
        </w:rPr>
        <w:t xml:space="preserve"> mediante informe DMGBI-ATI-20</w:t>
      </w:r>
      <w:r w:rsidR="006E4392">
        <w:rPr>
          <w:rFonts w:ascii="Century Gothic" w:hAnsi="Century Gothic"/>
          <w:sz w:val="22"/>
          <w:szCs w:val="22"/>
        </w:rPr>
        <w:t>22-0207,</w:t>
      </w:r>
      <w:r w:rsidR="0022430C">
        <w:rPr>
          <w:rFonts w:ascii="Century Gothic" w:hAnsi="Century Gothic"/>
          <w:sz w:val="22"/>
          <w:szCs w:val="22"/>
        </w:rPr>
        <w:t xml:space="preserve"> de 20 de septiembre de 2022 el área de inventario de la Dirección de Gestión de Bienes Inmuebles</w:t>
      </w:r>
      <w:r w:rsidR="006E4392">
        <w:rPr>
          <w:rFonts w:ascii="Century Gothic" w:hAnsi="Century Gothic"/>
          <w:sz w:val="22"/>
          <w:szCs w:val="22"/>
        </w:rPr>
        <w:t xml:space="preserve"> </w:t>
      </w:r>
      <w:r w:rsidR="0022430C">
        <w:rPr>
          <w:rFonts w:ascii="Century Gothic" w:hAnsi="Century Gothic"/>
          <w:sz w:val="22"/>
          <w:szCs w:val="22"/>
        </w:rPr>
        <w:t>informa que</w:t>
      </w:r>
      <w:r w:rsidR="006E4392">
        <w:rPr>
          <w:rFonts w:ascii="Century Gothic" w:hAnsi="Century Gothic"/>
          <w:sz w:val="22"/>
          <w:szCs w:val="22"/>
        </w:rPr>
        <w:t xml:space="preserve"> </w:t>
      </w:r>
      <w:r w:rsidR="00A11B01" w:rsidRPr="00A11B01">
        <w:rPr>
          <w:rFonts w:ascii="Century Gothic" w:hAnsi="Century Gothic"/>
          <w:i/>
          <w:sz w:val="22"/>
          <w:szCs w:val="22"/>
        </w:rPr>
        <w:t>“El Municipio del Distrito Metropolitano de Quito es propietario del predio 692032 con clave catastral No. 11004-05-030 es un bien inmueble de propiedad municipal por compra-venta de la HACIENDA LA CAROLINA”</w:t>
      </w:r>
    </w:p>
    <w:p w:rsidR="005248D7" w:rsidRPr="002F7E74" w:rsidRDefault="005248D7" w:rsidP="00FF76FF">
      <w:pPr>
        <w:autoSpaceDE w:val="0"/>
        <w:autoSpaceDN w:val="0"/>
        <w:adjustRightInd w:val="0"/>
        <w:ind w:left="709" w:hanging="709"/>
        <w:jc w:val="both"/>
        <w:rPr>
          <w:rFonts w:ascii="Century Gothic" w:eastAsiaTheme="minorHAnsi" w:hAnsi="Century Gothic"/>
          <w:sz w:val="22"/>
          <w:szCs w:val="22"/>
          <w:lang w:val="es-EC" w:eastAsia="en-US"/>
        </w:rPr>
      </w:pPr>
    </w:p>
    <w:p w:rsidR="00A11B01" w:rsidRPr="00A11B01" w:rsidRDefault="005248D7" w:rsidP="00FF76FF">
      <w:pPr>
        <w:autoSpaceDE w:val="0"/>
        <w:autoSpaceDN w:val="0"/>
        <w:adjustRightInd w:val="0"/>
        <w:ind w:left="709" w:hanging="709"/>
        <w:jc w:val="both"/>
        <w:rPr>
          <w:rFonts w:ascii="Century Gothic" w:hAnsi="Century Gothic"/>
          <w:b/>
          <w:i/>
          <w:sz w:val="22"/>
          <w:szCs w:val="22"/>
        </w:rPr>
      </w:pPr>
      <w:r w:rsidRPr="002F7E74">
        <w:rPr>
          <w:rFonts w:ascii="Century Gothic" w:hAnsi="Century Gothic"/>
          <w:b/>
          <w:sz w:val="22"/>
          <w:szCs w:val="22"/>
        </w:rPr>
        <w:t xml:space="preserve">Que, </w:t>
      </w:r>
      <w:r w:rsidR="002F7E74" w:rsidRPr="002F7E74">
        <w:rPr>
          <w:rFonts w:ascii="Century Gothic" w:hAnsi="Century Gothic"/>
          <w:b/>
          <w:sz w:val="22"/>
          <w:szCs w:val="22"/>
        </w:rPr>
        <w:t xml:space="preserve"> </w:t>
      </w:r>
      <w:r w:rsidR="00A11B01" w:rsidRPr="00A11B01">
        <w:rPr>
          <w:rFonts w:ascii="Century Gothic" w:hAnsi="Century Gothic"/>
          <w:sz w:val="22"/>
          <w:szCs w:val="22"/>
        </w:rPr>
        <w:t>el</w:t>
      </w:r>
      <w:r w:rsidR="00BF3605">
        <w:rPr>
          <w:rFonts w:ascii="Century Gothic" w:hAnsi="Century Gothic"/>
          <w:sz w:val="22"/>
          <w:szCs w:val="22"/>
        </w:rPr>
        <w:t xml:space="preserve"> 21</w:t>
      </w:r>
      <w:r w:rsidR="00A11B01" w:rsidRPr="00A11B01">
        <w:rPr>
          <w:rFonts w:ascii="Century Gothic" w:hAnsi="Century Gothic"/>
          <w:sz w:val="22"/>
          <w:szCs w:val="22"/>
        </w:rPr>
        <w:t xml:space="preserve"> de septiembre de 2022 mediante</w:t>
      </w:r>
      <w:r w:rsidR="00BF3605">
        <w:rPr>
          <w:rFonts w:ascii="Century Gothic" w:hAnsi="Century Gothic"/>
          <w:sz w:val="22"/>
          <w:szCs w:val="22"/>
        </w:rPr>
        <w:t xml:space="preserve"> informe técnico </w:t>
      </w:r>
      <w:r w:rsidR="00947E76">
        <w:rPr>
          <w:rFonts w:ascii="Century Gothic" w:hAnsi="Century Gothic"/>
          <w:sz w:val="22"/>
          <w:szCs w:val="22"/>
        </w:rPr>
        <w:t>No. GADDMQ-DMGBI-AT-2022-0560-M el área técnica de la Dirección de Gestión de Bienes Inmuebles</w:t>
      </w:r>
      <w:r w:rsidR="0027714C">
        <w:rPr>
          <w:rFonts w:ascii="Century Gothic" w:hAnsi="Century Gothic"/>
          <w:sz w:val="22"/>
          <w:szCs w:val="22"/>
        </w:rPr>
        <w:t xml:space="preserve"> concluye </w:t>
      </w:r>
      <w:r w:rsidR="00947E76">
        <w:rPr>
          <w:rFonts w:ascii="Century Gothic" w:hAnsi="Century Gothic"/>
          <w:sz w:val="22"/>
          <w:szCs w:val="22"/>
        </w:rPr>
        <w:t xml:space="preserve">que </w:t>
      </w:r>
      <w:r w:rsidR="00A11B01" w:rsidRPr="00A11B01">
        <w:rPr>
          <w:rFonts w:ascii="Century Gothic" w:hAnsi="Century Gothic"/>
          <w:i/>
          <w:sz w:val="22"/>
          <w:szCs w:val="22"/>
        </w:rPr>
        <w:t>“ Se está dando cumplimiento al objeto del comodato que consta en la Escritura de Comodato otorgado por el DMQ a favor de la Fundación Equinoccial del Ecuador protocolizada el 11 de noviembre de 1997 e inscrita en el Registro de la Propiedad el 14 de enero de 1998, en el objeto se indica lo siguiente: “el destino que se le dará al inmueble es inherente a su vez en donde se edificare para desarrollar proyectos sociales y programas de capacitación en beneficio de la comunidad” -El estado en general del inmueble es bueno, se verifica que se l</w:t>
      </w:r>
      <w:r w:rsidR="0027714C">
        <w:rPr>
          <w:rFonts w:ascii="Century Gothic" w:hAnsi="Century Gothic"/>
          <w:i/>
          <w:sz w:val="22"/>
          <w:szCs w:val="22"/>
        </w:rPr>
        <w:t>e da un correcto mantenimiento”;</w:t>
      </w:r>
    </w:p>
    <w:p w:rsidR="00B42C40" w:rsidRDefault="00B42C40" w:rsidP="0027714C">
      <w:pPr>
        <w:autoSpaceDE w:val="0"/>
        <w:autoSpaceDN w:val="0"/>
        <w:adjustRightInd w:val="0"/>
        <w:jc w:val="both"/>
        <w:rPr>
          <w:rFonts w:ascii="Century Gothic" w:hAnsi="Century Gothic"/>
          <w:b/>
          <w:i/>
          <w:sz w:val="22"/>
          <w:szCs w:val="22"/>
        </w:rPr>
      </w:pPr>
    </w:p>
    <w:p w:rsidR="0027714C" w:rsidRDefault="00B42C40" w:rsidP="00FF76FF">
      <w:pPr>
        <w:autoSpaceDE w:val="0"/>
        <w:autoSpaceDN w:val="0"/>
        <w:adjustRightInd w:val="0"/>
        <w:ind w:left="709" w:hanging="709"/>
        <w:jc w:val="both"/>
        <w:rPr>
          <w:rFonts w:ascii="Century Gothic" w:hAnsi="Century Gothic"/>
          <w:i/>
          <w:sz w:val="22"/>
          <w:szCs w:val="22"/>
        </w:rPr>
      </w:pPr>
      <w:r w:rsidRPr="001B5A35">
        <w:rPr>
          <w:rFonts w:ascii="Century Gothic" w:hAnsi="Century Gothic"/>
          <w:b/>
          <w:sz w:val="22"/>
          <w:szCs w:val="22"/>
        </w:rPr>
        <w:t>Que</w:t>
      </w:r>
      <w:r w:rsidRPr="00B42C40">
        <w:rPr>
          <w:rFonts w:ascii="Century Gothic" w:hAnsi="Century Gothic"/>
          <w:b/>
          <w:sz w:val="22"/>
          <w:szCs w:val="22"/>
        </w:rPr>
        <w:t xml:space="preserve">,  </w:t>
      </w:r>
      <w:r w:rsidR="0027714C" w:rsidRPr="0027714C">
        <w:rPr>
          <w:rFonts w:ascii="Century Gothic" w:hAnsi="Century Gothic"/>
          <w:sz w:val="22"/>
          <w:szCs w:val="22"/>
        </w:rPr>
        <w:t>el 29 de septiembre de 2022 a través del Memorando Nro. GADDMQ-DMGBI-AT-2022-0576-M el área técnica la Dirección Metropolitana de Gestión de Bienes Inmuebles, adjunta la denominación del predio 692032</w:t>
      </w:r>
      <w:r w:rsidR="0027714C" w:rsidRPr="0027714C">
        <w:rPr>
          <w:rFonts w:ascii="Century Gothic" w:hAnsi="Century Gothic"/>
          <w:i/>
          <w:sz w:val="22"/>
          <w:szCs w:val="22"/>
        </w:rPr>
        <w:t>,</w:t>
      </w:r>
      <w:r w:rsidR="006E4392">
        <w:rPr>
          <w:rFonts w:ascii="Century Gothic" w:hAnsi="Century Gothic"/>
          <w:i/>
          <w:sz w:val="22"/>
          <w:szCs w:val="22"/>
        </w:rPr>
        <w:t xml:space="preserve"> </w:t>
      </w:r>
      <w:r w:rsidR="006E4392" w:rsidRPr="006E4392">
        <w:rPr>
          <w:rFonts w:ascii="Century Gothic" w:hAnsi="Century Gothic"/>
          <w:sz w:val="22"/>
          <w:szCs w:val="22"/>
        </w:rPr>
        <w:t>expresando que</w:t>
      </w:r>
      <w:r w:rsidR="0027714C">
        <w:rPr>
          <w:rFonts w:ascii="Century Gothic" w:hAnsi="Century Gothic"/>
          <w:i/>
          <w:sz w:val="22"/>
          <w:szCs w:val="22"/>
        </w:rPr>
        <w:t xml:space="preserve"> </w:t>
      </w:r>
      <w:r w:rsidR="0027714C" w:rsidRPr="0027714C">
        <w:rPr>
          <w:rFonts w:ascii="Century Gothic" w:hAnsi="Century Gothic"/>
          <w:i/>
          <w:sz w:val="22"/>
          <w:szCs w:val="22"/>
        </w:rPr>
        <w:t>“de acuerdo a revisión del Sistema de Planificación y Administración de Recursos Institucionales SIPARI-ERP; debo indicar que el predio antes detallado, se encuentra registrado en la siguiente clase contable: Denominación: EDIFICIOS, LOCALES Y RESIDENCIAS ADMINISTRACIÓN /</w:t>
      </w:r>
      <w:r w:rsidR="0027714C">
        <w:rPr>
          <w:rFonts w:ascii="Century Gothic" w:hAnsi="Century Gothic"/>
          <w:i/>
          <w:sz w:val="22"/>
          <w:szCs w:val="22"/>
        </w:rPr>
        <w:t xml:space="preserve"> AFECTADOS AL SERVICIO PÚBLICO”;</w:t>
      </w:r>
    </w:p>
    <w:p w:rsidR="009F705E" w:rsidRDefault="009F705E" w:rsidP="00FF76FF">
      <w:pPr>
        <w:autoSpaceDE w:val="0"/>
        <w:autoSpaceDN w:val="0"/>
        <w:adjustRightInd w:val="0"/>
        <w:ind w:left="709" w:hanging="709"/>
        <w:jc w:val="both"/>
        <w:rPr>
          <w:rFonts w:ascii="Century Gothic" w:hAnsi="Century Gothic"/>
          <w:i/>
          <w:sz w:val="22"/>
          <w:szCs w:val="22"/>
        </w:rPr>
      </w:pPr>
    </w:p>
    <w:p w:rsidR="009F705E" w:rsidRDefault="009F705E" w:rsidP="00FF76FF">
      <w:pPr>
        <w:autoSpaceDE w:val="0"/>
        <w:autoSpaceDN w:val="0"/>
        <w:adjustRightInd w:val="0"/>
        <w:ind w:left="709" w:hanging="709"/>
        <w:jc w:val="both"/>
        <w:rPr>
          <w:rFonts w:ascii="Century Gothic" w:hAnsi="Century Gothic"/>
          <w:i/>
          <w:sz w:val="22"/>
          <w:szCs w:val="22"/>
        </w:rPr>
      </w:pPr>
      <w:r>
        <w:rPr>
          <w:rFonts w:ascii="Century Gothic" w:hAnsi="Century Gothic"/>
          <w:b/>
          <w:sz w:val="22"/>
          <w:szCs w:val="22"/>
        </w:rPr>
        <w:t xml:space="preserve">Que,  </w:t>
      </w:r>
      <w:r w:rsidRPr="009F705E">
        <w:rPr>
          <w:rFonts w:ascii="Century Gothic" w:hAnsi="Century Gothic"/>
          <w:sz w:val="22"/>
          <w:szCs w:val="22"/>
        </w:rPr>
        <w:t>Con  Oficio</w:t>
      </w:r>
      <w:r w:rsidRPr="009F705E">
        <w:rPr>
          <w:rFonts w:ascii="Century Gothic" w:hAnsi="Century Gothic"/>
          <w:b/>
          <w:sz w:val="22"/>
          <w:szCs w:val="22"/>
        </w:rPr>
        <w:t xml:space="preserve"> </w:t>
      </w:r>
      <w:r w:rsidRPr="009F705E">
        <w:rPr>
          <w:rFonts w:ascii="Century Gothic" w:hAnsi="Century Gothic"/>
          <w:sz w:val="22"/>
          <w:szCs w:val="22"/>
        </w:rPr>
        <w:t xml:space="preserve">No. GADDMQ-STHV-DMC-UCE-2022-2638-O, de fecha 26 de octubre de 2022, la Dirección Metropolitana de Catastro emite su criterio </w:t>
      </w:r>
      <w:r w:rsidR="008B12CB">
        <w:rPr>
          <w:rFonts w:ascii="Century Gothic" w:hAnsi="Century Gothic"/>
          <w:sz w:val="22"/>
          <w:szCs w:val="22"/>
        </w:rPr>
        <w:t xml:space="preserve">informando que </w:t>
      </w:r>
      <w:r w:rsidR="00D30279" w:rsidRPr="00D30279">
        <w:rPr>
          <w:rFonts w:ascii="Century Gothic" w:hAnsi="Century Gothic"/>
          <w:i/>
          <w:sz w:val="22"/>
          <w:szCs w:val="22"/>
        </w:rPr>
        <w:t>"(...)</w:t>
      </w:r>
      <w:r w:rsidRPr="00D30279">
        <w:rPr>
          <w:rFonts w:ascii="Century Gothic" w:hAnsi="Century Gothic"/>
          <w:i/>
          <w:sz w:val="22"/>
          <w:szCs w:val="22"/>
        </w:rPr>
        <w:t xml:space="preserve"> al tratarse de una Modificatoria de la Resolución de la extensión del plazo del Comodato a favor de la Fundación Equinoccial (predio No. 692032), no está dentro de las competencias y atribuciones de la Dirección Metropolitana de Catastro de la Secretaria de Territorio Hábitat y Vivienda, emitir Informe Técnico alguno, por lo mismo se devuelve toda la Documentación (…)”</w:t>
      </w:r>
      <w:r w:rsidR="006E4392">
        <w:rPr>
          <w:rFonts w:ascii="Century Gothic" w:hAnsi="Century Gothic"/>
          <w:i/>
          <w:sz w:val="22"/>
          <w:szCs w:val="22"/>
        </w:rPr>
        <w:t>;</w:t>
      </w:r>
    </w:p>
    <w:p w:rsidR="008B12CB" w:rsidRDefault="008B12CB" w:rsidP="00FF76FF">
      <w:pPr>
        <w:autoSpaceDE w:val="0"/>
        <w:autoSpaceDN w:val="0"/>
        <w:adjustRightInd w:val="0"/>
        <w:ind w:left="709" w:hanging="709"/>
        <w:jc w:val="both"/>
        <w:rPr>
          <w:rFonts w:ascii="Century Gothic" w:hAnsi="Century Gothic"/>
          <w:b/>
          <w:i/>
          <w:sz w:val="22"/>
          <w:szCs w:val="22"/>
        </w:rPr>
      </w:pPr>
    </w:p>
    <w:p w:rsidR="008B12CB" w:rsidRPr="00D30279" w:rsidRDefault="008B12CB" w:rsidP="00FF76FF">
      <w:pPr>
        <w:autoSpaceDE w:val="0"/>
        <w:autoSpaceDN w:val="0"/>
        <w:adjustRightInd w:val="0"/>
        <w:ind w:left="709" w:hanging="709"/>
        <w:jc w:val="both"/>
        <w:rPr>
          <w:rFonts w:ascii="Century Gothic" w:hAnsi="Century Gothic"/>
          <w:b/>
          <w:i/>
          <w:sz w:val="22"/>
          <w:szCs w:val="22"/>
        </w:rPr>
      </w:pPr>
      <w:r w:rsidRPr="008B12CB">
        <w:rPr>
          <w:rFonts w:ascii="Century Gothic" w:hAnsi="Century Gothic"/>
          <w:b/>
          <w:sz w:val="22"/>
          <w:szCs w:val="22"/>
        </w:rPr>
        <w:t>Que,</w:t>
      </w:r>
      <w:r>
        <w:rPr>
          <w:rFonts w:ascii="Century Gothic" w:hAnsi="Century Gothic"/>
          <w:sz w:val="22"/>
          <w:szCs w:val="22"/>
        </w:rPr>
        <w:t xml:space="preserve">  </w:t>
      </w:r>
      <w:r w:rsidRPr="00A04A4B">
        <w:rPr>
          <w:rFonts w:ascii="Century Gothic" w:hAnsi="Century Gothic"/>
          <w:sz w:val="22"/>
          <w:szCs w:val="22"/>
        </w:rPr>
        <w:t xml:space="preserve">la Secretaría de Territorio, Hábitat y Vivienda, mediante Informe No. IT-STHV-DMPPS-2022-0193 de fecha 15 de diciembre de 2022, emite su pronunciamiento </w:t>
      </w:r>
      <w:r w:rsidR="0022430C">
        <w:rPr>
          <w:rFonts w:ascii="Century Gothic" w:hAnsi="Century Gothic"/>
          <w:sz w:val="22"/>
          <w:szCs w:val="22"/>
        </w:rPr>
        <w:t>exponiendo que</w:t>
      </w:r>
      <w:r w:rsidRPr="00A04A4B">
        <w:rPr>
          <w:rFonts w:ascii="Century Gothic" w:hAnsi="Century Gothic"/>
          <w:sz w:val="22"/>
          <w:szCs w:val="22"/>
        </w:rPr>
        <w:t xml:space="preserve"> </w:t>
      </w:r>
      <w:r w:rsidRPr="00D03D38">
        <w:rPr>
          <w:rFonts w:ascii="Century Gothic" w:hAnsi="Century Gothic"/>
          <w:i/>
          <w:sz w:val="22"/>
          <w:szCs w:val="22"/>
        </w:rPr>
        <w:t xml:space="preserve">“(…) En función a lo mencionado con el Plan Metropolitano de Desarrollo y Ordenamiento Territorial a través del Modelo Territorial Deseado que establece objetivos estratégicos, políticas que aportan a la consolidación de los sistemas públicos de soporte dentro del Distrito Metropolitano de Quito; y conforme al Plan de Uso y Gestión de Suelo aprobado por el Concejo Metropolitano de Quito a través de la Ordenanza Metropolitana PMDOT - PUGS No. 001 2021, como los instrumentos de planificación del Distrito Metropolitano de Quito que establecen la normativa urbanística, se concluye que el predio No. 692032 donde se encuentra funcionando la “Fundación Equinoccial del Ecuador”, en relación al aprovechamiento urbanístico de usos y </w:t>
      </w:r>
      <w:r w:rsidRPr="00D03D38">
        <w:rPr>
          <w:rFonts w:ascii="Century Gothic" w:hAnsi="Century Gothic"/>
          <w:i/>
          <w:sz w:val="22"/>
          <w:szCs w:val="22"/>
        </w:rPr>
        <w:lastRenderedPageBreak/>
        <w:t>ocupación de suelo no se opone a la planificación territorial establecida para el sector (…)”</w:t>
      </w:r>
      <w:r>
        <w:rPr>
          <w:rFonts w:ascii="Century Gothic" w:hAnsi="Century Gothic"/>
          <w:i/>
          <w:sz w:val="22"/>
          <w:szCs w:val="22"/>
        </w:rPr>
        <w:t>;</w:t>
      </w:r>
    </w:p>
    <w:p w:rsidR="008817A0" w:rsidRDefault="008817A0" w:rsidP="0027714C">
      <w:pPr>
        <w:autoSpaceDE w:val="0"/>
        <w:autoSpaceDN w:val="0"/>
        <w:adjustRightInd w:val="0"/>
        <w:jc w:val="both"/>
        <w:rPr>
          <w:rFonts w:ascii="Century Gothic" w:hAnsi="Century Gothic"/>
          <w:b/>
          <w:i/>
          <w:sz w:val="22"/>
          <w:szCs w:val="22"/>
        </w:rPr>
      </w:pPr>
    </w:p>
    <w:p w:rsidR="00323F9A" w:rsidRPr="00323F9A" w:rsidRDefault="00D03D38" w:rsidP="00D10567">
      <w:pPr>
        <w:autoSpaceDE w:val="0"/>
        <w:autoSpaceDN w:val="0"/>
        <w:adjustRightInd w:val="0"/>
        <w:ind w:left="709" w:hanging="709"/>
        <w:jc w:val="both"/>
        <w:rPr>
          <w:rFonts w:ascii="Century Gothic" w:hAnsi="Century Gothic"/>
          <w:i/>
          <w:sz w:val="22"/>
          <w:szCs w:val="22"/>
        </w:rPr>
      </w:pPr>
      <w:r>
        <w:rPr>
          <w:rFonts w:ascii="Century Gothic" w:hAnsi="Century Gothic"/>
          <w:b/>
          <w:sz w:val="22"/>
          <w:szCs w:val="22"/>
        </w:rPr>
        <w:t xml:space="preserve">Que, </w:t>
      </w:r>
      <w:r w:rsidR="00D10567">
        <w:rPr>
          <w:rFonts w:ascii="Century Gothic" w:hAnsi="Century Gothic"/>
          <w:b/>
          <w:sz w:val="22"/>
          <w:szCs w:val="22"/>
        </w:rPr>
        <w:t xml:space="preserve"> </w:t>
      </w:r>
      <w:r w:rsidR="00323F9A" w:rsidRPr="00323F9A">
        <w:rPr>
          <w:rFonts w:ascii="Century Gothic" w:hAnsi="Century Gothic"/>
          <w:sz w:val="22"/>
          <w:szCs w:val="22"/>
        </w:rPr>
        <w:t xml:space="preserve">mediante Memorando Nro. GADDMQ-AZEE-DGT-2022-2237-M de 07 de diciembre de 2022, el Arq. Enrique Patricio Castillo Brito, Director de Gestión del Territorio de la Administración Zonal Eugenio Espejo, en su parte pertinente informó: </w:t>
      </w:r>
      <w:r w:rsidR="00323F9A" w:rsidRPr="00323F9A">
        <w:rPr>
          <w:rFonts w:ascii="Century Gothic" w:hAnsi="Century Gothic"/>
          <w:i/>
          <w:sz w:val="22"/>
          <w:szCs w:val="22"/>
        </w:rPr>
        <w:t>“ (…) considerando la Ley del COOTAD, la Ordenanza 037 y el pedido realizado por la Dirección Metropolitana de Gestión de Bienes Inmuebles (DMGBI) con Oficio GADDMQ-DMGBI-2022-4083-O de 24 de octubre de 2022, la Dirección de Gestión de Territorio, informa que el predio 692032 ocupado por la Fundación Equinoccial del Ecuador cuenta con una construcción la misma que de forma general se encuentra en buen estado de conservación y mantenimiento, con ciertos espacios húmedos que pueden ser intervenidos sin mayor complicación; sin embargo, en lo relativo al uso específico del inmueble informo que, en la inspección no se pudo verificar las actividades que se desarrollan al interior del inmueble por parte de la fundación, por tal motivo, me permito remitir para su análisis y consideración, el informe de las actividades presentado por la Fundación Equinoccial, mediante el cual pone en conocimiento las acciones sociales y beneficios que su organización manifiesta dar a la comunidad.”</w:t>
      </w:r>
      <w:r w:rsidR="0055258B" w:rsidRPr="0055258B">
        <w:rPr>
          <w:rFonts w:ascii="Century Gothic" w:hAnsi="Century Gothic"/>
          <w:sz w:val="22"/>
          <w:szCs w:val="22"/>
        </w:rPr>
        <w:t>;</w:t>
      </w:r>
      <w:r w:rsidR="0055258B">
        <w:rPr>
          <w:rFonts w:ascii="Century Gothic" w:hAnsi="Century Gothic"/>
          <w:i/>
          <w:sz w:val="22"/>
          <w:szCs w:val="22"/>
        </w:rPr>
        <w:t xml:space="preserve"> </w:t>
      </w:r>
    </w:p>
    <w:p w:rsidR="00323F9A" w:rsidRDefault="00323F9A" w:rsidP="00D10567">
      <w:pPr>
        <w:autoSpaceDE w:val="0"/>
        <w:autoSpaceDN w:val="0"/>
        <w:adjustRightInd w:val="0"/>
        <w:ind w:left="709" w:hanging="709"/>
        <w:jc w:val="both"/>
        <w:rPr>
          <w:rFonts w:ascii="Century Gothic" w:hAnsi="Century Gothic"/>
          <w:b/>
          <w:sz w:val="22"/>
          <w:szCs w:val="22"/>
        </w:rPr>
      </w:pPr>
    </w:p>
    <w:p w:rsidR="00C31FE0" w:rsidRPr="0055258B" w:rsidRDefault="00323F9A" w:rsidP="00D10567">
      <w:pPr>
        <w:autoSpaceDE w:val="0"/>
        <w:autoSpaceDN w:val="0"/>
        <w:adjustRightInd w:val="0"/>
        <w:ind w:left="709" w:hanging="709"/>
        <w:jc w:val="both"/>
        <w:rPr>
          <w:rFonts w:ascii="Century Gothic" w:hAnsi="Century Gothic"/>
          <w:sz w:val="22"/>
          <w:szCs w:val="22"/>
        </w:rPr>
      </w:pPr>
      <w:r>
        <w:rPr>
          <w:rFonts w:ascii="Century Gothic" w:hAnsi="Century Gothic"/>
          <w:b/>
          <w:sz w:val="22"/>
          <w:szCs w:val="22"/>
        </w:rPr>
        <w:t xml:space="preserve">Que, </w:t>
      </w:r>
      <w:r w:rsidR="00C31FE0">
        <w:rPr>
          <w:rFonts w:ascii="Century Gothic" w:hAnsi="Century Gothic"/>
          <w:b/>
          <w:sz w:val="22"/>
          <w:szCs w:val="22"/>
        </w:rPr>
        <w:t xml:space="preserve"> </w:t>
      </w:r>
      <w:r w:rsidR="0055258B">
        <w:rPr>
          <w:rFonts w:ascii="Century Gothic" w:hAnsi="Century Gothic"/>
          <w:sz w:val="22"/>
          <w:szCs w:val="22"/>
        </w:rPr>
        <w:t>l</w:t>
      </w:r>
      <w:r w:rsidRPr="00C31FE0">
        <w:rPr>
          <w:rFonts w:ascii="Century Gothic" w:hAnsi="Century Gothic"/>
          <w:sz w:val="22"/>
          <w:szCs w:val="22"/>
        </w:rPr>
        <w:t xml:space="preserve">a Ing. Mónica Barros, Directora de Gestión Participativa del Desarrollo de la Administración Zonal Eugenio Espejo, mediante Informe Social No. AZEE-DGPD-UPC-062-2022 de 22 de diciembre de 2022, en su parte pertinente señaló: </w:t>
      </w:r>
      <w:r w:rsidRPr="00C31FE0">
        <w:rPr>
          <w:rFonts w:ascii="Century Gothic" w:hAnsi="Century Gothic"/>
          <w:i/>
          <w:sz w:val="22"/>
          <w:szCs w:val="22"/>
        </w:rPr>
        <w:t>“</w:t>
      </w:r>
      <w:r w:rsidR="00C31FE0" w:rsidRPr="00C31FE0">
        <w:rPr>
          <w:rFonts w:ascii="Century Gothic" w:hAnsi="Century Gothic"/>
          <w:i/>
          <w:sz w:val="22"/>
          <w:szCs w:val="22"/>
        </w:rPr>
        <w:t xml:space="preserve"> </w:t>
      </w:r>
      <w:r w:rsidRPr="00C31FE0">
        <w:rPr>
          <w:rFonts w:ascii="Century Gothic" w:hAnsi="Century Gothic"/>
          <w:i/>
          <w:sz w:val="22"/>
          <w:szCs w:val="22"/>
        </w:rPr>
        <w:t>La Dirección de Gestión Participativa a través de la Unidad de Participación Ciudadana realizó una inspección In situ, convocando la presencia de los representantes de la Fund</w:t>
      </w:r>
      <w:r w:rsidR="00C31FE0" w:rsidRPr="00C31FE0">
        <w:rPr>
          <w:rFonts w:ascii="Century Gothic" w:hAnsi="Century Gothic"/>
          <w:i/>
          <w:sz w:val="22"/>
          <w:szCs w:val="22"/>
        </w:rPr>
        <w:t>ación Equinoccial del Ecuador( …) Conclusión. – Después de verificado el uso actual que tiene el predio otorgado por Comodato a la Fundación Equinoccial del Ecuador, al ser sus actividades de beneficio para la comunidad y no se evidencia un uso particular o exclusivo de sus miembros, se emite el criterio FAVORABLE para la modificación del comodato del predio 692032.”</w:t>
      </w:r>
      <w:r w:rsidR="0055258B">
        <w:rPr>
          <w:rFonts w:ascii="Century Gothic" w:hAnsi="Century Gothic"/>
          <w:sz w:val="22"/>
          <w:szCs w:val="22"/>
        </w:rPr>
        <w:t xml:space="preserve">; </w:t>
      </w:r>
    </w:p>
    <w:p w:rsidR="0055258B" w:rsidRDefault="0055258B" w:rsidP="00D10567">
      <w:pPr>
        <w:autoSpaceDE w:val="0"/>
        <w:autoSpaceDN w:val="0"/>
        <w:adjustRightInd w:val="0"/>
        <w:ind w:left="709" w:hanging="709"/>
        <w:jc w:val="both"/>
        <w:rPr>
          <w:rFonts w:ascii="Century Gothic" w:hAnsi="Century Gothic"/>
          <w:i/>
          <w:sz w:val="22"/>
          <w:szCs w:val="22"/>
        </w:rPr>
      </w:pPr>
    </w:p>
    <w:p w:rsidR="0055258B" w:rsidRDefault="0055258B" w:rsidP="00D10567">
      <w:pPr>
        <w:autoSpaceDE w:val="0"/>
        <w:autoSpaceDN w:val="0"/>
        <w:adjustRightInd w:val="0"/>
        <w:ind w:left="709" w:hanging="709"/>
        <w:jc w:val="both"/>
        <w:rPr>
          <w:rFonts w:ascii="Century Gothic" w:hAnsi="Century Gothic"/>
          <w:sz w:val="22"/>
          <w:szCs w:val="22"/>
        </w:rPr>
      </w:pPr>
      <w:r w:rsidRPr="0055258B">
        <w:rPr>
          <w:rFonts w:ascii="Century Gothic" w:hAnsi="Century Gothic"/>
          <w:b/>
          <w:sz w:val="22"/>
          <w:szCs w:val="22"/>
        </w:rPr>
        <w:t>Que</w:t>
      </w:r>
      <w:r>
        <w:rPr>
          <w:rFonts w:ascii="Century Gothic" w:hAnsi="Century Gothic"/>
          <w:b/>
          <w:sz w:val="22"/>
          <w:szCs w:val="22"/>
        </w:rPr>
        <w:t xml:space="preserve">, </w:t>
      </w:r>
      <w:r w:rsidRPr="0055258B">
        <w:rPr>
          <w:rFonts w:ascii="Century Gothic" w:hAnsi="Century Gothic"/>
          <w:b/>
          <w:sz w:val="22"/>
          <w:szCs w:val="22"/>
        </w:rPr>
        <w:t xml:space="preserve"> </w:t>
      </w:r>
      <w:r>
        <w:rPr>
          <w:rFonts w:ascii="Century Gothic" w:hAnsi="Century Gothic"/>
          <w:b/>
          <w:sz w:val="22"/>
          <w:szCs w:val="22"/>
        </w:rPr>
        <w:t xml:space="preserve"> </w:t>
      </w:r>
      <w:r w:rsidRPr="0055258B">
        <w:rPr>
          <w:rFonts w:ascii="Century Gothic" w:hAnsi="Century Gothic"/>
          <w:sz w:val="22"/>
          <w:szCs w:val="22"/>
        </w:rPr>
        <w:t xml:space="preserve">mediante Informe Técnico del Estado Ambiental No. 127-UA-AZEE-2022 de 22 de diciembre de 2022, la señora Paola Villagrán, Jefa Unidad de Ambiente de la Administración Zonal Eugenio Espejo, informó </w:t>
      </w:r>
      <w:r w:rsidRPr="0055258B">
        <w:rPr>
          <w:rFonts w:ascii="Century Gothic" w:hAnsi="Century Gothic"/>
          <w:i/>
          <w:sz w:val="22"/>
          <w:szCs w:val="22"/>
        </w:rPr>
        <w:t>“(…)</w:t>
      </w:r>
      <w:r w:rsidR="005676C6">
        <w:rPr>
          <w:rFonts w:ascii="Century Gothic" w:hAnsi="Century Gothic"/>
          <w:i/>
          <w:sz w:val="22"/>
          <w:szCs w:val="22"/>
        </w:rPr>
        <w:t xml:space="preserve"> </w:t>
      </w:r>
      <w:r w:rsidRPr="0055258B">
        <w:rPr>
          <w:rFonts w:ascii="Century Gothic" w:hAnsi="Century Gothic"/>
          <w:i/>
          <w:sz w:val="22"/>
          <w:szCs w:val="22"/>
        </w:rPr>
        <w:t xml:space="preserve">La Unidad de Ambiente de la Administración Zonal Eugenio Espejo, emite informe ambiental favorable para entrega comodato a favor de la Fundación Equinoccial del </w:t>
      </w:r>
      <w:proofErr w:type="gramStart"/>
      <w:r w:rsidRPr="0055258B">
        <w:rPr>
          <w:rFonts w:ascii="Century Gothic" w:hAnsi="Century Gothic"/>
          <w:i/>
          <w:sz w:val="22"/>
          <w:szCs w:val="22"/>
        </w:rPr>
        <w:t>Ecuador ”</w:t>
      </w:r>
      <w:proofErr w:type="gramEnd"/>
      <w:r>
        <w:rPr>
          <w:rFonts w:ascii="Century Gothic" w:hAnsi="Century Gothic"/>
          <w:sz w:val="22"/>
          <w:szCs w:val="22"/>
        </w:rPr>
        <w:t xml:space="preserve">; </w:t>
      </w:r>
    </w:p>
    <w:p w:rsidR="0055258B" w:rsidRDefault="0055258B" w:rsidP="00D10567">
      <w:pPr>
        <w:autoSpaceDE w:val="0"/>
        <w:autoSpaceDN w:val="0"/>
        <w:adjustRightInd w:val="0"/>
        <w:ind w:left="709" w:hanging="709"/>
        <w:jc w:val="both"/>
        <w:rPr>
          <w:rFonts w:ascii="Century Gothic" w:hAnsi="Century Gothic"/>
          <w:b/>
          <w:sz w:val="22"/>
          <w:szCs w:val="22"/>
        </w:rPr>
      </w:pPr>
    </w:p>
    <w:p w:rsidR="004A280A" w:rsidRDefault="0055258B" w:rsidP="004A280A">
      <w:pPr>
        <w:autoSpaceDE w:val="0"/>
        <w:autoSpaceDN w:val="0"/>
        <w:adjustRightInd w:val="0"/>
        <w:ind w:left="709" w:hanging="709"/>
        <w:jc w:val="both"/>
        <w:rPr>
          <w:rFonts w:ascii="Century Gothic" w:hAnsi="Century Gothic"/>
          <w:sz w:val="22"/>
          <w:szCs w:val="22"/>
        </w:rPr>
      </w:pPr>
      <w:r>
        <w:rPr>
          <w:rFonts w:ascii="Century Gothic" w:hAnsi="Century Gothic"/>
          <w:b/>
          <w:sz w:val="22"/>
          <w:szCs w:val="22"/>
        </w:rPr>
        <w:t xml:space="preserve">Que, </w:t>
      </w:r>
      <w:r w:rsidR="00A3010B">
        <w:rPr>
          <w:rFonts w:ascii="Century Gothic" w:hAnsi="Century Gothic"/>
          <w:b/>
          <w:sz w:val="22"/>
          <w:szCs w:val="22"/>
        </w:rPr>
        <w:t xml:space="preserve"> </w:t>
      </w:r>
      <w:r w:rsidRPr="0055258B">
        <w:rPr>
          <w:rFonts w:ascii="Century Gothic" w:hAnsi="Century Gothic"/>
          <w:sz w:val="22"/>
          <w:szCs w:val="22"/>
        </w:rPr>
        <w:t xml:space="preserve">con memorando Nro. GADDMQ-AZEE-DAJ-2023-0019-M de 04 de enero de 2023, el Dr. Cristian Chimbo Muriel, Director de Asesoría Jurídica de la Administración Zonal Eugenio Espejo, como criterio legal señaló: </w:t>
      </w:r>
      <w:r w:rsidRPr="00A3010B">
        <w:rPr>
          <w:rFonts w:ascii="Century Gothic" w:hAnsi="Century Gothic"/>
          <w:i/>
          <w:sz w:val="22"/>
          <w:szCs w:val="22"/>
        </w:rPr>
        <w:t xml:space="preserve">“Con relación al PREDIO 692032, esta Asesoría Legal, basada en los antecedentes expuestos, normativa legal señalada, e Informes actualizados Técnico, Social y Ambiental, de los que se desprende que se realizaron las inspecciones respectivas al predio materia del presente documento, considera Procedente continuar con el trámite para la </w:t>
      </w:r>
      <w:r w:rsidRPr="00A3010B">
        <w:rPr>
          <w:rFonts w:ascii="Century Gothic" w:hAnsi="Century Gothic"/>
          <w:i/>
          <w:sz w:val="22"/>
          <w:szCs w:val="22"/>
        </w:rPr>
        <w:lastRenderedPageBreak/>
        <w:t>Modificatoria de la Resolución del Comodato virtud de la ampliación del plazo, del PREDIO 692032, a la Fundación Equinoccial del Ecuador.”</w:t>
      </w:r>
      <w:r w:rsidR="004A280A">
        <w:rPr>
          <w:rFonts w:ascii="Century Gothic" w:hAnsi="Century Gothic"/>
          <w:sz w:val="22"/>
          <w:szCs w:val="22"/>
        </w:rPr>
        <w:t xml:space="preserve">; </w:t>
      </w:r>
    </w:p>
    <w:p w:rsidR="004A280A" w:rsidRDefault="004A280A" w:rsidP="004A280A">
      <w:pPr>
        <w:autoSpaceDE w:val="0"/>
        <w:autoSpaceDN w:val="0"/>
        <w:adjustRightInd w:val="0"/>
        <w:ind w:left="709" w:hanging="709"/>
        <w:jc w:val="both"/>
        <w:rPr>
          <w:rFonts w:ascii="Century Gothic" w:hAnsi="Century Gothic"/>
          <w:sz w:val="22"/>
          <w:szCs w:val="22"/>
        </w:rPr>
      </w:pPr>
    </w:p>
    <w:p w:rsidR="00A04A4B" w:rsidRPr="004A280A" w:rsidRDefault="004A280A" w:rsidP="004A280A">
      <w:pPr>
        <w:autoSpaceDE w:val="0"/>
        <w:autoSpaceDN w:val="0"/>
        <w:adjustRightInd w:val="0"/>
        <w:ind w:left="709" w:hanging="709"/>
        <w:jc w:val="both"/>
        <w:rPr>
          <w:rFonts w:ascii="Century Gothic" w:hAnsi="Century Gothic"/>
          <w:sz w:val="22"/>
          <w:szCs w:val="22"/>
        </w:rPr>
      </w:pPr>
      <w:r w:rsidRPr="004A280A">
        <w:rPr>
          <w:rFonts w:ascii="Century Gothic" w:hAnsi="Century Gothic"/>
          <w:b/>
          <w:sz w:val="22"/>
          <w:szCs w:val="22"/>
        </w:rPr>
        <w:t>Que,</w:t>
      </w:r>
      <w:r>
        <w:rPr>
          <w:rFonts w:ascii="Century Gothic" w:hAnsi="Century Gothic"/>
          <w:sz w:val="22"/>
          <w:szCs w:val="22"/>
        </w:rPr>
        <w:t xml:space="preserve">  </w:t>
      </w:r>
      <w:r w:rsidR="00D03D38" w:rsidRPr="00D03D38">
        <w:rPr>
          <w:rFonts w:ascii="Century Gothic" w:hAnsi="Century Gothic"/>
          <w:sz w:val="22"/>
          <w:szCs w:val="22"/>
        </w:rPr>
        <w:t xml:space="preserve">con Oficio No. GADDMQ-AZEE-2023-0120-O de fecha 12 de enero de 2023, </w:t>
      </w:r>
      <w:r w:rsidR="0022430C">
        <w:rPr>
          <w:rFonts w:ascii="Century Gothic" w:hAnsi="Century Gothic"/>
          <w:sz w:val="22"/>
          <w:szCs w:val="22"/>
        </w:rPr>
        <w:t xml:space="preserve">la Administradora Eugenio Espejo, </w:t>
      </w:r>
      <w:proofErr w:type="spellStart"/>
      <w:r w:rsidR="0022430C">
        <w:rPr>
          <w:rFonts w:ascii="Century Gothic" w:hAnsi="Century Gothic"/>
          <w:sz w:val="22"/>
          <w:szCs w:val="22"/>
        </w:rPr>
        <w:t>Msg</w:t>
      </w:r>
      <w:proofErr w:type="spellEnd"/>
      <w:r w:rsidR="0022430C">
        <w:rPr>
          <w:rFonts w:ascii="Century Gothic" w:hAnsi="Century Gothic"/>
          <w:sz w:val="22"/>
          <w:szCs w:val="22"/>
        </w:rPr>
        <w:t xml:space="preserve">. Gina Gabriela </w:t>
      </w:r>
      <w:proofErr w:type="spellStart"/>
      <w:r w:rsidR="0022430C">
        <w:rPr>
          <w:rFonts w:ascii="Century Gothic" w:hAnsi="Century Gothic"/>
          <w:sz w:val="22"/>
          <w:szCs w:val="22"/>
        </w:rPr>
        <w:t>Yanguez</w:t>
      </w:r>
      <w:proofErr w:type="spellEnd"/>
      <w:r w:rsidR="0022430C">
        <w:rPr>
          <w:rFonts w:ascii="Century Gothic" w:hAnsi="Century Gothic"/>
          <w:sz w:val="22"/>
          <w:szCs w:val="22"/>
        </w:rPr>
        <w:t xml:space="preserve"> Paredes </w:t>
      </w:r>
      <w:r w:rsidR="00D03D38" w:rsidRPr="00D03D38">
        <w:rPr>
          <w:rFonts w:ascii="Century Gothic" w:hAnsi="Century Gothic"/>
          <w:sz w:val="22"/>
          <w:szCs w:val="22"/>
        </w:rPr>
        <w:t xml:space="preserve">emite </w:t>
      </w:r>
      <w:r>
        <w:rPr>
          <w:rFonts w:ascii="Century Gothic" w:hAnsi="Century Gothic"/>
          <w:sz w:val="22"/>
          <w:szCs w:val="22"/>
        </w:rPr>
        <w:t>su informe favorable exponiendo que</w:t>
      </w:r>
      <w:r w:rsidR="00D03D38" w:rsidRPr="00D03D38">
        <w:rPr>
          <w:rFonts w:ascii="Century Gothic" w:hAnsi="Century Gothic"/>
          <w:sz w:val="22"/>
          <w:szCs w:val="22"/>
        </w:rPr>
        <w:t xml:space="preserve"> </w:t>
      </w:r>
      <w:r w:rsidR="00D03D38" w:rsidRPr="00D10567">
        <w:rPr>
          <w:rFonts w:ascii="Century Gothic" w:hAnsi="Century Gothic"/>
          <w:i/>
          <w:sz w:val="22"/>
          <w:szCs w:val="22"/>
        </w:rPr>
        <w:t>“(…)en base a los antecedentes expuestos y con fundamento en la norma legal aplicable citada, ésta autoridad concluye que el procedente continuar con el trámite para la Modificatoria de la Resolución del Comodato virtud de la ampliación del plazo, en favor de la Fundación Equinoccial del Ecuador, a realizarse en el del Predio No. 692032(…)”</w:t>
      </w:r>
      <w:r w:rsidR="009F705E">
        <w:rPr>
          <w:rFonts w:ascii="Century Gothic" w:hAnsi="Century Gothic"/>
          <w:i/>
          <w:sz w:val="22"/>
          <w:szCs w:val="22"/>
        </w:rPr>
        <w:t>;</w:t>
      </w:r>
    </w:p>
    <w:p w:rsidR="008D3F7B" w:rsidRDefault="008D3F7B" w:rsidP="00D10567">
      <w:pPr>
        <w:autoSpaceDE w:val="0"/>
        <w:autoSpaceDN w:val="0"/>
        <w:adjustRightInd w:val="0"/>
        <w:ind w:left="709" w:hanging="709"/>
        <w:jc w:val="both"/>
        <w:rPr>
          <w:rFonts w:ascii="Century Gothic" w:hAnsi="Century Gothic"/>
          <w:i/>
          <w:sz w:val="22"/>
          <w:szCs w:val="22"/>
        </w:rPr>
      </w:pPr>
    </w:p>
    <w:p w:rsidR="008D3F7B" w:rsidRDefault="00AF778C" w:rsidP="00D10567">
      <w:pPr>
        <w:autoSpaceDE w:val="0"/>
        <w:autoSpaceDN w:val="0"/>
        <w:adjustRightInd w:val="0"/>
        <w:ind w:left="709" w:hanging="709"/>
        <w:jc w:val="both"/>
        <w:rPr>
          <w:rFonts w:ascii="Century Gothic" w:hAnsi="Century Gothic"/>
          <w:i/>
          <w:sz w:val="22"/>
          <w:szCs w:val="22"/>
        </w:rPr>
      </w:pPr>
      <w:r>
        <w:rPr>
          <w:rFonts w:ascii="Century Gothic" w:hAnsi="Century Gothic"/>
          <w:b/>
          <w:sz w:val="22"/>
          <w:szCs w:val="22"/>
        </w:rPr>
        <w:t>Que</w:t>
      </w:r>
      <w:r w:rsidRPr="00542407">
        <w:rPr>
          <w:rFonts w:ascii="Century Gothic" w:hAnsi="Century Gothic"/>
          <w:b/>
          <w:sz w:val="22"/>
          <w:szCs w:val="22"/>
        </w:rPr>
        <w:t xml:space="preserve">,  </w:t>
      </w:r>
      <w:r w:rsidRPr="00542407">
        <w:rPr>
          <w:rFonts w:ascii="Century Gothic" w:hAnsi="Century Gothic"/>
          <w:sz w:val="22"/>
          <w:szCs w:val="22"/>
        </w:rPr>
        <w:t>mediante Oficio No. GADDMQ-PM-2023-0221-O de fecha 20 de enero de 2023, Procuraduría Metropolitana observa</w:t>
      </w:r>
      <w:r w:rsidRPr="00AF778C">
        <w:rPr>
          <w:rFonts w:ascii="Century Gothic" w:hAnsi="Century Gothic"/>
          <w:i/>
          <w:sz w:val="22"/>
          <w:szCs w:val="22"/>
        </w:rPr>
        <w:t xml:space="preserve">  "(...) Los informes técnicos y legales tanto de la Administración Zonal Eugenio Espejo, como de la Dirección Metropolitana de Gestión de Bienes Inmuebles, establecen como clave catastral del predio al No. 11004-05-030, el mismo que difiere en los dos últimos números de la clave catastral establecida en la Resolución del Concejo Metropolitano de Quito de 22 de septiembre de 1997. Por lo expuesto, Procuraduría Metropolitana devuelve el expediente del presente caso, a fin de que se verifique la inconsistencia advertida y se proceda a su corrección</w:t>
      </w:r>
      <w:r w:rsidR="008B5585">
        <w:rPr>
          <w:rFonts w:ascii="Century Gothic" w:hAnsi="Century Gothic"/>
          <w:i/>
          <w:sz w:val="22"/>
          <w:szCs w:val="22"/>
        </w:rPr>
        <w:t xml:space="preserve"> </w:t>
      </w:r>
      <w:r w:rsidRPr="00AF778C">
        <w:rPr>
          <w:rFonts w:ascii="Century Gothic" w:hAnsi="Century Gothic"/>
          <w:i/>
          <w:sz w:val="22"/>
          <w:szCs w:val="22"/>
        </w:rPr>
        <w:t>(...)"</w:t>
      </w:r>
      <w:r>
        <w:rPr>
          <w:rFonts w:ascii="Century Gothic" w:hAnsi="Century Gothic"/>
          <w:i/>
          <w:sz w:val="22"/>
          <w:szCs w:val="22"/>
        </w:rPr>
        <w:t xml:space="preserve">; </w:t>
      </w:r>
    </w:p>
    <w:p w:rsidR="00AF778C" w:rsidRDefault="00AF778C" w:rsidP="00D10567">
      <w:pPr>
        <w:autoSpaceDE w:val="0"/>
        <w:autoSpaceDN w:val="0"/>
        <w:adjustRightInd w:val="0"/>
        <w:ind w:left="709" w:hanging="709"/>
        <w:jc w:val="both"/>
        <w:rPr>
          <w:rFonts w:ascii="Century Gothic" w:hAnsi="Century Gothic"/>
          <w:i/>
          <w:sz w:val="22"/>
          <w:szCs w:val="22"/>
        </w:rPr>
      </w:pPr>
    </w:p>
    <w:p w:rsidR="009F705E" w:rsidRDefault="00AF778C" w:rsidP="00D10567">
      <w:pPr>
        <w:autoSpaceDE w:val="0"/>
        <w:autoSpaceDN w:val="0"/>
        <w:adjustRightInd w:val="0"/>
        <w:ind w:left="709" w:hanging="709"/>
        <w:jc w:val="both"/>
        <w:rPr>
          <w:rFonts w:ascii="Century Gothic" w:hAnsi="Century Gothic"/>
          <w:i/>
          <w:sz w:val="22"/>
          <w:szCs w:val="22"/>
        </w:rPr>
      </w:pPr>
      <w:r w:rsidRPr="00AF778C">
        <w:rPr>
          <w:rFonts w:ascii="Century Gothic" w:hAnsi="Century Gothic"/>
          <w:b/>
          <w:sz w:val="22"/>
          <w:szCs w:val="22"/>
        </w:rPr>
        <w:t>Que,</w:t>
      </w:r>
      <w:r>
        <w:rPr>
          <w:rFonts w:ascii="Century Gothic" w:hAnsi="Century Gothic"/>
          <w:b/>
          <w:sz w:val="22"/>
          <w:szCs w:val="22"/>
        </w:rPr>
        <w:t xml:space="preserve">  </w:t>
      </w:r>
      <w:r w:rsidR="003B1517">
        <w:rPr>
          <w:rFonts w:ascii="Century Gothic" w:hAnsi="Century Gothic"/>
          <w:b/>
          <w:sz w:val="22"/>
          <w:szCs w:val="22"/>
        </w:rPr>
        <w:t xml:space="preserve">  </w:t>
      </w:r>
      <w:r w:rsidRPr="003B1517">
        <w:rPr>
          <w:rFonts w:ascii="Century Gothic" w:hAnsi="Century Gothic"/>
          <w:sz w:val="22"/>
          <w:szCs w:val="22"/>
        </w:rPr>
        <w:t xml:space="preserve">el 13 de marzo de 2023, la Dirección Metropolitana de Catastro mediante Oficio No.GADDMQ-STHV-DMC-UCE-2023-0586-O, al respecto del predio No. 692032 informa que </w:t>
      </w:r>
      <w:r w:rsidRPr="003B1517">
        <w:rPr>
          <w:rFonts w:ascii="Century Gothic" w:hAnsi="Century Gothic"/>
          <w:i/>
          <w:sz w:val="22"/>
          <w:szCs w:val="22"/>
        </w:rPr>
        <w:t xml:space="preserve">“(…) el inmueble inicial de clave catastral 110040529 fue subdividido, por lo tanto se crea el inmueble de clave catastral 110040530, con predio No. 692032 a nombre del Municipio del Distrito Metropolitano de Quito. Cabe señalar que el área y linderos que constan en la Resolución aprobada por el Concejo Metropolitano de Quito en Sesión Pública Ordinaria de 22 de septiembre de 1997, no corresponden a la clave catastral 11004-05-29, misma que por un error de transcripción fue emitida; siendo la correcta, la clave catastral 11004-05-030, que actualmente en el sistema SIREC-Q consta ya generado el número de predio No. 692032 a nombre del Municipio del Distrito Metropolitano de </w:t>
      </w:r>
      <w:proofErr w:type="gramStart"/>
      <w:r w:rsidRPr="003B1517">
        <w:rPr>
          <w:rFonts w:ascii="Century Gothic" w:hAnsi="Century Gothic"/>
          <w:i/>
          <w:sz w:val="22"/>
          <w:szCs w:val="22"/>
        </w:rPr>
        <w:t>Quito(</w:t>
      </w:r>
      <w:proofErr w:type="gramEnd"/>
      <w:r w:rsidRPr="003B1517">
        <w:rPr>
          <w:rFonts w:ascii="Century Gothic" w:hAnsi="Century Gothic"/>
          <w:i/>
          <w:sz w:val="22"/>
          <w:szCs w:val="22"/>
        </w:rPr>
        <w:t>...) "</w:t>
      </w:r>
      <w:r w:rsidR="00542407">
        <w:rPr>
          <w:rFonts w:ascii="Century Gothic" w:hAnsi="Century Gothic"/>
          <w:i/>
          <w:sz w:val="22"/>
          <w:szCs w:val="22"/>
        </w:rPr>
        <w:t xml:space="preserve"> ;</w:t>
      </w:r>
    </w:p>
    <w:p w:rsidR="00323F9A" w:rsidRDefault="00323F9A" w:rsidP="00D10567">
      <w:pPr>
        <w:autoSpaceDE w:val="0"/>
        <w:autoSpaceDN w:val="0"/>
        <w:adjustRightInd w:val="0"/>
        <w:ind w:left="709" w:hanging="709"/>
        <w:jc w:val="both"/>
        <w:rPr>
          <w:rFonts w:ascii="Century Gothic" w:hAnsi="Century Gothic"/>
          <w:i/>
          <w:sz w:val="22"/>
          <w:szCs w:val="22"/>
        </w:rPr>
      </w:pPr>
    </w:p>
    <w:p w:rsidR="00323F9A" w:rsidRPr="00C244CB" w:rsidRDefault="00C244CB" w:rsidP="00D10567">
      <w:pPr>
        <w:autoSpaceDE w:val="0"/>
        <w:autoSpaceDN w:val="0"/>
        <w:adjustRightInd w:val="0"/>
        <w:ind w:left="709" w:hanging="709"/>
        <w:jc w:val="both"/>
        <w:rPr>
          <w:rFonts w:ascii="Century Gothic" w:hAnsi="Century Gothic"/>
          <w:b/>
          <w:i/>
          <w:sz w:val="22"/>
          <w:szCs w:val="22"/>
        </w:rPr>
      </w:pPr>
      <w:r>
        <w:rPr>
          <w:rFonts w:ascii="Century Gothic" w:hAnsi="Century Gothic"/>
          <w:b/>
          <w:sz w:val="22"/>
          <w:szCs w:val="22"/>
        </w:rPr>
        <w:t xml:space="preserve">Que, </w:t>
      </w:r>
      <w:r w:rsidR="00426EEE">
        <w:rPr>
          <w:rFonts w:ascii="Century Gothic" w:hAnsi="Century Gothic"/>
          <w:b/>
          <w:sz w:val="22"/>
          <w:szCs w:val="22"/>
        </w:rPr>
        <w:t xml:space="preserve"> </w:t>
      </w:r>
      <w:r w:rsidRPr="00C244CB">
        <w:rPr>
          <w:rFonts w:ascii="Century Gothic" w:hAnsi="Century Gothic"/>
          <w:sz w:val="22"/>
          <w:szCs w:val="22"/>
        </w:rPr>
        <w:t xml:space="preserve">el Ing. Carlos Andrés Yépez Díaz, Director Metropolitano de la Dirección Metropolitana de Gestión de Bienes Inmuebles, mediante Oficio Nro. GADDMQ-DMGBI-2023-1097-O de 21 de marzo de 2023, como criterio manifestó </w:t>
      </w:r>
      <w:r w:rsidRPr="00C244CB">
        <w:rPr>
          <w:rFonts w:ascii="Century Gothic" w:hAnsi="Century Gothic"/>
          <w:i/>
          <w:sz w:val="22"/>
          <w:szCs w:val="22"/>
        </w:rPr>
        <w:t>“(…) me ratifico en todos los informes antes descritos y actuados en el proceso de Modificatoria de la Resolución del Concejo Metropolitano de 22 de septiembre de 1997, referente a la extensión de plazo de comodato a favor de "Fundación Equinoccial".  Finalmente, y conforme a lo anotado, esta Dirección Metropolitana emite criterio favorable para la modificatoria de la Resolución del Concejo Metropolitano de 22 de septiembre de 1997, en razón de la extensión del plazo del comodato a favor de la " Fundación Equinoccial" y para la rectificación de la clave catastral No.11004-05-030.”</w:t>
      </w:r>
      <w:r w:rsidR="00542407">
        <w:rPr>
          <w:rFonts w:ascii="Century Gothic" w:hAnsi="Century Gothic"/>
          <w:i/>
          <w:sz w:val="22"/>
          <w:szCs w:val="22"/>
        </w:rPr>
        <w:t>;</w:t>
      </w:r>
      <w:bookmarkStart w:id="0" w:name="_GoBack"/>
      <w:bookmarkEnd w:id="0"/>
    </w:p>
    <w:p w:rsidR="003B1517" w:rsidRDefault="003B1517" w:rsidP="00D10567">
      <w:pPr>
        <w:autoSpaceDE w:val="0"/>
        <w:autoSpaceDN w:val="0"/>
        <w:adjustRightInd w:val="0"/>
        <w:ind w:left="709" w:hanging="709"/>
        <w:jc w:val="both"/>
        <w:rPr>
          <w:rFonts w:ascii="Century Gothic" w:hAnsi="Century Gothic"/>
          <w:b/>
          <w:i/>
          <w:sz w:val="22"/>
          <w:szCs w:val="22"/>
        </w:rPr>
      </w:pPr>
    </w:p>
    <w:p w:rsidR="00FF51CE" w:rsidRDefault="00FF51CE" w:rsidP="008517DB">
      <w:pPr>
        <w:autoSpaceDE w:val="0"/>
        <w:autoSpaceDN w:val="0"/>
        <w:adjustRightInd w:val="0"/>
        <w:jc w:val="both"/>
        <w:rPr>
          <w:rFonts w:ascii="Century Gothic" w:hAnsi="Century Gothic"/>
          <w:b/>
          <w:i/>
          <w:sz w:val="22"/>
          <w:szCs w:val="22"/>
        </w:rPr>
      </w:pPr>
    </w:p>
    <w:p w:rsidR="008517DB" w:rsidRDefault="008517DB" w:rsidP="008517DB">
      <w:pPr>
        <w:autoSpaceDE w:val="0"/>
        <w:autoSpaceDN w:val="0"/>
        <w:adjustRightInd w:val="0"/>
        <w:jc w:val="both"/>
        <w:rPr>
          <w:rFonts w:ascii="Century Gothic" w:eastAsiaTheme="minorHAnsi" w:hAnsi="Century Gothic"/>
          <w:i/>
          <w:iCs/>
          <w:sz w:val="22"/>
          <w:szCs w:val="22"/>
          <w:lang w:val="es-EC" w:eastAsia="en-US"/>
        </w:rPr>
      </w:pPr>
    </w:p>
    <w:p w:rsidR="00FF51CE" w:rsidRDefault="00FF76FF" w:rsidP="00FF51CE">
      <w:pPr>
        <w:autoSpaceDE w:val="0"/>
        <w:autoSpaceDN w:val="0"/>
        <w:adjustRightInd w:val="0"/>
        <w:ind w:left="709" w:hanging="709"/>
        <w:jc w:val="both"/>
        <w:rPr>
          <w:rFonts w:ascii="Century Gothic" w:eastAsiaTheme="minorHAnsi" w:hAnsi="Century Gothic"/>
          <w:i/>
          <w:sz w:val="22"/>
          <w:szCs w:val="22"/>
          <w:lang w:val="es-EC" w:eastAsia="en-US"/>
        </w:rPr>
      </w:pPr>
      <w:r w:rsidRPr="001B5A35">
        <w:rPr>
          <w:rFonts w:ascii="Century Gothic" w:hAnsi="Century Gothic"/>
          <w:b/>
          <w:sz w:val="22"/>
          <w:szCs w:val="22"/>
        </w:rPr>
        <w:t>Que,</w:t>
      </w:r>
      <w:r>
        <w:rPr>
          <w:rFonts w:ascii="Century Gothic" w:hAnsi="Century Gothic"/>
          <w:b/>
          <w:sz w:val="22"/>
          <w:szCs w:val="22"/>
        </w:rPr>
        <w:t xml:space="preserve">   </w:t>
      </w:r>
      <w:r w:rsidR="00FF51CE" w:rsidRPr="00157E6C">
        <w:rPr>
          <w:rFonts w:ascii="Century Gothic" w:hAnsi="Century Gothic"/>
          <w:sz w:val="22"/>
          <w:szCs w:val="22"/>
        </w:rPr>
        <w:t xml:space="preserve">con Oficio </w:t>
      </w:r>
      <w:r w:rsidR="008517DB">
        <w:rPr>
          <w:rFonts w:ascii="Century Gothic" w:hAnsi="Century Gothic"/>
          <w:sz w:val="22"/>
          <w:szCs w:val="22"/>
        </w:rPr>
        <w:t>No. GADDMQ-PM-2023-1172</w:t>
      </w:r>
      <w:r w:rsidR="00FF51CE" w:rsidRPr="00157E6C">
        <w:rPr>
          <w:rFonts w:ascii="Century Gothic" w:hAnsi="Century Gothic"/>
          <w:sz w:val="22"/>
          <w:szCs w:val="22"/>
        </w:rPr>
        <w:t xml:space="preserve">-O de fecha </w:t>
      </w:r>
      <w:r w:rsidR="008517DB">
        <w:rPr>
          <w:rFonts w:ascii="Century Gothic" w:hAnsi="Century Gothic"/>
          <w:sz w:val="22"/>
          <w:szCs w:val="22"/>
        </w:rPr>
        <w:t>22 de marzo  de 2023</w:t>
      </w:r>
      <w:r w:rsidR="00FF51CE" w:rsidRPr="00157E6C">
        <w:rPr>
          <w:rFonts w:ascii="Century Gothic" w:hAnsi="Century Gothic"/>
          <w:sz w:val="22"/>
          <w:szCs w:val="22"/>
        </w:rPr>
        <w:t xml:space="preserve">, el </w:t>
      </w:r>
      <w:proofErr w:type="spellStart"/>
      <w:r w:rsidR="00FF51CE" w:rsidRPr="00157E6C">
        <w:rPr>
          <w:rFonts w:ascii="Century Gothic" w:hAnsi="Century Gothic"/>
          <w:sz w:val="22"/>
          <w:szCs w:val="22"/>
        </w:rPr>
        <w:t>Msg</w:t>
      </w:r>
      <w:proofErr w:type="spellEnd"/>
      <w:r w:rsidR="00FF51CE" w:rsidRPr="00157E6C">
        <w:rPr>
          <w:rFonts w:ascii="Century Gothic" w:hAnsi="Century Gothic"/>
          <w:sz w:val="22"/>
          <w:szCs w:val="22"/>
        </w:rPr>
        <w:t xml:space="preserve">. Paul Esteban Romero Osorio, Subprocurador de Asesoría  de Uso y Ocupación de Suelos, manifiesta:  </w:t>
      </w:r>
      <w:r w:rsidR="00FF51CE" w:rsidRPr="008517DB">
        <w:rPr>
          <w:rFonts w:ascii="Century Gothic" w:eastAsiaTheme="minorHAnsi" w:hAnsi="Century Gothic"/>
          <w:i/>
          <w:sz w:val="22"/>
          <w:szCs w:val="22"/>
          <w:lang w:val="es-EC" w:eastAsia="en-US"/>
        </w:rPr>
        <w:t>“(…)</w:t>
      </w:r>
      <w:r w:rsidR="008517DB" w:rsidRPr="008517DB">
        <w:rPr>
          <w:rFonts w:ascii="Century Gothic" w:hAnsi="Century Gothic"/>
          <w:i/>
          <w:sz w:val="22"/>
          <w:szCs w:val="22"/>
        </w:rPr>
        <w:t>Con los antecedentes y el fundamento normativo legal citado, considerando los informes técnicos mencionados, que establecen que (i) la Fundación Equinoccial, está dando cumplimiento con lo estipulado en el contrato de comodato; y, (ii) que existe error en la determinación de la clave catastral constante en la resolución del Concejo Metropolitano de 22 de septiembre de 1997, Procuraduría Metropolitana emite criterio legal favorable, para que, de estimarlo pertinente la Comisión de Propiedad y Espacio Público, alcance del Concejo Metropolitano la modificatoria de la resolución emitida en sesión pública ordinaria del 22 de septiembre de 1997, en relación a (i) la ampliación del plazo del comodato entregado a favor de la Fundación Equinoccial; y, (ii) la rectificación de la clave catastral No. 11004-05-029, por la clave catastral correcta No. 11004-05-030, la que actualmente en el sistema SIREC-Q, consta generado el predio No. 692032(…)”</w:t>
      </w:r>
      <w:r w:rsidR="00AC50EC">
        <w:rPr>
          <w:rFonts w:ascii="Century Gothic" w:eastAsiaTheme="minorHAnsi" w:hAnsi="Century Gothic"/>
          <w:i/>
          <w:sz w:val="22"/>
          <w:szCs w:val="22"/>
          <w:lang w:val="es-EC" w:eastAsia="en-US"/>
        </w:rPr>
        <w:t>;</w:t>
      </w:r>
    </w:p>
    <w:p w:rsidR="00FF76FF" w:rsidRDefault="00FF76FF" w:rsidP="000A3BA6">
      <w:pPr>
        <w:autoSpaceDE w:val="0"/>
        <w:autoSpaceDN w:val="0"/>
        <w:adjustRightInd w:val="0"/>
        <w:jc w:val="both"/>
        <w:rPr>
          <w:rFonts w:ascii="Century Gothic" w:hAnsi="Century Gothic"/>
          <w:i/>
          <w:sz w:val="22"/>
          <w:szCs w:val="22"/>
        </w:rPr>
      </w:pPr>
    </w:p>
    <w:p w:rsidR="00FF76FF" w:rsidRPr="001B5A35" w:rsidRDefault="00FF76FF" w:rsidP="00FF76FF">
      <w:pPr>
        <w:tabs>
          <w:tab w:val="left" w:pos="426"/>
        </w:tabs>
        <w:ind w:left="709" w:hanging="709"/>
        <w:jc w:val="both"/>
        <w:rPr>
          <w:rFonts w:ascii="Century Gothic" w:hAnsi="Century Gothic"/>
          <w:sz w:val="22"/>
          <w:szCs w:val="22"/>
        </w:rPr>
      </w:pPr>
      <w:r w:rsidRPr="001B5A35">
        <w:rPr>
          <w:rFonts w:ascii="Century Gothic" w:hAnsi="Century Gothic"/>
          <w:sz w:val="22"/>
          <w:szCs w:val="22"/>
        </w:rPr>
        <w:t xml:space="preserve">  </w:t>
      </w:r>
      <w:r w:rsidRPr="001B5A35">
        <w:rPr>
          <w:rFonts w:ascii="Century Gothic" w:hAnsi="Century Gothic"/>
          <w:b/>
          <w:sz w:val="22"/>
          <w:szCs w:val="22"/>
        </w:rPr>
        <w:t>Que,</w:t>
      </w:r>
      <w:r w:rsidRPr="001B5A35">
        <w:rPr>
          <w:rFonts w:ascii="Century Gothic" w:hAnsi="Century Gothic"/>
          <w:sz w:val="22"/>
          <w:szCs w:val="22"/>
        </w:rPr>
        <w:tab/>
      </w:r>
      <w:r w:rsidRPr="001B5A35">
        <w:rPr>
          <w:rFonts w:ascii="Century Gothic" w:eastAsiaTheme="minorHAnsi" w:hAnsi="Century Gothic"/>
          <w:sz w:val="22"/>
          <w:szCs w:val="22"/>
          <w:lang w:val="es-EC" w:eastAsia="en-US"/>
        </w:rPr>
        <w:t>la Comisión de Propiedad y Espacio Público, emitió el Informe No. IC-CPP-</w:t>
      </w:r>
      <w:r w:rsidR="005676C6">
        <w:rPr>
          <w:rFonts w:ascii="Century Gothic" w:eastAsiaTheme="minorHAnsi" w:hAnsi="Century Gothic"/>
          <w:sz w:val="22"/>
          <w:szCs w:val="22"/>
          <w:lang w:val="es-EC" w:eastAsia="en-US"/>
        </w:rPr>
        <w:t>2023</w:t>
      </w:r>
      <w:r w:rsidR="008517DB">
        <w:rPr>
          <w:rFonts w:ascii="Century Gothic" w:eastAsiaTheme="minorHAnsi" w:hAnsi="Century Gothic"/>
          <w:sz w:val="22"/>
          <w:szCs w:val="22"/>
          <w:lang w:val="es-EC" w:eastAsia="en-US"/>
        </w:rPr>
        <w:t>-XXX de XX de XXXXXX de 2023</w:t>
      </w:r>
      <w:r w:rsidRPr="001B5A35">
        <w:rPr>
          <w:rFonts w:ascii="Century Gothic" w:eastAsiaTheme="minorHAnsi" w:hAnsi="Century Gothic"/>
          <w:sz w:val="22"/>
          <w:szCs w:val="22"/>
          <w:lang w:val="es-EC" w:eastAsia="en-US"/>
        </w:rPr>
        <w:t>, el que contiene el dictamen favorable para que el Concejo Metropolitano se pronuncie en los términos prev</w:t>
      </w:r>
      <w:r w:rsidR="002E426B">
        <w:rPr>
          <w:rFonts w:ascii="Century Gothic" w:eastAsiaTheme="minorHAnsi" w:hAnsi="Century Gothic"/>
          <w:sz w:val="22"/>
          <w:szCs w:val="22"/>
          <w:lang w:val="es-EC" w:eastAsia="en-US"/>
        </w:rPr>
        <w:t>istos en la presente resolución;</w:t>
      </w:r>
    </w:p>
    <w:p w:rsidR="00FF76FF" w:rsidRPr="001B5A35" w:rsidRDefault="00FF76FF" w:rsidP="00FF76FF">
      <w:pPr>
        <w:autoSpaceDE w:val="0"/>
        <w:autoSpaceDN w:val="0"/>
        <w:adjustRightInd w:val="0"/>
        <w:jc w:val="both"/>
        <w:rPr>
          <w:rFonts w:ascii="Century Gothic" w:eastAsiaTheme="minorHAnsi" w:hAnsi="Century Gothic"/>
          <w:sz w:val="22"/>
          <w:szCs w:val="22"/>
          <w:lang w:val="es-EC" w:eastAsia="en-US"/>
        </w:rPr>
      </w:pPr>
    </w:p>
    <w:p w:rsidR="00FF76FF" w:rsidRPr="001B5A35" w:rsidRDefault="00FF76FF" w:rsidP="00FF76FF">
      <w:pPr>
        <w:pStyle w:val="Sinespaciado"/>
        <w:rPr>
          <w:rFonts w:ascii="Century Gothic" w:hAnsi="Century Gothic" w:cs="Times New Roman"/>
          <w:b/>
        </w:rPr>
      </w:pPr>
      <w:r w:rsidRPr="001B5A35">
        <w:rPr>
          <w:rFonts w:ascii="Century Gothic" w:hAnsi="Century Gothic" w:cs="Times New Roman"/>
          <w:b/>
          <w:bCs/>
        </w:rPr>
        <w:t xml:space="preserve">El Concejo Metropolitana de Quito, en ejercicio de sus atribuciones previstas en los artículos </w:t>
      </w:r>
      <w:r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FF76FF" w:rsidRDefault="00FF76FF" w:rsidP="00FF76FF">
      <w:pPr>
        <w:autoSpaceDE w:val="0"/>
        <w:autoSpaceDN w:val="0"/>
        <w:adjustRightInd w:val="0"/>
        <w:jc w:val="center"/>
        <w:rPr>
          <w:rFonts w:ascii="Century Gothic" w:eastAsiaTheme="minorHAnsi" w:hAnsi="Century Gothic"/>
          <w:b/>
          <w:bCs/>
          <w:sz w:val="22"/>
          <w:szCs w:val="22"/>
          <w:lang w:val="es-EC" w:eastAsia="en-US"/>
        </w:rPr>
      </w:pPr>
    </w:p>
    <w:p w:rsidR="00FF76FF" w:rsidRDefault="00FF76FF" w:rsidP="00FF76FF">
      <w:pPr>
        <w:autoSpaceDE w:val="0"/>
        <w:autoSpaceDN w:val="0"/>
        <w:adjustRightInd w:val="0"/>
        <w:jc w:val="center"/>
        <w:rPr>
          <w:rFonts w:ascii="Century Gothic" w:eastAsiaTheme="minorHAnsi" w:hAnsi="Century Gothic"/>
          <w:b/>
          <w:bCs/>
          <w:sz w:val="22"/>
          <w:szCs w:val="22"/>
          <w:lang w:val="es-EC" w:eastAsia="en-US"/>
        </w:rPr>
      </w:pPr>
    </w:p>
    <w:p w:rsidR="00FF76FF" w:rsidRPr="001B5A35" w:rsidRDefault="00FF76FF" w:rsidP="00FF76FF">
      <w:pPr>
        <w:autoSpaceDE w:val="0"/>
        <w:autoSpaceDN w:val="0"/>
        <w:adjustRightInd w:val="0"/>
        <w:jc w:val="center"/>
        <w:rPr>
          <w:rFonts w:ascii="Century Gothic" w:eastAsiaTheme="minorHAnsi" w:hAnsi="Century Gothic"/>
          <w:b/>
          <w:bCs/>
          <w:sz w:val="22"/>
          <w:szCs w:val="22"/>
          <w:lang w:val="es-EC" w:eastAsia="en-US"/>
        </w:rPr>
      </w:pPr>
    </w:p>
    <w:p w:rsidR="00FF76FF" w:rsidRPr="001B5A35" w:rsidRDefault="00FF76FF" w:rsidP="00FF76FF">
      <w:pPr>
        <w:autoSpaceDE w:val="0"/>
        <w:autoSpaceDN w:val="0"/>
        <w:adjustRightInd w:val="0"/>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FF76FF" w:rsidRPr="001B5A35" w:rsidRDefault="00FF76FF" w:rsidP="00FF76FF">
      <w:pPr>
        <w:autoSpaceDE w:val="0"/>
        <w:autoSpaceDN w:val="0"/>
        <w:adjustRightInd w:val="0"/>
        <w:rPr>
          <w:rFonts w:ascii="Century Gothic" w:eastAsiaTheme="minorHAnsi" w:hAnsi="Century Gothic"/>
          <w:b/>
          <w:bCs/>
          <w:sz w:val="22"/>
          <w:szCs w:val="22"/>
          <w:lang w:val="es-EC" w:eastAsia="en-US"/>
        </w:rPr>
      </w:pPr>
    </w:p>
    <w:p w:rsidR="00D90331" w:rsidRPr="00D90331" w:rsidRDefault="00FF76FF" w:rsidP="00FF76FF">
      <w:pPr>
        <w:autoSpaceDE w:val="0"/>
        <w:autoSpaceDN w:val="0"/>
        <w:adjustRightInd w:val="0"/>
        <w:ind w:hanging="709"/>
        <w:jc w:val="both"/>
        <w:rPr>
          <w:rFonts w:ascii="Century Gothic" w:hAnsi="Century Gothic"/>
          <w:sz w:val="22"/>
          <w:szCs w:val="22"/>
        </w:rPr>
      </w:pPr>
      <w:r>
        <w:rPr>
          <w:rFonts w:ascii="Century Gothic" w:hAnsi="Century Gothic"/>
          <w:b/>
        </w:rPr>
        <w:t xml:space="preserve">           </w:t>
      </w:r>
      <w:r w:rsidRPr="001B5A35">
        <w:rPr>
          <w:rFonts w:ascii="Century Gothic" w:hAnsi="Century Gothic"/>
          <w:b/>
        </w:rPr>
        <w:t>Artículo 1.-</w:t>
      </w:r>
      <w:r w:rsidRPr="001B5A35">
        <w:rPr>
          <w:rFonts w:ascii="Century Gothic" w:hAnsi="Century Gothic"/>
        </w:rPr>
        <w:t xml:space="preserve"> </w:t>
      </w:r>
      <w:r w:rsidR="00225E09">
        <w:rPr>
          <w:rFonts w:ascii="Century Gothic" w:hAnsi="Century Gothic"/>
          <w:sz w:val="22"/>
          <w:szCs w:val="22"/>
        </w:rPr>
        <w:t xml:space="preserve">Autorizar </w:t>
      </w:r>
      <w:r w:rsidR="00D90331" w:rsidRPr="00D90331">
        <w:rPr>
          <w:rFonts w:ascii="Century Gothic" w:hAnsi="Century Gothic"/>
          <w:sz w:val="22"/>
          <w:szCs w:val="22"/>
        </w:rPr>
        <w:t xml:space="preserve">la modificatoria de la resolución del Concejo Metropolitano de </w:t>
      </w:r>
      <w:r w:rsidR="008517DB">
        <w:rPr>
          <w:rFonts w:ascii="Century Gothic" w:hAnsi="Century Gothic"/>
          <w:sz w:val="22"/>
          <w:szCs w:val="22"/>
        </w:rPr>
        <w:t>22 de septiembre de 1997</w:t>
      </w:r>
      <w:r w:rsidR="00D90331" w:rsidRPr="00D90331">
        <w:rPr>
          <w:rFonts w:ascii="Century Gothic" w:hAnsi="Century Gothic"/>
          <w:sz w:val="22"/>
          <w:szCs w:val="22"/>
        </w:rPr>
        <w:t>, en relación a la ampliación del plazo de</w:t>
      </w:r>
      <w:r w:rsidR="008517DB">
        <w:rPr>
          <w:rFonts w:ascii="Century Gothic" w:hAnsi="Century Gothic"/>
          <w:sz w:val="22"/>
          <w:szCs w:val="22"/>
        </w:rPr>
        <w:t>l comodato entregado a favor de la Fundación Equinoccial, del predio No. 692032</w:t>
      </w:r>
      <w:r w:rsidR="00D90331" w:rsidRPr="00D90331">
        <w:rPr>
          <w:rFonts w:ascii="Century Gothic" w:hAnsi="Century Gothic"/>
          <w:sz w:val="22"/>
          <w:szCs w:val="22"/>
        </w:rPr>
        <w:t xml:space="preserve">, </w:t>
      </w:r>
      <w:r w:rsidR="008517DB">
        <w:rPr>
          <w:rFonts w:ascii="Century Gothic" w:hAnsi="Century Gothic"/>
          <w:sz w:val="22"/>
          <w:szCs w:val="22"/>
        </w:rPr>
        <w:t>clave catastral No. 11004-05-030</w:t>
      </w:r>
      <w:r w:rsidR="00D90331" w:rsidRPr="00D90331">
        <w:rPr>
          <w:rFonts w:ascii="Century Gothic" w:hAnsi="Century Gothic"/>
          <w:sz w:val="22"/>
          <w:szCs w:val="22"/>
        </w:rPr>
        <w:t>, por el plazo de XXXX años.</w:t>
      </w:r>
    </w:p>
    <w:p w:rsidR="00FF76FF" w:rsidRPr="001B5A35" w:rsidRDefault="00FF76FF" w:rsidP="00FF76FF">
      <w:pPr>
        <w:pStyle w:val="Sinespaciado"/>
        <w:rPr>
          <w:rFonts w:ascii="Century Gothic" w:hAnsi="Century Gothic" w:cs="Times New Roman"/>
        </w:rPr>
      </w:pPr>
    </w:p>
    <w:p w:rsidR="008517DB" w:rsidRPr="007F18B6" w:rsidRDefault="007F18B6" w:rsidP="007F18B6">
      <w:pPr>
        <w:autoSpaceDE w:val="0"/>
        <w:autoSpaceDN w:val="0"/>
        <w:adjustRightInd w:val="0"/>
        <w:ind w:hanging="709"/>
        <w:jc w:val="both"/>
        <w:rPr>
          <w:rFonts w:ascii="Century Gothic" w:hAnsi="Century Gothic"/>
          <w:sz w:val="22"/>
          <w:szCs w:val="22"/>
        </w:rPr>
      </w:pPr>
      <w:r>
        <w:rPr>
          <w:rFonts w:ascii="Century Gothic" w:hAnsi="Century Gothic"/>
          <w:b/>
        </w:rPr>
        <w:t xml:space="preserve">          </w:t>
      </w:r>
      <w:r w:rsidR="00FF76FF" w:rsidRPr="001B5A35">
        <w:rPr>
          <w:rFonts w:ascii="Century Gothic" w:hAnsi="Century Gothic"/>
          <w:b/>
        </w:rPr>
        <w:t>Artículo 2.-</w:t>
      </w:r>
      <w:r w:rsidR="008517DB">
        <w:rPr>
          <w:rFonts w:ascii="Century Gothic" w:hAnsi="Century Gothic"/>
          <w:b/>
        </w:rPr>
        <w:t xml:space="preserve"> </w:t>
      </w:r>
      <w:r>
        <w:rPr>
          <w:rFonts w:ascii="Century Gothic" w:hAnsi="Century Gothic"/>
          <w:sz w:val="22"/>
          <w:szCs w:val="22"/>
        </w:rPr>
        <w:t xml:space="preserve">Autorizar </w:t>
      </w:r>
      <w:r w:rsidRPr="00D90331">
        <w:rPr>
          <w:rFonts w:ascii="Century Gothic" w:hAnsi="Century Gothic"/>
          <w:sz w:val="22"/>
          <w:szCs w:val="22"/>
        </w:rPr>
        <w:t xml:space="preserve">la modificatoria de la resolución del Concejo Metropolitano de </w:t>
      </w:r>
      <w:r>
        <w:rPr>
          <w:rFonts w:ascii="Century Gothic" w:hAnsi="Century Gothic"/>
          <w:sz w:val="22"/>
          <w:szCs w:val="22"/>
        </w:rPr>
        <w:t xml:space="preserve">22 de septiembre de 1997, en relación a </w:t>
      </w:r>
      <w:r w:rsidRPr="007F18B6">
        <w:rPr>
          <w:rFonts w:ascii="Century Gothic" w:hAnsi="Century Gothic"/>
          <w:sz w:val="22"/>
          <w:szCs w:val="22"/>
        </w:rPr>
        <w:t xml:space="preserve">la clave catastral No. 11004-05-029, por la clave catastral correcta </w:t>
      </w:r>
      <w:r w:rsidRPr="002363CD">
        <w:rPr>
          <w:rFonts w:ascii="Century Gothic" w:hAnsi="Century Gothic"/>
          <w:b/>
          <w:sz w:val="22"/>
          <w:szCs w:val="22"/>
        </w:rPr>
        <w:t>No. 11004-05-030</w:t>
      </w:r>
      <w:r w:rsidRPr="007F18B6">
        <w:rPr>
          <w:rFonts w:ascii="Century Gothic" w:hAnsi="Century Gothic"/>
          <w:sz w:val="22"/>
          <w:szCs w:val="22"/>
        </w:rPr>
        <w:t xml:space="preserve">, la que actualmente </w:t>
      </w:r>
      <w:r>
        <w:rPr>
          <w:rFonts w:ascii="Century Gothic" w:hAnsi="Century Gothic"/>
          <w:sz w:val="22"/>
          <w:szCs w:val="22"/>
        </w:rPr>
        <w:t xml:space="preserve">consta </w:t>
      </w:r>
      <w:r w:rsidRPr="007F18B6">
        <w:rPr>
          <w:rFonts w:ascii="Century Gothic" w:hAnsi="Century Gothic"/>
          <w:sz w:val="22"/>
          <w:szCs w:val="22"/>
        </w:rPr>
        <w:t xml:space="preserve">en el sistema SIREC-Q, </w:t>
      </w:r>
      <w:r>
        <w:rPr>
          <w:rFonts w:ascii="Century Gothic" w:hAnsi="Century Gothic"/>
          <w:sz w:val="22"/>
          <w:szCs w:val="22"/>
        </w:rPr>
        <w:t>correspondiente al</w:t>
      </w:r>
      <w:r w:rsidRPr="007F18B6">
        <w:rPr>
          <w:rFonts w:ascii="Century Gothic" w:hAnsi="Century Gothic"/>
          <w:sz w:val="22"/>
          <w:szCs w:val="22"/>
        </w:rPr>
        <w:t xml:space="preserve"> predio No. 692032</w:t>
      </w:r>
      <w:r>
        <w:rPr>
          <w:rFonts w:ascii="Century Gothic" w:hAnsi="Century Gothic"/>
          <w:sz w:val="22"/>
          <w:szCs w:val="22"/>
        </w:rPr>
        <w:t xml:space="preserve"> y otorgado en Comodato a la Fundación Equinoccial.</w:t>
      </w:r>
    </w:p>
    <w:p w:rsidR="008517DB" w:rsidRDefault="008517DB" w:rsidP="00FF76FF">
      <w:pPr>
        <w:pStyle w:val="Sinespaciado"/>
        <w:rPr>
          <w:rFonts w:ascii="Century Gothic" w:hAnsi="Century Gothic" w:cs="Times New Roman"/>
          <w:b/>
        </w:rPr>
      </w:pPr>
    </w:p>
    <w:p w:rsidR="00FF76FF" w:rsidRPr="008517DB" w:rsidRDefault="008517DB" w:rsidP="00FF76FF">
      <w:pPr>
        <w:pStyle w:val="Sinespaciado"/>
        <w:rPr>
          <w:rFonts w:ascii="Century Gothic" w:hAnsi="Century Gothic" w:cs="Times New Roman"/>
          <w:b/>
        </w:rPr>
      </w:pPr>
      <w:r>
        <w:rPr>
          <w:rFonts w:ascii="Century Gothic" w:hAnsi="Century Gothic" w:cs="Times New Roman"/>
          <w:b/>
        </w:rPr>
        <w:t>Artículo 3</w:t>
      </w:r>
      <w:r w:rsidRPr="001B5A35">
        <w:rPr>
          <w:rFonts w:ascii="Century Gothic" w:hAnsi="Century Gothic" w:cs="Times New Roman"/>
          <w:b/>
        </w:rPr>
        <w:t>.-</w:t>
      </w:r>
      <w:r w:rsidR="00FF76FF" w:rsidRPr="001B5A35">
        <w:rPr>
          <w:rFonts w:ascii="Century Gothic" w:hAnsi="Century Gothic" w:cs="Times New Roman"/>
        </w:rPr>
        <w:t xml:space="preserve">Comuníquese a los interesados y al señor Procurador Metropolitano, para </w:t>
      </w:r>
      <w:r w:rsidR="00FF76FF">
        <w:rPr>
          <w:rFonts w:ascii="Century Gothic" w:hAnsi="Century Gothic" w:cs="Times New Roman"/>
        </w:rPr>
        <w:t xml:space="preserve">que se </w:t>
      </w:r>
      <w:r w:rsidR="00FF76FF" w:rsidRPr="001B5A35">
        <w:rPr>
          <w:rFonts w:ascii="Century Gothic" w:hAnsi="Century Gothic" w:cs="Times New Roman"/>
        </w:rPr>
        <w:t>continúe con los trámites de Ley y las acciones necesaria</w:t>
      </w:r>
      <w:r w:rsidR="00FF76FF">
        <w:rPr>
          <w:rFonts w:ascii="Century Gothic" w:hAnsi="Century Gothic" w:cs="Times New Roman"/>
        </w:rPr>
        <w:t>s, para el perfeccionamiento del acto.</w:t>
      </w:r>
      <w:r w:rsidR="00FF76FF" w:rsidRPr="001B5A35">
        <w:rPr>
          <w:rFonts w:ascii="Century Gothic" w:hAnsi="Century Gothic" w:cs="Times New Roman"/>
        </w:rPr>
        <w:t xml:space="preserve"> </w:t>
      </w:r>
    </w:p>
    <w:p w:rsidR="00FF76FF" w:rsidRPr="001B5A35" w:rsidRDefault="00FF76FF" w:rsidP="00FF76FF">
      <w:pPr>
        <w:pStyle w:val="Sinespaciado"/>
        <w:rPr>
          <w:rFonts w:ascii="Century Gothic" w:hAnsi="Century Gothic" w:cs="Times New Roman"/>
        </w:rPr>
      </w:pPr>
    </w:p>
    <w:p w:rsidR="00FF76FF" w:rsidRPr="001B5A35" w:rsidRDefault="00FF76FF" w:rsidP="00FF76FF">
      <w:pPr>
        <w:autoSpaceDE w:val="0"/>
        <w:autoSpaceDN w:val="0"/>
        <w:adjustRightInd w:val="0"/>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FF76FF" w:rsidRPr="001B5A35" w:rsidRDefault="00FF76FF" w:rsidP="00FF76FF">
      <w:pPr>
        <w:autoSpaceDE w:val="0"/>
        <w:autoSpaceDN w:val="0"/>
        <w:adjustRightInd w:val="0"/>
        <w:jc w:val="both"/>
        <w:rPr>
          <w:rFonts w:ascii="Century Gothic" w:eastAsiaTheme="minorHAnsi" w:hAnsi="Century Gothic"/>
          <w:sz w:val="22"/>
          <w:szCs w:val="22"/>
          <w:lang w:val="es-EC" w:eastAsia="en-US"/>
        </w:rPr>
      </w:pPr>
    </w:p>
    <w:p w:rsidR="00FF76FF" w:rsidRPr="001B5A35" w:rsidRDefault="00FF76FF" w:rsidP="00FF76FF">
      <w:pPr>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FF76FF" w:rsidRPr="001B5A35" w:rsidRDefault="00FF76FF" w:rsidP="00FF76FF">
      <w:pPr>
        <w:jc w:val="both"/>
        <w:rPr>
          <w:rFonts w:ascii="Century Gothic" w:hAnsi="Century Gothic"/>
          <w:sz w:val="22"/>
          <w:szCs w:val="22"/>
        </w:rPr>
      </w:pPr>
    </w:p>
    <w:p w:rsidR="00FF76FF" w:rsidRPr="001B5A35" w:rsidRDefault="00FF76FF" w:rsidP="00FF76FF">
      <w:pPr>
        <w:jc w:val="center"/>
        <w:rPr>
          <w:rFonts w:ascii="Century Gothic" w:hAnsi="Century Gothic"/>
          <w:b/>
          <w:sz w:val="22"/>
          <w:szCs w:val="22"/>
        </w:rPr>
      </w:pPr>
    </w:p>
    <w:p w:rsidR="00FF76FF" w:rsidRPr="001B5A35" w:rsidRDefault="00FF76FF" w:rsidP="00FF76FF">
      <w:pPr>
        <w:jc w:val="center"/>
        <w:rPr>
          <w:rFonts w:ascii="Century Gothic" w:hAnsi="Century Gothic"/>
          <w:b/>
          <w:sz w:val="22"/>
          <w:szCs w:val="22"/>
        </w:rPr>
      </w:pPr>
      <w:r w:rsidRPr="001B5A35">
        <w:rPr>
          <w:rFonts w:ascii="Century Gothic" w:hAnsi="Century Gothic"/>
          <w:b/>
          <w:sz w:val="22"/>
          <w:szCs w:val="22"/>
        </w:rPr>
        <w:t>EJECÚTESE:</w:t>
      </w:r>
    </w:p>
    <w:p w:rsidR="00FF76FF" w:rsidRPr="001B5A35" w:rsidRDefault="00FF76FF" w:rsidP="00FF76FF">
      <w:pPr>
        <w:pStyle w:val="Sinespaciado"/>
        <w:jc w:val="center"/>
        <w:rPr>
          <w:rFonts w:ascii="Century Gothic" w:hAnsi="Century Gothic" w:cs="Times New Roman"/>
        </w:rPr>
      </w:pPr>
    </w:p>
    <w:p w:rsidR="00FF76FF" w:rsidRPr="001B5A35" w:rsidRDefault="00FF76FF" w:rsidP="00FF76FF">
      <w:pPr>
        <w:pStyle w:val="Sinespaciado"/>
        <w:jc w:val="center"/>
        <w:rPr>
          <w:rFonts w:ascii="Century Gothic" w:hAnsi="Century Gothic" w:cs="Times New Roman"/>
        </w:rPr>
      </w:pPr>
    </w:p>
    <w:p w:rsidR="00FF76FF" w:rsidRPr="001B5A35" w:rsidRDefault="00FF76FF" w:rsidP="00FF76FF">
      <w:pPr>
        <w:pStyle w:val="Sinespaciado"/>
        <w:jc w:val="center"/>
        <w:rPr>
          <w:rFonts w:ascii="Century Gothic" w:hAnsi="Century Gothic" w:cs="Times New Roman"/>
        </w:rPr>
      </w:pPr>
    </w:p>
    <w:p w:rsidR="00FF76FF" w:rsidRPr="001B5A35" w:rsidRDefault="00FF76FF" w:rsidP="00FF76FF">
      <w:pPr>
        <w:pStyle w:val="Sinespaciado"/>
        <w:jc w:val="center"/>
        <w:rPr>
          <w:rFonts w:ascii="Century Gothic" w:hAnsi="Century Gothic" w:cs="Times New Roman"/>
        </w:rPr>
      </w:pPr>
    </w:p>
    <w:p w:rsidR="00FF76FF" w:rsidRPr="001B5A35" w:rsidRDefault="00FF76FF" w:rsidP="00FF76FF">
      <w:pPr>
        <w:pStyle w:val="Sinespaciado"/>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FF76FF" w:rsidRPr="001B5A35" w:rsidRDefault="00FF76FF" w:rsidP="00FF76FF">
      <w:pPr>
        <w:pStyle w:val="Sinespaciado"/>
        <w:jc w:val="center"/>
        <w:rPr>
          <w:rFonts w:ascii="Century Gothic" w:hAnsi="Century Gothic" w:cs="Times New Roman"/>
          <w:b/>
        </w:rPr>
      </w:pPr>
      <w:r w:rsidRPr="001B5A35">
        <w:rPr>
          <w:rFonts w:ascii="Century Gothic" w:hAnsi="Century Gothic" w:cs="Times New Roman"/>
          <w:b/>
        </w:rPr>
        <w:t>ALCALDE DEL DISTRITO METROPOLITANO DE QUITO</w:t>
      </w:r>
    </w:p>
    <w:p w:rsidR="00FF76FF" w:rsidRPr="001B5A35" w:rsidRDefault="00FF76FF" w:rsidP="00FF76FF">
      <w:pPr>
        <w:jc w:val="both"/>
        <w:rPr>
          <w:rFonts w:ascii="Century Gothic" w:hAnsi="Century Gothic"/>
          <w:b/>
          <w:sz w:val="22"/>
          <w:szCs w:val="22"/>
        </w:rPr>
      </w:pPr>
    </w:p>
    <w:p w:rsidR="00FF76FF" w:rsidRPr="001B5A35" w:rsidRDefault="00FF76FF" w:rsidP="00FF76FF">
      <w:pPr>
        <w:jc w:val="both"/>
        <w:rPr>
          <w:rFonts w:ascii="Century Gothic" w:hAnsi="Century Gothic"/>
          <w:sz w:val="22"/>
          <w:szCs w:val="22"/>
        </w:rPr>
      </w:pPr>
      <w:r w:rsidRPr="001B5A35">
        <w:rPr>
          <w:rFonts w:ascii="Century Gothic" w:hAnsi="Century Gothic"/>
          <w:b/>
          <w:sz w:val="22"/>
          <w:szCs w:val="22"/>
        </w:rPr>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w:t>
      </w:r>
      <w:r w:rsidR="005676C6">
        <w:rPr>
          <w:rFonts w:ascii="Century Gothic" w:hAnsi="Century Gothic"/>
          <w:sz w:val="22"/>
          <w:szCs w:val="22"/>
        </w:rPr>
        <w:t>l XXXXXXXXXXX de XXXXXXX de 2023</w:t>
      </w:r>
      <w:r w:rsidRPr="001B5A35">
        <w:rPr>
          <w:rFonts w:ascii="Century Gothic" w:hAnsi="Century Gothic"/>
          <w:sz w:val="22"/>
          <w:szCs w:val="22"/>
        </w:rPr>
        <w:t>.</w:t>
      </w:r>
    </w:p>
    <w:p w:rsidR="00FF76FF" w:rsidRPr="001B5A35" w:rsidRDefault="00FF76FF" w:rsidP="00FF76FF">
      <w:pPr>
        <w:jc w:val="both"/>
        <w:rPr>
          <w:rFonts w:ascii="Century Gothic" w:hAnsi="Century Gothic"/>
          <w:b/>
          <w:sz w:val="22"/>
          <w:szCs w:val="22"/>
        </w:rPr>
      </w:pPr>
    </w:p>
    <w:p w:rsidR="00FF76FF" w:rsidRPr="001B5A35" w:rsidRDefault="00FF76FF" w:rsidP="00FF76FF">
      <w:pPr>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FF76FF" w:rsidRPr="001B5A35" w:rsidRDefault="00FF76FF" w:rsidP="00FF76FF">
      <w:pPr>
        <w:jc w:val="both"/>
        <w:rPr>
          <w:rFonts w:ascii="Century Gothic" w:hAnsi="Century Gothic"/>
          <w:sz w:val="22"/>
          <w:szCs w:val="22"/>
        </w:rPr>
      </w:pPr>
    </w:p>
    <w:p w:rsidR="00FF76FF" w:rsidRPr="001B5A35" w:rsidRDefault="00FF76FF" w:rsidP="00FF76FF">
      <w:pPr>
        <w:rPr>
          <w:rFonts w:ascii="Century Gothic" w:hAnsi="Century Gothic"/>
          <w:sz w:val="22"/>
          <w:szCs w:val="22"/>
        </w:rPr>
      </w:pPr>
    </w:p>
    <w:p w:rsidR="00FF76FF" w:rsidRPr="001B5A35" w:rsidRDefault="00FF76FF" w:rsidP="00FF76FF">
      <w:pPr>
        <w:jc w:val="both"/>
        <w:rPr>
          <w:rFonts w:ascii="Century Gothic" w:hAnsi="Century Gothic"/>
          <w:sz w:val="22"/>
          <w:szCs w:val="22"/>
        </w:rPr>
      </w:pPr>
    </w:p>
    <w:p w:rsidR="00FF76FF" w:rsidRPr="001B5A35" w:rsidRDefault="00FF76FF" w:rsidP="00FF76FF">
      <w:pPr>
        <w:pStyle w:val="Sinespaciado"/>
        <w:jc w:val="center"/>
        <w:rPr>
          <w:rFonts w:ascii="Century Gothic" w:hAnsi="Century Gothic" w:cs="Times New Roman"/>
        </w:rPr>
      </w:pPr>
      <w:r w:rsidRPr="001B5A35">
        <w:rPr>
          <w:rFonts w:ascii="Century Gothic" w:hAnsi="Century Gothic" w:cs="Times New Roman"/>
        </w:rPr>
        <w:t>Abg. Pablo Antonio Santillán Paredes</w:t>
      </w:r>
    </w:p>
    <w:p w:rsidR="00FF76FF" w:rsidRPr="001B5A35" w:rsidRDefault="00FF76FF" w:rsidP="00FF76FF">
      <w:pPr>
        <w:pStyle w:val="Sinespaciado"/>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FF76FF" w:rsidRPr="001B5A35" w:rsidRDefault="00FF76FF" w:rsidP="00FF76FF">
      <w:pPr>
        <w:rPr>
          <w:rFonts w:ascii="Century Gothic" w:hAnsi="Century Gothic"/>
          <w:sz w:val="22"/>
          <w:szCs w:val="22"/>
        </w:rPr>
      </w:pPr>
    </w:p>
    <w:p w:rsidR="00FF76FF" w:rsidRPr="001B5A35" w:rsidRDefault="00FF76FF" w:rsidP="00FF76FF">
      <w:pPr>
        <w:autoSpaceDE w:val="0"/>
        <w:autoSpaceDN w:val="0"/>
        <w:adjustRightInd w:val="0"/>
        <w:ind w:left="705" w:hanging="705"/>
        <w:jc w:val="both"/>
        <w:rPr>
          <w:rFonts w:ascii="Century Gothic" w:hAnsi="Century Gothic"/>
          <w:sz w:val="22"/>
          <w:szCs w:val="22"/>
        </w:rPr>
      </w:pPr>
    </w:p>
    <w:p w:rsidR="00FF76FF" w:rsidRDefault="00FF76FF" w:rsidP="00FF76FF"/>
    <w:p w:rsidR="0055017E" w:rsidRDefault="0055017E"/>
    <w:sectPr w:rsidR="00550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0FD"/>
    <w:multiLevelType w:val="hybridMultilevel"/>
    <w:tmpl w:val="1FC0663E"/>
    <w:lvl w:ilvl="0" w:tplc="BE1AA410">
      <w:start w:val="1"/>
      <w:numFmt w:val="bullet"/>
      <w:lvlText w:val=""/>
      <w:lvlJc w:val="left"/>
      <w:pPr>
        <w:tabs>
          <w:tab w:val="num" w:pos="720"/>
        </w:tabs>
        <w:ind w:left="720" w:hanging="360"/>
      </w:pPr>
      <w:rPr>
        <w:rFonts w:ascii="Wingdings" w:hAnsi="Wingdings" w:hint="default"/>
      </w:rPr>
    </w:lvl>
    <w:lvl w:ilvl="1" w:tplc="A712D346" w:tentative="1">
      <w:start w:val="1"/>
      <w:numFmt w:val="bullet"/>
      <w:lvlText w:val=""/>
      <w:lvlJc w:val="left"/>
      <w:pPr>
        <w:tabs>
          <w:tab w:val="num" w:pos="1440"/>
        </w:tabs>
        <w:ind w:left="1440" w:hanging="360"/>
      </w:pPr>
      <w:rPr>
        <w:rFonts w:ascii="Wingdings" w:hAnsi="Wingdings" w:hint="default"/>
      </w:rPr>
    </w:lvl>
    <w:lvl w:ilvl="2" w:tplc="E4AC3BDE" w:tentative="1">
      <w:start w:val="1"/>
      <w:numFmt w:val="bullet"/>
      <w:lvlText w:val=""/>
      <w:lvlJc w:val="left"/>
      <w:pPr>
        <w:tabs>
          <w:tab w:val="num" w:pos="2160"/>
        </w:tabs>
        <w:ind w:left="2160" w:hanging="360"/>
      </w:pPr>
      <w:rPr>
        <w:rFonts w:ascii="Wingdings" w:hAnsi="Wingdings" w:hint="default"/>
      </w:rPr>
    </w:lvl>
    <w:lvl w:ilvl="3" w:tplc="0876EDE6" w:tentative="1">
      <w:start w:val="1"/>
      <w:numFmt w:val="bullet"/>
      <w:lvlText w:val=""/>
      <w:lvlJc w:val="left"/>
      <w:pPr>
        <w:tabs>
          <w:tab w:val="num" w:pos="2880"/>
        </w:tabs>
        <w:ind w:left="2880" w:hanging="360"/>
      </w:pPr>
      <w:rPr>
        <w:rFonts w:ascii="Wingdings" w:hAnsi="Wingdings" w:hint="default"/>
      </w:rPr>
    </w:lvl>
    <w:lvl w:ilvl="4" w:tplc="122EC8C2" w:tentative="1">
      <w:start w:val="1"/>
      <w:numFmt w:val="bullet"/>
      <w:lvlText w:val=""/>
      <w:lvlJc w:val="left"/>
      <w:pPr>
        <w:tabs>
          <w:tab w:val="num" w:pos="3600"/>
        </w:tabs>
        <w:ind w:left="3600" w:hanging="360"/>
      </w:pPr>
      <w:rPr>
        <w:rFonts w:ascii="Wingdings" w:hAnsi="Wingdings" w:hint="default"/>
      </w:rPr>
    </w:lvl>
    <w:lvl w:ilvl="5" w:tplc="58BCB7A0" w:tentative="1">
      <w:start w:val="1"/>
      <w:numFmt w:val="bullet"/>
      <w:lvlText w:val=""/>
      <w:lvlJc w:val="left"/>
      <w:pPr>
        <w:tabs>
          <w:tab w:val="num" w:pos="4320"/>
        </w:tabs>
        <w:ind w:left="4320" w:hanging="360"/>
      </w:pPr>
      <w:rPr>
        <w:rFonts w:ascii="Wingdings" w:hAnsi="Wingdings" w:hint="default"/>
      </w:rPr>
    </w:lvl>
    <w:lvl w:ilvl="6" w:tplc="183E7A78" w:tentative="1">
      <w:start w:val="1"/>
      <w:numFmt w:val="bullet"/>
      <w:lvlText w:val=""/>
      <w:lvlJc w:val="left"/>
      <w:pPr>
        <w:tabs>
          <w:tab w:val="num" w:pos="5040"/>
        </w:tabs>
        <w:ind w:left="5040" w:hanging="360"/>
      </w:pPr>
      <w:rPr>
        <w:rFonts w:ascii="Wingdings" w:hAnsi="Wingdings" w:hint="default"/>
      </w:rPr>
    </w:lvl>
    <w:lvl w:ilvl="7" w:tplc="E120375C" w:tentative="1">
      <w:start w:val="1"/>
      <w:numFmt w:val="bullet"/>
      <w:lvlText w:val=""/>
      <w:lvlJc w:val="left"/>
      <w:pPr>
        <w:tabs>
          <w:tab w:val="num" w:pos="5760"/>
        </w:tabs>
        <w:ind w:left="5760" w:hanging="360"/>
      </w:pPr>
      <w:rPr>
        <w:rFonts w:ascii="Wingdings" w:hAnsi="Wingdings" w:hint="default"/>
      </w:rPr>
    </w:lvl>
    <w:lvl w:ilvl="8" w:tplc="4E9C434C" w:tentative="1">
      <w:start w:val="1"/>
      <w:numFmt w:val="bullet"/>
      <w:lvlText w:val=""/>
      <w:lvlJc w:val="left"/>
      <w:pPr>
        <w:tabs>
          <w:tab w:val="num" w:pos="6480"/>
        </w:tabs>
        <w:ind w:left="6480" w:hanging="360"/>
      </w:pPr>
      <w:rPr>
        <w:rFonts w:ascii="Wingdings" w:hAnsi="Wingdings" w:hint="default"/>
      </w:rPr>
    </w:lvl>
  </w:abstractNum>
  <w:abstractNum w:abstractNumId="1">
    <w:nsid w:val="31420006"/>
    <w:multiLevelType w:val="hybridMultilevel"/>
    <w:tmpl w:val="0B063D8A"/>
    <w:lvl w:ilvl="0" w:tplc="359C12BA">
      <w:start w:val="1"/>
      <w:numFmt w:val="bullet"/>
      <w:lvlText w:val=""/>
      <w:lvlJc w:val="left"/>
      <w:pPr>
        <w:tabs>
          <w:tab w:val="num" w:pos="720"/>
        </w:tabs>
        <w:ind w:left="720" w:hanging="360"/>
      </w:pPr>
      <w:rPr>
        <w:rFonts w:ascii="Wingdings" w:hAnsi="Wingdings" w:hint="default"/>
      </w:rPr>
    </w:lvl>
    <w:lvl w:ilvl="1" w:tplc="C128A7DA" w:tentative="1">
      <w:start w:val="1"/>
      <w:numFmt w:val="bullet"/>
      <w:lvlText w:val=""/>
      <w:lvlJc w:val="left"/>
      <w:pPr>
        <w:tabs>
          <w:tab w:val="num" w:pos="1440"/>
        </w:tabs>
        <w:ind w:left="1440" w:hanging="360"/>
      </w:pPr>
      <w:rPr>
        <w:rFonts w:ascii="Wingdings" w:hAnsi="Wingdings" w:hint="default"/>
      </w:rPr>
    </w:lvl>
    <w:lvl w:ilvl="2" w:tplc="CA3ABD08" w:tentative="1">
      <w:start w:val="1"/>
      <w:numFmt w:val="bullet"/>
      <w:lvlText w:val=""/>
      <w:lvlJc w:val="left"/>
      <w:pPr>
        <w:tabs>
          <w:tab w:val="num" w:pos="2160"/>
        </w:tabs>
        <w:ind w:left="2160" w:hanging="360"/>
      </w:pPr>
      <w:rPr>
        <w:rFonts w:ascii="Wingdings" w:hAnsi="Wingdings" w:hint="default"/>
      </w:rPr>
    </w:lvl>
    <w:lvl w:ilvl="3" w:tplc="88464704" w:tentative="1">
      <w:start w:val="1"/>
      <w:numFmt w:val="bullet"/>
      <w:lvlText w:val=""/>
      <w:lvlJc w:val="left"/>
      <w:pPr>
        <w:tabs>
          <w:tab w:val="num" w:pos="2880"/>
        </w:tabs>
        <w:ind w:left="2880" w:hanging="360"/>
      </w:pPr>
      <w:rPr>
        <w:rFonts w:ascii="Wingdings" w:hAnsi="Wingdings" w:hint="default"/>
      </w:rPr>
    </w:lvl>
    <w:lvl w:ilvl="4" w:tplc="D56E74C0" w:tentative="1">
      <w:start w:val="1"/>
      <w:numFmt w:val="bullet"/>
      <w:lvlText w:val=""/>
      <w:lvlJc w:val="left"/>
      <w:pPr>
        <w:tabs>
          <w:tab w:val="num" w:pos="3600"/>
        </w:tabs>
        <w:ind w:left="3600" w:hanging="360"/>
      </w:pPr>
      <w:rPr>
        <w:rFonts w:ascii="Wingdings" w:hAnsi="Wingdings" w:hint="default"/>
      </w:rPr>
    </w:lvl>
    <w:lvl w:ilvl="5" w:tplc="84B22CFC" w:tentative="1">
      <w:start w:val="1"/>
      <w:numFmt w:val="bullet"/>
      <w:lvlText w:val=""/>
      <w:lvlJc w:val="left"/>
      <w:pPr>
        <w:tabs>
          <w:tab w:val="num" w:pos="4320"/>
        </w:tabs>
        <w:ind w:left="4320" w:hanging="360"/>
      </w:pPr>
      <w:rPr>
        <w:rFonts w:ascii="Wingdings" w:hAnsi="Wingdings" w:hint="default"/>
      </w:rPr>
    </w:lvl>
    <w:lvl w:ilvl="6" w:tplc="0ACED7BC" w:tentative="1">
      <w:start w:val="1"/>
      <w:numFmt w:val="bullet"/>
      <w:lvlText w:val=""/>
      <w:lvlJc w:val="left"/>
      <w:pPr>
        <w:tabs>
          <w:tab w:val="num" w:pos="5040"/>
        </w:tabs>
        <w:ind w:left="5040" w:hanging="360"/>
      </w:pPr>
      <w:rPr>
        <w:rFonts w:ascii="Wingdings" w:hAnsi="Wingdings" w:hint="default"/>
      </w:rPr>
    </w:lvl>
    <w:lvl w:ilvl="7" w:tplc="E73C9BD6" w:tentative="1">
      <w:start w:val="1"/>
      <w:numFmt w:val="bullet"/>
      <w:lvlText w:val=""/>
      <w:lvlJc w:val="left"/>
      <w:pPr>
        <w:tabs>
          <w:tab w:val="num" w:pos="5760"/>
        </w:tabs>
        <w:ind w:left="5760" w:hanging="360"/>
      </w:pPr>
      <w:rPr>
        <w:rFonts w:ascii="Wingdings" w:hAnsi="Wingdings" w:hint="default"/>
      </w:rPr>
    </w:lvl>
    <w:lvl w:ilvl="8" w:tplc="E318BB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F"/>
    <w:rsid w:val="000A3BA6"/>
    <w:rsid w:val="00123D78"/>
    <w:rsid w:val="00157E6C"/>
    <w:rsid w:val="0021052F"/>
    <w:rsid w:val="0022430C"/>
    <w:rsid w:val="00225E09"/>
    <w:rsid w:val="002363CD"/>
    <w:rsid w:val="0027714C"/>
    <w:rsid w:val="002E426B"/>
    <w:rsid w:val="002F7E74"/>
    <w:rsid w:val="00323F9A"/>
    <w:rsid w:val="003B1517"/>
    <w:rsid w:val="00426EEE"/>
    <w:rsid w:val="00455C3E"/>
    <w:rsid w:val="004902C3"/>
    <w:rsid w:val="004A280A"/>
    <w:rsid w:val="005248D7"/>
    <w:rsid w:val="00542407"/>
    <w:rsid w:val="0055017E"/>
    <w:rsid w:val="0055258B"/>
    <w:rsid w:val="005676C6"/>
    <w:rsid w:val="006E4392"/>
    <w:rsid w:val="00791930"/>
    <w:rsid w:val="007F18B6"/>
    <w:rsid w:val="008517DB"/>
    <w:rsid w:val="008817A0"/>
    <w:rsid w:val="008B12CB"/>
    <w:rsid w:val="008B5585"/>
    <w:rsid w:val="008D1760"/>
    <w:rsid w:val="008D3F7B"/>
    <w:rsid w:val="00947E76"/>
    <w:rsid w:val="009F705E"/>
    <w:rsid w:val="009F71ED"/>
    <w:rsid w:val="00A04A4B"/>
    <w:rsid w:val="00A11B01"/>
    <w:rsid w:val="00A3010B"/>
    <w:rsid w:val="00AC50EC"/>
    <w:rsid w:val="00AF778C"/>
    <w:rsid w:val="00B42C40"/>
    <w:rsid w:val="00B720FA"/>
    <w:rsid w:val="00BB6EF4"/>
    <w:rsid w:val="00BF3605"/>
    <w:rsid w:val="00C17A1B"/>
    <w:rsid w:val="00C244CB"/>
    <w:rsid w:val="00C31FE0"/>
    <w:rsid w:val="00C94F97"/>
    <w:rsid w:val="00CD4616"/>
    <w:rsid w:val="00CF69ED"/>
    <w:rsid w:val="00D03D38"/>
    <w:rsid w:val="00D10567"/>
    <w:rsid w:val="00D30279"/>
    <w:rsid w:val="00D90331"/>
    <w:rsid w:val="00E104EF"/>
    <w:rsid w:val="00FF2EF6"/>
    <w:rsid w:val="00FF51CE"/>
    <w:rsid w:val="00FF76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088B-1329-4620-9F9A-694BE67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FF76FF"/>
  </w:style>
  <w:style w:type="paragraph" w:styleId="Sinespaciado">
    <w:name w:val="No Spacing"/>
    <w:basedOn w:val="Normal"/>
    <w:link w:val="SinespaciadoCar"/>
    <w:uiPriority w:val="1"/>
    <w:qFormat/>
    <w:rsid w:val="00FF76FF"/>
    <w:pPr>
      <w:jc w:val="both"/>
    </w:pPr>
    <w:rPr>
      <w:rFonts w:asciiTheme="minorHAnsi" w:eastAsiaTheme="minorHAnsi" w:hAnsiTheme="minorHAnsi" w:cstheme="minorBidi"/>
      <w:sz w:val="22"/>
      <w:szCs w:val="22"/>
      <w:lang w:val="es-EC" w:eastAsia="en-US"/>
    </w:rPr>
  </w:style>
  <w:style w:type="paragraph" w:styleId="Prrafodelista">
    <w:name w:val="List Paragraph"/>
    <w:basedOn w:val="Normal"/>
    <w:uiPriority w:val="34"/>
    <w:qFormat/>
    <w:rsid w:val="00CD4616"/>
    <w:pPr>
      <w:ind w:left="720"/>
      <w:contextualSpacing/>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14">
      <w:bodyDiv w:val="1"/>
      <w:marLeft w:val="0"/>
      <w:marRight w:val="0"/>
      <w:marTop w:val="0"/>
      <w:marBottom w:val="0"/>
      <w:divBdr>
        <w:top w:val="none" w:sz="0" w:space="0" w:color="auto"/>
        <w:left w:val="none" w:sz="0" w:space="0" w:color="auto"/>
        <w:bottom w:val="none" w:sz="0" w:space="0" w:color="auto"/>
        <w:right w:val="none" w:sz="0" w:space="0" w:color="auto"/>
      </w:divBdr>
      <w:divsChild>
        <w:div w:id="839198406">
          <w:marLeft w:val="446"/>
          <w:marRight w:val="0"/>
          <w:marTop w:val="0"/>
          <w:marBottom w:val="0"/>
          <w:divBdr>
            <w:top w:val="none" w:sz="0" w:space="0" w:color="auto"/>
            <w:left w:val="none" w:sz="0" w:space="0" w:color="auto"/>
            <w:bottom w:val="none" w:sz="0" w:space="0" w:color="auto"/>
            <w:right w:val="none" w:sz="0" w:space="0" w:color="auto"/>
          </w:divBdr>
        </w:div>
      </w:divsChild>
    </w:div>
    <w:div w:id="1861815033">
      <w:bodyDiv w:val="1"/>
      <w:marLeft w:val="0"/>
      <w:marRight w:val="0"/>
      <w:marTop w:val="0"/>
      <w:marBottom w:val="0"/>
      <w:divBdr>
        <w:top w:val="none" w:sz="0" w:space="0" w:color="auto"/>
        <w:left w:val="none" w:sz="0" w:space="0" w:color="auto"/>
        <w:bottom w:val="none" w:sz="0" w:space="0" w:color="auto"/>
        <w:right w:val="none" w:sz="0" w:space="0" w:color="auto"/>
      </w:divBdr>
      <w:divsChild>
        <w:div w:id="1945857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Cuenta Microsoft</cp:lastModifiedBy>
  <cp:revision>41</cp:revision>
  <dcterms:created xsi:type="dcterms:W3CDTF">2022-12-14T15:35:00Z</dcterms:created>
  <dcterms:modified xsi:type="dcterms:W3CDTF">2023-04-05T03:06:00Z</dcterms:modified>
</cp:coreProperties>
</file>