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0AE6" w14:textId="77777777" w:rsidR="006A65D2" w:rsidRPr="00254988" w:rsidRDefault="006939C8" w:rsidP="00DB75C1">
      <w:pPr>
        <w:spacing w:after="0" w:line="240" w:lineRule="auto"/>
        <w:jc w:val="center"/>
        <w:rPr>
          <w:rFonts w:ascii="Palatino Linotype" w:eastAsia="Times New Roman" w:hAnsi="Palatino Linotype" w:cs="Times New Roman"/>
          <w:b/>
        </w:rPr>
      </w:pPr>
      <w:r w:rsidRPr="00254988">
        <w:rPr>
          <w:rFonts w:ascii="Palatino Linotype" w:eastAsia="Times New Roman" w:hAnsi="Palatino Linotype" w:cs="Times New Roman"/>
          <w:b/>
        </w:rPr>
        <w:t>EL CONCEJO METROPOLITANO DE QUITO</w:t>
      </w:r>
    </w:p>
    <w:p w14:paraId="5A7EF8F0" w14:textId="77777777" w:rsidR="006A65D2" w:rsidRPr="00254988" w:rsidRDefault="006A65D2" w:rsidP="00DB75C1">
      <w:pPr>
        <w:pStyle w:val="Sinespaciado"/>
        <w:jc w:val="center"/>
        <w:rPr>
          <w:rFonts w:ascii="Palatino Linotype" w:eastAsiaTheme="minorHAnsi" w:hAnsi="Palatino Linotype"/>
          <w:b/>
          <w:sz w:val="22"/>
          <w:szCs w:val="22"/>
          <w:lang w:val="es-EC" w:eastAsia="en-US"/>
        </w:rPr>
      </w:pPr>
    </w:p>
    <w:p w14:paraId="5420F1CB" w14:textId="77777777" w:rsidR="006A65D2" w:rsidRPr="00254988" w:rsidRDefault="006939C8" w:rsidP="00DB75C1">
      <w:pPr>
        <w:pStyle w:val="Sinespaciado"/>
        <w:jc w:val="center"/>
        <w:rPr>
          <w:rFonts w:ascii="Palatino Linotype" w:eastAsiaTheme="minorHAnsi" w:hAnsi="Palatino Linotype"/>
          <w:b/>
          <w:sz w:val="22"/>
          <w:szCs w:val="22"/>
          <w:lang w:val="es-EC" w:eastAsia="en-US"/>
        </w:rPr>
      </w:pPr>
      <w:r w:rsidRPr="00254988">
        <w:rPr>
          <w:rFonts w:ascii="Palatino Linotype" w:eastAsiaTheme="minorHAnsi" w:hAnsi="Palatino Linotype"/>
          <w:b/>
          <w:sz w:val="22"/>
          <w:szCs w:val="22"/>
          <w:lang w:val="es-EC" w:eastAsia="en-US"/>
        </w:rPr>
        <w:t>CONSIDERANDO:</w:t>
      </w:r>
    </w:p>
    <w:p w14:paraId="0EE8D416" w14:textId="77777777" w:rsidR="006A65D2" w:rsidRPr="00254988" w:rsidRDefault="006A65D2" w:rsidP="00DB75C1">
      <w:pPr>
        <w:pStyle w:val="Sinespaciado"/>
        <w:jc w:val="both"/>
        <w:rPr>
          <w:rFonts w:ascii="Palatino Linotype" w:eastAsiaTheme="minorHAnsi" w:hAnsi="Palatino Linotype"/>
          <w:b/>
          <w:sz w:val="22"/>
          <w:szCs w:val="22"/>
          <w:lang w:val="es-EC" w:eastAsia="en-US"/>
        </w:rPr>
      </w:pPr>
    </w:p>
    <w:p w14:paraId="151D1395" w14:textId="1C3091FF" w:rsidR="006A65D2" w:rsidRPr="00254988" w:rsidRDefault="003E5AE2" w:rsidP="00DB75C1">
      <w:pPr>
        <w:spacing w:after="0" w:line="240" w:lineRule="auto"/>
        <w:ind w:left="708" w:hanging="708"/>
        <w:jc w:val="both"/>
        <w:rPr>
          <w:rFonts w:ascii="Palatino Linotype" w:hAnsi="Palatino Linotype"/>
          <w:i/>
        </w:rPr>
      </w:pPr>
      <w:r w:rsidRPr="00254988">
        <w:rPr>
          <w:rFonts w:ascii="Palatino Linotype" w:hAnsi="Palatino Linotype"/>
          <w:b/>
        </w:rPr>
        <w:t>Que,</w:t>
      </w:r>
      <w:r w:rsidRPr="00254988">
        <w:rPr>
          <w:rFonts w:ascii="Palatino Linotype" w:hAnsi="Palatino Linotype"/>
        </w:rPr>
        <w:tab/>
      </w:r>
      <w:r w:rsidR="006939C8" w:rsidRPr="00254988">
        <w:rPr>
          <w:rFonts w:ascii="Palatino Linotype" w:hAnsi="Palatino Linotype"/>
        </w:rPr>
        <w:t xml:space="preserve">la Constitución de la República del Ecuador, en el artículo 238, </w:t>
      </w:r>
      <w:r w:rsidR="009A2C78" w:rsidRPr="00254988">
        <w:rPr>
          <w:rFonts w:ascii="Palatino Linotype" w:hAnsi="Palatino Linotype"/>
        </w:rPr>
        <w:t>manda</w:t>
      </w:r>
      <w:r w:rsidR="006939C8" w:rsidRPr="00254988">
        <w:rPr>
          <w:rFonts w:ascii="Palatino Linotype" w:hAnsi="Palatino Linotype"/>
        </w:rPr>
        <w:t xml:space="preserve"> que: “</w:t>
      </w:r>
      <w:r w:rsidR="006939C8" w:rsidRPr="00254988">
        <w:rPr>
          <w:rFonts w:ascii="Palatino Linotype" w:hAnsi="Palatino Linotype"/>
          <w:i/>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006939C8" w:rsidRPr="00254988">
        <w:rPr>
          <w:rFonts w:ascii="Palatino Linotype" w:hAnsi="Palatino Linotype"/>
        </w:rPr>
        <w:t>;</w:t>
      </w:r>
      <w:r w:rsidR="006939C8" w:rsidRPr="00254988">
        <w:rPr>
          <w:rFonts w:ascii="Palatino Linotype" w:hAnsi="Palatino Linotype"/>
          <w:i/>
        </w:rPr>
        <w:t xml:space="preserve"> </w:t>
      </w:r>
    </w:p>
    <w:p w14:paraId="1784E877" w14:textId="77777777" w:rsidR="006A65D2" w:rsidRPr="00254988" w:rsidRDefault="006A65D2" w:rsidP="00DB75C1">
      <w:pPr>
        <w:pStyle w:val="Sinespaciado"/>
        <w:jc w:val="both"/>
        <w:rPr>
          <w:rFonts w:ascii="Palatino Linotype" w:eastAsiaTheme="minorHAnsi" w:hAnsi="Palatino Linotype"/>
          <w:b/>
          <w:sz w:val="22"/>
          <w:szCs w:val="22"/>
          <w:lang w:val="es-EC" w:eastAsia="en-US"/>
        </w:rPr>
      </w:pPr>
    </w:p>
    <w:p w14:paraId="60D6CC95" w14:textId="71E64C7C" w:rsidR="006A65D2" w:rsidRPr="00254988" w:rsidRDefault="00A975FB" w:rsidP="00DB75C1">
      <w:pPr>
        <w:spacing w:after="0" w:line="240" w:lineRule="auto"/>
        <w:ind w:left="708" w:hanging="708"/>
        <w:jc w:val="both"/>
        <w:rPr>
          <w:rFonts w:ascii="Palatino Linotype" w:hAnsi="Palatino Linotype"/>
          <w:i/>
        </w:rPr>
      </w:pPr>
      <w:r w:rsidRPr="00254988">
        <w:rPr>
          <w:rFonts w:ascii="Palatino Linotype" w:hAnsi="Palatino Linotype"/>
          <w:b/>
        </w:rPr>
        <w:t>Que</w:t>
      </w:r>
      <w:r w:rsidR="003E5AE2" w:rsidRPr="00254988">
        <w:rPr>
          <w:rFonts w:ascii="Palatino Linotype" w:hAnsi="Palatino Linotype"/>
          <w:b/>
        </w:rPr>
        <w:t>,</w:t>
      </w:r>
      <w:r w:rsidR="006939C8" w:rsidRPr="00254988">
        <w:rPr>
          <w:rFonts w:ascii="Palatino Linotype" w:hAnsi="Palatino Linotype"/>
        </w:rPr>
        <w:t xml:space="preserve"> </w:t>
      </w:r>
      <w:r w:rsidR="006939C8" w:rsidRPr="00254988">
        <w:rPr>
          <w:rFonts w:ascii="Palatino Linotype" w:hAnsi="Palatino Linotype"/>
        </w:rPr>
        <w:tab/>
        <w:t>la Constitución de la República del Ecuador, en el artículo 240, señala que: “</w:t>
      </w:r>
      <w:r w:rsidR="006939C8" w:rsidRPr="00254988">
        <w:rPr>
          <w:rFonts w:ascii="Palatino Linotype" w:hAnsi="Palatino Linotype"/>
          <w:i/>
        </w:rPr>
        <w:t>Los gobiernos autónomos descentralizados de las regiones, distritos metropolitanos, provincias y cantones tendrán facultades legislativas en el ámbito de sus competencias y jurisdicciones territoriales.</w:t>
      </w:r>
      <w:r w:rsidR="00107391">
        <w:rPr>
          <w:rFonts w:ascii="Palatino Linotype" w:hAnsi="Palatino Linotype"/>
          <w:i/>
        </w:rPr>
        <w:t xml:space="preserve"> (…)</w:t>
      </w:r>
      <w:r w:rsidR="006939C8" w:rsidRPr="00254988">
        <w:rPr>
          <w:rFonts w:ascii="Palatino Linotype" w:hAnsi="Palatino Linotype"/>
          <w:i/>
        </w:rPr>
        <w:t>”</w:t>
      </w:r>
      <w:r w:rsidR="006939C8" w:rsidRPr="00254988">
        <w:rPr>
          <w:rFonts w:ascii="Palatino Linotype" w:hAnsi="Palatino Linotype"/>
        </w:rPr>
        <w:t>;</w:t>
      </w:r>
      <w:r w:rsidR="006939C8" w:rsidRPr="00254988">
        <w:rPr>
          <w:rFonts w:ascii="Palatino Linotype" w:hAnsi="Palatino Linotype"/>
          <w:i/>
        </w:rPr>
        <w:t xml:space="preserve"> </w:t>
      </w:r>
    </w:p>
    <w:p w14:paraId="2B73688A" w14:textId="77777777" w:rsidR="006A65D2" w:rsidRPr="00254988" w:rsidRDefault="006A65D2" w:rsidP="00DB75C1">
      <w:pPr>
        <w:spacing w:after="0" w:line="240" w:lineRule="auto"/>
        <w:ind w:left="708" w:hanging="708"/>
        <w:jc w:val="both"/>
        <w:rPr>
          <w:rFonts w:ascii="Palatino Linotype" w:hAnsi="Palatino Linotype"/>
          <w:i/>
        </w:rPr>
      </w:pPr>
    </w:p>
    <w:p w14:paraId="057E4C01" w14:textId="1DAAA1AA" w:rsidR="006A65D2" w:rsidRPr="00254988" w:rsidRDefault="00A975FB" w:rsidP="00DB75C1">
      <w:pPr>
        <w:spacing w:after="0" w:line="240" w:lineRule="auto"/>
        <w:ind w:left="705" w:hanging="705"/>
        <w:jc w:val="both"/>
        <w:rPr>
          <w:rFonts w:ascii="Palatino Linotype" w:hAnsi="Palatino Linotype"/>
        </w:rPr>
      </w:pPr>
      <w:r w:rsidRPr="00254988">
        <w:rPr>
          <w:rFonts w:ascii="Palatino Linotype" w:hAnsi="Palatino Linotype"/>
          <w:b/>
        </w:rPr>
        <w:t>Que</w:t>
      </w:r>
      <w:r w:rsidR="003E5AE2" w:rsidRPr="00254988">
        <w:rPr>
          <w:rFonts w:ascii="Palatino Linotype" w:hAnsi="Palatino Linotype"/>
          <w:b/>
        </w:rPr>
        <w:t>,</w:t>
      </w:r>
      <w:r w:rsidR="006939C8" w:rsidRPr="00254988">
        <w:rPr>
          <w:rFonts w:ascii="Palatino Linotype" w:hAnsi="Palatino Linotype"/>
        </w:rPr>
        <w:t xml:space="preserve"> </w:t>
      </w:r>
      <w:r w:rsidR="006939C8" w:rsidRPr="00254988">
        <w:rPr>
          <w:rFonts w:ascii="Palatino Linotype" w:hAnsi="Palatino Linotype"/>
        </w:rPr>
        <w:tab/>
        <w:t xml:space="preserve">la Constitución de la República del Ecuador, en el artículo 266, </w:t>
      </w:r>
      <w:r w:rsidR="009A2C78" w:rsidRPr="00254988">
        <w:rPr>
          <w:rFonts w:ascii="Palatino Linotype" w:hAnsi="Palatino Linotype"/>
        </w:rPr>
        <w:t>dispone</w:t>
      </w:r>
      <w:r w:rsidR="006939C8" w:rsidRPr="00254988">
        <w:rPr>
          <w:rFonts w:ascii="Palatino Linotype" w:hAnsi="Palatino Linotype"/>
        </w:rPr>
        <w:t xml:space="preserve"> que: “</w:t>
      </w:r>
      <w:r w:rsidR="006939C8" w:rsidRPr="00254988">
        <w:rPr>
          <w:rFonts w:ascii="Palatino Linotype" w:hAnsi="Palatino Linotype"/>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6939C8" w:rsidRPr="00254988">
        <w:rPr>
          <w:rFonts w:ascii="Palatino Linotype" w:hAnsi="Palatino Linotype"/>
        </w:rPr>
        <w:t xml:space="preserve">; </w:t>
      </w:r>
    </w:p>
    <w:p w14:paraId="59367BFB" w14:textId="77777777" w:rsidR="006A65D2" w:rsidRPr="00254988" w:rsidRDefault="006A65D2" w:rsidP="00DB75C1">
      <w:pPr>
        <w:spacing w:after="0" w:line="240" w:lineRule="auto"/>
        <w:ind w:left="705" w:hanging="705"/>
        <w:jc w:val="both"/>
        <w:rPr>
          <w:rFonts w:ascii="Palatino Linotype" w:hAnsi="Palatino Linotype"/>
        </w:rPr>
      </w:pPr>
    </w:p>
    <w:p w14:paraId="1A3F402D" w14:textId="77777777" w:rsidR="0046232F" w:rsidRPr="00254988" w:rsidRDefault="00A975FB" w:rsidP="00DB75C1">
      <w:pPr>
        <w:spacing w:after="0" w:line="240" w:lineRule="auto"/>
        <w:ind w:left="705" w:hanging="705"/>
        <w:jc w:val="both"/>
        <w:rPr>
          <w:rFonts w:ascii="Palatino Linotype" w:hAnsi="Palatino Linotype" w:cs="Times New Roman"/>
        </w:rPr>
      </w:pPr>
      <w:r w:rsidRPr="00254988">
        <w:rPr>
          <w:rFonts w:ascii="Palatino Linotype" w:hAnsi="Palatino Linotype"/>
          <w:b/>
        </w:rPr>
        <w:t>Que</w:t>
      </w:r>
      <w:r w:rsidR="003E5AE2" w:rsidRPr="00254988">
        <w:rPr>
          <w:rFonts w:ascii="Palatino Linotype" w:hAnsi="Palatino Linotype"/>
          <w:b/>
        </w:rPr>
        <w:t>,</w:t>
      </w:r>
      <w:r w:rsidR="006939C8" w:rsidRPr="00254988">
        <w:rPr>
          <w:rFonts w:ascii="Palatino Linotype" w:hAnsi="Palatino Linotype"/>
        </w:rPr>
        <w:t xml:space="preserve"> </w:t>
      </w:r>
      <w:r w:rsidR="006939C8" w:rsidRPr="00254988">
        <w:rPr>
          <w:rFonts w:ascii="Palatino Linotype" w:hAnsi="Palatino Linotype"/>
        </w:rPr>
        <w:tab/>
      </w:r>
      <w:r w:rsidR="006939C8" w:rsidRPr="00254988">
        <w:rPr>
          <w:rFonts w:ascii="Palatino Linotype" w:hAnsi="Palatino Linotype" w:cs="Times New Roman"/>
        </w:rPr>
        <w:t>el Código Orgánico de Organización Territorial, Auto</w:t>
      </w:r>
      <w:r w:rsidR="005B6958" w:rsidRPr="00254988">
        <w:rPr>
          <w:rFonts w:ascii="Palatino Linotype" w:hAnsi="Palatino Linotype" w:cs="Times New Roman"/>
        </w:rPr>
        <w:t>nomía y Descentralización, en el</w:t>
      </w:r>
      <w:r w:rsidR="006939C8" w:rsidRPr="00254988">
        <w:rPr>
          <w:rFonts w:ascii="Palatino Linotype" w:hAnsi="Palatino Linotype" w:cs="Times New Roman"/>
        </w:rPr>
        <w:t xml:space="preserve"> artículo 87, establece las atribuciones del Concejo Metrop</w:t>
      </w:r>
      <w:r w:rsidR="00C46EB1" w:rsidRPr="00254988">
        <w:rPr>
          <w:rFonts w:ascii="Palatino Linotype" w:hAnsi="Palatino Linotype" w:cs="Times New Roman"/>
        </w:rPr>
        <w:t xml:space="preserve">olitano, conforme el literal a), que </w:t>
      </w:r>
      <w:r w:rsidR="006939C8" w:rsidRPr="00254988">
        <w:rPr>
          <w:rFonts w:ascii="Palatino Linotype" w:hAnsi="Palatino Linotype" w:cs="Times New Roman"/>
        </w:rPr>
        <w:t xml:space="preserve">indica: </w:t>
      </w:r>
      <w:r w:rsidR="006939C8" w:rsidRPr="00254988">
        <w:rPr>
          <w:rFonts w:ascii="Palatino Linotype" w:hAnsi="Palatino Linotype" w:cs="Times New Roman"/>
          <w:i/>
        </w:rPr>
        <w:t>“</w:t>
      </w:r>
      <w:r w:rsidR="006939C8" w:rsidRPr="00254988">
        <w:rPr>
          <w:rFonts w:ascii="Palatino Linotype" w:hAnsi="Palatino Linotype"/>
          <w:i/>
        </w:rPr>
        <w:t>Ejercer la facultad normativa en las materias de competencia del gobierno autónomo descentralizado metropolitano, mediante la expedición de ordenanzas metropolit</w:t>
      </w:r>
      <w:r w:rsidR="00F9688F" w:rsidRPr="00254988">
        <w:rPr>
          <w:rFonts w:ascii="Palatino Linotype" w:hAnsi="Palatino Linotype"/>
          <w:i/>
        </w:rPr>
        <w:t>anas, acuerdos y resoluciones”</w:t>
      </w:r>
      <w:r w:rsidR="00F9688F" w:rsidRPr="00254988">
        <w:rPr>
          <w:rFonts w:ascii="Palatino Linotype" w:hAnsi="Palatino Linotype"/>
        </w:rPr>
        <w:t>;</w:t>
      </w:r>
      <w:r w:rsidR="00842087" w:rsidRPr="00254988">
        <w:rPr>
          <w:rFonts w:ascii="Palatino Linotype" w:hAnsi="Palatino Linotype"/>
        </w:rPr>
        <w:t xml:space="preserve"> el literal d)</w:t>
      </w:r>
      <w:r w:rsidR="003E4232" w:rsidRPr="00254988">
        <w:rPr>
          <w:rFonts w:ascii="Palatino Linotype" w:hAnsi="Palatino Linotype"/>
        </w:rPr>
        <w:t>,</w:t>
      </w:r>
      <w:r w:rsidR="00842087" w:rsidRPr="00254988">
        <w:rPr>
          <w:rFonts w:ascii="Palatino Linotype" w:hAnsi="Palatino Linotype"/>
        </w:rPr>
        <w:t xml:space="preserve"> </w:t>
      </w:r>
      <w:r w:rsidR="00A300EF" w:rsidRPr="00254988">
        <w:rPr>
          <w:rFonts w:ascii="Palatino Linotype" w:hAnsi="Palatino Linotype"/>
        </w:rPr>
        <w:t xml:space="preserve">que </w:t>
      </w:r>
      <w:r w:rsidR="00842087" w:rsidRPr="00254988">
        <w:rPr>
          <w:rFonts w:ascii="Palatino Linotype" w:hAnsi="Palatino Linotype"/>
        </w:rPr>
        <w:t>establece que</w:t>
      </w:r>
      <w:r w:rsidR="006939C8" w:rsidRPr="00254988">
        <w:rPr>
          <w:rFonts w:ascii="Palatino Linotype" w:hAnsi="Palatino Linotype"/>
        </w:rPr>
        <w:t>:</w:t>
      </w:r>
      <w:r w:rsidR="006939C8" w:rsidRPr="00254988">
        <w:rPr>
          <w:rFonts w:ascii="Palatino Linotype" w:hAnsi="Palatino Linotype"/>
          <w:i/>
        </w:rPr>
        <w:t xml:space="preserve"> “El expedir acuerdos o resoluciones en el ámbito de sus competencias para regular temas institucionales específicos o reconocer derechos particulares</w:t>
      </w:r>
      <w:r w:rsidR="00076E77" w:rsidRPr="00254988">
        <w:rPr>
          <w:rFonts w:ascii="Palatino Linotype" w:hAnsi="Palatino Linotype"/>
          <w:i/>
        </w:rPr>
        <w:t xml:space="preserve">”; </w:t>
      </w:r>
      <w:r w:rsidR="00076E77" w:rsidRPr="00254988">
        <w:rPr>
          <w:rFonts w:ascii="Palatino Linotype" w:hAnsi="Palatino Linotype"/>
        </w:rPr>
        <w:t xml:space="preserve">y, literal q), </w:t>
      </w:r>
      <w:r w:rsidR="002F2779" w:rsidRPr="00254988">
        <w:rPr>
          <w:rFonts w:ascii="Palatino Linotype" w:hAnsi="Palatino Linotype"/>
        </w:rPr>
        <w:t>señala</w:t>
      </w:r>
      <w:r w:rsidR="00076E77" w:rsidRPr="00254988">
        <w:rPr>
          <w:rFonts w:ascii="Palatino Linotype" w:hAnsi="Palatino Linotype"/>
        </w:rPr>
        <w:t xml:space="preserve">: </w:t>
      </w:r>
      <w:r w:rsidR="00076E77" w:rsidRPr="00254988">
        <w:rPr>
          <w:rFonts w:ascii="Palatino Linotype" w:hAnsi="Palatino Linotype"/>
          <w:i/>
        </w:rPr>
        <w:t>“Conformar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r w:rsidR="006939C8" w:rsidRPr="00254988">
        <w:rPr>
          <w:rFonts w:ascii="Palatino Linotype" w:hAnsi="Palatino Linotype" w:cs="Times New Roman"/>
          <w:i/>
        </w:rPr>
        <w:t>”</w:t>
      </w:r>
      <w:r w:rsidR="0046232F" w:rsidRPr="00254988">
        <w:rPr>
          <w:rFonts w:ascii="Palatino Linotype" w:hAnsi="Palatino Linotype" w:cs="Times New Roman"/>
        </w:rPr>
        <w:t xml:space="preserve">; </w:t>
      </w:r>
    </w:p>
    <w:p w14:paraId="078DB8B8" w14:textId="5E113E7F" w:rsidR="00842087" w:rsidRDefault="00842087" w:rsidP="00DB75C1">
      <w:pPr>
        <w:spacing w:after="0" w:line="240" w:lineRule="auto"/>
        <w:ind w:left="705" w:hanging="705"/>
        <w:jc w:val="both"/>
        <w:rPr>
          <w:rFonts w:ascii="Palatino Linotype" w:hAnsi="Palatino Linotype" w:cs="Times New Roman"/>
        </w:rPr>
      </w:pPr>
    </w:p>
    <w:p w14:paraId="56978965" w14:textId="20A32991" w:rsidR="00107391" w:rsidRDefault="00107391" w:rsidP="00DB75C1">
      <w:pPr>
        <w:spacing w:after="0" w:line="240" w:lineRule="auto"/>
        <w:ind w:left="705" w:hanging="705"/>
        <w:jc w:val="both"/>
        <w:rPr>
          <w:rFonts w:ascii="Palatino Linotype" w:hAnsi="Palatino Linotype" w:cs="Times New Roman"/>
        </w:rPr>
      </w:pPr>
    </w:p>
    <w:p w14:paraId="2E7E6B6E" w14:textId="77777777" w:rsidR="00107391" w:rsidRPr="00254988" w:rsidRDefault="00107391" w:rsidP="00DB75C1">
      <w:pPr>
        <w:spacing w:after="0" w:line="240" w:lineRule="auto"/>
        <w:ind w:left="705" w:hanging="705"/>
        <w:jc w:val="both"/>
        <w:rPr>
          <w:rFonts w:ascii="Palatino Linotype" w:hAnsi="Palatino Linotype" w:cs="Times New Roman"/>
        </w:rPr>
      </w:pPr>
    </w:p>
    <w:p w14:paraId="0434A6DA" w14:textId="77777777" w:rsidR="00EF37C2" w:rsidRPr="00254988" w:rsidRDefault="00EF37C2" w:rsidP="00DB75C1">
      <w:pPr>
        <w:spacing w:after="0" w:line="240" w:lineRule="auto"/>
        <w:ind w:left="709" w:hanging="709"/>
        <w:jc w:val="both"/>
        <w:rPr>
          <w:rFonts w:ascii="Palatino Linotype" w:hAnsi="Palatino Linotype"/>
          <w:b/>
        </w:rPr>
      </w:pPr>
    </w:p>
    <w:p w14:paraId="62F4316D" w14:textId="6DA97F4F" w:rsidR="006A65D2" w:rsidRPr="00254988" w:rsidRDefault="006939C8" w:rsidP="00DB75C1">
      <w:pPr>
        <w:spacing w:after="0" w:line="240" w:lineRule="auto"/>
        <w:ind w:left="709" w:hanging="709"/>
        <w:jc w:val="both"/>
        <w:rPr>
          <w:rFonts w:ascii="Palatino Linotype" w:hAnsi="Palatino Linotype"/>
          <w:color w:val="000000"/>
          <w:shd w:val="clear" w:color="auto" w:fill="FFFFFF"/>
        </w:rPr>
      </w:pPr>
      <w:r w:rsidRPr="00254988">
        <w:rPr>
          <w:rFonts w:ascii="Palatino Linotype" w:hAnsi="Palatino Linotype"/>
          <w:b/>
        </w:rPr>
        <w:lastRenderedPageBreak/>
        <w:t>Que</w:t>
      </w:r>
      <w:r w:rsidR="003E5AE2" w:rsidRPr="00254988">
        <w:rPr>
          <w:rFonts w:ascii="Palatino Linotype" w:hAnsi="Palatino Linotype"/>
          <w:b/>
        </w:rPr>
        <w:t>,</w:t>
      </w:r>
      <w:r w:rsidRPr="00254988">
        <w:rPr>
          <w:rFonts w:ascii="Palatino Linotype" w:hAnsi="Palatino Linotype"/>
        </w:rPr>
        <w:t xml:space="preserve"> </w:t>
      </w:r>
      <w:r w:rsidRPr="00254988">
        <w:rPr>
          <w:rFonts w:ascii="Palatino Linotype" w:hAnsi="Palatino Linotype"/>
        </w:rPr>
        <w:tab/>
      </w:r>
      <w:r w:rsidR="005B6958" w:rsidRPr="00254988">
        <w:rPr>
          <w:rFonts w:ascii="Palatino Linotype" w:hAnsi="Palatino Linotype"/>
        </w:rPr>
        <w:t xml:space="preserve">el </w:t>
      </w:r>
      <w:r w:rsidRPr="00254988">
        <w:rPr>
          <w:rFonts w:ascii="Palatino Linotype" w:hAnsi="Palatino Linotype" w:cs="Times New Roman"/>
        </w:rPr>
        <w:t>Código Orgánico de Organización Territorial, Autonomía y Descentralización</w:t>
      </w:r>
      <w:r w:rsidR="00F72A99" w:rsidRPr="00254988">
        <w:rPr>
          <w:rFonts w:ascii="Palatino Linotype" w:hAnsi="Palatino Linotype"/>
        </w:rPr>
        <w:t>,</w:t>
      </w:r>
      <w:r w:rsidR="005B6958" w:rsidRPr="00254988">
        <w:rPr>
          <w:rFonts w:ascii="Palatino Linotype" w:hAnsi="Palatino Linotype"/>
        </w:rPr>
        <w:t xml:space="preserve"> en el artículo 323</w:t>
      </w:r>
      <w:r w:rsidR="00E86853" w:rsidRPr="00254988">
        <w:rPr>
          <w:rFonts w:ascii="Palatino Linotype" w:hAnsi="Palatino Linotype"/>
        </w:rPr>
        <w:t>,</w:t>
      </w:r>
      <w:r w:rsidR="005B6958" w:rsidRPr="00254988">
        <w:rPr>
          <w:rFonts w:ascii="Palatino Linotype" w:hAnsi="Palatino Linotype"/>
        </w:rPr>
        <w:t xml:space="preserve"> </w:t>
      </w:r>
      <w:r w:rsidR="009A2C78" w:rsidRPr="00254988">
        <w:rPr>
          <w:rFonts w:ascii="Palatino Linotype" w:hAnsi="Palatino Linotype"/>
          <w:color w:val="000000"/>
          <w:shd w:val="clear" w:color="auto" w:fill="FFFFFF"/>
        </w:rPr>
        <w:t>establece</w:t>
      </w:r>
      <w:r w:rsidR="005B6958" w:rsidRPr="00254988">
        <w:rPr>
          <w:rFonts w:ascii="Palatino Linotype" w:hAnsi="Palatino Linotype"/>
          <w:color w:val="000000"/>
          <w:shd w:val="clear" w:color="auto" w:fill="FFFFFF"/>
        </w:rPr>
        <w:t xml:space="preserve"> que</w:t>
      </w:r>
      <w:r w:rsidRPr="00254988">
        <w:rPr>
          <w:rFonts w:ascii="Palatino Linotype" w:hAnsi="Palatino Linotype"/>
          <w:color w:val="000000"/>
          <w:shd w:val="clear" w:color="auto" w:fill="FFFFFF"/>
        </w:rPr>
        <w:t xml:space="preserve">: </w:t>
      </w:r>
      <w:r w:rsidRPr="00254988">
        <w:rPr>
          <w:rFonts w:ascii="Palatino Linotype" w:hAnsi="Palatino Linotype"/>
          <w:i/>
          <w:color w:val="000000"/>
          <w:shd w:val="clear" w:color="auto" w:fill="FFFFFF"/>
        </w:rPr>
        <w:t xml:space="preserve">“El órgano normativo del respectivo gobierno autónomo descentralizado podrá </w:t>
      </w:r>
      <w:r w:rsidR="00A975FB" w:rsidRPr="00254988">
        <w:rPr>
          <w:rFonts w:ascii="Palatino Linotype" w:hAnsi="Palatino Linotype"/>
          <w:i/>
          <w:color w:val="000000"/>
          <w:shd w:val="clear" w:color="auto" w:fill="FFFFFF"/>
        </w:rPr>
        <w:t>expedir,</w:t>
      </w:r>
      <w:r w:rsidRPr="00254988">
        <w:rPr>
          <w:rFonts w:ascii="Palatino Linotype" w:hAnsi="Palatino Linotype"/>
          <w:i/>
          <w:color w:val="000000"/>
          <w:shd w:val="clear" w:color="auto" w:fill="FFFFFF"/>
        </w:rPr>
        <w:t xml:space="preserve"> además, acuerdos y resoluciones sobre temas que tengan carácter especial o específico, los que serán aprobados por el órgano legislativo del gobierno autónomo, por simple mayoría, en un solo debate (…)”</w:t>
      </w:r>
      <w:r w:rsidR="003A7250" w:rsidRPr="00254988">
        <w:rPr>
          <w:rFonts w:ascii="Palatino Linotype" w:hAnsi="Palatino Linotype"/>
          <w:color w:val="000000"/>
          <w:shd w:val="clear" w:color="auto" w:fill="FFFFFF"/>
        </w:rPr>
        <w:t>;</w:t>
      </w:r>
      <w:r w:rsidR="00A300EF" w:rsidRPr="00254988">
        <w:rPr>
          <w:rFonts w:ascii="Palatino Linotype" w:hAnsi="Palatino Linotype"/>
          <w:color w:val="000000"/>
          <w:shd w:val="clear" w:color="auto" w:fill="FFFFFF"/>
        </w:rPr>
        <w:t xml:space="preserve"> </w:t>
      </w:r>
    </w:p>
    <w:p w14:paraId="4D19007B" w14:textId="77777777" w:rsidR="005407A6" w:rsidRPr="00254988" w:rsidRDefault="005407A6" w:rsidP="00F72A99">
      <w:pPr>
        <w:spacing w:after="0" w:line="240" w:lineRule="auto"/>
        <w:jc w:val="both"/>
        <w:rPr>
          <w:rFonts w:ascii="Palatino Linotype" w:hAnsi="Palatino Linotype"/>
          <w:color w:val="000000"/>
          <w:shd w:val="clear" w:color="auto" w:fill="FFFFFF"/>
        </w:rPr>
      </w:pPr>
    </w:p>
    <w:p w14:paraId="53345F60" w14:textId="3EDDBD84" w:rsidR="005407A6" w:rsidRPr="00254988" w:rsidRDefault="005407A6" w:rsidP="00E24D51">
      <w:pPr>
        <w:spacing w:after="0" w:line="240" w:lineRule="auto"/>
        <w:ind w:left="709" w:hanging="709"/>
        <w:jc w:val="both"/>
        <w:rPr>
          <w:rFonts w:ascii="Palatino Linotype" w:hAnsi="Palatino Linotype"/>
          <w:color w:val="000000"/>
          <w:shd w:val="clear" w:color="auto" w:fill="FFFFFF"/>
        </w:rPr>
      </w:pPr>
      <w:r w:rsidRPr="00254988">
        <w:rPr>
          <w:rFonts w:ascii="Palatino Linotype" w:hAnsi="Palatino Linotype"/>
          <w:b/>
        </w:rPr>
        <w:t>Que,</w:t>
      </w:r>
      <w:r w:rsidRPr="00254988">
        <w:rPr>
          <w:rFonts w:ascii="Palatino Linotype" w:hAnsi="Palatino Linotype"/>
        </w:rPr>
        <w:t xml:space="preserve"> </w:t>
      </w:r>
      <w:r w:rsidRPr="00254988">
        <w:rPr>
          <w:rFonts w:ascii="Palatino Linotype" w:hAnsi="Palatino Linotype"/>
        </w:rPr>
        <w:tab/>
      </w:r>
      <w:r w:rsidR="00E24D51" w:rsidRPr="00254988">
        <w:rPr>
          <w:rFonts w:ascii="Palatino Linotype" w:hAnsi="Palatino Linotype"/>
        </w:rPr>
        <w:t xml:space="preserve">el </w:t>
      </w:r>
      <w:r w:rsidR="00E24D51" w:rsidRPr="00254988">
        <w:rPr>
          <w:rFonts w:ascii="Palatino Linotype" w:hAnsi="Palatino Linotype" w:cs="Times New Roman"/>
        </w:rPr>
        <w:t>Código Orgánico de Organización Territorial, Autonomía y Descentralización</w:t>
      </w:r>
      <w:r w:rsidR="00E24D51" w:rsidRPr="00254988">
        <w:rPr>
          <w:rFonts w:ascii="Palatino Linotype" w:hAnsi="Palatino Linotype"/>
        </w:rPr>
        <w:t xml:space="preserve">, en el artículo 327, </w:t>
      </w:r>
      <w:r w:rsidR="00E24D51" w:rsidRPr="00254988">
        <w:rPr>
          <w:rFonts w:ascii="Palatino Linotype" w:hAnsi="Palatino Linotype"/>
          <w:color w:val="000000"/>
          <w:shd w:val="clear" w:color="auto" w:fill="FFFFFF"/>
        </w:rPr>
        <w:t xml:space="preserve">dispone que: </w:t>
      </w:r>
      <w:r w:rsidR="00E24D51" w:rsidRPr="00254988">
        <w:rPr>
          <w:rFonts w:ascii="Palatino Linotype" w:hAnsi="Palatino Linotype"/>
          <w:i/>
          <w:color w:val="000000"/>
          <w:shd w:val="clear" w:color="auto" w:fill="FFFFFF"/>
        </w:rPr>
        <w:t xml:space="preserve">“Las comisiones serán permanentes; especiales u ocasionales; y, técnicas. </w:t>
      </w:r>
      <w:r w:rsidR="00107391">
        <w:rPr>
          <w:rFonts w:ascii="Palatino Linotype" w:hAnsi="Palatino Linotype"/>
          <w:i/>
          <w:color w:val="000000"/>
          <w:shd w:val="clear" w:color="auto" w:fill="FFFFFF"/>
        </w:rPr>
        <w:t>(…)”</w:t>
      </w:r>
      <w:r w:rsidR="00D800F2" w:rsidRPr="00254988">
        <w:rPr>
          <w:rFonts w:ascii="Palatino Linotype" w:hAnsi="Palatino Linotype"/>
          <w:color w:val="000000"/>
          <w:shd w:val="clear" w:color="auto" w:fill="FFFFFF"/>
        </w:rPr>
        <w:t>;</w:t>
      </w:r>
    </w:p>
    <w:p w14:paraId="1B3BC6E9" w14:textId="77777777" w:rsidR="00E24D51" w:rsidRPr="00254988" w:rsidRDefault="00E24D51" w:rsidP="00E24D51">
      <w:pPr>
        <w:spacing w:after="0" w:line="240" w:lineRule="auto"/>
        <w:ind w:left="709" w:hanging="709"/>
        <w:jc w:val="both"/>
        <w:rPr>
          <w:rFonts w:ascii="Palatino Linotype" w:hAnsi="Palatino Linotype"/>
          <w:color w:val="000000"/>
          <w:shd w:val="clear" w:color="auto" w:fill="FFFFFF"/>
        </w:rPr>
      </w:pPr>
    </w:p>
    <w:p w14:paraId="5F4A94BC" w14:textId="387DB992" w:rsidR="00E24D51" w:rsidRPr="00254988" w:rsidRDefault="00E24D51" w:rsidP="00E24D51">
      <w:pPr>
        <w:spacing w:after="0" w:line="240" w:lineRule="auto"/>
        <w:ind w:left="709" w:hanging="709"/>
        <w:jc w:val="both"/>
        <w:rPr>
          <w:rFonts w:ascii="Palatino Linotype" w:hAnsi="Palatino Linotype"/>
        </w:rPr>
      </w:pPr>
      <w:r w:rsidRPr="00254988">
        <w:rPr>
          <w:rFonts w:ascii="Palatino Linotype" w:hAnsi="Palatino Linotype"/>
          <w:b/>
          <w:color w:val="000000"/>
          <w:shd w:val="clear" w:color="auto" w:fill="FFFFFF"/>
        </w:rPr>
        <w:t>Que,</w:t>
      </w:r>
      <w:r w:rsidRPr="00254988">
        <w:rPr>
          <w:rFonts w:ascii="Palatino Linotype" w:hAnsi="Palatino Linotype"/>
          <w:b/>
          <w:color w:val="000000"/>
          <w:shd w:val="clear" w:color="auto" w:fill="FFFFFF"/>
        </w:rPr>
        <w:tab/>
      </w:r>
      <w:r w:rsidRPr="00254988">
        <w:rPr>
          <w:rFonts w:ascii="Palatino Linotype" w:hAnsi="Palatino Linotype"/>
          <w:color w:val="000000"/>
          <w:shd w:val="clear" w:color="auto" w:fill="FFFFFF"/>
        </w:rPr>
        <w:t xml:space="preserve">el artículo 20 </w:t>
      </w:r>
      <w:r w:rsidR="009A2C78" w:rsidRPr="00254988">
        <w:rPr>
          <w:rFonts w:ascii="Palatino Linotype" w:hAnsi="Palatino Linotype"/>
          <w:color w:val="000000"/>
          <w:shd w:val="clear" w:color="auto" w:fill="FFFFFF"/>
        </w:rPr>
        <w:t>d</w:t>
      </w:r>
      <w:r w:rsidRPr="00254988">
        <w:rPr>
          <w:rFonts w:ascii="Palatino Linotype" w:hAnsi="Palatino Linotype"/>
          <w:color w:val="000000"/>
          <w:shd w:val="clear" w:color="auto" w:fill="FFFFFF"/>
        </w:rPr>
        <w:t xml:space="preserve">el Código Municipal para el Distrito Metropolitano de Quito, indica que: </w:t>
      </w:r>
      <w:r w:rsidR="00E3743B" w:rsidRPr="00254988">
        <w:rPr>
          <w:rFonts w:ascii="Palatino Linotype" w:hAnsi="Palatino Linotype"/>
          <w:b/>
          <w:i/>
          <w:color w:val="000000"/>
          <w:shd w:val="clear" w:color="auto" w:fill="FFFFFF"/>
        </w:rPr>
        <w:t>“</w:t>
      </w:r>
      <w:r w:rsidRPr="00254988">
        <w:rPr>
          <w:rFonts w:ascii="Palatino Linotype" w:hAnsi="Palatino Linotype"/>
          <w:i/>
        </w:rPr>
        <w:t>Las comisiones del Concejo Metropolitano son órganos asesores del Cuerpo Edilicio, conformados por concejalas y concejales metropolitanos, cuya principal función consiste en emitir antecedentes, conclusiones, recomendaciones y dictámenes para resolución del Concejo Metropolitano sobre los temas puestos en su conocimiento.</w:t>
      </w:r>
      <w:r w:rsidR="00E3743B" w:rsidRPr="00254988">
        <w:rPr>
          <w:rFonts w:ascii="Palatino Linotype" w:hAnsi="Palatino Linotype"/>
          <w:i/>
        </w:rPr>
        <w:t>”</w:t>
      </w:r>
      <w:r w:rsidR="00D800F2" w:rsidRPr="00254988">
        <w:rPr>
          <w:rFonts w:ascii="Palatino Linotype" w:hAnsi="Palatino Linotype"/>
        </w:rPr>
        <w:t>;</w:t>
      </w:r>
    </w:p>
    <w:p w14:paraId="4B38E410" w14:textId="77777777" w:rsidR="00E3743B" w:rsidRPr="00254988" w:rsidRDefault="00E3743B" w:rsidP="00E24D51">
      <w:pPr>
        <w:spacing w:after="0" w:line="240" w:lineRule="auto"/>
        <w:ind w:left="709" w:hanging="709"/>
        <w:jc w:val="both"/>
        <w:rPr>
          <w:rFonts w:ascii="Palatino Linotype" w:hAnsi="Palatino Linotype"/>
          <w:i/>
        </w:rPr>
      </w:pPr>
    </w:p>
    <w:p w14:paraId="609205A3" w14:textId="01350F96" w:rsidR="00E3743B" w:rsidRPr="00254988" w:rsidRDefault="00E3743B" w:rsidP="00E3743B">
      <w:pPr>
        <w:spacing w:after="0" w:line="240" w:lineRule="auto"/>
        <w:ind w:left="709" w:hanging="709"/>
        <w:jc w:val="both"/>
        <w:rPr>
          <w:rFonts w:ascii="Palatino Linotype" w:hAnsi="Palatino Linotype"/>
          <w:color w:val="000000"/>
          <w:shd w:val="clear" w:color="auto" w:fill="FFFFFF"/>
        </w:rPr>
      </w:pPr>
      <w:r w:rsidRPr="00254988">
        <w:rPr>
          <w:rFonts w:ascii="Palatino Linotype" w:hAnsi="Palatino Linotype"/>
          <w:b/>
        </w:rPr>
        <w:t>Que,</w:t>
      </w:r>
      <w:r w:rsidRPr="00254988">
        <w:rPr>
          <w:rFonts w:ascii="Palatino Linotype" w:hAnsi="Palatino Linotype"/>
          <w:b/>
        </w:rPr>
        <w:tab/>
      </w:r>
      <w:r w:rsidRPr="00254988">
        <w:rPr>
          <w:rFonts w:ascii="Palatino Linotype" w:hAnsi="Palatino Linotype"/>
          <w:color w:val="000000"/>
          <w:shd w:val="clear" w:color="auto" w:fill="FFFFFF"/>
        </w:rPr>
        <w:t xml:space="preserve">el artículo 21 </w:t>
      </w:r>
      <w:r w:rsidR="009A2C78" w:rsidRPr="00254988">
        <w:rPr>
          <w:rFonts w:ascii="Palatino Linotype" w:hAnsi="Palatino Linotype"/>
          <w:color w:val="000000"/>
          <w:shd w:val="clear" w:color="auto" w:fill="FFFFFF"/>
        </w:rPr>
        <w:t>d</w:t>
      </w:r>
      <w:r w:rsidRPr="00254988">
        <w:rPr>
          <w:rFonts w:ascii="Palatino Linotype" w:hAnsi="Palatino Linotype"/>
          <w:color w:val="000000"/>
          <w:shd w:val="clear" w:color="auto" w:fill="FFFFFF"/>
        </w:rPr>
        <w:t>el Código Municipal para el Distrito Metropolitano de Quito, determina que:</w:t>
      </w:r>
      <w:r w:rsidRPr="00254988">
        <w:rPr>
          <w:rFonts w:ascii="Palatino Linotype" w:hAnsi="Palatino Linotype"/>
        </w:rPr>
        <w:t xml:space="preserve"> </w:t>
      </w:r>
      <w:r w:rsidRPr="00254988">
        <w:rPr>
          <w:rFonts w:ascii="Palatino Linotype" w:hAnsi="Palatino Linotype"/>
          <w:i/>
        </w:rPr>
        <w:t>“</w:t>
      </w:r>
      <w:r w:rsidRPr="00254988">
        <w:rPr>
          <w:rFonts w:ascii="Palatino Linotype" w:hAnsi="Palatino Linotype"/>
          <w:i/>
          <w:color w:val="000000"/>
          <w:shd w:val="clear" w:color="auto" w:fill="FFFFFF"/>
        </w:rPr>
        <w:t>La organización de las comisiones y la designación de sus miembros se sujetarán a lo dispuesto en la Ley Orgánica de Régimen del Distrito Metropolitano de Quito, el Código Orgánico de Organización Territorial, Autonomía y Descentralización, y el presente Título.”</w:t>
      </w:r>
      <w:r w:rsidR="00D800F2" w:rsidRPr="00254988">
        <w:rPr>
          <w:rFonts w:ascii="Palatino Linotype" w:hAnsi="Palatino Linotype"/>
          <w:color w:val="000000"/>
          <w:shd w:val="clear" w:color="auto" w:fill="FFFFFF"/>
        </w:rPr>
        <w:t>;</w:t>
      </w:r>
    </w:p>
    <w:p w14:paraId="5CEF3786" w14:textId="77777777" w:rsidR="00D800F2" w:rsidRPr="00254988" w:rsidRDefault="00D800F2" w:rsidP="00E3743B">
      <w:pPr>
        <w:spacing w:after="0" w:line="240" w:lineRule="auto"/>
        <w:ind w:left="709" w:hanging="709"/>
        <w:jc w:val="both"/>
        <w:rPr>
          <w:rFonts w:ascii="Palatino Linotype" w:hAnsi="Palatino Linotype"/>
          <w:color w:val="000000"/>
          <w:shd w:val="clear" w:color="auto" w:fill="FFFFFF"/>
        </w:rPr>
      </w:pPr>
    </w:p>
    <w:p w14:paraId="72D49015" w14:textId="66E9A67F" w:rsidR="005442BF" w:rsidRDefault="005442BF" w:rsidP="005442BF">
      <w:pPr>
        <w:spacing w:after="0" w:line="240" w:lineRule="auto"/>
        <w:ind w:left="709" w:hanging="709"/>
        <w:jc w:val="both"/>
        <w:rPr>
          <w:rFonts w:ascii="Palatino Linotype" w:hAnsi="Palatino Linotype"/>
          <w:bCs/>
          <w:i/>
          <w:iCs/>
        </w:rPr>
      </w:pPr>
      <w:r w:rsidRPr="00254988">
        <w:rPr>
          <w:rFonts w:ascii="Palatino Linotype" w:hAnsi="Palatino Linotype"/>
          <w:b/>
        </w:rPr>
        <w:t>Que,</w:t>
      </w:r>
      <w:r w:rsidRPr="00254988">
        <w:rPr>
          <w:rFonts w:ascii="Palatino Linotype" w:hAnsi="Palatino Linotype"/>
          <w:b/>
        </w:rPr>
        <w:tab/>
      </w:r>
      <w:r w:rsidRPr="00254988">
        <w:rPr>
          <w:rFonts w:ascii="Palatino Linotype" w:hAnsi="Palatino Linotype"/>
          <w:bCs/>
        </w:rPr>
        <w:t xml:space="preserve">el artículo 34 del Código Municipal para el Distrito Metropolitano de Quito, respecto de la conformación de comisiones especiales u ocasionales determina que: </w:t>
      </w:r>
      <w:r w:rsidRPr="00254988">
        <w:rPr>
          <w:rFonts w:ascii="Palatino Linotype" w:hAnsi="Palatino Linotype"/>
          <w:bCs/>
          <w:i/>
          <w:iCs/>
        </w:rPr>
        <w:t>“Podrán conformarse comisiones especiales para tratar asuntos concretos, para la investigación de situaciones o hechos específicos o determinados, para el estudio de asuntos excepcionales, o para recomendar las soluciones a problemas no comunes que requieran conocimiento, técnica y especialización singulares. Estas comisiones podrán conformarse en cualquier tiempo con la aprobación del Concejo Metropolitano mediante resolución. Las comisiones especiales estarán integradas por un mínimo de tres concejalas o concejales, pudiendo conformarse con más, siempre que sea un número impar.”</w:t>
      </w:r>
    </w:p>
    <w:p w14:paraId="2CA53C44" w14:textId="4B17217D" w:rsidR="00E002FA" w:rsidRDefault="00E002FA" w:rsidP="005442BF">
      <w:pPr>
        <w:spacing w:after="0" w:line="240" w:lineRule="auto"/>
        <w:ind w:left="709" w:hanging="709"/>
        <w:jc w:val="both"/>
        <w:rPr>
          <w:rFonts w:ascii="Palatino Linotype" w:hAnsi="Palatino Linotype"/>
          <w:bCs/>
          <w:i/>
          <w:iCs/>
        </w:rPr>
      </w:pPr>
    </w:p>
    <w:p w14:paraId="0B8D93A3" w14:textId="76E82DF5" w:rsidR="00D054F3" w:rsidRDefault="00E002FA" w:rsidP="005442BF">
      <w:pPr>
        <w:spacing w:after="0" w:line="240" w:lineRule="auto"/>
        <w:ind w:left="709" w:hanging="709"/>
        <w:jc w:val="both"/>
        <w:rPr>
          <w:rFonts w:ascii="Palatino Linotype" w:hAnsi="Palatino Linotype"/>
          <w:bCs/>
          <w:iCs/>
        </w:rPr>
      </w:pPr>
      <w:r w:rsidRPr="00E002FA">
        <w:rPr>
          <w:rFonts w:ascii="Palatino Linotype" w:hAnsi="Palatino Linotype"/>
          <w:b/>
          <w:bCs/>
          <w:iCs/>
        </w:rPr>
        <w:t>Que,</w:t>
      </w:r>
      <w:r>
        <w:rPr>
          <w:rFonts w:ascii="Palatino Linotype" w:hAnsi="Palatino Linotype"/>
          <w:b/>
          <w:bCs/>
          <w:iCs/>
        </w:rPr>
        <w:tab/>
      </w:r>
      <w:r>
        <w:rPr>
          <w:rFonts w:ascii="Palatino Linotype" w:hAnsi="Palatino Linotype"/>
          <w:bCs/>
          <w:iCs/>
        </w:rPr>
        <w:t xml:space="preserve">el artículo </w:t>
      </w:r>
      <w:r w:rsidR="00D054F3">
        <w:rPr>
          <w:rFonts w:ascii="Palatino Linotype" w:hAnsi="Palatino Linotype"/>
          <w:bCs/>
          <w:iCs/>
        </w:rPr>
        <w:t>16 de la Resolución C 074 de 8 de marzo del 2016, señala que la facultad de fiscalización del Concejo Metropolitano y de las concejalas y concejales consiste en el seguimiento, supervisión, control y vigilancia del cumplimiento de políticas públicas, planes, programas, proyectos, objetivos y normas de manejo de los recursos públicos y del cumplimiento de las reglas y procedimientos establecidos en las leyes y ordenanzas para la administración metropolitana.</w:t>
      </w:r>
    </w:p>
    <w:p w14:paraId="4438118E" w14:textId="77777777" w:rsidR="00D054F3" w:rsidRDefault="00D054F3" w:rsidP="005442BF">
      <w:pPr>
        <w:spacing w:after="0" w:line="240" w:lineRule="auto"/>
        <w:ind w:left="709" w:hanging="709"/>
        <w:jc w:val="both"/>
        <w:rPr>
          <w:rFonts w:ascii="Palatino Linotype" w:hAnsi="Palatino Linotype"/>
          <w:bCs/>
          <w:iCs/>
        </w:rPr>
      </w:pPr>
    </w:p>
    <w:p w14:paraId="776FC341" w14:textId="77777777" w:rsidR="00D054F3" w:rsidRDefault="00D054F3" w:rsidP="005442BF">
      <w:pPr>
        <w:spacing w:after="0" w:line="240" w:lineRule="auto"/>
        <w:ind w:left="709" w:hanging="709"/>
        <w:jc w:val="both"/>
        <w:rPr>
          <w:rFonts w:ascii="Palatino Linotype" w:hAnsi="Palatino Linotype"/>
          <w:bCs/>
          <w:iCs/>
        </w:rPr>
      </w:pPr>
    </w:p>
    <w:p w14:paraId="24686C75" w14:textId="77777777" w:rsidR="00D054F3" w:rsidRDefault="00D054F3" w:rsidP="005442BF">
      <w:pPr>
        <w:spacing w:after="0" w:line="240" w:lineRule="auto"/>
        <w:ind w:left="709" w:hanging="709"/>
        <w:jc w:val="both"/>
        <w:rPr>
          <w:rFonts w:ascii="Palatino Linotype" w:hAnsi="Palatino Linotype"/>
          <w:bCs/>
          <w:iCs/>
        </w:rPr>
      </w:pPr>
    </w:p>
    <w:p w14:paraId="303AA935" w14:textId="4C1E327B" w:rsidR="00E002FA" w:rsidRDefault="00D054F3" w:rsidP="005442BF">
      <w:pPr>
        <w:spacing w:after="0" w:line="240" w:lineRule="auto"/>
        <w:ind w:left="709" w:hanging="709"/>
        <w:jc w:val="both"/>
        <w:rPr>
          <w:rFonts w:ascii="Palatino Linotype" w:hAnsi="Palatino Linotype"/>
          <w:bCs/>
          <w:iCs/>
        </w:rPr>
      </w:pPr>
      <w:r w:rsidRPr="00D054F3">
        <w:rPr>
          <w:rFonts w:ascii="Palatino Linotype" w:hAnsi="Palatino Linotype"/>
          <w:b/>
          <w:bCs/>
          <w:iCs/>
        </w:rPr>
        <w:t>Que,</w:t>
      </w:r>
      <w:r>
        <w:rPr>
          <w:rFonts w:ascii="Palatino Linotype" w:hAnsi="Palatino Linotype"/>
          <w:bCs/>
          <w:iCs/>
        </w:rPr>
        <w:t xml:space="preserve"> </w:t>
      </w:r>
      <w:r>
        <w:rPr>
          <w:rFonts w:ascii="Palatino Linotype" w:hAnsi="Palatino Linotype"/>
          <w:bCs/>
          <w:iCs/>
        </w:rPr>
        <w:tab/>
        <w:t xml:space="preserve">el artículo </w:t>
      </w:r>
      <w:r w:rsidR="00E002FA">
        <w:rPr>
          <w:rFonts w:ascii="Palatino Linotype" w:hAnsi="Palatino Linotype"/>
          <w:bCs/>
          <w:iCs/>
        </w:rPr>
        <w:t xml:space="preserve">17 de la Resolución </w:t>
      </w:r>
      <w:r w:rsidR="002E7380">
        <w:rPr>
          <w:rFonts w:ascii="Palatino Linotype" w:hAnsi="Palatino Linotype"/>
          <w:bCs/>
          <w:iCs/>
        </w:rPr>
        <w:t>C 074 de 8 de marzo del 2016</w:t>
      </w:r>
      <w:r w:rsidR="00E002FA">
        <w:rPr>
          <w:rFonts w:ascii="Palatino Linotype" w:hAnsi="Palatino Linotype"/>
          <w:bCs/>
          <w:iCs/>
        </w:rPr>
        <w:t>, señala que los principales personeros de la administración municipal y sus entidades y empresas adscritas, están obligados a facilitar el acceso y proporcionar toda la información requerida formalmente por los concejales o concejalas, para lo cual dispondrán de un plazo máximo de 8 días, que podría extenderse 7 más, de existir el pedido justificado previo. A fin de canalizar adecuadamente estos pedidos, los concejales y concejales deberán dirigir su solicitud, mediante oficio, con copia a la</w:t>
      </w:r>
      <w:r w:rsidR="00B906F5">
        <w:rPr>
          <w:rFonts w:ascii="Palatino Linotype" w:hAnsi="Palatino Linotype"/>
          <w:bCs/>
          <w:iCs/>
        </w:rPr>
        <w:t xml:space="preserve"> Secretaria General del Concejo.</w:t>
      </w:r>
    </w:p>
    <w:p w14:paraId="49ED4068" w14:textId="28D5C00F" w:rsidR="00B906F5" w:rsidRDefault="00B906F5" w:rsidP="005442BF">
      <w:pPr>
        <w:spacing w:after="0" w:line="240" w:lineRule="auto"/>
        <w:ind w:left="709" w:hanging="709"/>
        <w:jc w:val="both"/>
        <w:rPr>
          <w:rFonts w:ascii="Palatino Linotype" w:hAnsi="Palatino Linotype"/>
          <w:bCs/>
          <w:iCs/>
        </w:rPr>
      </w:pPr>
    </w:p>
    <w:p w14:paraId="516CA2BC" w14:textId="43D3331B" w:rsidR="00E002FA" w:rsidRPr="00E002FA" w:rsidRDefault="00B906F5" w:rsidP="005442BF">
      <w:pPr>
        <w:spacing w:after="0" w:line="240" w:lineRule="auto"/>
        <w:ind w:left="709" w:hanging="709"/>
        <w:jc w:val="both"/>
        <w:rPr>
          <w:rFonts w:ascii="Palatino Linotype" w:hAnsi="Palatino Linotype"/>
          <w:bCs/>
          <w:iCs/>
        </w:rPr>
      </w:pPr>
      <w:r w:rsidRPr="002E7380">
        <w:rPr>
          <w:rFonts w:ascii="Palatino Linotype" w:hAnsi="Palatino Linotype"/>
          <w:b/>
          <w:bCs/>
          <w:iCs/>
        </w:rPr>
        <w:t>Que,</w:t>
      </w:r>
      <w:r w:rsidRPr="002E7380">
        <w:rPr>
          <w:rFonts w:ascii="Palatino Linotype" w:hAnsi="Palatino Linotype"/>
          <w:bCs/>
          <w:iCs/>
        </w:rPr>
        <w:t xml:space="preserve"> </w:t>
      </w:r>
      <w:r w:rsidR="002E7380" w:rsidRPr="002E7380">
        <w:rPr>
          <w:rFonts w:ascii="Palatino Linotype" w:hAnsi="Palatino Linotype"/>
          <w:bCs/>
          <w:iCs/>
        </w:rPr>
        <w:t xml:space="preserve">   el Metro</w:t>
      </w:r>
      <w:r w:rsidR="002B7FB3">
        <w:rPr>
          <w:rFonts w:ascii="Palatino Linotype" w:hAnsi="Palatino Linotype"/>
          <w:bCs/>
          <w:iCs/>
        </w:rPr>
        <w:t xml:space="preserve"> de Quito, </w:t>
      </w:r>
      <w:r w:rsidR="002E7380" w:rsidRPr="002E7380">
        <w:rPr>
          <w:rFonts w:ascii="Palatino Linotype" w:hAnsi="Palatino Linotype"/>
          <w:bCs/>
          <w:iCs/>
        </w:rPr>
        <w:t xml:space="preserve"> es </w:t>
      </w:r>
      <w:r w:rsidR="002B7FB3">
        <w:rPr>
          <w:rFonts w:ascii="Palatino Linotype" w:hAnsi="Palatino Linotype"/>
          <w:bCs/>
          <w:iCs/>
        </w:rPr>
        <w:t xml:space="preserve">el </w:t>
      </w:r>
      <w:r w:rsidR="002E7380" w:rsidRPr="002E7380">
        <w:rPr>
          <w:rFonts w:ascii="Palatino Linotype" w:hAnsi="Palatino Linotype"/>
          <w:bCs/>
          <w:iCs/>
        </w:rPr>
        <w:t>proyecto</w:t>
      </w:r>
      <w:r w:rsidR="002717F4">
        <w:rPr>
          <w:rFonts w:ascii="Palatino Linotype" w:hAnsi="Palatino Linotype"/>
          <w:bCs/>
          <w:iCs/>
        </w:rPr>
        <w:t xml:space="preserve"> emblemático</w:t>
      </w:r>
      <w:r w:rsidR="002E7380" w:rsidRPr="002E7380">
        <w:rPr>
          <w:rFonts w:ascii="Palatino Linotype" w:hAnsi="Palatino Linotype"/>
          <w:bCs/>
          <w:iCs/>
        </w:rPr>
        <w:t xml:space="preserve"> de </w:t>
      </w:r>
      <w:r w:rsidR="002B7FB3">
        <w:rPr>
          <w:rFonts w:ascii="Palatino Linotype" w:hAnsi="Palatino Linotype"/>
          <w:bCs/>
          <w:iCs/>
        </w:rPr>
        <w:t xml:space="preserve">inversión </w:t>
      </w:r>
      <w:r w:rsidR="002E7380" w:rsidRPr="002E7380">
        <w:rPr>
          <w:rFonts w:ascii="Palatino Linotype" w:hAnsi="Palatino Linotype"/>
          <w:bCs/>
          <w:iCs/>
        </w:rPr>
        <w:t xml:space="preserve">más importante </w:t>
      </w:r>
      <w:r w:rsidR="002B7FB3">
        <w:rPr>
          <w:rFonts w:ascii="Palatino Linotype" w:hAnsi="Palatino Linotype"/>
          <w:bCs/>
          <w:iCs/>
        </w:rPr>
        <w:t xml:space="preserve">del país; </w:t>
      </w:r>
      <w:r w:rsidR="002E7380" w:rsidRPr="002E7380">
        <w:rPr>
          <w:rFonts w:ascii="Palatino Linotype" w:hAnsi="Palatino Linotype"/>
          <w:bCs/>
          <w:iCs/>
        </w:rPr>
        <w:t xml:space="preserve"> y</w:t>
      </w:r>
      <w:r w:rsidR="002B7FB3">
        <w:rPr>
          <w:rFonts w:ascii="Palatino Linotype" w:hAnsi="Palatino Linotype"/>
          <w:bCs/>
          <w:iCs/>
        </w:rPr>
        <w:t>,</w:t>
      </w:r>
      <w:r w:rsidR="002E7380" w:rsidRPr="002E7380">
        <w:rPr>
          <w:rFonts w:ascii="Palatino Linotype" w:hAnsi="Palatino Linotype"/>
          <w:bCs/>
          <w:iCs/>
        </w:rPr>
        <w:t xml:space="preserve"> corresponde desde la </w:t>
      </w:r>
      <w:r w:rsidR="00AC3842">
        <w:rPr>
          <w:rFonts w:ascii="Palatino Linotype" w:hAnsi="Palatino Linotype"/>
          <w:bCs/>
          <w:iCs/>
        </w:rPr>
        <w:t>representatividad ciudadana</w:t>
      </w:r>
      <w:r w:rsidR="002E7380" w:rsidRPr="002E7380">
        <w:rPr>
          <w:rFonts w:ascii="Palatino Linotype" w:hAnsi="Palatino Linotype"/>
          <w:bCs/>
          <w:iCs/>
        </w:rPr>
        <w:t xml:space="preserve"> garantizar  el correcto</w:t>
      </w:r>
      <w:r w:rsidR="00D054F3">
        <w:rPr>
          <w:rFonts w:ascii="Palatino Linotype" w:hAnsi="Palatino Linotype"/>
          <w:bCs/>
          <w:iCs/>
        </w:rPr>
        <w:t xml:space="preserve"> desarrollo y funcionamiento de este sistema de transporte</w:t>
      </w:r>
      <w:r w:rsidR="002E7380" w:rsidRPr="002E7380">
        <w:rPr>
          <w:rFonts w:ascii="Palatino Linotype" w:hAnsi="Palatino Linotype"/>
          <w:bCs/>
          <w:iCs/>
        </w:rPr>
        <w:t xml:space="preserve">, así como el adecuado manejo de </w:t>
      </w:r>
      <w:r w:rsidR="00AC3842">
        <w:rPr>
          <w:rFonts w:ascii="Palatino Linotype" w:hAnsi="Palatino Linotype"/>
          <w:bCs/>
          <w:iCs/>
        </w:rPr>
        <w:t xml:space="preserve">los </w:t>
      </w:r>
      <w:r w:rsidR="002E7380" w:rsidRPr="002E7380">
        <w:rPr>
          <w:rFonts w:ascii="Palatino Linotype" w:hAnsi="Palatino Linotype"/>
          <w:bCs/>
          <w:iCs/>
        </w:rPr>
        <w:t>recursos públicos,</w:t>
      </w:r>
      <w:r w:rsidR="002B7FB3">
        <w:rPr>
          <w:rFonts w:ascii="Palatino Linotype" w:hAnsi="Palatino Linotype"/>
          <w:bCs/>
          <w:iCs/>
        </w:rPr>
        <w:t xml:space="preserve"> por lo que, es necesario fom</w:t>
      </w:r>
      <w:r w:rsidR="002E7380" w:rsidRPr="002E7380">
        <w:rPr>
          <w:rFonts w:ascii="Palatino Linotype" w:hAnsi="Palatino Linotype"/>
          <w:bCs/>
          <w:iCs/>
        </w:rPr>
        <w:t xml:space="preserve">entar </w:t>
      </w:r>
      <w:r w:rsidR="002B7FB3">
        <w:rPr>
          <w:rFonts w:ascii="Palatino Linotype" w:hAnsi="Palatino Linotype"/>
          <w:bCs/>
          <w:iCs/>
        </w:rPr>
        <w:t xml:space="preserve">la cultura de integridad, </w:t>
      </w:r>
      <w:r w:rsidR="002E7380" w:rsidRPr="002E7380">
        <w:rPr>
          <w:rFonts w:ascii="Palatino Linotype" w:hAnsi="Palatino Linotype"/>
          <w:bCs/>
          <w:iCs/>
        </w:rPr>
        <w:t>transparencia y rendición de cuentas</w:t>
      </w:r>
      <w:r w:rsidR="002B7FB3">
        <w:rPr>
          <w:rFonts w:ascii="Palatino Linotype" w:hAnsi="Palatino Linotype"/>
          <w:bCs/>
          <w:iCs/>
        </w:rPr>
        <w:t xml:space="preserve"> en todos los ámbitos de gestión municipal hacia </w:t>
      </w:r>
      <w:r w:rsidR="002717F4">
        <w:rPr>
          <w:rFonts w:ascii="Palatino Linotype" w:hAnsi="Palatino Linotype"/>
          <w:bCs/>
          <w:iCs/>
        </w:rPr>
        <w:t xml:space="preserve">el principal fiscalizador, </w:t>
      </w:r>
      <w:r w:rsidR="002B7FB3">
        <w:rPr>
          <w:rFonts w:ascii="Palatino Linotype" w:hAnsi="Palatino Linotype"/>
          <w:bCs/>
          <w:iCs/>
        </w:rPr>
        <w:t>la ciudadanía</w:t>
      </w:r>
      <w:r w:rsidR="00AC3842">
        <w:rPr>
          <w:rFonts w:ascii="Palatino Linotype" w:hAnsi="Palatino Linotype"/>
          <w:bCs/>
          <w:iCs/>
        </w:rPr>
        <w:t>.</w:t>
      </w:r>
    </w:p>
    <w:p w14:paraId="3DDB9EDA" w14:textId="6B8EFBF1" w:rsidR="003D17A0" w:rsidRDefault="003D17A0" w:rsidP="005442BF">
      <w:pPr>
        <w:spacing w:after="0" w:line="240" w:lineRule="auto"/>
        <w:ind w:left="709" w:hanging="709"/>
        <w:jc w:val="both"/>
        <w:rPr>
          <w:rFonts w:ascii="Palatino Linotype" w:hAnsi="Palatino Linotype"/>
          <w:bCs/>
        </w:rPr>
      </w:pPr>
    </w:p>
    <w:p w14:paraId="19D6C712" w14:textId="7CDEBA58" w:rsidR="006A65D2" w:rsidRPr="00254988" w:rsidRDefault="00E002FA" w:rsidP="00DB75C1">
      <w:pPr>
        <w:spacing w:after="0" w:line="240" w:lineRule="auto"/>
        <w:jc w:val="both"/>
        <w:rPr>
          <w:rFonts w:ascii="Palatino Linotype" w:hAnsi="Palatino Linotype"/>
          <w:b/>
        </w:rPr>
      </w:pPr>
      <w:r>
        <w:rPr>
          <w:rFonts w:ascii="Palatino Linotype" w:hAnsi="Palatino Linotype"/>
          <w:b/>
        </w:rPr>
        <w:t>E</w:t>
      </w:r>
      <w:r w:rsidR="006939C8" w:rsidRPr="00254988">
        <w:rPr>
          <w:rFonts w:ascii="Palatino Linotype" w:hAnsi="Palatino Linotype"/>
          <w:b/>
        </w:rPr>
        <w:t>n ejercicio de las atribuciones previstas en el artículo 240 de la Constitución de la República d</w:t>
      </w:r>
      <w:r w:rsidR="002B104E" w:rsidRPr="00254988">
        <w:rPr>
          <w:rFonts w:ascii="Palatino Linotype" w:hAnsi="Palatino Linotype"/>
          <w:b/>
        </w:rPr>
        <w:t>el Ecuador; artículos 87 letra</w:t>
      </w:r>
      <w:r w:rsidR="006939C8" w:rsidRPr="00254988">
        <w:rPr>
          <w:rFonts w:ascii="Palatino Linotype" w:hAnsi="Palatino Linotype"/>
          <w:b/>
        </w:rPr>
        <w:t xml:space="preserve"> a)</w:t>
      </w:r>
      <w:r w:rsidR="002B104E" w:rsidRPr="00254988">
        <w:rPr>
          <w:rFonts w:ascii="Palatino Linotype" w:hAnsi="Palatino Linotype"/>
          <w:b/>
        </w:rPr>
        <w:t xml:space="preserve"> y d)</w:t>
      </w:r>
      <w:r w:rsidR="006939C8" w:rsidRPr="00254988">
        <w:rPr>
          <w:rFonts w:ascii="Palatino Linotype" w:hAnsi="Palatino Linotype"/>
          <w:b/>
        </w:rPr>
        <w:t xml:space="preserve"> y 323 del Código Orgánico de Organización Territorial</w:t>
      </w:r>
      <w:r w:rsidR="002B104E" w:rsidRPr="00254988">
        <w:rPr>
          <w:rFonts w:ascii="Palatino Linotype" w:hAnsi="Palatino Linotype"/>
          <w:b/>
        </w:rPr>
        <w:t xml:space="preserve">, Autonomía y Descentralización. </w:t>
      </w:r>
    </w:p>
    <w:p w14:paraId="5F9FAF4A" w14:textId="77777777" w:rsidR="00711632" w:rsidRPr="00254988" w:rsidRDefault="00711632" w:rsidP="00DB75C1">
      <w:pPr>
        <w:spacing w:after="0" w:line="240" w:lineRule="auto"/>
        <w:jc w:val="both"/>
        <w:rPr>
          <w:rFonts w:ascii="Palatino Linotype" w:hAnsi="Palatino Linotype"/>
          <w:b/>
        </w:rPr>
      </w:pPr>
    </w:p>
    <w:p w14:paraId="1DD95A8E" w14:textId="77777777" w:rsidR="00107391" w:rsidRDefault="00107391" w:rsidP="00DB75C1">
      <w:pPr>
        <w:pStyle w:val="Sinespaciado"/>
        <w:jc w:val="center"/>
        <w:rPr>
          <w:rFonts w:ascii="Palatino Linotype" w:eastAsiaTheme="minorHAnsi" w:hAnsi="Palatino Linotype"/>
          <w:b/>
          <w:sz w:val="22"/>
          <w:szCs w:val="22"/>
          <w:lang w:val="es-EC" w:eastAsia="en-US"/>
        </w:rPr>
      </w:pPr>
    </w:p>
    <w:p w14:paraId="218A05CB" w14:textId="77777777" w:rsidR="00107391" w:rsidRDefault="00107391" w:rsidP="00DB75C1">
      <w:pPr>
        <w:pStyle w:val="Sinespaciado"/>
        <w:jc w:val="center"/>
        <w:rPr>
          <w:rFonts w:ascii="Palatino Linotype" w:eastAsiaTheme="minorHAnsi" w:hAnsi="Palatino Linotype"/>
          <w:b/>
          <w:sz w:val="22"/>
          <w:szCs w:val="22"/>
          <w:lang w:val="es-EC" w:eastAsia="en-US"/>
        </w:rPr>
      </w:pPr>
    </w:p>
    <w:p w14:paraId="0C149B1A" w14:textId="13182D2E" w:rsidR="006A65D2" w:rsidRPr="00254988" w:rsidRDefault="006939C8" w:rsidP="00DB75C1">
      <w:pPr>
        <w:pStyle w:val="Sinespaciado"/>
        <w:jc w:val="center"/>
        <w:rPr>
          <w:rFonts w:ascii="Palatino Linotype" w:eastAsiaTheme="minorHAnsi" w:hAnsi="Palatino Linotype"/>
          <w:b/>
          <w:sz w:val="22"/>
          <w:szCs w:val="22"/>
          <w:lang w:val="es-EC" w:eastAsia="en-US"/>
        </w:rPr>
      </w:pPr>
      <w:r w:rsidRPr="00254988">
        <w:rPr>
          <w:rFonts w:ascii="Palatino Linotype" w:eastAsiaTheme="minorHAnsi" w:hAnsi="Palatino Linotype"/>
          <w:b/>
          <w:sz w:val="22"/>
          <w:szCs w:val="22"/>
          <w:lang w:val="es-EC" w:eastAsia="en-US"/>
        </w:rPr>
        <w:t>RESUELVE:</w:t>
      </w:r>
    </w:p>
    <w:p w14:paraId="0D8EF988" w14:textId="77777777" w:rsidR="006A65D2" w:rsidRPr="00254988" w:rsidRDefault="006A65D2" w:rsidP="00DB75C1">
      <w:pPr>
        <w:pStyle w:val="Sinespaciado"/>
        <w:jc w:val="center"/>
        <w:rPr>
          <w:rFonts w:ascii="Palatino Linotype" w:eastAsiaTheme="minorHAnsi" w:hAnsi="Palatino Linotype"/>
          <w:b/>
          <w:sz w:val="22"/>
          <w:szCs w:val="22"/>
          <w:lang w:val="es-EC" w:eastAsia="en-US"/>
        </w:rPr>
      </w:pPr>
    </w:p>
    <w:p w14:paraId="12587150" w14:textId="095FE490" w:rsidR="00B41A5E" w:rsidRPr="00B41A5E" w:rsidRDefault="00D800F2" w:rsidP="00B41A5E">
      <w:pPr>
        <w:spacing w:after="0" w:line="240" w:lineRule="auto"/>
        <w:jc w:val="both"/>
        <w:rPr>
          <w:rFonts w:ascii="Palatino Linotype" w:hAnsi="Palatino Linotype"/>
        </w:rPr>
      </w:pPr>
      <w:r w:rsidRPr="00254988">
        <w:rPr>
          <w:rFonts w:ascii="Palatino Linotype" w:hAnsi="Palatino Linotype"/>
          <w:b/>
        </w:rPr>
        <w:t>Artículo 1.-</w:t>
      </w:r>
      <w:r w:rsidR="00DB75C1" w:rsidRPr="00254988">
        <w:rPr>
          <w:rFonts w:ascii="Palatino Linotype" w:hAnsi="Palatino Linotype"/>
          <w:b/>
        </w:rPr>
        <w:t xml:space="preserve"> </w:t>
      </w:r>
      <w:r w:rsidR="003F209D" w:rsidRPr="003F209D">
        <w:rPr>
          <w:rFonts w:ascii="Palatino Linotype" w:hAnsi="Palatino Linotype"/>
        </w:rPr>
        <w:t xml:space="preserve">Conformar una comisión especial con el propósito de fiscalizar </w:t>
      </w:r>
      <w:r w:rsidR="00F17BEC">
        <w:rPr>
          <w:rFonts w:ascii="Palatino Linotype" w:hAnsi="Palatino Linotype"/>
        </w:rPr>
        <w:t xml:space="preserve">desde su inicio </w:t>
      </w:r>
      <w:r w:rsidR="003F209D" w:rsidRPr="003F209D">
        <w:rPr>
          <w:rFonts w:ascii="Palatino Linotype" w:hAnsi="Palatino Linotype"/>
        </w:rPr>
        <w:t>la ejecución de los contratos de construcción, fiscalización y gerenciamiento  de la obra civil de la primera línea del Metro de Quito, órdenes de variación suscritas, del contrato para la adquisición del material rodante, entrega recepción de la obra civil, material rodante y equipos auxiliares, cierre y  liquidación de los mismos, así como del proceso de empalme con las actividades a desarrollarse para la puesta en operación comercial del Metro de Quito, fases de implementación de los servicios de operación,</w:t>
      </w:r>
      <w:r w:rsidR="00F17BEC">
        <w:rPr>
          <w:rFonts w:ascii="Palatino Linotype" w:hAnsi="Palatino Linotype"/>
        </w:rPr>
        <w:t xml:space="preserve"> inauguración, sistema de recaudación; </w:t>
      </w:r>
      <w:r w:rsidR="003F209D" w:rsidRPr="003F209D">
        <w:rPr>
          <w:rFonts w:ascii="Palatino Linotype" w:hAnsi="Palatino Linotype"/>
        </w:rPr>
        <w:t xml:space="preserve"> así como</w:t>
      </w:r>
      <w:r w:rsidR="00F17BEC">
        <w:rPr>
          <w:rFonts w:ascii="Palatino Linotype" w:hAnsi="Palatino Linotype"/>
        </w:rPr>
        <w:t>,</w:t>
      </w:r>
      <w:r w:rsidR="003F209D" w:rsidRPr="003F209D">
        <w:rPr>
          <w:rFonts w:ascii="Palatino Linotype" w:hAnsi="Palatino Linotype"/>
        </w:rPr>
        <w:t xml:space="preserve"> los medios a implementarse para verificar su entrega a satisfacción.</w:t>
      </w:r>
    </w:p>
    <w:p w14:paraId="65FFD60A" w14:textId="329DD036" w:rsidR="00B41A5E" w:rsidRDefault="00B41A5E" w:rsidP="00B41A5E">
      <w:pPr>
        <w:spacing w:after="0" w:line="240" w:lineRule="auto"/>
        <w:jc w:val="both"/>
        <w:rPr>
          <w:rFonts w:ascii="Palatino Linotype" w:hAnsi="Palatino Linotype"/>
        </w:rPr>
      </w:pPr>
    </w:p>
    <w:p w14:paraId="6B496881" w14:textId="58EB33D0" w:rsidR="00AC3842" w:rsidRDefault="00AC3842" w:rsidP="00B41A5E">
      <w:pPr>
        <w:spacing w:after="0" w:line="240" w:lineRule="auto"/>
        <w:jc w:val="both"/>
        <w:rPr>
          <w:rFonts w:ascii="Palatino Linotype" w:hAnsi="Palatino Linotype"/>
        </w:rPr>
      </w:pPr>
    </w:p>
    <w:p w14:paraId="522F9923" w14:textId="77777777" w:rsidR="00AC3842" w:rsidRPr="00B41A5E" w:rsidRDefault="00AC3842" w:rsidP="00B41A5E">
      <w:pPr>
        <w:spacing w:after="0" w:line="240" w:lineRule="auto"/>
        <w:jc w:val="both"/>
        <w:rPr>
          <w:rFonts w:ascii="Palatino Linotype" w:hAnsi="Palatino Linotype"/>
        </w:rPr>
      </w:pPr>
    </w:p>
    <w:p w14:paraId="54896E73" w14:textId="6756DFC0" w:rsidR="00557113" w:rsidRDefault="00B41A5E" w:rsidP="00B41A5E">
      <w:pPr>
        <w:spacing w:after="0" w:line="240" w:lineRule="auto"/>
        <w:jc w:val="both"/>
        <w:rPr>
          <w:rFonts w:ascii="Palatino Linotype" w:hAnsi="Palatino Linotype"/>
          <w:color w:val="000000" w:themeColor="text1"/>
        </w:rPr>
      </w:pPr>
      <w:r w:rsidRPr="00B41A5E">
        <w:rPr>
          <w:rFonts w:ascii="Palatino Linotype" w:hAnsi="Palatino Linotype"/>
          <w:b/>
        </w:rPr>
        <w:lastRenderedPageBreak/>
        <w:t>Artículo 2.-</w:t>
      </w:r>
      <w:r w:rsidR="00775A85">
        <w:rPr>
          <w:rFonts w:ascii="Palatino Linotype" w:hAnsi="Palatino Linotype"/>
          <w:b/>
        </w:rPr>
        <w:t xml:space="preserve"> </w:t>
      </w:r>
      <w:r w:rsidRPr="00B41A5E">
        <w:rPr>
          <w:rFonts w:ascii="Palatino Linotype" w:hAnsi="Palatino Linotype"/>
        </w:rPr>
        <w:t>La Comisión Especial podrá solicitar además información relacionada al cierre y liquidación del contrato de obra de la primera línea, órdenes de variación suscritas en las que se haya incluido, entre otras, la contratación de los servicios de recaudo electrónico, medios de pago y equipos de control y validación, actas de entrega recepción de la obra civil, sistemas y subsistemas, así como de los contratos de fiscalización y gerenciamiento de la misma, actividades de cierre, presupuesto y  liquidación.</w:t>
      </w:r>
    </w:p>
    <w:p w14:paraId="50ACA210" w14:textId="114143A3" w:rsidR="00107391" w:rsidRDefault="00E002FA" w:rsidP="00EF37C2">
      <w:pPr>
        <w:spacing w:after="0" w:line="240" w:lineRule="auto"/>
        <w:jc w:val="both"/>
        <w:rPr>
          <w:rFonts w:ascii="Palatino Linotype" w:hAnsi="Palatino Linotype"/>
          <w:color w:val="000000" w:themeColor="text1"/>
        </w:rPr>
      </w:pPr>
      <w:r>
        <w:rPr>
          <w:rFonts w:ascii="Palatino Linotype" w:hAnsi="Palatino Linotype"/>
          <w:color w:val="000000" w:themeColor="text1"/>
        </w:rPr>
        <w:t xml:space="preserve"> </w:t>
      </w:r>
    </w:p>
    <w:p w14:paraId="7DB9C2DB" w14:textId="3E379F8F" w:rsidR="00A67FC7" w:rsidRPr="00254988" w:rsidRDefault="00D800F2" w:rsidP="00DB75C1">
      <w:pPr>
        <w:spacing w:after="0" w:line="240" w:lineRule="auto"/>
        <w:jc w:val="both"/>
        <w:rPr>
          <w:rFonts w:ascii="Palatino Linotype" w:hAnsi="Palatino Linotype"/>
        </w:rPr>
      </w:pPr>
      <w:r w:rsidRPr="00254988">
        <w:rPr>
          <w:rFonts w:ascii="Palatino Linotype" w:hAnsi="Palatino Linotype"/>
          <w:b/>
        </w:rPr>
        <w:t xml:space="preserve">Artículo </w:t>
      </w:r>
      <w:r w:rsidR="00B41A5E">
        <w:rPr>
          <w:rFonts w:ascii="Palatino Linotype" w:hAnsi="Palatino Linotype"/>
          <w:b/>
        </w:rPr>
        <w:t>3</w:t>
      </w:r>
      <w:r w:rsidRPr="00254988">
        <w:rPr>
          <w:rFonts w:ascii="Palatino Linotype" w:hAnsi="Palatino Linotype"/>
          <w:b/>
        </w:rPr>
        <w:t xml:space="preserve">.- </w:t>
      </w:r>
      <w:r w:rsidR="00907FD3" w:rsidRPr="00254988">
        <w:rPr>
          <w:rFonts w:ascii="Palatino Linotype" w:hAnsi="Palatino Linotype"/>
        </w:rPr>
        <w:t xml:space="preserve">La Comisión </w:t>
      </w:r>
      <w:r w:rsidR="00287700">
        <w:rPr>
          <w:rFonts w:ascii="Palatino Linotype" w:hAnsi="Palatino Linotype"/>
        </w:rPr>
        <w:t>especial</w:t>
      </w:r>
      <w:r w:rsidR="00907FD3" w:rsidRPr="00254988">
        <w:rPr>
          <w:rFonts w:ascii="Palatino Linotype" w:hAnsi="Palatino Linotype"/>
        </w:rPr>
        <w:t>,</w:t>
      </w:r>
      <w:r w:rsidR="002717F4">
        <w:rPr>
          <w:rFonts w:ascii="Palatino Linotype" w:hAnsi="Palatino Linotype"/>
        </w:rPr>
        <w:t xml:space="preserve"> </w:t>
      </w:r>
      <w:r w:rsidR="00907FD3" w:rsidRPr="00254988">
        <w:rPr>
          <w:rFonts w:ascii="Palatino Linotype" w:hAnsi="Palatino Linotype"/>
        </w:rPr>
        <w:t>estará integrada por los siguientes señoras y señores Concejales:</w:t>
      </w:r>
    </w:p>
    <w:p w14:paraId="58C0157E" w14:textId="77777777" w:rsidR="00907FD3" w:rsidRPr="00254988" w:rsidRDefault="00907FD3" w:rsidP="00DB75C1">
      <w:pPr>
        <w:spacing w:after="0" w:line="240" w:lineRule="auto"/>
        <w:jc w:val="both"/>
        <w:rPr>
          <w:rFonts w:ascii="Palatino Linotype" w:hAnsi="Palatino Linotype"/>
        </w:rPr>
      </w:pPr>
    </w:p>
    <w:p w14:paraId="55377F46" w14:textId="569B8765" w:rsidR="00907FD3" w:rsidRPr="00254988" w:rsidRDefault="00907FD3" w:rsidP="00907FD3">
      <w:pPr>
        <w:spacing w:after="0" w:line="240" w:lineRule="auto"/>
        <w:jc w:val="both"/>
        <w:rPr>
          <w:rFonts w:ascii="Palatino Linotype" w:hAnsi="Palatino Linotype"/>
        </w:rPr>
      </w:pPr>
      <w:r w:rsidRPr="00254988">
        <w:rPr>
          <w:rFonts w:ascii="Palatino Linotype" w:hAnsi="Palatino Linotype"/>
        </w:rPr>
        <w:t>1.</w:t>
      </w:r>
      <w:r w:rsidR="00B41A5E">
        <w:rPr>
          <w:rFonts w:ascii="Palatino Linotype" w:hAnsi="Palatino Linotype"/>
        </w:rPr>
        <w:t xml:space="preserve">     </w:t>
      </w:r>
      <w:r w:rsidR="00791338">
        <w:rPr>
          <w:rFonts w:ascii="Palatino Linotype" w:hAnsi="Palatino Linotype"/>
        </w:rPr>
        <w:t xml:space="preserve">    </w:t>
      </w:r>
      <w:r w:rsidR="00B41A5E">
        <w:rPr>
          <w:rFonts w:ascii="Palatino Linotype" w:hAnsi="Palatino Linotype"/>
        </w:rPr>
        <w:t>,</w:t>
      </w:r>
      <w:r w:rsidR="00757A06">
        <w:rPr>
          <w:rFonts w:ascii="Palatino Linotype" w:hAnsi="Palatino Linotype"/>
        </w:rPr>
        <w:t xml:space="preserve"> </w:t>
      </w:r>
      <w:r w:rsidR="005442BF" w:rsidRPr="00254988">
        <w:rPr>
          <w:rFonts w:ascii="Palatino Linotype" w:hAnsi="Palatino Linotype"/>
        </w:rPr>
        <w:t>designa</w:t>
      </w:r>
      <w:r w:rsidR="00775A85">
        <w:rPr>
          <w:rFonts w:ascii="Palatino Linotype" w:hAnsi="Palatino Linotype"/>
        </w:rPr>
        <w:t>do/a</w:t>
      </w:r>
      <w:r w:rsidR="005442BF" w:rsidRPr="00254988">
        <w:rPr>
          <w:rFonts w:ascii="Palatino Linotype" w:hAnsi="Palatino Linotype"/>
        </w:rPr>
        <w:t xml:space="preserve"> como presidente</w:t>
      </w:r>
      <w:r w:rsidR="00775A85">
        <w:rPr>
          <w:rFonts w:ascii="Palatino Linotype" w:hAnsi="Palatino Linotype"/>
        </w:rPr>
        <w:t>/a</w:t>
      </w:r>
      <w:r w:rsidR="005442BF" w:rsidRPr="00254988">
        <w:rPr>
          <w:rFonts w:ascii="Palatino Linotype" w:hAnsi="Palatino Linotype"/>
        </w:rPr>
        <w:t xml:space="preserve"> de la Comisión;</w:t>
      </w:r>
    </w:p>
    <w:p w14:paraId="19337075" w14:textId="462DC068" w:rsidR="00907FD3" w:rsidRPr="00254988" w:rsidRDefault="00907FD3" w:rsidP="00907FD3">
      <w:pPr>
        <w:spacing w:after="0" w:line="240" w:lineRule="auto"/>
        <w:jc w:val="both"/>
        <w:rPr>
          <w:rFonts w:ascii="Palatino Linotype" w:hAnsi="Palatino Linotype"/>
        </w:rPr>
      </w:pPr>
      <w:r w:rsidRPr="00254988">
        <w:rPr>
          <w:rFonts w:ascii="Palatino Linotype" w:hAnsi="Palatino Linotype"/>
        </w:rPr>
        <w:t>2.</w:t>
      </w:r>
    </w:p>
    <w:p w14:paraId="4C908497" w14:textId="3A0DC309" w:rsidR="00907FD3" w:rsidRDefault="00907FD3" w:rsidP="00907FD3">
      <w:pPr>
        <w:spacing w:after="0" w:line="240" w:lineRule="auto"/>
        <w:jc w:val="both"/>
        <w:rPr>
          <w:rFonts w:ascii="Palatino Linotype" w:hAnsi="Palatino Linotype"/>
        </w:rPr>
      </w:pPr>
      <w:r w:rsidRPr="00254988">
        <w:rPr>
          <w:rFonts w:ascii="Palatino Linotype" w:hAnsi="Palatino Linotype"/>
        </w:rPr>
        <w:t>3.</w:t>
      </w:r>
    </w:p>
    <w:p w14:paraId="3D00126D" w14:textId="1DD9653F" w:rsidR="002717F4" w:rsidRDefault="002717F4" w:rsidP="00907FD3">
      <w:pPr>
        <w:spacing w:after="0" w:line="240" w:lineRule="auto"/>
        <w:jc w:val="both"/>
        <w:rPr>
          <w:rFonts w:ascii="Palatino Linotype" w:hAnsi="Palatino Linotype"/>
        </w:rPr>
      </w:pPr>
      <w:r>
        <w:rPr>
          <w:rFonts w:ascii="Palatino Linotype" w:hAnsi="Palatino Linotype"/>
        </w:rPr>
        <w:t>4.</w:t>
      </w:r>
    </w:p>
    <w:p w14:paraId="380DDDD5" w14:textId="7C042647" w:rsidR="002717F4" w:rsidRDefault="002717F4" w:rsidP="00907FD3">
      <w:pPr>
        <w:spacing w:after="0" w:line="240" w:lineRule="auto"/>
        <w:jc w:val="both"/>
        <w:rPr>
          <w:rFonts w:ascii="Palatino Linotype" w:hAnsi="Palatino Linotype"/>
        </w:rPr>
      </w:pPr>
      <w:r>
        <w:rPr>
          <w:rFonts w:ascii="Palatino Linotype" w:hAnsi="Palatino Linotype"/>
        </w:rPr>
        <w:t>5.</w:t>
      </w:r>
    </w:p>
    <w:p w14:paraId="13F1A3E7" w14:textId="292BF394" w:rsidR="00791338" w:rsidRDefault="00791338" w:rsidP="00907FD3">
      <w:pPr>
        <w:spacing w:after="0" w:line="240" w:lineRule="auto"/>
        <w:jc w:val="both"/>
        <w:rPr>
          <w:rFonts w:ascii="Palatino Linotype" w:hAnsi="Palatino Linotype"/>
        </w:rPr>
      </w:pPr>
    </w:p>
    <w:p w14:paraId="4AEC535F" w14:textId="233F530D" w:rsidR="002E7380" w:rsidRDefault="00907FD3" w:rsidP="00907FD3">
      <w:pPr>
        <w:spacing w:after="0" w:line="240" w:lineRule="auto"/>
        <w:jc w:val="both"/>
        <w:rPr>
          <w:rFonts w:ascii="Palatino Linotype" w:hAnsi="Palatino Linotype"/>
        </w:rPr>
      </w:pPr>
      <w:r w:rsidRPr="002E7380">
        <w:rPr>
          <w:rFonts w:ascii="Palatino Linotype" w:hAnsi="Palatino Linotype"/>
          <w:b/>
        </w:rPr>
        <w:t>Artículo</w:t>
      </w:r>
      <w:r w:rsidR="00B41A5E" w:rsidRPr="002E7380">
        <w:rPr>
          <w:rFonts w:ascii="Palatino Linotype" w:hAnsi="Palatino Linotype"/>
          <w:b/>
        </w:rPr>
        <w:t xml:space="preserve"> 4</w:t>
      </w:r>
      <w:r w:rsidRPr="002E7380">
        <w:rPr>
          <w:rFonts w:ascii="Palatino Linotype" w:hAnsi="Palatino Linotype"/>
          <w:b/>
        </w:rPr>
        <w:t>.-</w:t>
      </w:r>
      <w:r w:rsidR="002E7380">
        <w:rPr>
          <w:rFonts w:ascii="Palatino Linotype" w:hAnsi="Palatino Linotype"/>
        </w:rPr>
        <w:t xml:space="preserve"> </w:t>
      </w:r>
      <w:r w:rsidR="002E7380" w:rsidRPr="002E7380">
        <w:rPr>
          <w:rFonts w:ascii="Palatino Linotype" w:hAnsi="Palatino Linotype"/>
        </w:rPr>
        <w:t xml:space="preserve">La Comisión Especial </w:t>
      </w:r>
      <w:r w:rsidR="002717F4">
        <w:rPr>
          <w:rFonts w:ascii="Palatino Linotype" w:hAnsi="Palatino Linotype"/>
        </w:rPr>
        <w:t xml:space="preserve">presentará el informe respectivo en el término máximo de 120 días </w:t>
      </w:r>
      <w:r w:rsidR="002E7380">
        <w:rPr>
          <w:rFonts w:ascii="Palatino Linotype" w:hAnsi="Palatino Linotype"/>
        </w:rPr>
        <w:t>desde su conformación</w:t>
      </w:r>
      <w:r w:rsidR="00775A85">
        <w:rPr>
          <w:rFonts w:ascii="Palatino Linotype" w:hAnsi="Palatino Linotype"/>
        </w:rPr>
        <w:t>.</w:t>
      </w:r>
    </w:p>
    <w:p w14:paraId="65F78A99" w14:textId="77777777" w:rsidR="002E7380" w:rsidRPr="002E7380" w:rsidRDefault="002E7380" w:rsidP="00907FD3">
      <w:pPr>
        <w:spacing w:after="0" w:line="240" w:lineRule="auto"/>
        <w:jc w:val="both"/>
        <w:rPr>
          <w:rFonts w:ascii="Palatino Linotype" w:hAnsi="Palatino Linotype"/>
        </w:rPr>
      </w:pPr>
    </w:p>
    <w:p w14:paraId="2A470080" w14:textId="1CFDBF70" w:rsidR="00907FD3" w:rsidRDefault="002E7380" w:rsidP="00907FD3">
      <w:pPr>
        <w:spacing w:after="0" w:line="240" w:lineRule="auto"/>
        <w:jc w:val="both"/>
        <w:rPr>
          <w:rFonts w:ascii="Palatino Linotype" w:hAnsi="Palatino Linotype"/>
        </w:rPr>
      </w:pPr>
      <w:r w:rsidRPr="002E7380">
        <w:rPr>
          <w:rFonts w:ascii="Palatino Linotype" w:hAnsi="Palatino Linotype"/>
          <w:b/>
        </w:rPr>
        <w:t>Artículo 5.-</w:t>
      </w:r>
      <w:r>
        <w:rPr>
          <w:rFonts w:ascii="Palatino Linotype" w:hAnsi="Palatino Linotype"/>
        </w:rPr>
        <w:t xml:space="preserve"> </w:t>
      </w:r>
      <w:r w:rsidR="00907FD3" w:rsidRPr="00254988">
        <w:rPr>
          <w:rFonts w:ascii="Palatino Linotype" w:hAnsi="Palatino Linotype"/>
        </w:rPr>
        <w:t xml:space="preserve">Por su </w:t>
      </w:r>
      <w:r w:rsidR="00EF37C2" w:rsidRPr="00254988">
        <w:rPr>
          <w:rFonts w:ascii="Palatino Linotype" w:hAnsi="Palatino Linotype"/>
        </w:rPr>
        <w:t>naturaleza</w:t>
      </w:r>
      <w:r w:rsidR="00907FD3" w:rsidRPr="00254988">
        <w:rPr>
          <w:rFonts w:ascii="Palatino Linotype" w:hAnsi="Palatino Linotype"/>
        </w:rPr>
        <w:t xml:space="preserve">, la presente Comisión </w:t>
      </w:r>
      <w:r w:rsidR="00B41A5E">
        <w:rPr>
          <w:rFonts w:ascii="Palatino Linotype" w:hAnsi="Palatino Linotype"/>
        </w:rPr>
        <w:t>Especial</w:t>
      </w:r>
      <w:r w:rsidR="0055214D">
        <w:rPr>
          <w:rFonts w:ascii="Palatino Linotype" w:hAnsi="Palatino Linotype"/>
        </w:rPr>
        <w:t xml:space="preserve"> </w:t>
      </w:r>
      <w:r w:rsidR="00907FD3" w:rsidRPr="00254988">
        <w:rPr>
          <w:rFonts w:ascii="Palatino Linotype" w:hAnsi="Palatino Linotype"/>
        </w:rPr>
        <w:t xml:space="preserve">sesionará </w:t>
      </w:r>
      <w:r w:rsidR="00775A85">
        <w:rPr>
          <w:rFonts w:ascii="Palatino Linotype" w:hAnsi="Palatino Linotype"/>
        </w:rPr>
        <w:t>d</w:t>
      </w:r>
      <w:r w:rsidR="00907FD3" w:rsidRPr="00254988">
        <w:rPr>
          <w:rFonts w:ascii="Palatino Linotype" w:hAnsi="Palatino Linotype"/>
        </w:rPr>
        <w:t xml:space="preserve">e manera </w:t>
      </w:r>
      <w:r w:rsidR="00EF37C2" w:rsidRPr="00254988">
        <w:rPr>
          <w:rFonts w:ascii="Palatino Linotype" w:hAnsi="Palatino Linotype"/>
        </w:rPr>
        <w:t>extraordinaria</w:t>
      </w:r>
      <w:r w:rsidR="005442BF" w:rsidRPr="00254988">
        <w:rPr>
          <w:rFonts w:ascii="Palatino Linotype" w:hAnsi="Palatino Linotype"/>
        </w:rPr>
        <w:t>; y, se regirá bajo las normas previstas en el Título I</w:t>
      </w:r>
      <w:r w:rsidR="00EF37C2" w:rsidRPr="00254988">
        <w:rPr>
          <w:rFonts w:ascii="Palatino Linotype" w:hAnsi="Palatino Linotype"/>
        </w:rPr>
        <w:t>, Libro I.1 del Código Municipal para el Distrito Metropolitano de Quito.</w:t>
      </w:r>
    </w:p>
    <w:p w14:paraId="64CCE8BF" w14:textId="5940D662" w:rsidR="00AC3842" w:rsidRDefault="00AC3842" w:rsidP="00907FD3">
      <w:pPr>
        <w:spacing w:after="0" w:line="240" w:lineRule="auto"/>
        <w:jc w:val="both"/>
        <w:rPr>
          <w:rFonts w:ascii="Palatino Linotype" w:hAnsi="Palatino Linotype"/>
        </w:rPr>
      </w:pPr>
    </w:p>
    <w:p w14:paraId="276D5ED2" w14:textId="690E9831" w:rsidR="00AC3842" w:rsidRPr="00254988" w:rsidRDefault="00CA24E2" w:rsidP="00907FD3">
      <w:pPr>
        <w:spacing w:after="0" w:line="240" w:lineRule="auto"/>
        <w:jc w:val="both"/>
        <w:rPr>
          <w:rFonts w:ascii="Palatino Linotype" w:hAnsi="Palatino Linotype"/>
        </w:rPr>
      </w:pPr>
      <w:r>
        <w:rPr>
          <w:rFonts w:ascii="Palatino Linotype" w:hAnsi="Palatino Linotype"/>
        </w:rPr>
        <w:t>….sigue articulado una vez aprobado por el Concejo…</w:t>
      </w:r>
    </w:p>
    <w:sectPr w:rsidR="00AC3842" w:rsidRPr="00254988" w:rsidSect="00F72A99">
      <w:headerReference w:type="even" r:id="rId8"/>
      <w:headerReference w:type="default" r:id="rId9"/>
      <w:footerReference w:type="default" r:id="rId10"/>
      <w:headerReference w:type="first" r:id="rId11"/>
      <w:pgSz w:w="12240" w:h="15840"/>
      <w:pgMar w:top="2883"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15E0" w14:textId="77777777" w:rsidR="00B2599D" w:rsidRDefault="00B2599D">
      <w:pPr>
        <w:spacing w:line="240" w:lineRule="auto"/>
      </w:pPr>
      <w:r>
        <w:separator/>
      </w:r>
    </w:p>
  </w:endnote>
  <w:endnote w:type="continuationSeparator" w:id="0">
    <w:p w14:paraId="0A1A4F9C" w14:textId="77777777" w:rsidR="00B2599D" w:rsidRDefault="00B2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87827"/>
      <w:docPartObj>
        <w:docPartGallery w:val="Page Numbers (Bottom of Page)"/>
        <w:docPartUnique/>
      </w:docPartObj>
    </w:sdtPr>
    <w:sdtContent>
      <w:sdt>
        <w:sdtPr>
          <w:id w:val="-1769616900"/>
          <w:docPartObj>
            <w:docPartGallery w:val="Page Numbers (Top of Page)"/>
            <w:docPartUnique/>
          </w:docPartObj>
        </w:sdtPr>
        <w:sdtContent>
          <w:p w14:paraId="19A2E702" w14:textId="5A65123D" w:rsidR="00EF37C2" w:rsidRDefault="00EF37C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D614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D6148">
              <w:rPr>
                <w:b/>
                <w:bCs/>
                <w:noProof/>
              </w:rPr>
              <w:t>4</w:t>
            </w:r>
            <w:r>
              <w:rPr>
                <w:b/>
                <w:bCs/>
                <w:sz w:val="24"/>
                <w:szCs w:val="24"/>
              </w:rPr>
              <w:fldChar w:fldCharType="end"/>
            </w:r>
          </w:p>
        </w:sdtContent>
      </w:sdt>
    </w:sdtContent>
  </w:sdt>
  <w:p w14:paraId="01FE9006" w14:textId="4D9CF655" w:rsidR="006A65D2" w:rsidRDefault="006A65D2">
    <w:pPr>
      <w:tabs>
        <w:tab w:val="center" w:pos="4320"/>
        <w:tab w:val="right" w:pos="8640"/>
      </w:tabs>
      <w:spacing w:after="0" w:line="240"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A6AC" w14:textId="77777777" w:rsidR="00B2599D" w:rsidRDefault="00B2599D">
      <w:pPr>
        <w:spacing w:after="0" w:line="240" w:lineRule="auto"/>
      </w:pPr>
      <w:r>
        <w:separator/>
      </w:r>
    </w:p>
  </w:footnote>
  <w:footnote w:type="continuationSeparator" w:id="0">
    <w:p w14:paraId="6A3B3BBA" w14:textId="77777777" w:rsidR="00B2599D" w:rsidRDefault="00B25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A7D0" w14:textId="77777777" w:rsidR="00677BA5" w:rsidRDefault="00B2599D">
    <w:pPr>
      <w:pStyle w:val="Encabezado"/>
    </w:pPr>
    <w:r>
      <w:rPr>
        <w:noProof/>
      </w:rPr>
      <w:pict w14:anchorId="45FF9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29735" o:spid="_x0000_s1027" type="#_x0000_t136" alt="" style="position:absolute;margin-left:0;margin-top:0;width:453.1pt;height:169.9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E97A" w14:textId="77777777" w:rsidR="00F72A99" w:rsidRDefault="00B2599D">
    <w:pPr>
      <w:pStyle w:val="Encabezado"/>
    </w:pPr>
    <w:r>
      <w:rPr>
        <w:noProof/>
      </w:rPr>
      <w:pict w14:anchorId="78CD6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29736" o:spid="_x0000_s1026" type="#_x0000_t136" alt="" style="position:absolute;margin-left:0;margin-top:0;width:453.1pt;height:169.9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r w:rsidR="00F72A99">
      <w:rPr>
        <w:rFonts w:ascii="Palatino Linotype" w:hAnsi="Palatino Linotype"/>
        <w:b/>
        <w:noProof/>
        <w:lang w:val="en-US" w:eastAsia="en-US"/>
      </w:rPr>
      <w:drawing>
        <wp:anchor distT="0" distB="0" distL="114300" distR="114300" simplePos="0" relativeHeight="251659264" behindDoc="0" locked="0" layoutInCell="1" allowOverlap="1" wp14:anchorId="7A4D16AB" wp14:editId="7A6BA537">
          <wp:simplePos x="0" y="0"/>
          <wp:positionH relativeFrom="margin">
            <wp:align>center</wp:align>
          </wp:positionH>
          <wp:positionV relativeFrom="paragraph">
            <wp:posOffset>2540</wp:posOffset>
          </wp:positionV>
          <wp:extent cx="673735" cy="990600"/>
          <wp:effectExtent l="0" t="0" r="0" b="0"/>
          <wp:wrapNone/>
          <wp:docPr id="6" name="Imagen 6"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14:paraId="2BF6C091" w14:textId="77777777" w:rsidR="006A65D2" w:rsidRDefault="006A65D2">
    <w:pPr>
      <w:pStyle w:val="Encabezado"/>
    </w:pPr>
  </w:p>
  <w:p w14:paraId="34464CF3" w14:textId="77777777" w:rsidR="004A20F2" w:rsidRDefault="004A20F2">
    <w:pPr>
      <w:pStyle w:val="Encabezado"/>
    </w:pPr>
  </w:p>
  <w:p w14:paraId="0802CAB1" w14:textId="77777777" w:rsidR="006A65D2" w:rsidRDefault="006A65D2">
    <w:pPr>
      <w:pStyle w:val="Encabezado"/>
    </w:pPr>
  </w:p>
  <w:p w14:paraId="6E26958E" w14:textId="77777777" w:rsidR="006A65D2" w:rsidRDefault="006A65D2">
    <w:pPr>
      <w:pStyle w:val="Encabezado"/>
    </w:pPr>
  </w:p>
  <w:p w14:paraId="59445DB3" w14:textId="77777777" w:rsidR="006A65D2" w:rsidRDefault="006A65D2">
    <w:pPr>
      <w:pStyle w:val="Encabezado"/>
    </w:pPr>
  </w:p>
  <w:p w14:paraId="2ECB7245" w14:textId="77777777" w:rsidR="006A65D2" w:rsidRDefault="006A65D2">
    <w:pPr>
      <w:pStyle w:val="Encabezado"/>
    </w:pPr>
  </w:p>
  <w:p w14:paraId="4DEB9D87" w14:textId="4CBEFE22" w:rsidR="006A65D2" w:rsidRDefault="00E27C99">
    <w:pPr>
      <w:jc w:val="center"/>
      <w:rPr>
        <w:rFonts w:ascii="Palatino Linotype" w:hAnsi="Palatino Linotype" w:cs="Times New Roman"/>
        <w:b/>
        <w:bCs/>
      </w:rPr>
    </w:pPr>
    <w:r>
      <w:rPr>
        <w:rFonts w:ascii="Palatino Linotype" w:hAnsi="Palatino Linotype" w:cs="Times New Roman"/>
        <w:b/>
        <w:bCs/>
      </w:rPr>
      <w:t>RESOLUCIÓN No. C xxx</w:t>
    </w:r>
    <w:r w:rsidR="006939C8">
      <w:rPr>
        <w:rFonts w:ascii="Palatino Linotype" w:hAnsi="Palatino Linotype" w:cs="Times New Roman"/>
        <w:b/>
        <w:bCs/>
      </w:rPr>
      <w:t>-202</w:t>
    </w:r>
    <w:r w:rsidR="00907FD3">
      <w:rPr>
        <w:rFonts w:ascii="Palatino Linotype" w:hAnsi="Palatino Linotype" w:cs="Times New Roman"/>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AE0D" w14:textId="77777777" w:rsidR="00677BA5" w:rsidRDefault="00B2599D">
    <w:pPr>
      <w:pStyle w:val="Encabezado"/>
    </w:pPr>
    <w:r>
      <w:rPr>
        <w:noProof/>
      </w:rPr>
      <w:pict w14:anchorId="0EAE1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29734" o:spid="_x0000_s1025" type="#_x0000_t136" alt="" style="position:absolute;margin-left:0;margin-top:0;width:453.1pt;height:169.9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A36"/>
    <w:multiLevelType w:val="multilevel"/>
    <w:tmpl w:val="28C8FC1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E905206"/>
    <w:multiLevelType w:val="hybridMultilevel"/>
    <w:tmpl w:val="10C22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288504">
    <w:abstractNumId w:val="0"/>
  </w:num>
  <w:num w:numId="2" w16cid:durableId="2044211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58"/>
    <w:rsid w:val="0000325F"/>
    <w:rsid w:val="0000542C"/>
    <w:rsid w:val="00006A25"/>
    <w:rsid w:val="0000706E"/>
    <w:rsid w:val="00007AB7"/>
    <w:rsid w:val="00010E58"/>
    <w:rsid w:val="0003224B"/>
    <w:rsid w:val="00042207"/>
    <w:rsid w:val="00047C50"/>
    <w:rsid w:val="00053895"/>
    <w:rsid w:val="00053BF1"/>
    <w:rsid w:val="00055A97"/>
    <w:rsid w:val="00055CEB"/>
    <w:rsid w:val="00056629"/>
    <w:rsid w:val="000572D6"/>
    <w:rsid w:val="00063889"/>
    <w:rsid w:val="00076E77"/>
    <w:rsid w:val="000C04C2"/>
    <w:rsid w:val="000C3368"/>
    <w:rsid w:val="000C51D5"/>
    <w:rsid w:val="000D0F8D"/>
    <w:rsid w:val="000D6AC8"/>
    <w:rsid w:val="000E7CB9"/>
    <w:rsid w:val="000F37F8"/>
    <w:rsid w:val="000F460C"/>
    <w:rsid w:val="00100906"/>
    <w:rsid w:val="00107391"/>
    <w:rsid w:val="001220C8"/>
    <w:rsid w:val="00135559"/>
    <w:rsid w:val="00140F41"/>
    <w:rsid w:val="0014134F"/>
    <w:rsid w:val="00142317"/>
    <w:rsid w:val="00142857"/>
    <w:rsid w:val="0015469B"/>
    <w:rsid w:val="001546E5"/>
    <w:rsid w:val="00155DDC"/>
    <w:rsid w:val="00187D5F"/>
    <w:rsid w:val="001943E0"/>
    <w:rsid w:val="00197F49"/>
    <w:rsid w:val="001A20A2"/>
    <w:rsid w:val="001A3105"/>
    <w:rsid w:val="001A3B8D"/>
    <w:rsid w:val="001A76AB"/>
    <w:rsid w:val="001B0C2E"/>
    <w:rsid w:val="001B3C7D"/>
    <w:rsid w:val="001C3883"/>
    <w:rsid w:val="001C40C2"/>
    <w:rsid w:val="001C5079"/>
    <w:rsid w:val="001C63BE"/>
    <w:rsid w:val="001F0F9A"/>
    <w:rsid w:val="001F17A7"/>
    <w:rsid w:val="001F5386"/>
    <w:rsid w:val="00200E2A"/>
    <w:rsid w:val="002223F8"/>
    <w:rsid w:val="002246C0"/>
    <w:rsid w:val="00245095"/>
    <w:rsid w:val="00245991"/>
    <w:rsid w:val="002524C9"/>
    <w:rsid w:val="00254988"/>
    <w:rsid w:val="002717F4"/>
    <w:rsid w:val="0028476E"/>
    <w:rsid w:val="002854BB"/>
    <w:rsid w:val="00287700"/>
    <w:rsid w:val="00294D5F"/>
    <w:rsid w:val="002B104E"/>
    <w:rsid w:val="002B7FB3"/>
    <w:rsid w:val="002E7380"/>
    <w:rsid w:val="002E79BA"/>
    <w:rsid w:val="002F2779"/>
    <w:rsid w:val="002F659F"/>
    <w:rsid w:val="00314EB9"/>
    <w:rsid w:val="00331154"/>
    <w:rsid w:val="00371423"/>
    <w:rsid w:val="003842C3"/>
    <w:rsid w:val="003A7250"/>
    <w:rsid w:val="003C03B8"/>
    <w:rsid w:val="003C324B"/>
    <w:rsid w:val="003D17A0"/>
    <w:rsid w:val="003E27F2"/>
    <w:rsid w:val="003E4232"/>
    <w:rsid w:val="003E5AE2"/>
    <w:rsid w:val="003F209D"/>
    <w:rsid w:val="003F5D35"/>
    <w:rsid w:val="003F7ADD"/>
    <w:rsid w:val="00407737"/>
    <w:rsid w:val="00413FCC"/>
    <w:rsid w:val="00414E62"/>
    <w:rsid w:val="00420B1C"/>
    <w:rsid w:val="00430BBE"/>
    <w:rsid w:val="00436340"/>
    <w:rsid w:val="004433D2"/>
    <w:rsid w:val="00452AD9"/>
    <w:rsid w:val="0046232F"/>
    <w:rsid w:val="004627E9"/>
    <w:rsid w:val="00465457"/>
    <w:rsid w:val="00475FB5"/>
    <w:rsid w:val="0049077D"/>
    <w:rsid w:val="004A20F2"/>
    <w:rsid w:val="004B3ADD"/>
    <w:rsid w:val="004B5CA0"/>
    <w:rsid w:val="004C07E5"/>
    <w:rsid w:val="004C25BA"/>
    <w:rsid w:val="00505E7F"/>
    <w:rsid w:val="005407A6"/>
    <w:rsid w:val="005435D1"/>
    <w:rsid w:val="005442BF"/>
    <w:rsid w:val="005454CD"/>
    <w:rsid w:val="00546295"/>
    <w:rsid w:val="0055214D"/>
    <w:rsid w:val="00553E1D"/>
    <w:rsid w:val="00557113"/>
    <w:rsid w:val="005A032F"/>
    <w:rsid w:val="005A1E22"/>
    <w:rsid w:val="005B6958"/>
    <w:rsid w:val="005E6E16"/>
    <w:rsid w:val="005F4349"/>
    <w:rsid w:val="00601899"/>
    <w:rsid w:val="00610DB7"/>
    <w:rsid w:val="00620EA8"/>
    <w:rsid w:val="00643073"/>
    <w:rsid w:val="00677BA5"/>
    <w:rsid w:val="00683401"/>
    <w:rsid w:val="006939C8"/>
    <w:rsid w:val="006A65D2"/>
    <w:rsid w:val="006B0B66"/>
    <w:rsid w:val="006B65A2"/>
    <w:rsid w:val="006B693B"/>
    <w:rsid w:val="006C07D5"/>
    <w:rsid w:val="006C3A91"/>
    <w:rsid w:val="006E68B9"/>
    <w:rsid w:val="006F04CE"/>
    <w:rsid w:val="00711632"/>
    <w:rsid w:val="00711903"/>
    <w:rsid w:val="00724745"/>
    <w:rsid w:val="00725847"/>
    <w:rsid w:val="00733A2A"/>
    <w:rsid w:val="00734E4F"/>
    <w:rsid w:val="00740771"/>
    <w:rsid w:val="00757A06"/>
    <w:rsid w:val="007722FC"/>
    <w:rsid w:val="00775A85"/>
    <w:rsid w:val="00791338"/>
    <w:rsid w:val="007B7B43"/>
    <w:rsid w:val="007C003D"/>
    <w:rsid w:val="007E5F66"/>
    <w:rsid w:val="007F39E2"/>
    <w:rsid w:val="00842087"/>
    <w:rsid w:val="0084797F"/>
    <w:rsid w:val="008571FE"/>
    <w:rsid w:val="00870231"/>
    <w:rsid w:val="008738FB"/>
    <w:rsid w:val="008D033A"/>
    <w:rsid w:val="008D2842"/>
    <w:rsid w:val="008D31C9"/>
    <w:rsid w:val="008E3F3D"/>
    <w:rsid w:val="008E510F"/>
    <w:rsid w:val="008F0381"/>
    <w:rsid w:val="0090078C"/>
    <w:rsid w:val="00907FD3"/>
    <w:rsid w:val="00926A0F"/>
    <w:rsid w:val="009420D3"/>
    <w:rsid w:val="009557B4"/>
    <w:rsid w:val="009613F0"/>
    <w:rsid w:val="0097626A"/>
    <w:rsid w:val="009820FF"/>
    <w:rsid w:val="00993ECE"/>
    <w:rsid w:val="009A15DE"/>
    <w:rsid w:val="009A2C78"/>
    <w:rsid w:val="009D4D0D"/>
    <w:rsid w:val="009F20FD"/>
    <w:rsid w:val="00A044DC"/>
    <w:rsid w:val="00A04C56"/>
    <w:rsid w:val="00A04D47"/>
    <w:rsid w:val="00A1438E"/>
    <w:rsid w:val="00A2271D"/>
    <w:rsid w:val="00A300EF"/>
    <w:rsid w:val="00A325F0"/>
    <w:rsid w:val="00A62058"/>
    <w:rsid w:val="00A67FC7"/>
    <w:rsid w:val="00A725DC"/>
    <w:rsid w:val="00A917A9"/>
    <w:rsid w:val="00A975FB"/>
    <w:rsid w:val="00AB11CA"/>
    <w:rsid w:val="00AB3CD8"/>
    <w:rsid w:val="00AC3842"/>
    <w:rsid w:val="00AD020A"/>
    <w:rsid w:val="00AD3B97"/>
    <w:rsid w:val="00AD6148"/>
    <w:rsid w:val="00AF000E"/>
    <w:rsid w:val="00B0094C"/>
    <w:rsid w:val="00B01AA9"/>
    <w:rsid w:val="00B22FB0"/>
    <w:rsid w:val="00B23B45"/>
    <w:rsid w:val="00B2599D"/>
    <w:rsid w:val="00B34B04"/>
    <w:rsid w:val="00B37D47"/>
    <w:rsid w:val="00B41A5E"/>
    <w:rsid w:val="00B445F1"/>
    <w:rsid w:val="00B44E07"/>
    <w:rsid w:val="00B709DE"/>
    <w:rsid w:val="00B75205"/>
    <w:rsid w:val="00B8777E"/>
    <w:rsid w:val="00B906F5"/>
    <w:rsid w:val="00B926DD"/>
    <w:rsid w:val="00BA46AC"/>
    <w:rsid w:val="00BB4867"/>
    <w:rsid w:val="00BB4BF6"/>
    <w:rsid w:val="00BB5E47"/>
    <w:rsid w:val="00BC0837"/>
    <w:rsid w:val="00BC5AC3"/>
    <w:rsid w:val="00BC7D54"/>
    <w:rsid w:val="00BE30FB"/>
    <w:rsid w:val="00BF64DB"/>
    <w:rsid w:val="00C012CC"/>
    <w:rsid w:val="00C0389A"/>
    <w:rsid w:val="00C166F5"/>
    <w:rsid w:val="00C44F0D"/>
    <w:rsid w:val="00C46EB1"/>
    <w:rsid w:val="00C52DFB"/>
    <w:rsid w:val="00C71D2F"/>
    <w:rsid w:val="00C72A77"/>
    <w:rsid w:val="00C92C59"/>
    <w:rsid w:val="00C962FD"/>
    <w:rsid w:val="00CA24E2"/>
    <w:rsid w:val="00CC1D4F"/>
    <w:rsid w:val="00CC2A48"/>
    <w:rsid w:val="00CD1C60"/>
    <w:rsid w:val="00CD4785"/>
    <w:rsid w:val="00CE72CE"/>
    <w:rsid w:val="00D0330E"/>
    <w:rsid w:val="00D054F3"/>
    <w:rsid w:val="00D31F56"/>
    <w:rsid w:val="00D331F8"/>
    <w:rsid w:val="00D33AC4"/>
    <w:rsid w:val="00D33F51"/>
    <w:rsid w:val="00D55E35"/>
    <w:rsid w:val="00D631BA"/>
    <w:rsid w:val="00D6594E"/>
    <w:rsid w:val="00D800F2"/>
    <w:rsid w:val="00D83AA9"/>
    <w:rsid w:val="00D91F7C"/>
    <w:rsid w:val="00D942FB"/>
    <w:rsid w:val="00DA5AE1"/>
    <w:rsid w:val="00DB75C1"/>
    <w:rsid w:val="00E002FA"/>
    <w:rsid w:val="00E15D1C"/>
    <w:rsid w:val="00E16C11"/>
    <w:rsid w:val="00E213A4"/>
    <w:rsid w:val="00E22A06"/>
    <w:rsid w:val="00E24CE1"/>
    <w:rsid w:val="00E24D51"/>
    <w:rsid w:val="00E27C99"/>
    <w:rsid w:val="00E31A9F"/>
    <w:rsid w:val="00E37131"/>
    <w:rsid w:val="00E3743B"/>
    <w:rsid w:val="00E37FEF"/>
    <w:rsid w:val="00E57E9A"/>
    <w:rsid w:val="00E729A1"/>
    <w:rsid w:val="00E72AB6"/>
    <w:rsid w:val="00E769B7"/>
    <w:rsid w:val="00E77B87"/>
    <w:rsid w:val="00E86853"/>
    <w:rsid w:val="00E93FD6"/>
    <w:rsid w:val="00EA3D26"/>
    <w:rsid w:val="00EA4F90"/>
    <w:rsid w:val="00EE3F46"/>
    <w:rsid w:val="00EE4509"/>
    <w:rsid w:val="00EF37C2"/>
    <w:rsid w:val="00EF6346"/>
    <w:rsid w:val="00F029E3"/>
    <w:rsid w:val="00F122E2"/>
    <w:rsid w:val="00F17BEC"/>
    <w:rsid w:val="00F34942"/>
    <w:rsid w:val="00F6235A"/>
    <w:rsid w:val="00F67BCA"/>
    <w:rsid w:val="00F72A99"/>
    <w:rsid w:val="00F77AA0"/>
    <w:rsid w:val="00F80152"/>
    <w:rsid w:val="00F9688F"/>
    <w:rsid w:val="00FA16A3"/>
    <w:rsid w:val="00FC3EB9"/>
    <w:rsid w:val="00FD15E1"/>
    <w:rsid w:val="00FE1C5F"/>
    <w:rsid w:val="00FE5744"/>
    <w:rsid w:val="05EE210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747A3"/>
  <w15:docId w15:val="{52769621-BA5B-448E-AC1D-61D39DA9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sz w:val="22"/>
      <w:szCs w:val="22"/>
      <w:lang w:eastAsia="es-ES"/>
    </w:rPr>
  </w:style>
  <w:style w:type="paragraph" w:styleId="Ttulo1">
    <w:name w:val="heading 1"/>
    <w:next w:val="Normal"/>
    <w:link w:val="Ttulo1Car"/>
    <w:uiPriority w:val="9"/>
    <w:unhideWhenUsed/>
    <w:qFormat/>
    <w:pPr>
      <w:keepNext/>
      <w:keepLines/>
      <w:spacing w:line="259" w:lineRule="auto"/>
      <w:ind w:left="10" w:right="4" w:hanging="10"/>
      <w:jc w:val="center"/>
      <w:outlineLvl w:val="0"/>
    </w:pPr>
    <w:rPr>
      <w:rFonts w:ascii="Palatino Linotype" w:eastAsia="Palatino Linotype" w:hAnsi="Palatino Linotype" w:cs="Palatino Linotype"/>
      <w:b/>
      <w:color w:val="000000"/>
      <w:sz w:val="22"/>
      <w:szCs w:val="22"/>
    </w:rPr>
  </w:style>
  <w:style w:type="paragraph" w:styleId="Ttulo2">
    <w:name w:val="heading 2"/>
    <w:basedOn w:val="Normal"/>
    <w:next w:val="Normal"/>
    <w:link w:val="Ttulo2Car"/>
    <w:uiPriority w:val="9"/>
    <w:unhideWhenUsed/>
    <w:qFormat/>
    <w:rsid w:val="006B69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Ttulo1Car">
    <w:name w:val="Título 1 Car"/>
    <w:basedOn w:val="Fuentedeprrafopredeter"/>
    <w:link w:val="Ttulo1"/>
    <w:uiPriority w:val="9"/>
    <w:rPr>
      <w:rFonts w:ascii="Palatino Linotype" w:eastAsia="Palatino Linotype" w:hAnsi="Palatino Linotype" w:cs="Palatino Linotype"/>
      <w:b/>
      <w:color w:val="000000"/>
      <w:lang w:val="es-EC" w:eastAsia="es-EC"/>
    </w:rPr>
  </w:style>
  <w:style w:type="table" w:customStyle="1" w:styleId="TableGrid">
    <w:name w:val="TableGrid"/>
    <w:rPr>
      <w:rFonts w:eastAsia="Times New Roman"/>
    </w:rPr>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rPr>
      <w:rFonts w:ascii="Calibri" w:eastAsia="Calibri" w:hAnsi="Calibri" w:cs="Calibri"/>
      <w:lang w:val="es-EC" w:eastAsia="es-ES"/>
    </w:rPr>
  </w:style>
  <w:style w:type="paragraph" w:styleId="Sinespaciado">
    <w:name w:val="No Spacing"/>
    <w:basedOn w:val="Normal"/>
    <w:link w:val="SinespaciadoCar"/>
    <w:uiPriority w:val="1"/>
    <w:qFormat/>
    <w:pPr>
      <w:spacing w:after="0" w:line="240" w:lineRule="auto"/>
    </w:pPr>
    <w:rPr>
      <w:rFonts w:ascii="Times New Roman" w:eastAsia="Times New Roman" w:hAnsi="Times New Roman" w:cs="Times New Roman"/>
      <w:sz w:val="24"/>
      <w:szCs w:val="24"/>
      <w:lang w:val="es-ES"/>
    </w:rPr>
  </w:style>
  <w:style w:type="character" w:customStyle="1" w:styleId="SinespaciadoCar">
    <w:name w:val="Sin espaciado Car"/>
    <w:basedOn w:val="Fuentedeprrafopredeter"/>
    <w:link w:val="Sinespaciado"/>
    <w:uiPriority w:val="1"/>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Pr>
      <w:rFonts w:ascii="Calibri" w:eastAsia="Calibri" w:hAnsi="Calibri" w:cs="Calibri"/>
      <w:lang w:val="es-EC" w:eastAsia="es-ES"/>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lang w:val="es-EC" w:eastAsia="es-ES"/>
    </w:rPr>
  </w:style>
  <w:style w:type="table" w:customStyle="1" w:styleId="TableGrid2">
    <w:name w:val="TableGrid2"/>
    <w:rsid w:val="0014134F"/>
    <w:rPr>
      <w:rFonts w:eastAsia="Times New Roman"/>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6B693B"/>
    <w:rPr>
      <w:rFonts w:asciiTheme="majorHAnsi" w:eastAsiaTheme="majorEastAsia" w:hAnsiTheme="majorHAnsi" w:cstheme="majorBidi"/>
      <w:b/>
      <w:bCs/>
      <w:color w:val="4F81BD" w:themeColor="accent1"/>
      <w:sz w:val="26"/>
      <w:szCs w:val="26"/>
      <w:lang w:eastAsia="es-ES"/>
    </w:rPr>
  </w:style>
  <w:style w:type="table" w:customStyle="1" w:styleId="TableGrid21">
    <w:name w:val="TableGrid21"/>
    <w:rsid w:val="006B693B"/>
    <w:rPr>
      <w:rFonts w:eastAsia="Times New Roman"/>
    </w:rPr>
    <w:tblPr>
      <w:tblCellMar>
        <w:top w:w="0" w:type="dxa"/>
        <w:left w:w="0" w:type="dxa"/>
        <w:bottom w:w="0" w:type="dxa"/>
        <w:right w:w="0" w:type="dxa"/>
      </w:tblCellMar>
    </w:tblPr>
  </w:style>
  <w:style w:type="table" w:customStyle="1" w:styleId="TableGrid22">
    <w:name w:val="TableGrid22"/>
    <w:rsid w:val="001B3C7D"/>
    <w:rPr>
      <w:rFonts w:eastAsia="Times New Roman"/>
    </w:rPr>
    <w:tblPr>
      <w:tblCellMar>
        <w:top w:w="0" w:type="dxa"/>
        <w:left w:w="0" w:type="dxa"/>
        <w:bottom w:w="0" w:type="dxa"/>
        <w:right w:w="0" w:type="dxa"/>
      </w:tblCellMar>
    </w:tblPr>
  </w:style>
  <w:style w:type="table" w:customStyle="1" w:styleId="TableGrid23">
    <w:name w:val="TableGrid23"/>
    <w:rsid w:val="00CD1C60"/>
    <w:rPr>
      <w:rFonts w:eastAsia="Times New Roman"/>
    </w:rPr>
    <w:tblPr>
      <w:tblCellMar>
        <w:top w:w="0" w:type="dxa"/>
        <w:left w:w="0" w:type="dxa"/>
        <w:bottom w:w="0" w:type="dxa"/>
        <w:right w:w="0" w:type="dxa"/>
      </w:tblCellMar>
    </w:tblPr>
  </w:style>
  <w:style w:type="paragraph" w:styleId="Prrafodelista">
    <w:name w:val="List Paragraph"/>
    <w:aliases w:val="TIT 2 IND,Párrafo de lista SUBCAPITULO,Párrafo de lista1,Colorful List - Accent 11"/>
    <w:basedOn w:val="Normal"/>
    <w:link w:val="PrrafodelistaCar"/>
    <w:uiPriority w:val="34"/>
    <w:qFormat/>
    <w:rsid w:val="00D800F2"/>
    <w:pPr>
      <w:ind w:left="720"/>
      <w:contextualSpacing/>
    </w:pPr>
    <w:rPr>
      <w:rFonts w:asciiTheme="minorHAnsi" w:eastAsiaTheme="minorHAnsi" w:hAnsiTheme="minorHAnsi" w:cstheme="minorBidi"/>
      <w:lang w:eastAsia="en-US"/>
    </w:rPr>
  </w:style>
  <w:style w:type="character" w:customStyle="1" w:styleId="PrrafodelistaCar">
    <w:name w:val="Párrafo de lista Car"/>
    <w:aliases w:val="TIT 2 IND Car,Párrafo de lista SUBCAPITULO Car,Párrafo de lista1 Car,Colorful List - Accent 11 Car"/>
    <w:link w:val="Prrafodelista"/>
    <w:uiPriority w:val="34"/>
    <w:rsid w:val="00D800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88673">
      <w:bodyDiv w:val="1"/>
      <w:marLeft w:val="0"/>
      <w:marRight w:val="0"/>
      <w:marTop w:val="0"/>
      <w:marBottom w:val="0"/>
      <w:divBdr>
        <w:top w:val="none" w:sz="0" w:space="0" w:color="auto"/>
        <w:left w:val="none" w:sz="0" w:space="0" w:color="auto"/>
        <w:bottom w:val="none" w:sz="0" w:space="0" w:color="auto"/>
        <w:right w:val="none" w:sz="0" w:space="0" w:color="auto"/>
      </w:divBdr>
    </w:div>
    <w:div w:id="755057618">
      <w:bodyDiv w:val="1"/>
      <w:marLeft w:val="0"/>
      <w:marRight w:val="0"/>
      <w:marTop w:val="0"/>
      <w:marBottom w:val="0"/>
      <w:divBdr>
        <w:top w:val="none" w:sz="0" w:space="0" w:color="auto"/>
        <w:left w:val="none" w:sz="0" w:space="0" w:color="auto"/>
        <w:bottom w:val="none" w:sz="0" w:space="0" w:color="auto"/>
        <w:right w:val="none" w:sz="0" w:space="0" w:color="auto"/>
      </w:divBdr>
    </w:div>
    <w:div w:id="812722357">
      <w:bodyDiv w:val="1"/>
      <w:marLeft w:val="0"/>
      <w:marRight w:val="0"/>
      <w:marTop w:val="0"/>
      <w:marBottom w:val="0"/>
      <w:divBdr>
        <w:top w:val="none" w:sz="0" w:space="0" w:color="auto"/>
        <w:left w:val="none" w:sz="0" w:space="0" w:color="auto"/>
        <w:bottom w:val="none" w:sz="0" w:space="0" w:color="auto"/>
        <w:right w:val="none" w:sz="0" w:space="0" w:color="auto"/>
      </w:divBdr>
    </w:div>
    <w:div w:id="1468283846">
      <w:bodyDiv w:val="1"/>
      <w:marLeft w:val="0"/>
      <w:marRight w:val="0"/>
      <w:marTop w:val="0"/>
      <w:marBottom w:val="0"/>
      <w:divBdr>
        <w:top w:val="none" w:sz="0" w:space="0" w:color="auto"/>
        <w:left w:val="none" w:sz="0" w:space="0" w:color="auto"/>
        <w:bottom w:val="none" w:sz="0" w:space="0" w:color="auto"/>
        <w:right w:val="none" w:sz="0" w:space="0" w:color="auto"/>
      </w:divBdr>
    </w:div>
    <w:div w:id="1683169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6794</Characters>
  <Application>Microsoft Office Word</Application>
  <DocSecurity>0</DocSecurity>
  <Lines>138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Libia Fernanda Rivas Ord��ez</cp:lastModifiedBy>
  <cp:revision>2</cp:revision>
  <cp:lastPrinted>2023-06-16T21:36:00Z</cp:lastPrinted>
  <dcterms:created xsi:type="dcterms:W3CDTF">2023-06-16T21:36:00Z</dcterms:created>
  <dcterms:modified xsi:type="dcterms:W3CDTF">2023-06-16T21:36:00Z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3082-11.2.0.10114</vt:lpwstr>
  </property>
</Properties>
</file>